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970B04" w:rsidR="001963DE" w:rsidP="001963DE" w:rsidRDefault="001963DE" w14:paraId="0CC2468C" w14:textId="7CAF78B2">
      <w:pPr>
        <w:pStyle w:val="paragraph"/>
        <w:spacing w:before="240" w:beforeAutospacing="0" w:after="240" w:afterAutospacing="0"/>
        <w:textAlignment w:val="baseline"/>
        <w:rPr>
          <w:rStyle w:val="Ttulo1Car"/>
          <w:rFonts w:ascii="Arial" w:hAnsi="Arial" w:cs="Arial"/>
          <w:sz w:val="24"/>
          <w:szCs w:val="24"/>
          <w:lang w:val="es-ES_tradnl"/>
        </w:rPr>
      </w:pPr>
      <w:r w:rsidRPr="00970B04">
        <w:rPr>
          <w:rStyle w:val="wacimagecontainer"/>
          <w:rFonts w:ascii="Arial" w:hAnsi="Arial" w:cs="Arial" w:eastAsiaTheme="majorEastAsia"/>
          <w:color w:val="0F4761"/>
          <w:lang w:val="es-ES_tradnl"/>
        </w:rPr>
        <w:drawing>
          <wp:inline distT="0" distB="0" distL="0" distR="0" wp14:anchorId="3A348AEC" wp14:editId="34C8213A">
            <wp:extent cx="2596515" cy="1490345"/>
            <wp:effectExtent l="0" t="0" r="0" b="0"/>
            <wp:docPr id="5865205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6515" cy="1490345"/>
                    </a:xfrm>
                    <a:prstGeom prst="rect">
                      <a:avLst/>
                    </a:prstGeom>
                    <a:noFill/>
                    <a:ln>
                      <a:noFill/>
                    </a:ln>
                  </pic:spPr>
                </pic:pic>
              </a:graphicData>
            </a:graphic>
          </wp:inline>
        </w:drawing>
      </w:r>
      <w:r w:rsidRPr="00970B04">
        <w:rPr>
          <w:rStyle w:val="Ttulo1Car"/>
          <w:lang w:val="es-ES_tradnl"/>
        </w:rPr>
        <w:t>Boletín en materia de derechos humanos edición mayo – junio 2025</w:t>
      </w:r>
      <w:r w:rsidRPr="00970B04">
        <w:rPr>
          <w:rStyle w:val="Ttulo1Car"/>
          <w:rFonts w:ascii="Arial" w:hAnsi="Arial" w:cs="Arial"/>
          <w:sz w:val="24"/>
          <w:szCs w:val="24"/>
          <w:lang w:val="es-ES_tradnl"/>
        </w:rPr>
        <w:t>  </w:t>
      </w:r>
    </w:p>
    <w:p w:rsidRPr="00BA55D8" w:rsidR="001963DE" w:rsidP="001963DE" w:rsidRDefault="001963DE" w14:paraId="14190EED" w14:textId="77777777">
      <w:pPr>
        <w:pStyle w:val="paragraph"/>
        <w:spacing w:before="240" w:beforeAutospacing="0" w:after="240" w:afterAutospacing="0"/>
        <w:textAlignment w:val="baseline"/>
        <w:rPr>
          <w:rFonts w:ascii="Arial" w:hAnsi="Arial" w:cs="Arial"/>
          <w:b/>
          <w:bCs/>
          <w:lang w:val="es-ES_tradnl"/>
        </w:rPr>
      </w:pPr>
      <w:r w:rsidRPr="00BA55D8">
        <w:rPr>
          <w:rStyle w:val="normaltextrun"/>
          <w:rFonts w:ascii="Arial" w:hAnsi="Arial" w:cs="Arial" w:eastAsiaTheme="majorEastAsia"/>
          <w:b/>
          <w:bCs/>
          <w:lang w:val="es-ES_tradnl"/>
        </w:rPr>
        <w:t>Criterios internacionales en materia de derechos humanos </w:t>
      </w:r>
      <w:r w:rsidRPr="00BA55D8">
        <w:rPr>
          <w:rStyle w:val="eop"/>
          <w:rFonts w:ascii="Arial" w:hAnsi="Arial" w:cs="Arial" w:eastAsiaTheme="majorEastAsia"/>
          <w:b/>
          <w:bCs/>
          <w:lang w:val="es-ES_tradnl"/>
        </w:rPr>
        <w:t> </w:t>
      </w:r>
    </w:p>
    <w:p w:rsidRPr="00970B04" w:rsidR="001963DE" w:rsidP="001963DE" w:rsidRDefault="001963DE" w14:paraId="205E5811" w14:textId="1357AC64">
      <w:pPr>
        <w:pStyle w:val="paragraph"/>
        <w:spacing w:before="240" w:beforeAutospacing="0" w:after="240" w:afterAutospacing="0"/>
        <w:textAlignment w:val="baseline"/>
        <w:rPr>
          <w:rFonts w:ascii="Arial" w:hAnsi="Arial" w:cs="Arial"/>
          <w:lang w:val="es-ES_tradnl"/>
        </w:rPr>
      </w:pPr>
      <w:r w:rsidRPr="00BA55D8">
        <w:rPr>
          <w:rStyle w:val="normaltextrun"/>
          <w:rFonts w:ascii="Arial" w:hAnsi="Arial" w:cs="Arial" w:eastAsiaTheme="majorEastAsia"/>
          <w:b/>
          <w:bCs/>
          <w:lang w:val="es-ES_tradnl"/>
        </w:rPr>
        <w:t>Nota editorial.</w:t>
      </w:r>
      <w:r w:rsidRPr="00970B04">
        <w:rPr>
          <w:rStyle w:val="normaltextrun"/>
          <w:rFonts w:ascii="Arial" w:hAnsi="Arial" w:cs="Arial" w:eastAsiaTheme="majorEastAsia"/>
          <w:lang w:val="es-ES_tradnl"/>
        </w:rPr>
        <w:t xml:space="preserve"> La Unidad General de Conocimiento Científico y Derechos Humanos </w:t>
      </w:r>
      <w:r w:rsidRPr="00970B04" w:rsidR="00970B04">
        <w:rPr>
          <w:rStyle w:val="normaltextrun"/>
          <w:rFonts w:ascii="Arial" w:hAnsi="Arial" w:cs="Arial" w:eastAsiaTheme="majorEastAsia"/>
          <w:lang w:val="es-ES_tradnl"/>
        </w:rPr>
        <w:t xml:space="preserve">(UGCCDH) </w:t>
      </w:r>
      <w:r w:rsidRPr="00970B04">
        <w:rPr>
          <w:rStyle w:val="normaltextrun"/>
          <w:rFonts w:ascii="Arial" w:hAnsi="Arial" w:cs="Arial" w:eastAsiaTheme="majorEastAsia"/>
          <w:lang w:val="es-ES_tradnl"/>
        </w:rPr>
        <w:t xml:space="preserve">de la Suprema Corte de Justicia de la Nación </w:t>
      </w:r>
      <w:r w:rsidRPr="00970B04" w:rsidR="00970B04">
        <w:rPr>
          <w:rStyle w:val="normaltextrun"/>
          <w:rFonts w:ascii="Arial" w:hAnsi="Arial" w:cs="Arial" w:eastAsiaTheme="majorEastAsia"/>
          <w:lang w:val="es-ES_tradnl"/>
        </w:rPr>
        <w:t xml:space="preserve">(SCJN) </w:t>
      </w:r>
      <w:r w:rsidRPr="00970B04">
        <w:rPr>
          <w:rStyle w:val="normaltextrun"/>
          <w:rFonts w:ascii="Arial" w:hAnsi="Arial" w:cs="Arial" w:eastAsiaTheme="majorEastAsia"/>
          <w:lang w:val="es-ES_tradnl"/>
        </w:rPr>
        <w:t>presenta la séptima edición del Boletín en Materia de Derechos Humanos. En este nuevo formato de periodicidad bimestral, el Boletín agrupa los criterios y noticias más relevantes en el ámbito del derecho internacional a partir de temáticas concretas y las relaciona con los últimos precedentes emitidos por la Suprema Corte. El objetivo de esta nueva edición es informar, tanto al público en general como a una audiencia especializada, sobre los últimos acontecimientos en la materia, así como contribuir con el despliegue de las funciones asociadas a la impartición de justicia en nuestro país.</w:t>
      </w:r>
      <w:r w:rsidRPr="00970B04">
        <w:rPr>
          <w:rStyle w:val="eop"/>
          <w:rFonts w:ascii="Arial" w:hAnsi="Arial" w:cs="Arial" w:eastAsiaTheme="majorEastAsia"/>
          <w:lang w:val="es-ES_tradnl"/>
        </w:rPr>
        <w:t> </w:t>
      </w:r>
    </w:p>
    <w:p w:rsidRPr="00970B04" w:rsidR="001963DE" w:rsidP="001963DE" w:rsidRDefault="001963DE" w14:paraId="5E653FF8" w14:textId="69A7FE99">
      <w:pPr>
        <w:pStyle w:val="paragraph"/>
        <w:spacing w:before="240" w:beforeAutospacing="0" w:after="240" w:afterAutospacing="0"/>
        <w:textAlignment w:val="baseline"/>
        <w:rPr>
          <w:rFonts w:ascii="Arial" w:hAnsi="Arial" w:cs="Arial" w:eastAsiaTheme="majorEastAsia"/>
          <w:lang w:val="es-ES_tradnl"/>
        </w:rPr>
      </w:pPr>
      <w:r w:rsidRPr="00970B04">
        <w:rPr>
          <w:rStyle w:val="normaltextrun"/>
          <w:rFonts w:ascii="Arial" w:hAnsi="Arial" w:cs="Arial" w:eastAsiaTheme="majorEastAsia"/>
          <w:lang w:val="es-ES_tradnl"/>
        </w:rPr>
        <w:t>El tema central de esta edición es</w:t>
      </w:r>
      <w:r w:rsidRPr="00970B04">
        <w:rPr>
          <w:rStyle w:val="normaltextrun"/>
          <w:rFonts w:ascii="Arial" w:hAnsi="Arial" w:cs="Arial" w:eastAsiaTheme="majorEastAsia"/>
          <w:lang w:val="es-ES_tradnl"/>
        </w:rPr>
        <w:t xml:space="preserve"> </w:t>
      </w:r>
      <w:r w:rsidRPr="00970B04">
        <w:rPr>
          <w:rStyle w:val="normaltextrun"/>
          <w:rFonts w:ascii="Arial" w:hAnsi="Arial" w:cs="Arial" w:eastAsiaTheme="majorEastAsia"/>
          <w:b/>
          <w:bCs/>
          <w:lang w:val="es-ES_tradnl"/>
        </w:rPr>
        <w:t>“la migración y los derechos humanos”</w:t>
      </w:r>
      <w:r w:rsidRPr="00970B04">
        <w:rPr>
          <w:rStyle w:val="normaltextrun"/>
          <w:rFonts w:ascii="Arial" w:hAnsi="Arial" w:cs="Arial" w:eastAsiaTheme="majorEastAsia"/>
          <w:lang w:val="es-ES_tradnl"/>
        </w:rPr>
        <w:t xml:space="preserve">. En la primera página, se exploran algunas noticias relevantes sobre el tema, así como sentencias de la Suprema Corte relacionadas con </w:t>
      </w:r>
      <w:r w:rsidRPr="00970B04">
        <w:rPr>
          <w:rStyle w:val="normaltextrun"/>
          <w:rFonts w:ascii="Arial" w:hAnsi="Arial" w:cs="Arial" w:eastAsiaTheme="majorEastAsia"/>
          <w:lang w:val="es-ES_tradnl"/>
        </w:rPr>
        <w:t>la discriminación contra las personas migrantes</w:t>
      </w:r>
      <w:r w:rsidRPr="00970B04">
        <w:rPr>
          <w:rStyle w:val="normaltextrun"/>
          <w:rFonts w:ascii="Arial" w:hAnsi="Arial" w:cs="Arial" w:eastAsiaTheme="majorEastAsia"/>
          <w:lang w:val="es-ES_tradnl"/>
        </w:rPr>
        <w:t>. En la segunda</w:t>
      </w:r>
      <w:r w:rsidRPr="00970B04">
        <w:rPr>
          <w:rStyle w:val="normaltextrun"/>
          <w:rFonts w:ascii="Arial" w:hAnsi="Arial" w:cs="Arial" w:eastAsiaTheme="majorEastAsia"/>
          <w:lang w:val="es-ES_tradnl"/>
        </w:rPr>
        <w:t xml:space="preserve"> y tercera</w:t>
      </w:r>
      <w:r w:rsidRPr="00970B04">
        <w:rPr>
          <w:rStyle w:val="normaltextrun"/>
          <w:rFonts w:ascii="Arial" w:hAnsi="Arial" w:cs="Arial" w:eastAsiaTheme="majorEastAsia"/>
          <w:lang w:val="es-ES_tradnl"/>
        </w:rPr>
        <w:t xml:space="preserve"> página se muestran gráficas relacionadas </w:t>
      </w:r>
      <w:r w:rsidRPr="00970B04">
        <w:rPr>
          <w:rStyle w:val="normaltextrun"/>
          <w:rFonts w:ascii="Arial" w:hAnsi="Arial" w:cs="Arial" w:eastAsiaTheme="majorEastAsia"/>
          <w:lang w:val="es-ES_tradnl"/>
        </w:rPr>
        <w:t>con estadísticas sobre la migración en México</w:t>
      </w:r>
      <w:r w:rsidRPr="00970B04">
        <w:rPr>
          <w:rStyle w:val="normaltextrun"/>
          <w:rFonts w:ascii="Arial" w:hAnsi="Arial" w:cs="Arial" w:eastAsiaTheme="majorEastAsia"/>
          <w:lang w:val="es-ES_tradnl"/>
        </w:rPr>
        <w:t xml:space="preserve">. La </w:t>
      </w:r>
      <w:r w:rsidRPr="00970B04">
        <w:rPr>
          <w:rStyle w:val="normaltextrun"/>
          <w:rFonts w:ascii="Arial" w:hAnsi="Arial" w:cs="Arial" w:eastAsiaTheme="majorEastAsia"/>
          <w:lang w:val="es-ES_tradnl"/>
        </w:rPr>
        <w:t>cuarta</w:t>
      </w:r>
      <w:r w:rsidRPr="00970B04">
        <w:rPr>
          <w:rStyle w:val="normaltextrun"/>
          <w:rFonts w:ascii="Arial" w:hAnsi="Arial" w:cs="Arial" w:eastAsiaTheme="majorEastAsia"/>
          <w:lang w:val="es-ES_tradnl"/>
        </w:rPr>
        <w:t xml:space="preserve"> hoja muestra información relevante proveniente del panorama internacional. Finalmente, la cuarta hoja, muestra la situación de México ante los sistemas internacionales de justicia. </w:t>
      </w:r>
      <w:r w:rsidRPr="00970B04">
        <w:rPr>
          <w:rStyle w:val="eop"/>
          <w:rFonts w:ascii="Arial" w:hAnsi="Arial" w:cs="Arial" w:eastAsiaTheme="majorEastAsia"/>
          <w:lang w:val="es-ES_tradnl"/>
        </w:rPr>
        <w:t> </w:t>
      </w:r>
    </w:p>
    <w:p w:rsidRPr="00970B04" w:rsidR="001963DE" w:rsidP="001963DE" w:rsidRDefault="001963DE" w14:paraId="6D53E4FB" w14:textId="77777777">
      <w:pPr>
        <w:pStyle w:val="paragraph"/>
        <w:spacing w:before="240" w:beforeAutospacing="0" w:after="240" w:afterAutospacing="0"/>
        <w:textAlignment w:val="baseline"/>
        <w:rPr>
          <w:rFonts w:ascii="Arial" w:hAnsi="Arial" w:cs="Arial"/>
          <w:lang w:val="es-ES_tradnl"/>
        </w:rPr>
      </w:pPr>
      <w:r w:rsidRPr="00970B04">
        <w:rPr>
          <w:rStyle w:val="normaltextrun"/>
          <w:rFonts w:ascii="Arial" w:hAnsi="Arial" w:cs="Arial" w:eastAsiaTheme="majorEastAsia"/>
          <w:lang w:val="es-ES_tradnl"/>
        </w:rPr>
        <w:t>Es importante señalar que, aunque el boletín está diseñado en formato accesible, algunos de los enlaces proporcionados no cumplen con este estándar. Por ello, se recomienda consultar el texto alternativo y los enlaces de cada sección que lo contenga.</w:t>
      </w:r>
      <w:r w:rsidRPr="00970B04">
        <w:rPr>
          <w:rStyle w:val="eop"/>
          <w:rFonts w:ascii="Arial" w:hAnsi="Arial" w:cs="Arial" w:eastAsiaTheme="majorEastAsia"/>
          <w:lang w:val="es-ES_tradnl"/>
        </w:rPr>
        <w:t> </w:t>
      </w:r>
    </w:p>
    <w:p w:rsidRPr="00970B04" w:rsidR="001963DE" w:rsidRDefault="001963DE" w14:paraId="798B1B06" w14:textId="77777777">
      <w:pPr>
        <w:rPr>
          <w:rFonts w:ascii="Arial" w:hAnsi="Arial" w:cs="Arial"/>
          <w:lang w:val="es-ES_tradnl"/>
        </w:rPr>
      </w:pPr>
      <w:r w:rsidRPr="00970B04">
        <w:rPr>
          <w:rFonts w:ascii="Arial" w:hAnsi="Arial" w:cs="Arial"/>
          <w:lang w:val="es-ES_tradnl"/>
        </w:rPr>
        <w:br w:type="page"/>
      </w:r>
    </w:p>
    <w:p w:rsidRPr="00970B04" w:rsidR="00FA4EA8" w:rsidP="001963DE" w:rsidRDefault="001963DE" w14:paraId="42A4E663" w14:textId="426A0D40">
      <w:pPr>
        <w:pStyle w:val="Ttulo1"/>
        <w:rPr>
          <w:lang w:val="es-ES_tradnl"/>
        </w:rPr>
      </w:pPr>
      <w:r w:rsidRPr="00970B04">
        <w:rPr>
          <w:lang w:val="es-ES_tradnl"/>
        </w:rPr>
        <w:lastRenderedPageBreak/>
        <w:t xml:space="preserve">Migración y derechos humanos </w:t>
      </w:r>
    </w:p>
    <w:p w:rsidRPr="00970B04" w:rsidR="001963DE" w:rsidP="001963DE" w:rsidRDefault="001963DE" w14:paraId="4EB22717" w14:textId="6285CB17">
      <w:pPr>
        <w:spacing w:before="240" w:after="240"/>
        <w:rPr>
          <w:rFonts w:ascii="Arial" w:hAnsi="Arial" w:cs="Arial"/>
          <w:lang w:val="es-ES_tradnl"/>
        </w:rPr>
      </w:pPr>
      <w:r w:rsidRPr="00970B04">
        <w:rPr>
          <w:rFonts w:ascii="Arial" w:hAnsi="Arial" w:cs="Arial"/>
          <w:lang w:val="es-ES_tradnl"/>
        </w:rPr>
        <w:t>En esta hoja se presenta información relacionada con</w:t>
      </w:r>
      <w:r w:rsidRPr="00970B04" w:rsidR="00970B04">
        <w:rPr>
          <w:rFonts w:ascii="Arial" w:hAnsi="Arial" w:cs="Arial"/>
          <w:lang w:val="es-ES_tradnl"/>
        </w:rPr>
        <w:t xml:space="preserve"> diversos asuntos: primero,</w:t>
      </w:r>
      <w:r w:rsidRPr="00970B04">
        <w:rPr>
          <w:rFonts w:ascii="Arial" w:hAnsi="Arial" w:cs="Arial"/>
          <w:lang w:val="es-ES_tradnl"/>
        </w:rPr>
        <w:t xml:space="preserve"> la cuarta sustentación de México ante el Comité para la Protección de los Trabajadores migrantes y sus familiares</w:t>
      </w:r>
      <w:r w:rsidRPr="00970B04" w:rsidR="00970B04">
        <w:rPr>
          <w:rFonts w:ascii="Arial" w:hAnsi="Arial" w:cs="Arial"/>
          <w:lang w:val="es-ES_tradnl"/>
        </w:rPr>
        <w:t>. Segundo, el informe de fondo publicado por la CIDH sobre el caso del migrante mexicano en Estados Unidos. Tercero, la denuncia del Alto Comisionado de la ONU por las deportaciones masivas de Estados Unidos. Cuarto, la convergencia entre la Convención de Migrantes y el Pacto Mundial de Migración. Finalmente,</w:t>
      </w:r>
      <w:r w:rsidR="00970B04">
        <w:rPr>
          <w:rFonts w:ascii="Arial" w:hAnsi="Arial" w:cs="Arial"/>
          <w:lang w:val="es-ES_tradnl"/>
        </w:rPr>
        <w:t xml:space="preserve"> se muestran algunos</w:t>
      </w:r>
      <w:r w:rsidRPr="00970B04" w:rsidR="00970B04">
        <w:rPr>
          <w:rFonts w:ascii="Arial" w:hAnsi="Arial" w:cs="Arial"/>
          <w:lang w:val="es-ES_tradnl"/>
        </w:rPr>
        <w:t xml:space="preserve"> fallos de la SCJN relacionados con la discriminación de las personas migrantes. </w:t>
      </w:r>
    </w:p>
    <w:p w:rsidRPr="00970B04" w:rsidR="001963DE" w:rsidP="00BA55D8" w:rsidRDefault="00BA55D8" w14:paraId="46D0B55E" w14:textId="1C46D35E">
      <w:pPr>
        <w:pStyle w:val="Ttulo1"/>
        <w:rPr>
          <w:lang w:val="es-ES_tradnl"/>
        </w:rPr>
      </w:pPr>
      <w:r w:rsidRPr="00BA55D8">
        <w:rPr>
          <w:lang w:val="es-ES_tradnl"/>
        </w:rPr>
        <w:t xml:space="preserve">IV Sustentación de México ante el Comité para la Protección de los Trabajadores migrantes y sus familiares. </w:t>
      </w:r>
    </w:p>
    <w:p w:rsidR="00BA55D8" w:rsidP="001963DE" w:rsidRDefault="00BA55D8" w14:paraId="1FD66289" w14:textId="28DBFD17">
      <w:pPr>
        <w:spacing w:before="240" w:after="240"/>
        <w:rPr>
          <w:rFonts w:ascii="Arial" w:hAnsi="Arial" w:cs="Arial"/>
          <w:lang w:val="es-ES_tradnl"/>
        </w:rPr>
      </w:pPr>
      <w:r w:rsidRPr="00BA55D8">
        <w:rPr>
          <w:rFonts w:ascii="Arial" w:hAnsi="Arial" w:cs="Arial"/>
          <w:b/>
          <w:bCs/>
          <w:lang w:val="es-ES_tradnl"/>
        </w:rPr>
        <w:t>Conclusiones del Comité.</w:t>
      </w:r>
      <w:r>
        <w:rPr>
          <w:rFonts w:ascii="Arial" w:hAnsi="Arial" w:cs="Arial"/>
          <w:lang w:val="es-ES_tradnl"/>
        </w:rPr>
        <w:t xml:space="preserve"> </w:t>
      </w:r>
      <w:r w:rsidRPr="00BA55D8">
        <w:rPr>
          <w:rFonts w:ascii="Arial" w:hAnsi="Arial" w:cs="Arial"/>
          <w:lang w:val="es-ES_tradnl"/>
        </w:rPr>
        <w:t xml:space="preserve">El 7 y 8 de abril de 2025, México sustentó su IV informe ante el Comité internacional encargado de supervisar los derechos de las personas migrantes. El PJF destacó jurisprudencia relevante sobre control migratorio, legalidad de detenciones, condiciones en estancias migratorias, y el impacto de sus resoluciones y las de la SCJN en la política migratoria de México. </w:t>
      </w:r>
    </w:p>
    <w:p w:rsidR="00BA55D8" w:rsidP="6F103272" w:rsidRDefault="00BA55D8" w14:paraId="384F5C5A" w14:textId="77777777" w14:noSpellErr="1">
      <w:pPr>
        <w:spacing w:before="240" w:after="240"/>
        <w:rPr>
          <w:rFonts w:ascii="Arial" w:hAnsi="Arial" w:cs="Arial"/>
          <w:lang w:val="es-ES"/>
        </w:rPr>
      </w:pPr>
      <w:r w:rsidRPr="6F103272" w:rsidR="00BA55D8">
        <w:rPr>
          <w:rFonts w:ascii="Arial" w:hAnsi="Arial" w:cs="Arial"/>
          <w:lang w:val="es-ES"/>
        </w:rPr>
        <w:t xml:space="preserve">En su examen, el Comité reconoció los esfuerzos de México para prohibir la detención de niñas, niños y familias migrantes, así como la sentencia </w:t>
      </w:r>
      <w:r w:rsidRPr="6F103272" w:rsidR="00BA55D8">
        <w:rPr>
          <w:rFonts w:ascii="Arial" w:hAnsi="Arial" w:cs="Arial"/>
          <w:b w:val="1"/>
          <w:bCs w:val="1"/>
          <w:lang w:val="es-ES"/>
        </w:rPr>
        <w:t>AR</w:t>
      </w:r>
      <w:r w:rsidRPr="6F103272" w:rsidR="00BA55D8">
        <w:rPr>
          <w:rFonts w:ascii="Arial" w:hAnsi="Arial" w:cs="Arial"/>
          <w:b w:val="1"/>
          <w:bCs w:val="1"/>
          <w:lang w:val="es-ES"/>
        </w:rPr>
        <w:t xml:space="preserve"> 388/2022</w:t>
      </w:r>
      <w:r w:rsidRPr="6F103272" w:rsidR="00BA55D8">
        <w:rPr>
          <w:rFonts w:ascii="Arial" w:hAnsi="Arial" w:cs="Arial"/>
          <w:lang w:val="es-ES"/>
        </w:rPr>
        <w:t xml:space="preserve"> de la SCJN sobre el control migratorio. Expresó preocupación por la limitada visibilidad de la Convención en el ámbito nacional, específicamente en sentencias de la SCJN y recomendó: </w:t>
      </w:r>
    </w:p>
    <w:p w:rsidR="00BA55D8" w:rsidP="00BA55D8" w:rsidRDefault="00BA55D8" w14:paraId="627AEA48" w14:textId="77777777">
      <w:pPr>
        <w:pStyle w:val="Prrafodelista"/>
        <w:numPr>
          <w:ilvl w:val="0"/>
          <w:numId w:val="1"/>
        </w:numPr>
        <w:spacing w:before="240" w:after="240"/>
        <w:rPr>
          <w:rFonts w:ascii="Arial" w:hAnsi="Arial" w:cs="Arial"/>
          <w:lang w:val="es-ES_tradnl"/>
        </w:rPr>
      </w:pPr>
      <w:r w:rsidRPr="00BA55D8">
        <w:rPr>
          <w:rFonts w:ascii="Arial" w:hAnsi="Arial" w:cs="Arial"/>
          <w:lang w:val="es-ES_tradnl"/>
        </w:rPr>
        <w:t xml:space="preserve">Fortalecer las acciones en el ámbito del Poder Judicial a fin de asegurar la plena aplicación de la Convención; </w:t>
      </w:r>
    </w:p>
    <w:p w:rsidR="00BA55D8" w:rsidP="00BA55D8" w:rsidRDefault="00BA55D8" w14:paraId="6B7105EE" w14:textId="0EE5C939">
      <w:pPr>
        <w:pStyle w:val="Prrafodelista"/>
        <w:numPr>
          <w:ilvl w:val="0"/>
          <w:numId w:val="1"/>
        </w:numPr>
        <w:spacing w:before="240" w:after="240"/>
        <w:rPr>
          <w:rFonts w:ascii="Arial" w:hAnsi="Arial" w:cs="Arial"/>
          <w:lang w:val="es-ES_tradnl"/>
        </w:rPr>
      </w:pPr>
      <w:r w:rsidRPr="00BA55D8">
        <w:rPr>
          <w:rFonts w:ascii="Arial" w:hAnsi="Arial" w:cs="Arial"/>
          <w:lang w:val="es-ES_tradnl"/>
        </w:rPr>
        <w:t xml:space="preserve">Armonizar la legislación y prácticas migratorias con la sentencia del </w:t>
      </w:r>
      <w:r w:rsidRPr="00E6390B">
        <w:rPr>
          <w:rFonts w:ascii="Arial" w:hAnsi="Arial" w:cs="Arial"/>
          <w:b/>
          <w:bCs/>
          <w:lang w:val="es-ES_tradnl"/>
        </w:rPr>
        <w:t xml:space="preserve">Amparo en Revisión 275/2019 </w:t>
      </w:r>
      <w:r w:rsidRPr="00BA55D8">
        <w:rPr>
          <w:rFonts w:ascii="Arial" w:hAnsi="Arial" w:cs="Arial"/>
          <w:lang w:val="es-ES_tradnl"/>
        </w:rPr>
        <w:t xml:space="preserve">de la SCJN para eliminar las revisiones migratorias indiscriminadas y ajustar los mecanismos de control y verificación migratoria conforme a los estándares de derechos humanos. </w:t>
      </w:r>
    </w:p>
    <w:p w:rsidR="001963DE" w:rsidP="00BA55D8" w:rsidRDefault="00BA55D8" w14:paraId="2EDAA13D" w14:textId="7182D962">
      <w:pPr>
        <w:pStyle w:val="Prrafodelista"/>
        <w:numPr>
          <w:ilvl w:val="0"/>
          <w:numId w:val="1"/>
        </w:numPr>
        <w:spacing w:before="240" w:after="240"/>
        <w:rPr>
          <w:rFonts w:ascii="Arial" w:hAnsi="Arial" w:cs="Arial"/>
          <w:lang w:val="es-ES_tradnl"/>
        </w:rPr>
      </w:pPr>
      <w:r w:rsidRPr="00BA55D8">
        <w:rPr>
          <w:rFonts w:ascii="Arial" w:hAnsi="Arial" w:cs="Arial"/>
          <w:lang w:val="es-ES_tradnl"/>
        </w:rPr>
        <w:t>Reforzar al IFDP mediante el incremento de recursos humanos, técnicos y financieros, para asegurar la disponibilidad de representación jurídica especializada y adecuada en todos los casos de priv</w:t>
      </w:r>
      <w:r w:rsidRPr="00BA55D8">
        <w:rPr>
          <w:rFonts w:ascii="Arial" w:hAnsi="Arial" w:cs="Arial"/>
          <w:lang w:val="es-ES_tradnl"/>
        </w:rPr>
        <w:t>a</w:t>
      </w:r>
      <w:r w:rsidRPr="00BA55D8">
        <w:rPr>
          <w:rFonts w:ascii="Arial" w:hAnsi="Arial" w:cs="Arial"/>
          <w:lang w:val="es-ES_tradnl"/>
        </w:rPr>
        <w:t xml:space="preserve">ción de libertad de personas migrantes. Reforzar con urgencia las medidas para eliminar en la </w:t>
      </w:r>
      <w:r w:rsidRPr="00BA55D8">
        <w:rPr>
          <w:rFonts w:ascii="Arial" w:hAnsi="Arial" w:cs="Arial"/>
          <w:lang w:val="es-ES_tradnl"/>
        </w:rPr>
        <w:lastRenderedPageBreak/>
        <w:t>práctica el uso de cualquier forma de perfilamiento racial en el marco de</w:t>
      </w:r>
      <w:r>
        <w:rPr>
          <w:rFonts w:ascii="Arial" w:hAnsi="Arial" w:cs="Arial"/>
          <w:lang w:val="es-ES_tradnl"/>
        </w:rPr>
        <w:t xml:space="preserve"> procedimientos y decisiones en materia migratoria. </w:t>
      </w:r>
    </w:p>
    <w:p w:rsidR="00E6390B" w:rsidP="00E6390B" w:rsidRDefault="00E6390B" w14:paraId="4EDDA70F" w14:textId="3682726B">
      <w:pPr>
        <w:spacing w:before="240" w:after="240"/>
        <w:rPr>
          <w:rFonts w:ascii="Arial" w:hAnsi="Arial" w:cs="Arial"/>
          <w:lang w:val="es-ES_tradnl"/>
        </w:rPr>
      </w:pPr>
      <w:r>
        <w:rPr>
          <w:rFonts w:ascii="Arial" w:hAnsi="Arial" w:cs="Arial"/>
          <w:lang w:val="es-ES_tradnl"/>
        </w:rPr>
        <w:t xml:space="preserve">(Para conocer más sobre la sustentación de México, consulta el siguiente enlace </w:t>
      </w:r>
      <w:hyperlink w:history="1" r:id="rId12">
        <w:r w:rsidRPr="00635363">
          <w:rPr>
            <w:rStyle w:val="Hipervnculo"/>
            <w:rFonts w:ascii="Arial" w:hAnsi="Arial" w:cs="Arial"/>
            <w:lang w:val="es-ES_tradnl"/>
          </w:rPr>
          <w:t>https://webtv.un.org/en/asset/k1w/k1wizftdg9</w:t>
        </w:r>
      </w:hyperlink>
      <w:r>
        <w:rPr>
          <w:rFonts w:ascii="Arial" w:hAnsi="Arial" w:cs="Arial"/>
          <w:lang w:val="es-ES_tradnl"/>
        </w:rPr>
        <w:t xml:space="preserve">). </w:t>
      </w:r>
    </w:p>
    <w:p w:rsidR="00E6390B" w:rsidP="00E6390B" w:rsidRDefault="00E6390B" w14:paraId="60A99C21" w14:textId="77A6ECE3">
      <w:pPr>
        <w:spacing w:before="240" w:after="240"/>
        <w:rPr>
          <w:rFonts w:ascii="Arial" w:hAnsi="Arial" w:cs="Arial"/>
          <w:lang w:val="es-ES_tradnl"/>
        </w:rPr>
      </w:pPr>
      <w:r>
        <w:rPr>
          <w:rFonts w:ascii="Arial" w:hAnsi="Arial" w:cs="Arial"/>
          <w:lang w:val="es-ES_tradnl"/>
        </w:rPr>
        <w:t xml:space="preserve">(Para conocer más sobre </w:t>
      </w:r>
      <w:r w:rsidR="004C5002">
        <w:rPr>
          <w:rFonts w:ascii="Arial" w:hAnsi="Arial" w:cs="Arial"/>
          <w:lang w:val="es-ES_tradnl"/>
        </w:rPr>
        <w:t xml:space="preserve">el Amparo en Revisión 388/2022, consulta el siguiente enlace </w:t>
      </w:r>
      <w:hyperlink w:history="1" r:id="rId13">
        <w:r w:rsidRPr="00635363" w:rsidR="0086092E">
          <w:rPr>
            <w:rStyle w:val="Hipervnculo"/>
            <w:rFonts w:ascii="Arial" w:hAnsi="Arial" w:cs="Arial"/>
            <w:lang w:val="es-ES_tradnl"/>
          </w:rPr>
          <w:t>https://www2.scjn.gob.mx/ConsultasTematica/Resultados/-0-0-2-388-2022</w:t>
        </w:r>
      </w:hyperlink>
      <w:r>
        <w:rPr>
          <w:rFonts w:ascii="Arial" w:hAnsi="Arial" w:cs="Arial"/>
          <w:lang w:val="es-ES_tradnl"/>
        </w:rPr>
        <w:t>)</w:t>
      </w:r>
      <w:r w:rsidR="00981C4D">
        <w:rPr>
          <w:rFonts w:ascii="Arial" w:hAnsi="Arial" w:cs="Arial"/>
          <w:lang w:val="es-ES_tradnl"/>
        </w:rPr>
        <w:t>.</w:t>
      </w:r>
    </w:p>
    <w:p w:rsidR="0086092E" w:rsidP="00E6390B" w:rsidRDefault="0086092E" w14:paraId="7DE846EB" w14:textId="7F37A354">
      <w:pPr>
        <w:spacing w:before="240" w:after="240"/>
        <w:rPr>
          <w:rFonts w:ascii="Arial" w:hAnsi="Arial" w:cs="Arial"/>
          <w:lang w:val="es-ES_tradnl"/>
        </w:rPr>
      </w:pPr>
      <w:r>
        <w:rPr>
          <w:rFonts w:ascii="Arial" w:hAnsi="Arial" w:cs="Arial"/>
          <w:lang w:val="es-ES_tradnl"/>
        </w:rPr>
        <w:t xml:space="preserve">(Para conocer más sobre el Amparo en Revisión 275/2019, consulta el siguiente enlace </w:t>
      </w:r>
      <w:hyperlink w:history="1" r:id="rId14">
        <w:r w:rsidRPr="00635363" w:rsidR="00981C4D">
          <w:rPr>
            <w:rStyle w:val="Hipervnculo"/>
            <w:rFonts w:ascii="Arial" w:hAnsi="Arial" w:cs="Arial"/>
            <w:lang w:val="es-ES_tradnl"/>
          </w:rPr>
          <w:t>https://www2.scjn.gob.mx/ConsultasTematica/Resultados/-0-0-2-275-2019</w:t>
        </w:r>
      </w:hyperlink>
      <w:r>
        <w:rPr>
          <w:rFonts w:ascii="Arial" w:hAnsi="Arial" w:cs="Arial"/>
          <w:lang w:val="es-ES_tradnl"/>
        </w:rPr>
        <w:t>)</w:t>
      </w:r>
      <w:r w:rsidR="00981C4D">
        <w:rPr>
          <w:rFonts w:ascii="Arial" w:hAnsi="Arial" w:cs="Arial"/>
          <w:lang w:val="es-ES_tradnl"/>
        </w:rPr>
        <w:t>.</w:t>
      </w:r>
    </w:p>
    <w:p w:rsidR="00A2352D" w:rsidP="6F103272" w:rsidRDefault="00A2352D" w14:paraId="5E153BB7" w14:textId="589E3788" w14:noSpellErr="1">
      <w:pPr>
        <w:pStyle w:val="Ttulo1"/>
        <w:rPr>
          <w:lang w:val="es-ES"/>
        </w:rPr>
      </w:pPr>
      <w:r w:rsidRPr="6F103272" w:rsidR="00A2352D">
        <w:rPr>
          <w:lang w:val="es-ES"/>
        </w:rPr>
        <w:t xml:space="preserve">La </w:t>
      </w:r>
      <w:r w:rsidRPr="6F103272" w:rsidR="00A2352D">
        <w:rPr>
          <w:lang w:val="es-ES"/>
        </w:rPr>
        <w:t xml:space="preserve">CIDH publica Informe de fondo sobre </w:t>
      </w:r>
      <w:r w:rsidRPr="6F103272" w:rsidR="00A2352D">
        <w:rPr>
          <w:lang w:val="es-ES"/>
        </w:rPr>
        <w:t>caso</w:t>
      </w:r>
      <w:r w:rsidRPr="6F103272" w:rsidR="00A2352D">
        <w:rPr>
          <w:lang w:val="es-ES"/>
        </w:rPr>
        <w:t xml:space="preserve"> de migrante mexicano en Estados Unidos. </w:t>
      </w:r>
    </w:p>
    <w:p w:rsidR="00E6390B" w:rsidP="00E6390B" w:rsidRDefault="00A2352D" w14:paraId="45A977EA" w14:textId="31DB42A1">
      <w:pPr>
        <w:spacing w:before="240" w:after="240"/>
        <w:rPr>
          <w:rFonts w:ascii="Arial" w:hAnsi="Arial" w:cs="Arial"/>
          <w:lang w:val="es-ES_tradnl"/>
        </w:rPr>
      </w:pPr>
      <w:r w:rsidRPr="00A2352D">
        <w:rPr>
          <w:rFonts w:ascii="Arial" w:hAnsi="Arial" w:cs="Arial"/>
          <w:lang w:val="es-ES_tradnl"/>
        </w:rPr>
        <w:t>La CIDH publicó el Informe 60/25 sobre el caso 14.042 respecto a la muerte en 2010 del migrante mexicano Anastasio Hernández Rojas, quien fue amarrado, electrocutado y golpeado por agentes fronterizos de Estados Unidos. La CIDH determinó que hubo uso desproporcionado de la fuerza que constituyó tortura, enmarcado en un patrón de violencia contra migrantes latinos, generando responsabilidad internacional del Estado.</w:t>
      </w:r>
    </w:p>
    <w:p w:rsidR="00CE020C" w:rsidP="00E6390B" w:rsidRDefault="00CE020C" w14:paraId="2A88E3A9" w14:textId="55487B53">
      <w:pPr>
        <w:spacing w:before="240" w:after="240"/>
        <w:rPr>
          <w:rFonts w:ascii="Arial" w:hAnsi="Arial" w:cs="Arial"/>
          <w:lang w:val="es-ES_tradnl"/>
        </w:rPr>
      </w:pPr>
      <w:r>
        <w:rPr>
          <w:rFonts w:ascii="Arial" w:hAnsi="Arial" w:cs="Arial"/>
          <w:lang w:val="es-ES_tradnl"/>
        </w:rPr>
        <w:t>(Para conocer más sobre el Informe de fondo</w:t>
      </w:r>
      <w:r w:rsidR="00EC3972">
        <w:rPr>
          <w:rFonts w:ascii="Arial" w:hAnsi="Arial" w:cs="Arial"/>
          <w:lang w:val="es-ES_tradnl"/>
        </w:rPr>
        <w:t xml:space="preserve">, consulta el siguiente enlace </w:t>
      </w:r>
      <w:hyperlink w:history="1" r:id="rId15">
        <w:r w:rsidRPr="00635363" w:rsidR="00EC3972">
          <w:rPr>
            <w:rStyle w:val="Hipervnculo"/>
            <w:rFonts w:ascii="Arial" w:hAnsi="Arial" w:cs="Arial"/>
            <w:lang w:val="es-ES_tradnl"/>
          </w:rPr>
          <w:t>https://www.oas.org/es/CIDH/jsForm/?File=/es/cidh/prensa/comunicados/2025/085.asp&amp;utm_content=country-usa</w:t>
        </w:r>
      </w:hyperlink>
      <w:r>
        <w:rPr>
          <w:rFonts w:ascii="Arial" w:hAnsi="Arial" w:cs="Arial"/>
          <w:lang w:val="es-ES_tradnl"/>
        </w:rPr>
        <w:t>)</w:t>
      </w:r>
      <w:r w:rsidR="00EC3972">
        <w:rPr>
          <w:rFonts w:ascii="Arial" w:hAnsi="Arial" w:cs="Arial"/>
          <w:lang w:val="es-ES_tradnl"/>
        </w:rPr>
        <w:t xml:space="preserve">. </w:t>
      </w:r>
    </w:p>
    <w:p w:rsidR="00EC3972" w:rsidP="008F79E1" w:rsidRDefault="00EC3972" w14:paraId="7442FF2C" w14:textId="41CAA8AB">
      <w:pPr>
        <w:pStyle w:val="Ttulo1"/>
        <w:rPr>
          <w:lang w:val="es-ES_tradnl"/>
        </w:rPr>
      </w:pPr>
      <w:r>
        <w:rPr>
          <w:lang w:val="es-ES_tradnl"/>
        </w:rPr>
        <w:t xml:space="preserve">Alto Comisionado de la ONU denuncia deportaciones masivas de Estados Unidos </w:t>
      </w:r>
    </w:p>
    <w:p w:rsidR="00EC3972" w:rsidP="00E6390B" w:rsidRDefault="00EC3972" w14:paraId="4D13A2DB" w14:textId="197D3B6F">
      <w:pPr>
        <w:spacing w:before="240" w:after="240"/>
        <w:rPr>
          <w:rFonts w:ascii="Arial" w:hAnsi="Arial" w:cs="Arial"/>
          <w:lang w:val="es-ES_tradnl"/>
        </w:rPr>
      </w:pPr>
      <w:r w:rsidRPr="00EC3972">
        <w:rPr>
          <w:rFonts w:ascii="Arial" w:hAnsi="Arial" w:cs="Arial"/>
          <w:lang w:val="es-ES_tradnl"/>
        </w:rPr>
        <w:t xml:space="preserve">El Alto Comisionado de la ONU, </w:t>
      </w:r>
      <w:proofErr w:type="spellStart"/>
      <w:r w:rsidRPr="00EC3972">
        <w:rPr>
          <w:rFonts w:ascii="Arial" w:hAnsi="Arial" w:cs="Arial"/>
          <w:lang w:val="es-ES_tradnl"/>
        </w:rPr>
        <w:t>Volker</w:t>
      </w:r>
      <w:proofErr w:type="spellEnd"/>
      <w:r w:rsidRPr="00EC3972">
        <w:rPr>
          <w:rFonts w:ascii="Arial" w:hAnsi="Arial" w:cs="Arial"/>
          <w:lang w:val="es-ES_tradnl"/>
        </w:rPr>
        <w:t xml:space="preserve"> </w:t>
      </w:r>
      <w:proofErr w:type="spellStart"/>
      <w:r w:rsidRPr="00EC3972">
        <w:rPr>
          <w:rFonts w:ascii="Arial" w:hAnsi="Arial" w:cs="Arial"/>
          <w:lang w:val="es-ES_tradnl"/>
        </w:rPr>
        <w:t>Türk</w:t>
      </w:r>
      <w:proofErr w:type="spellEnd"/>
      <w:r w:rsidRPr="00EC3972">
        <w:rPr>
          <w:rFonts w:ascii="Arial" w:hAnsi="Arial" w:cs="Arial"/>
          <w:lang w:val="es-ES_tradnl"/>
        </w:rPr>
        <w:t xml:space="preserve">, alertó sobre las deportaciones masivas de Estados Unidos sin el debido proceso a terceros países (142,000 casos solo en 2025), incluyendo a 275 venezolanos y salvadoreños expulsados a El Salvador bajo la </w:t>
      </w:r>
      <w:proofErr w:type="spellStart"/>
      <w:r w:rsidRPr="00EC3972">
        <w:rPr>
          <w:rFonts w:ascii="Arial" w:hAnsi="Arial" w:cs="Arial"/>
          <w:lang w:val="es-ES_tradnl"/>
        </w:rPr>
        <w:t>Alien</w:t>
      </w:r>
      <w:proofErr w:type="spellEnd"/>
      <w:r w:rsidRPr="00EC3972">
        <w:rPr>
          <w:rFonts w:ascii="Arial" w:hAnsi="Arial" w:cs="Arial"/>
          <w:lang w:val="es-ES_tradnl"/>
        </w:rPr>
        <w:t xml:space="preserve"> </w:t>
      </w:r>
      <w:proofErr w:type="spellStart"/>
      <w:r w:rsidRPr="00EC3972">
        <w:rPr>
          <w:rFonts w:ascii="Arial" w:hAnsi="Arial" w:cs="Arial"/>
          <w:lang w:val="es-ES_tradnl"/>
        </w:rPr>
        <w:t>Enemies</w:t>
      </w:r>
      <w:proofErr w:type="spellEnd"/>
      <w:r w:rsidRPr="00EC3972">
        <w:rPr>
          <w:rFonts w:ascii="Arial" w:hAnsi="Arial" w:cs="Arial"/>
          <w:lang w:val="es-ES_tradnl"/>
        </w:rPr>
        <w:t xml:space="preserve"> </w:t>
      </w:r>
      <w:proofErr w:type="spellStart"/>
      <w:r w:rsidRPr="00EC3972">
        <w:rPr>
          <w:rFonts w:ascii="Arial" w:hAnsi="Arial" w:cs="Arial"/>
          <w:lang w:val="es-ES_tradnl"/>
        </w:rPr>
        <w:t>Act</w:t>
      </w:r>
      <w:proofErr w:type="spellEnd"/>
      <w:r w:rsidRPr="00EC3972">
        <w:rPr>
          <w:rFonts w:ascii="Arial" w:hAnsi="Arial" w:cs="Arial"/>
          <w:lang w:val="es-ES_tradnl"/>
        </w:rPr>
        <w:t xml:space="preserve">. Muchos están privados de la libertad en el CECOT (Centro de Confinamiento del Terrorismo), una prisión de máxima seguridad salvadoreña denunciada por tratos crueles, e inhumanos y tortura. </w:t>
      </w:r>
      <w:proofErr w:type="spellStart"/>
      <w:r w:rsidRPr="00EC3972">
        <w:rPr>
          <w:rFonts w:ascii="Arial" w:hAnsi="Arial" w:cs="Arial"/>
          <w:lang w:val="es-ES_tradnl"/>
        </w:rPr>
        <w:t>Türk</w:t>
      </w:r>
      <w:proofErr w:type="spellEnd"/>
      <w:r w:rsidRPr="00EC3972">
        <w:rPr>
          <w:rFonts w:ascii="Arial" w:hAnsi="Arial" w:cs="Arial"/>
          <w:lang w:val="es-ES_tradnl"/>
        </w:rPr>
        <w:t xml:space="preserve"> exigió garantizar los derechos humanos de todas las personas.</w:t>
      </w:r>
    </w:p>
    <w:p w:rsidR="00B56763" w:rsidP="00E6390B" w:rsidRDefault="00B56763" w14:paraId="18938889" w14:textId="4B27F88E">
      <w:pPr>
        <w:spacing w:before="240" w:after="240"/>
        <w:rPr>
          <w:rFonts w:ascii="Arial" w:hAnsi="Arial" w:cs="Arial"/>
          <w:lang w:val="es-ES_tradnl"/>
        </w:rPr>
      </w:pPr>
      <w:r>
        <w:rPr>
          <w:rFonts w:ascii="Arial" w:hAnsi="Arial" w:cs="Arial"/>
          <w:lang w:val="es-ES_tradnl"/>
        </w:rPr>
        <w:lastRenderedPageBreak/>
        <w:t xml:space="preserve">(Para conocer más sobre el comunicado de prensa, consulta el siguiente enlace </w:t>
      </w:r>
      <w:hyperlink w:history="1" r:id="rId16">
        <w:r w:rsidRPr="00635363" w:rsidR="006D4FF1">
          <w:rPr>
            <w:rStyle w:val="Hipervnculo"/>
            <w:rFonts w:ascii="Arial" w:hAnsi="Arial" w:cs="Arial"/>
            <w:lang w:val="es-ES_tradnl"/>
          </w:rPr>
          <w:t>https://www.ohchr.org/es/press-releases/2025/05/us-turk-raises-human-rights-concerns-about-deportations</w:t>
        </w:r>
      </w:hyperlink>
      <w:r>
        <w:rPr>
          <w:rFonts w:ascii="Arial" w:hAnsi="Arial" w:cs="Arial"/>
          <w:lang w:val="es-ES_tradnl"/>
        </w:rPr>
        <w:t>)</w:t>
      </w:r>
      <w:r w:rsidR="006D4FF1">
        <w:rPr>
          <w:rFonts w:ascii="Arial" w:hAnsi="Arial" w:cs="Arial"/>
          <w:lang w:val="es-ES_tradnl"/>
        </w:rPr>
        <w:t xml:space="preserve">. </w:t>
      </w:r>
    </w:p>
    <w:p w:rsidR="00B405D9" w:rsidP="00B405D9" w:rsidRDefault="00B405D9" w14:paraId="2C69D19B" w14:textId="77777777">
      <w:pPr>
        <w:pStyle w:val="Ttulo1"/>
        <w:rPr>
          <w:lang w:val="es-ES_tradnl"/>
        </w:rPr>
      </w:pPr>
      <w:r w:rsidRPr="00B405D9">
        <w:rPr>
          <w:lang w:val="es-ES_tradnl"/>
        </w:rPr>
        <w:t xml:space="preserve">Comité de la ONU analiza convergencia entre la Convención de Migrantes y el Pacto Mundial de Migración. </w:t>
      </w:r>
    </w:p>
    <w:p w:rsidR="00B405D9" w:rsidP="00E6390B" w:rsidRDefault="00B405D9" w14:paraId="56DE9EF0" w14:textId="2C53F850">
      <w:pPr>
        <w:spacing w:before="240" w:after="240"/>
        <w:rPr>
          <w:rFonts w:ascii="Arial" w:hAnsi="Arial" w:cs="Arial"/>
          <w:lang w:val="es-ES_tradnl"/>
        </w:rPr>
      </w:pPr>
      <w:r w:rsidRPr="00B405D9">
        <w:rPr>
          <w:rFonts w:ascii="Arial" w:hAnsi="Arial" w:cs="Arial"/>
          <w:lang w:val="es-ES_tradnl"/>
        </w:rPr>
        <w:t xml:space="preserve">El Comité de la ONU sobre Trabajadores Migrantes (CMW) publicó su Observación General No. 6 relativa a la protección convergente de los derechos de los trabajadores migratorios y sus familiares por la Convención de Trabajadores Migrantes y el Pacto Mundial para la Migración. El Comité realiza un análisis comparativo de dos instrumentos internacionales para emitir directrices que fortalezcan las políticas migratorias con enfoque en derechos humanos. </w:t>
      </w:r>
    </w:p>
    <w:p w:rsidR="006D4FF1" w:rsidP="00E6390B" w:rsidRDefault="00B405D9" w14:paraId="6E5438DA" w14:textId="1BE26237">
      <w:pPr>
        <w:spacing w:before="240" w:after="240"/>
        <w:rPr>
          <w:rFonts w:ascii="Arial" w:hAnsi="Arial" w:cs="Arial"/>
          <w:lang w:val="es-ES_tradnl"/>
        </w:rPr>
      </w:pPr>
      <w:r w:rsidRPr="00B405D9">
        <w:rPr>
          <w:rFonts w:ascii="Arial" w:hAnsi="Arial" w:cs="Arial"/>
          <w:lang w:val="es-ES_tradnl"/>
        </w:rPr>
        <w:t>Aborda temas clave como: Principios fundamentales y visión de ambos instrumentos; no discriminación; reconocimiento de la personalidad juríd</w:t>
      </w:r>
      <w:r>
        <w:rPr>
          <w:rFonts w:ascii="Arial" w:hAnsi="Arial" w:cs="Arial"/>
          <w:lang w:val="es-ES_tradnl"/>
        </w:rPr>
        <w:t>i</w:t>
      </w:r>
      <w:r w:rsidRPr="00B405D9">
        <w:rPr>
          <w:rFonts w:ascii="Arial" w:hAnsi="Arial" w:cs="Arial"/>
          <w:lang w:val="es-ES_tradnl"/>
        </w:rPr>
        <w:t>ca e identidad; migración irregular; trabajo decente; derechos de mujeres, niñas y niños; acceso a la justicia y garantías procesales; alternativas a la privación de libertad; tráfico y trata de personas migrantes; remesas, ingresos y ahorros; retorno y reintegración.</w:t>
      </w:r>
    </w:p>
    <w:p w:rsidR="00CB4974" w:rsidP="00E6390B" w:rsidRDefault="00CB4974" w14:paraId="7E2DF04F" w14:textId="312D08E2">
      <w:pPr>
        <w:spacing w:before="240" w:after="240"/>
        <w:rPr>
          <w:rFonts w:ascii="Arial" w:hAnsi="Arial" w:cs="Arial"/>
          <w:lang w:val="es-ES_tradnl"/>
        </w:rPr>
      </w:pPr>
      <w:r>
        <w:rPr>
          <w:rFonts w:ascii="Arial" w:hAnsi="Arial" w:cs="Arial"/>
          <w:lang w:val="es-ES_tradnl"/>
        </w:rPr>
        <w:t xml:space="preserve">(Para conocer más sobre </w:t>
      </w:r>
      <w:r w:rsidR="001A227A">
        <w:rPr>
          <w:rFonts w:ascii="Arial" w:hAnsi="Arial" w:cs="Arial"/>
          <w:lang w:val="es-ES_tradnl"/>
        </w:rPr>
        <w:t xml:space="preserve">el análisis comparativo, consulta el siguiente enlace </w:t>
      </w:r>
      <w:hyperlink w:history="1" r:id="rId17">
        <w:r w:rsidRPr="00635363" w:rsidR="001A227A">
          <w:rPr>
            <w:rStyle w:val="Hipervnculo"/>
            <w:rFonts w:ascii="Arial" w:hAnsi="Arial" w:cs="Arial"/>
            <w:lang w:val="es-ES_tradnl"/>
          </w:rPr>
          <w:t>https://docs.un.org/es/CMW/C/G</w:t>
        </w:r>
        <w:r w:rsidRPr="00635363" w:rsidR="001A227A">
          <w:rPr>
            <w:rStyle w:val="Hipervnculo"/>
            <w:rFonts w:ascii="Arial" w:hAnsi="Arial" w:cs="Arial"/>
            <w:lang w:val="es-ES_tradnl"/>
          </w:rPr>
          <w:t>C</w:t>
        </w:r>
        <w:r w:rsidRPr="00635363" w:rsidR="001A227A">
          <w:rPr>
            <w:rStyle w:val="Hipervnculo"/>
            <w:rFonts w:ascii="Arial" w:hAnsi="Arial" w:cs="Arial"/>
            <w:lang w:val="es-ES_tradnl"/>
          </w:rPr>
          <w:t>/6</w:t>
        </w:r>
      </w:hyperlink>
      <w:r>
        <w:rPr>
          <w:rFonts w:ascii="Arial" w:hAnsi="Arial" w:cs="Arial"/>
          <w:lang w:val="es-ES_tradnl"/>
        </w:rPr>
        <w:t>)</w:t>
      </w:r>
      <w:r w:rsidR="001A227A">
        <w:rPr>
          <w:rFonts w:ascii="Arial" w:hAnsi="Arial" w:cs="Arial"/>
          <w:lang w:val="es-ES_tradnl"/>
        </w:rPr>
        <w:t xml:space="preserve">. </w:t>
      </w:r>
    </w:p>
    <w:p w:rsidRPr="00AC4644" w:rsidR="00AC4644" w:rsidP="00AC4644" w:rsidRDefault="00AC4644" w14:paraId="0E21FAB3" w14:textId="77777777">
      <w:pPr>
        <w:pStyle w:val="Ttulo1"/>
        <w:rPr>
          <w:lang w:val="es-ES_tradnl"/>
        </w:rPr>
      </w:pPr>
      <w:r w:rsidRPr="00AC4644">
        <w:rPr>
          <w:lang w:val="es-ES_tradnl"/>
        </w:rPr>
        <w:t xml:space="preserve">La SCJN y la discriminación contra personas migrantes </w:t>
      </w:r>
    </w:p>
    <w:p w:rsidR="004159C7" w:rsidP="001963DE" w:rsidRDefault="004159C7" w14:paraId="26CFCE3D" w14:textId="19DEB080">
      <w:pPr>
        <w:spacing w:before="240" w:after="240"/>
        <w:rPr>
          <w:rFonts w:ascii="Arial" w:hAnsi="Arial" w:cs="Arial"/>
          <w:lang w:val="es-ES_tradnl"/>
        </w:rPr>
      </w:pPr>
      <w:r w:rsidRPr="004159C7">
        <w:rPr>
          <w:rFonts w:ascii="Arial" w:hAnsi="Arial" w:cs="Arial"/>
          <w:lang w:val="es-ES_tradnl"/>
        </w:rPr>
        <w:t xml:space="preserve">En este apartado se mencionan las sentencias nacionales más significativas </w:t>
      </w:r>
      <w:r>
        <w:rPr>
          <w:rFonts w:ascii="Arial" w:hAnsi="Arial" w:cs="Arial"/>
          <w:lang w:val="es-ES_tradnl"/>
        </w:rPr>
        <w:t xml:space="preserve">relacionadas con </w:t>
      </w:r>
      <w:r w:rsidRPr="007768A3">
        <w:rPr>
          <w:rFonts w:ascii="Arial" w:hAnsi="Arial" w:cs="Arial"/>
          <w:b/>
          <w:bCs/>
          <w:lang w:val="es-ES_tradnl"/>
        </w:rPr>
        <w:t>la discriminación en contra de personas migrantes</w:t>
      </w:r>
      <w:r w:rsidRPr="004159C7">
        <w:rPr>
          <w:rFonts w:ascii="Arial" w:hAnsi="Arial" w:cs="Arial"/>
          <w:lang w:val="es-ES_tradnl"/>
        </w:rPr>
        <w:t>.</w:t>
      </w:r>
    </w:p>
    <w:p w:rsidR="0078112C" w:rsidP="6F103272" w:rsidRDefault="004159C7" w14:paraId="157A1472" w14:textId="77777777" w14:noSpellErr="1">
      <w:pPr>
        <w:pStyle w:val="Prrafodelista"/>
        <w:numPr>
          <w:ilvl w:val="0"/>
          <w:numId w:val="2"/>
        </w:numPr>
        <w:spacing w:before="240" w:after="240"/>
        <w:rPr>
          <w:rFonts w:ascii="Arial" w:hAnsi="Arial" w:cs="Arial"/>
          <w:lang w:val="es-ES"/>
        </w:rPr>
      </w:pPr>
      <w:r w:rsidRPr="6F103272" w:rsidR="004159C7">
        <w:rPr>
          <w:rFonts w:ascii="Arial" w:hAnsi="Arial" w:cs="Arial"/>
          <w:lang w:val="es-ES"/>
        </w:rPr>
        <w:t xml:space="preserve">En el </w:t>
      </w:r>
      <w:r w:rsidRPr="6F103272" w:rsidR="004159C7">
        <w:rPr>
          <w:rFonts w:ascii="Arial" w:hAnsi="Arial" w:cs="Arial"/>
          <w:b w:val="1"/>
          <w:bCs w:val="1"/>
          <w:lang w:val="es-ES"/>
        </w:rPr>
        <w:t xml:space="preserve">Amparo en </w:t>
      </w:r>
      <w:r w:rsidRPr="6F103272" w:rsidR="004159C7">
        <w:rPr>
          <w:rFonts w:ascii="Arial" w:hAnsi="Arial" w:cs="Arial"/>
          <w:b w:val="1"/>
          <w:bCs w:val="1"/>
          <w:lang w:val="es-ES"/>
        </w:rPr>
        <w:t xml:space="preserve">Revisión </w:t>
      </w:r>
      <w:r w:rsidRPr="6F103272" w:rsidR="004159C7">
        <w:rPr>
          <w:rFonts w:ascii="Arial" w:hAnsi="Arial" w:cs="Arial"/>
          <w:b w:val="1"/>
          <w:bCs w:val="1"/>
          <w:lang w:val="es-ES"/>
        </w:rPr>
        <w:t>198/2024</w:t>
      </w:r>
      <w:r w:rsidRPr="6F103272" w:rsidR="000E18CF">
        <w:rPr>
          <w:rFonts w:ascii="Arial" w:hAnsi="Arial" w:cs="Arial"/>
          <w:lang w:val="es-ES"/>
        </w:rPr>
        <w:t xml:space="preserve">, la Suprema Corte estableció el principio de </w:t>
      </w:r>
      <w:r w:rsidRPr="6F103272" w:rsidR="00AC4644">
        <w:rPr>
          <w:rFonts w:ascii="Arial" w:hAnsi="Arial" w:cs="Arial"/>
          <w:lang w:val="es-ES"/>
        </w:rPr>
        <w:t xml:space="preserve">no devolución en frontera y la obligación de análisis individualizado para la protección de derechos humanos. </w:t>
      </w:r>
    </w:p>
    <w:p w:rsidR="0078112C" w:rsidP="0078112C" w:rsidRDefault="0078112C" w14:paraId="499660C7" w14:textId="77777777">
      <w:pPr>
        <w:pStyle w:val="Prrafodelista"/>
        <w:spacing w:before="240" w:after="240"/>
        <w:rPr>
          <w:rFonts w:ascii="Arial" w:hAnsi="Arial" w:cs="Arial"/>
          <w:lang w:val="es-ES_tradnl"/>
        </w:rPr>
      </w:pPr>
    </w:p>
    <w:p w:rsidRPr="0078112C" w:rsidR="00321D7B" w:rsidP="6F103272" w:rsidRDefault="0078112C" w14:paraId="61BEEF26" w14:textId="0CEE66C1" w14:noSpellErr="1">
      <w:pPr>
        <w:pStyle w:val="Prrafodelista"/>
        <w:spacing w:before="240" w:after="240"/>
        <w:rPr>
          <w:rFonts w:ascii="Arial" w:hAnsi="Arial" w:cs="Arial"/>
          <w:lang w:val="es-ES"/>
        </w:rPr>
      </w:pPr>
      <w:r w:rsidRPr="6F103272" w:rsidR="0078112C">
        <w:rPr>
          <w:rFonts w:ascii="Arial" w:hAnsi="Arial" w:cs="Arial"/>
          <w:lang w:val="es-ES"/>
        </w:rPr>
        <w:t>(</w:t>
      </w:r>
      <w:r w:rsidRPr="6F103272" w:rsidR="00321D7B">
        <w:rPr>
          <w:rFonts w:ascii="Arial" w:hAnsi="Arial" w:cs="Arial"/>
          <w:lang w:val="es-ES"/>
        </w:rPr>
        <w:t xml:space="preserve">Para conocer más sobre el Amparo en Revisión 198/2024, consulta el siguiente </w:t>
      </w:r>
      <w:r w:rsidRPr="6F103272" w:rsidR="00321D7B">
        <w:rPr>
          <w:rFonts w:ascii="Arial" w:hAnsi="Arial" w:cs="Arial"/>
          <w:lang w:val="es-ES"/>
        </w:rPr>
        <w:t>enlace</w:t>
      </w:r>
      <w:r w:rsidRPr="6F103272" w:rsidR="0049650B">
        <w:rPr>
          <w:rFonts w:ascii="Arial" w:hAnsi="Arial" w:cs="Arial"/>
          <w:lang w:val="es-ES"/>
        </w:rPr>
        <w:t xml:space="preserve"> </w:t>
      </w:r>
      <w:hyperlink r:id="Rf84fc0eb0a4048cf">
        <w:r w:rsidRPr="6F103272" w:rsidR="0049650B">
          <w:rPr>
            <w:rStyle w:val="Hipervnculo"/>
            <w:rFonts w:ascii="Arial" w:hAnsi="Arial" w:cs="Arial"/>
            <w:lang w:val="es-ES"/>
          </w:rPr>
          <w:t>https://www2.scjn.gob.mx/ConsultasTematica/Resultados/-0-0-2-198-2024</w:t>
        </w:r>
      </w:hyperlink>
      <w:r w:rsidRPr="6F103272" w:rsidR="0078112C">
        <w:rPr>
          <w:rFonts w:ascii="Arial" w:hAnsi="Arial" w:cs="Arial"/>
          <w:lang w:val="es-ES"/>
        </w:rPr>
        <w:t>)</w:t>
      </w:r>
      <w:r w:rsidRPr="6F103272" w:rsidR="0049650B">
        <w:rPr>
          <w:rFonts w:ascii="Arial" w:hAnsi="Arial" w:cs="Arial"/>
          <w:lang w:val="es-ES"/>
        </w:rPr>
        <w:t xml:space="preserve">. </w:t>
      </w:r>
      <w:r w:rsidRPr="6F103272" w:rsidR="00321D7B">
        <w:rPr>
          <w:rFonts w:ascii="Arial" w:hAnsi="Arial" w:cs="Arial"/>
          <w:lang w:val="es-ES"/>
        </w:rPr>
        <w:t xml:space="preserve"> </w:t>
      </w:r>
    </w:p>
    <w:p w:rsidRPr="00321D7B" w:rsidR="0078112C" w:rsidP="00321D7B" w:rsidRDefault="0078112C" w14:paraId="584A090E" w14:textId="77777777">
      <w:pPr>
        <w:spacing w:before="240" w:after="240"/>
        <w:rPr>
          <w:rFonts w:ascii="Arial" w:hAnsi="Arial" w:cs="Arial"/>
          <w:lang w:val="es-ES_tradnl"/>
        </w:rPr>
      </w:pPr>
    </w:p>
    <w:p w:rsidR="00375CAA" w:rsidP="00375CAA" w:rsidRDefault="000E18CF" w14:paraId="1ED7FADC" w14:textId="77777777">
      <w:pPr>
        <w:pStyle w:val="Prrafodelista"/>
        <w:numPr>
          <w:ilvl w:val="0"/>
          <w:numId w:val="2"/>
        </w:numPr>
        <w:spacing w:before="240" w:after="240"/>
        <w:rPr>
          <w:rFonts w:ascii="Arial" w:hAnsi="Arial" w:cs="Arial"/>
          <w:lang w:val="es-ES_tradnl"/>
        </w:rPr>
      </w:pPr>
      <w:r>
        <w:rPr>
          <w:rFonts w:ascii="Arial" w:hAnsi="Arial" w:cs="Arial"/>
          <w:lang w:val="es-ES_tradnl"/>
        </w:rPr>
        <w:t xml:space="preserve">En el </w:t>
      </w:r>
      <w:r w:rsidRPr="000E3BC1">
        <w:rPr>
          <w:rFonts w:ascii="Arial" w:hAnsi="Arial" w:cs="Arial"/>
          <w:b/>
          <w:bCs/>
          <w:lang w:val="es-ES_tradnl"/>
        </w:rPr>
        <w:t>Amparo en Revisión 459/2024</w:t>
      </w:r>
      <w:r>
        <w:rPr>
          <w:rFonts w:ascii="Arial" w:hAnsi="Arial" w:cs="Arial"/>
          <w:lang w:val="es-ES_tradnl"/>
        </w:rPr>
        <w:t xml:space="preserve">, </w:t>
      </w:r>
      <w:r w:rsidR="000E3BC1">
        <w:rPr>
          <w:rFonts w:ascii="Arial" w:hAnsi="Arial" w:cs="Arial"/>
          <w:lang w:val="es-ES_tradnl"/>
        </w:rPr>
        <w:t>la Suprema Corte determinó que el Estado tiene la</w:t>
      </w:r>
      <w:r w:rsidRPr="000E18CF" w:rsidR="00AC4644">
        <w:rPr>
          <w:rFonts w:ascii="Arial" w:hAnsi="Arial" w:cs="Arial"/>
          <w:lang w:val="es-ES_tradnl"/>
        </w:rPr>
        <w:t xml:space="preserve"> obligación de crear un registro de personas migrantes detenidas. </w:t>
      </w:r>
    </w:p>
    <w:p w:rsidRPr="00375CAA" w:rsidR="00EE4455" w:rsidP="6F103272" w:rsidRDefault="00EE4455" w14:paraId="2A4B75A8" w14:textId="729066A5" w14:noSpellErr="1">
      <w:pPr>
        <w:spacing w:before="240" w:after="240"/>
        <w:ind w:left="708" w:firstLine="12"/>
        <w:rPr>
          <w:rFonts w:ascii="Arial" w:hAnsi="Arial" w:cs="Arial"/>
          <w:lang w:val="es-ES"/>
        </w:rPr>
      </w:pPr>
      <w:r w:rsidRPr="6F103272" w:rsidR="00EE4455">
        <w:rPr>
          <w:rFonts w:ascii="Arial" w:hAnsi="Arial" w:cs="Arial"/>
          <w:lang w:val="es-ES"/>
        </w:rPr>
        <w:t xml:space="preserve">(Para conocer más sobre el Amparo en Revisión </w:t>
      </w:r>
      <w:r w:rsidRPr="6F103272" w:rsidR="001740A1">
        <w:rPr>
          <w:rFonts w:ascii="Arial" w:hAnsi="Arial" w:cs="Arial"/>
          <w:lang w:val="es-ES"/>
        </w:rPr>
        <w:t>459</w:t>
      </w:r>
      <w:r w:rsidRPr="6F103272" w:rsidR="00EE4455">
        <w:rPr>
          <w:rFonts w:ascii="Arial" w:hAnsi="Arial" w:cs="Arial"/>
          <w:lang w:val="es-ES"/>
        </w:rPr>
        <w:t xml:space="preserve">/2024, consulta el siguiente </w:t>
      </w:r>
      <w:r w:rsidRPr="6F103272" w:rsidR="00EE4455">
        <w:rPr>
          <w:rFonts w:ascii="Arial" w:hAnsi="Arial" w:cs="Arial"/>
          <w:lang w:val="es-ES"/>
        </w:rPr>
        <w:t>enlace</w:t>
      </w:r>
      <w:r w:rsidRPr="6F103272" w:rsidR="001740A1">
        <w:rPr>
          <w:rFonts w:ascii="Arial" w:hAnsi="Arial" w:cs="Arial"/>
          <w:lang w:val="es-ES"/>
        </w:rPr>
        <w:t xml:space="preserve"> </w:t>
      </w:r>
      <w:hyperlink r:id="Rc1b10edf9f9d4a8f">
        <w:r w:rsidRPr="6F103272" w:rsidR="001740A1">
          <w:rPr>
            <w:rStyle w:val="Hipervnculo"/>
            <w:rFonts w:ascii="Arial" w:hAnsi="Arial" w:cs="Arial"/>
            <w:lang w:val="es-ES"/>
          </w:rPr>
          <w:t>https://www2.scjn.gob.mx/ConsultasTematica/Detalle/335897</w:t>
        </w:r>
      </w:hyperlink>
      <w:r w:rsidRPr="6F103272" w:rsidR="00EE4455">
        <w:rPr>
          <w:rFonts w:ascii="Arial" w:hAnsi="Arial" w:cs="Arial"/>
          <w:lang w:val="es-ES"/>
        </w:rPr>
        <w:t>).</w:t>
      </w:r>
    </w:p>
    <w:p w:rsidR="00BE1135" w:rsidP="004159C7" w:rsidRDefault="00BE1135" w14:paraId="594B879A" w14:textId="6DB770B5">
      <w:pPr>
        <w:pStyle w:val="Prrafodelista"/>
        <w:numPr>
          <w:ilvl w:val="0"/>
          <w:numId w:val="2"/>
        </w:numPr>
        <w:spacing w:before="240" w:after="240"/>
        <w:rPr>
          <w:rFonts w:ascii="Arial" w:hAnsi="Arial" w:cs="Arial"/>
          <w:lang w:val="es-ES_tradnl"/>
        </w:rPr>
      </w:pPr>
      <w:r>
        <w:rPr>
          <w:rFonts w:ascii="Arial" w:hAnsi="Arial" w:cs="Arial"/>
          <w:lang w:val="es-ES_tradnl"/>
        </w:rPr>
        <w:t xml:space="preserve">En el </w:t>
      </w:r>
      <w:r w:rsidRPr="000E3BC1">
        <w:rPr>
          <w:rFonts w:ascii="Arial" w:hAnsi="Arial" w:cs="Arial"/>
          <w:b/>
          <w:bCs/>
          <w:lang w:val="es-ES_tradnl"/>
        </w:rPr>
        <w:t xml:space="preserve">Amparo en Revisión </w:t>
      </w:r>
      <w:r w:rsidR="00C741A9">
        <w:rPr>
          <w:rFonts w:ascii="Arial" w:hAnsi="Arial" w:cs="Arial"/>
          <w:b/>
          <w:bCs/>
          <w:lang w:val="es-ES_tradnl"/>
        </w:rPr>
        <w:t>481/2024</w:t>
      </w:r>
      <w:r>
        <w:rPr>
          <w:rFonts w:ascii="Arial" w:hAnsi="Arial" w:cs="Arial"/>
          <w:lang w:val="es-ES_tradnl"/>
        </w:rPr>
        <w:t xml:space="preserve">, la Suprema Corte </w:t>
      </w:r>
      <w:r w:rsidR="00C741A9">
        <w:rPr>
          <w:rFonts w:ascii="Arial" w:hAnsi="Arial" w:cs="Arial"/>
          <w:lang w:val="es-ES_tradnl"/>
        </w:rPr>
        <w:t xml:space="preserve">estableció el </w:t>
      </w:r>
      <w:r w:rsidRPr="000E18CF" w:rsidR="00AC4644">
        <w:rPr>
          <w:rFonts w:ascii="Arial" w:hAnsi="Arial" w:cs="Arial"/>
          <w:lang w:val="es-ES_tradnl"/>
        </w:rPr>
        <w:t xml:space="preserve">derecho a la asistencia consular como garantía del debido proceso para las personas extranjeras. </w:t>
      </w:r>
    </w:p>
    <w:p w:rsidRPr="00333E5C" w:rsidR="00333E5C" w:rsidP="00333E5C" w:rsidRDefault="00333E5C" w14:paraId="784A21C5" w14:textId="4CE10D63">
      <w:pPr>
        <w:spacing w:before="240" w:after="240"/>
        <w:ind w:left="708"/>
        <w:rPr>
          <w:rFonts w:ascii="Arial" w:hAnsi="Arial" w:cs="Arial"/>
          <w:lang w:val="es-ES_tradnl"/>
        </w:rPr>
      </w:pPr>
      <w:r>
        <w:rPr>
          <w:rFonts w:ascii="Arial" w:hAnsi="Arial" w:cs="Arial"/>
          <w:lang w:val="es-ES_tradnl"/>
        </w:rPr>
        <w:t xml:space="preserve">(Para conocer más sobre el Amparo en Revisión 481/2024, consulta el siguiente enlace </w:t>
      </w:r>
      <w:hyperlink w:history="1" r:id="rId20">
        <w:r w:rsidRPr="00635363" w:rsidR="00142416">
          <w:rPr>
            <w:rStyle w:val="Hipervnculo"/>
            <w:rFonts w:ascii="Arial" w:hAnsi="Arial" w:cs="Arial"/>
            <w:lang w:val="es-ES_tradnl"/>
          </w:rPr>
          <w:t>https://www2.scjn.gob.mx/ConsultasTematica/Detalle/336185</w:t>
        </w:r>
      </w:hyperlink>
      <w:r>
        <w:rPr>
          <w:rFonts w:ascii="Arial" w:hAnsi="Arial" w:cs="Arial"/>
          <w:lang w:val="es-ES_tradnl"/>
        </w:rPr>
        <w:t>)</w:t>
      </w:r>
      <w:r w:rsidR="00142416">
        <w:rPr>
          <w:rFonts w:ascii="Arial" w:hAnsi="Arial" w:cs="Arial"/>
          <w:lang w:val="es-ES_tradnl"/>
        </w:rPr>
        <w:t xml:space="preserve">. </w:t>
      </w:r>
    </w:p>
    <w:p w:rsidR="001F7823" w:rsidP="004159C7" w:rsidRDefault="00C741A9" w14:paraId="203A1E6A" w14:textId="62596ABA">
      <w:pPr>
        <w:pStyle w:val="Prrafodelista"/>
        <w:numPr>
          <w:ilvl w:val="0"/>
          <w:numId w:val="2"/>
        </w:numPr>
        <w:spacing w:before="240" w:after="240"/>
        <w:rPr>
          <w:rFonts w:ascii="Arial" w:hAnsi="Arial" w:cs="Arial"/>
          <w:lang w:val="es-ES_tradnl"/>
        </w:rPr>
      </w:pPr>
      <w:r>
        <w:rPr>
          <w:rFonts w:ascii="Arial" w:hAnsi="Arial" w:cs="Arial"/>
          <w:lang w:val="es-ES_tradnl"/>
        </w:rPr>
        <w:t xml:space="preserve">En el </w:t>
      </w:r>
      <w:r w:rsidRPr="00C21FED">
        <w:rPr>
          <w:rFonts w:ascii="Arial" w:hAnsi="Arial" w:cs="Arial"/>
          <w:b/>
          <w:bCs/>
          <w:lang w:val="es-ES_tradnl"/>
        </w:rPr>
        <w:t xml:space="preserve">Amparo en Revisión </w:t>
      </w:r>
      <w:r w:rsidRPr="00C21FED" w:rsidR="00C21FED">
        <w:rPr>
          <w:rFonts w:ascii="Arial" w:hAnsi="Arial" w:cs="Arial"/>
          <w:b/>
          <w:bCs/>
          <w:lang w:val="es-ES_tradnl"/>
        </w:rPr>
        <w:t>275/2019</w:t>
      </w:r>
      <w:r w:rsidR="00C21FED">
        <w:rPr>
          <w:rFonts w:ascii="Arial" w:hAnsi="Arial" w:cs="Arial"/>
          <w:lang w:val="es-ES_tradnl"/>
        </w:rPr>
        <w:t>, la Suprema Corte estableció la i</w:t>
      </w:r>
      <w:r w:rsidRPr="000E18CF" w:rsidR="00AC4644">
        <w:rPr>
          <w:rFonts w:ascii="Arial" w:hAnsi="Arial" w:cs="Arial"/>
          <w:lang w:val="es-ES_tradnl"/>
        </w:rPr>
        <w:t xml:space="preserve">nconstitucionalidad de las revisiones migratorias en lugares distintos al tránsito internacional y el derecho a la igualdad y no discriminación. </w:t>
      </w:r>
    </w:p>
    <w:p w:rsidRPr="00142416" w:rsidR="00142416" w:rsidP="002A3DF2" w:rsidRDefault="00142416" w14:paraId="695BACA8" w14:textId="49F2BE13">
      <w:pPr>
        <w:spacing w:before="240" w:after="240"/>
        <w:ind w:left="708"/>
        <w:rPr>
          <w:rFonts w:ascii="Arial" w:hAnsi="Arial" w:cs="Arial"/>
          <w:lang w:val="es-ES_tradnl"/>
        </w:rPr>
      </w:pPr>
      <w:r>
        <w:rPr>
          <w:rFonts w:ascii="Arial" w:hAnsi="Arial" w:cs="Arial"/>
          <w:lang w:val="es-ES_tradnl"/>
        </w:rPr>
        <w:t>(</w:t>
      </w:r>
      <w:r>
        <w:rPr>
          <w:rFonts w:ascii="Arial" w:hAnsi="Arial" w:cs="Arial"/>
          <w:lang w:val="es-ES_tradnl"/>
        </w:rPr>
        <w:t xml:space="preserve">Para conocer más sobre el Amparo en Revisión </w:t>
      </w:r>
      <w:r>
        <w:rPr>
          <w:rFonts w:ascii="Arial" w:hAnsi="Arial" w:cs="Arial"/>
          <w:lang w:val="es-ES_tradnl"/>
        </w:rPr>
        <w:t>275</w:t>
      </w:r>
      <w:r>
        <w:rPr>
          <w:rFonts w:ascii="Arial" w:hAnsi="Arial" w:cs="Arial"/>
          <w:lang w:val="es-ES_tradnl"/>
        </w:rPr>
        <w:t xml:space="preserve">/2024, consulta el siguiente enlace </w:t>
      </w:r>
      <w:hyperlink w:history="1" r:id="rId21">
        <w:r w:rsidRPr="00635363" w:rsidR="002A3DF2">
          <w:rPr>
            <w:rStyle w:val="Hipervnculo"/>
            <w:rFonts w:ascii="Arial" w:hAnsi="Arial" w:cs="Arial"/>
            <w:lang w:val="es-ES_tradnl"/>
          </w:rPr>
          <w:t>https://www2.scjn.gob.mx/ConsultasTematica/Detalle/253426</w:t>
        </w:r>
      </w:hyperlink>
      <w:r w:rsidR="002A3DF2">
        <w:rPr>
          <w:rFonts w:ascii="Arial" w:hAnsi="Arial" w:cs="Arial"/>
          <w:lang w:val="es-ES_tradnl"/>
        </w:rPr>
        <w:t xml:space="preserve">). </w:t>
      </w:r>
    </w:p>
    <w:p w:rsidR="002A3DF2" w:rsidP="002A3DF2" w:rsidRDefault="00C21FED" w14:paraId="117CFAC2" w14:textId="77777777">
      <w:pPr>
        <w:pStyle w:val="Prrafodelista"/>
        <w:numPr>
          <w:ilvl w:val="0"/>
          <w:numId w:val="2"/>
        </w:numPr>
        <w:spacing w:before="240" w:after="240"/>
        <w:rPr>
          <w:rFonts w:ascii="Arial" w:hAnsi="Arial" w:cs="Arial"/>
          <w:lang w:val="es-ES_tradnl"/>
        </w:rPr>
      </w:pPr>
      <w:r>
        <w:rPr>
          <w:rFonts w:ascii="Arial" w:hAnsi="Arial" w:cs="Arial"/>
          <w:lang w:val="es-ES_tradnl"/>
        </w:rPr>
        <w:t xml:space="preserve">En el </w:t>
      </w:r>
      <w:r w:rsidRPr="00DE2C87">
        <w:rPr>
          <w:rFonts w:ascii="Arial" w:hAnsi="Arial" w:cs="Arial"/>
          <w:b/>
          <w:bCs/>
          <w:lang w:val="es-ES_tradnl"/>
        </w:rPr>
        <w:t xml:space="preserve">Amparo en Revisión </w:t>
      </w:r>
      <w:r w:rsidRPr="00DE2C87" w:rsidR="00DE2C87">
        <w:rPr>
          <w:rFonts w:ascii="Arial" w:hAnsi="Arial" w:cs="Arial"/>
          <w:b/>
          <w:bCs/>
          <w:lang w:val="es-ES_tradnl"/>
        </w:rPr>
        <w:t>388/2022</w:t>
      </w:r>
      <w:r w:rsidR="00DE2C87">
        <w:rPr>
          <w:rFonts w:ascii="Arial" w:hAnsi="Arial" w:cs="Arial"/>
          <w:lang w:val="es-ES_tradnl"/>
        </w:rPr>
        <w:t xml:space="preserve">, la Suprema Corte determinó que las detenciones migratorias solo pueden durar 36 horas. </w:t>
      </w:r>
    </w:p>
    <w:p w:rsidRPr="002A3DF2" w:rsidR="002A3DF2" w:rsidP="00375CAA" w:rsidRDefault="002A3DF2" w14:paraId="5231A0A7" w14:textId="50515DAD">
      <w:pPr>
        <w:spacing w:before="240" w:after="240"/>
        <w:ind w:left="708" w:firstLine="12"/>
        <w:rPr>
          <w:rFonts w:ascii="Arial" w:hAnsi="Arial" w:cs="Arial"/>
          <w:lang w:val="es-ES_tradnl"/>
        </w:rPr>
      </w:pPr>
      <w:r w:rsidRPr="002A3DF2">
        <w:rPr>
          <w:rFonts w:ascii="Arial" w:hAnsi="Arial" w:cs="Arial"/>
          <w:lang w:val="es-ES_tradnl"/>
        </w:rPr>
        <w:t xml:space="preserve">(Para conocer más sobre el Amparo en Revisión </w:t>
      </w:r>
      <w:r>
        <w:rPr>
          <w:rFonts w:ascii="Arial" w:hAnsi="Arial" w:cs="Arial"/>
          <w:lang w:val="es-ES_tradnl"/>
        </w:rPr>
        <w:t>388</w:t>
      </w:r>
      <w:r w:rsidRPr="002A3DF2">
        <w:rPr>
          <w:rFonts w:ascii="Arial" w:hAnsi="Arial" w:cs="Arial"/>
          <w:lang w:val="es-ES_tradnl"/>
        </w:rPr>
        <w:t xml:space="preserve">/2024, consulta el siguiente enlace </w:t>
      </w:r>
      <w:hyperlink w:history="1" r:id="rId22">
        <w:r w:rsidRPr="00635363" w:rsidR="00375CAA">
          <w:rPr>
            <w:rStyle w:val="Hipervnculo"/>
            <w:rFonts w:ascii="Arial" w:hAnsi="Arial" w:cs="Arial"/>
            <w:lang w:val="es-ES_tradnl"/>
          </w:rPr>
          <w:t>https://www2.scjn.gob.mx/ConsultasTematica/Detalle/300178</w:t>
        </w:r>
      </w:hyperlink>
      <w:r w:rsidRPr="002A3DF2">
        <w:rPr>
          <w:rFonts w:ascii="Arial" w:hAnsi="Arial" w:cs="Arial"/>
          <w:lang w:val="es-ES_tradnl"/>
        </w:rPr>
        <w:t>).</w:t>
      </w:r>
    </w:p>
    <w:p w:rsidR="001963DE" w:rsidP="004159C7" w:rsidRDefault="00DE2C87" w14:paraId="03C868C4" w14:textId="6F0C3EE3">
      <w:pPr>
        <w:pStyle w:val="Prrafodelista"/>
        <w:numPr>
          <w:ilvl w:val="0"/>
          <w:numId w:val="2"/>
        </w:numPr>
        <w:spacing w:before="240" w:after="240"/>
        <w:rPr>
          <w:rFonts w:ascii="Arial" w:hAnsi="Arial" w:cs="Arial"/>
          <w:lang w:val="es-ES_tradnl"/>
        </w:rPr>
      </w:pPr>
      <w:r>
        <w:rPr>
          <w:rFonts w:ascii="Arial" w:hAnsi="Arial" w:cs="Arial"/>
          <w:lang w:val="es-ES_tradnl"/>
        </w:rPr>
        <w:t xml:space="preserve">En el </w:t>
      </w:r>
      <w:r w:rsidRPr="00A12767">
        <w:rPr>
          <w:rFonts w:ascii="Arial" w:hAnsi="Arial" w:cs="Arial"/>
          <w:b/>
          <w:bCs/>
          <w:lang w:val="es-ES_tradnl"/>
        </w:rPr>
        <w:t>Amparo en Revisión 399/2019</w:t>
      </w:r>
      <w:r>
        <w:rPr>
          <w:rFonts w:ascii="Arial" w:hAnsi="Arial" w:cs="Arial"/>
          <w:lang w:val="es-ES_tradnl"/>
        </w:rPr>
        <w:t xml:space="preserve">, la Suprema Corte determinó </w:t>
      </w:r>
      <w:r w:rsidR="00A12767">
        <w:rPr>
          <w:rFonts w:ascii="Arial" w:hAnsi="Arial" w:cs="Arial"/>
          <w:lang w:val="es-ES_tradnl"/>
        </w:rPr>
        <w:t>cuáles eran los r</w:t>
      </w:r>
      <w:r w:rsidRPr="000E18CF" w:rsidR="00AC4644">
        <w:rPr>
          <w:rFonts w:ascii="Arial" w:hAnsi="Arial" w:cs="Arial"/>
          <w:lang w:val="es-ES_tradnl"/>
        </w:rPr>
        <w:t>equisitos formales en los procesos para el reconocimiento de la condición de refugiado.</w:t>
      </w:r>
    </w:p>
    <w:p w:rsidR="0031649F" w:rsidP="00375CAA" w:rsidRDefault="00375CAA" w14:paraId="4112142F" w14:textId="77777777">
      <w:pPr>
        <w:spacing w:before="240" w:after="240"/>
        <w:ind w:left="708"/>
        <w:rPr>
          <w:rFonts w:ascii="Arial" w:hAnsi="Arial" w:cs="Arial"/>
          <w:lang w:val="es-ES_tradnl"/>
        </w:rPr>
      </w:pPr>
      <w:r>
        <w:rPr>
          <w:rFonts w:ascii="Arial" w:hAnsi="Arial" w:cs="Arial"/>
          <w:lang w:val="es-ES_tradnl"/>
        </w:rPr>
        <w:t>(Para conocer más sobre el Amparo en Revisión 399/2019, consulta el siguiente enlace</w:t>
      </w:r>
      <w:r w:rsidR="0031649F">
        <w:rPr>
          <w:rFonts w:ascii="Arial" w:hAnsi="Arial" w:cs="Arial"/>
          <w:lang w:val="es-ES_tradnl"/>
        </w:rPr>
        <w:t xml:space="preserve"> </w:t>
      </w:r>
      <w:hyperlink w:history="1" r:id="rId23">
        <w:r w:rsidRPr="00635363" w:rsidR="0031649F">
          <w:rPr>
            <w:rStyle w:val="Hipervnculo"/>
            <w:rFonts w:ascii="Arial" w:hAnsi="Arial" w:cs="Arial"/>
            <w:lang w:val="es-ES_tradnl"/>
          </w:rPr>
          <w:t>https://www2.scjn.gob.mx/ConsultaTematica/PaginasPub/DetallePub.aspx?AsuntoID=255986</w:t>
        </w:r>
      </w:hyperlink>
      <w:r>
        <w:rPr>
          <w:rFonts w:ascii="Arial" w:hAnsi="Arial" w:cs="Arial"/>
          <w:lang w:val="es-ES_tradnl"/>
        </w:rPr>
        <w:t>)</w:t>
      </w:r>
      <w:r w:rsidR="0031649F">
        <w:rPr>
          <w:rFonts w:ascii="Arial" w:hAnsi="Arial" w:cs="Arial"/>
          <w:lang w:val="es-ES_tradnl"/>
        </w:rPr>
        <w:t xml:space="preserve">. </w:t>
      </w:r>
    </w:p>
    <w:p w:rsidR="00375CAA" w:rsidP="00375CAA" w:rsidRDefault="00375CAA" w14:paraId="4139E7C2" w14:textId="62BB289E">
      <w:pPr>
        <w:spacing w:before="240" w:after="240"/>
        <w:ind w:left="708"/>
        <w:rPr>
          <w:rFonts w:ascii="Arial" w:hAnsi="Arial" w:cs="Arial"/>
          <w:lang w:val="es-ES_tradnl"/>
        </w:rPr>
      </w:pPr>
      <w:r>
        <w:rPr>
          <w:rFonts w:ascii="Arial" w:hAnsi="Arial" w:cs="Arial"/>
          <w:lang w:val="es-ES_tradnl"/>
        </w:rPr>
        <w:t xml:space="preserve">  </w:t>
      </w:r>
    </w:p>
    <w:p w:rsidRPr="00375CAA" w:rsidR="0031649F" w:rsidP="6F103272" w:rsidRDefault="006B5B87" w14:paraId="3055F67C" w14:textId="5D60E251" w14:noSpellErr="1">
      <w:pPr>
        <w:pStyle w:val="Ttulo1"/>
        <w:rPr>
          <w:lang w:val="es-ES"/>
        </w:rPr>
      </w:pPr>
      <w:r w:rsidRPr="6F103272" w:rsidR="006B5B87">
        <w:rPr>
          <w:lang w:val="es-ES"/>
        </w:rPr>
        <w:t xml:space="preserve">Gráficas y estadísticas sobre </w:t>
      </w:r>
      <w:r w:rsidRPr="6F103272" w:rsidR="006B5B87">
        <w:rPr>
          <w:lang w:val="es-ES"/>
        </w:rPr>
        <w:t xml:space="preserve">la </w:t>
      </w:r>
      <w:r w:rsidRPr="6F103272" w:rsidR="006B5B87">
        <w:rPr>
          <w:lang w:val="es-ES"/>
        </w:rPr>
        <w:t xml:space="preserve">migración en México </w:t>
      </w:r>
    </w:p>
    <w:p w:rsidRPr="007768A3" w:rsidR="008D1985" w:rsidP="008D1985" w:rsidRDefault="008D1985" w14:paraId="2EF0BBF1" w14:textId="1F099345">
      <w:pPr>
        <w:rPr>
          <w:rFonts w:ascii="Arial" w:hAnsi="Arial" w:cs="Arial"/>
          <w:b/>
          <w:bCs/>
          <w:lang w:val="es-ES_tradnl"/>
        </w:rPr>
      </w:pPr>
      <w:r w:rsidRPr="00F42AF4">
        <w:rPr>
          <w:rFonts w:ascii="Arial" w:hAnsi="Arial" w:cs="Arial"/>
          <w:lang w:val="es-ES_tradnl"/>
        </w:rPr>
        <w:t>En este apartado</w:t>
      </w:r>
      <w:r>
        <w:rPr>
          <w:rFonts w:ascii="Arial" w:hAnsi="Arial" w:cs="Arial"/>
          <w:lang w:val="es-ES_tradnl"/>
        </w:rPr>
        <w:t xml:space="preserve">, segunda y tercera hoja, </w:t>
      </w:r>
      <w:r w:rsidRPr="00F42AF4">
        <w:rPr>
          <w:rFonts w:ascii="Arial" w:hAnsi="Arial" w:cs="Arial"/>
          <w:lang w:val="es-ES_tradnl"/>
        </w:rPr>
        <w:t xml:space="preserve">se muestran </w:t>
      </w:r>
      <w:r>
        <w:rPr>
          <w:rFonts w:ascii="Arial" w:hAnsi="Arial" w:cs="Arial"/>
          <w:lang w:val="es-ES_tradnl"/>
        </w:rPr>
        <w:t>tres</w:t>
      </w:r>
      <w:r w:rsidRPr="00F42AF4">
        <w:rPr>
          <w:rFonts w:ascii="Arial" w:hAnsi="Arial" w:cs="Arial"/>
          <w:lang w:val="es-ES_tradnl"/>
        </w:rPr>
        <w:t xml:space="preserve"> gráficas sobre</w:t>
      </w:r>
      <w:r>
        <w:rPr>
          <w:rFonts w:ascii="Arial" w:hAnsi="Arial" w:cs="Arial"/>
          <w:lang w:val="es-ES_tradnl"/>
        </w:rPr>
        <w:t xml:space="preserve"> </w:t>
      </w:r>
      <w:r w:rsidRPr="007768A3">
        <w:rPr>
          <w:rFonts w:ascii="Arial" w:hAnsi="Arial" w:cs="Arial"/>
          <w:b/>
          <w:bCs/>
          <w:lang w:val="es-ES_tradnl"/>
        </w:rPr>
        <w:t xml:space="preserve">la migración en México y </w:t>
      </w:r>
      <w:r w:rsidRPr="007768A3" w:rsidR="00712751">
        <w:rPr>
          <w:rFonts w:ascii="Arial" w:hAnsi="Arial" w:cs="Arial"/>
          <w:b/>
          <w:bCs/>
          <w:lang w:val="es-ES_tradnl"/>
        </w:rPr>
        <w:t xml:space="preserve">su relación con </w:t>
      </w:r>
      <w:r w:rsidRPr="007768A3">
        <w:rPr>
          <w:rFonts w:ascii="Arial" w:hAnsi="Arial" w:cs="Arial"/>
          <w:b/>
          <w:bCs/>
          <w:lang w:val="es-ES_tradnl"/>
        </w:rPr>
        <w:t xml:space="preserve">los derechos humanos. </w:t>
      </w:r>
    </w:p>
    <w:p w:rsidRPr="005B787C" w:rsidR="001963DE" w:rsidP="6F103272" w:rsidRDefault="00213A89" w14:paraId="6A94CF01" w14:textId="0A115C52" w14:noSpellErr="1">
      <w:pPr>
        <w:pStyle w:val="Prrafodelista"/>
        <w:numPr>
          <w:ilvl w:val="0"/>
          <w:numId w:val="3"/>
        </w:numPr>
        <w:spacing w:before="240" w:after="240"/>
        <w:rPr>
          <w:rFonts w:ascii="Arial" w:hAnsi="Arial" w:cs="Arial"/>
          <w:b w:val="1"/>
          <w:bCs w:val="1"/>
          <w:lang w:val="es-ES"/>
        </w:rPr>
      </w:pPr>
      <w:r w:rsidRPr="6F103272" w:rsidR="00213A89">
        <w:rPr>
          <w:rFonts w:ascii="Arial" w:hAnsi="Arial" w:cs="Arial"/>
          <w:b w:val="1"/>
          <w:bCs w:val="1"/>
          <w:lang w:val="es-ES"/>
        </w:rPr>
        <w:t>“</w:t>
      </w:r>
      <w:r w:rsidRPr="6F103272" w:rsidR="001C007C">
        <w:rPr>
          <w:rFonts w:ascii="Arial" w:hAnsi="Arial" w:cs="Arial"/>
          <w:b w:val="1"/>
          <w:bCs w:val="1"/>
          <w:lang w:val="es-ES"/>
        </w:rPr>
        <w:t>Eventos de personas en situación migratoria irre</w:t>
      </w:r>
      <w:r w:rsidRPr="6F103272" w:rsidR="001C007C">
        <w:rPr>
          <w:rFonts w:ascii="Arial" w:hAnsi="Arial" w:cs="Arial"/>
          <w:b w:val="1"/>
          <w:bCs w:val="1"/>
          <w:lang w:val="es-ES"/>
        </w:rPr>
        <w:t>gular</w:t>
      </w:r>
      <w:r w:rsidRPr="6F103272" w:rsidR="00213A89">
        <w:rPr>
          <w:rFonts w:ascii="Arial" w:hAnsi="Arial" w:cs="Arial"/>
          <w:b w:val="1"/>
          <w:bCs w:val="1"/>
          <w:lang w:val="es-ES"/>
        </w:rPr>
        <w:t>”</w:t>
      </w:r>
      <w:r w:rsidRPr="6F103272" w:rsidR="001C007C">
        <w:rPr>
          <w:rFonts w:ascii="Arial" w:hAnsi="Arial" w:cs="Arial"/>
          <w:b w:val="1"/>
          <w:bCs w:val="1"/>
          <w:lang w:val="es-ES"/>
        </w:rPr>
        <w:t xml:space="preserve"> por la autoridad mexicana por trimestre</w:t>
      </w:r>
    </w:p>
    <w:p w:rsidR="00D47ACF" w:rsidP="6F103272" w:rsidRDefault="00715D7F" w14:paraId="60FD5E68" w14:textId="262EC3D6" w14:noSpellErr="1">
      <w:pPr>
        <w:spacing w:before="240" w:after="240"/>
        <w:rPr>
          <w:rFonts w:ascii="Arial" w:hAnsi="Arial" w:cs="Arial"/>
          <w:lang w:val="es-ES"/>
        </w:rPr>
      </w:pPr>
      <w:r w:rsidRPr="6F103272" w:rsidR="00715D7F">
        <w:rPr>
          <w:rFonts w:ascii="Arial" w:hAnsi="Arial" w:cs="Arial"/>
          <w:lang w:val="es-ES"/>
        </w:rPr>
        <w:t xml:space="preserve">El término </w:t>
      </w:r>
      <w:r w:rsidRPr="6F103272" w:rsidR="00715D7F">
        <w:rPr>
          <w:rFonts w:ascii="Arial" w:hAnsi="Arial" w:cs="Arial"/>
          <w:lang w:val="es-ES"/>
        </w:rPr>
        <w:t>“e</w:t>
      </w:r>
      <w:r w:rsidRPr="6F103272" w:rsidR="00D47ACF">
        <w:rPr>
          <w:rFonts w:ascii="Arial" w:hAnsi="Arial" w:cs="Arial"/>
          <w:lang w:val="es-ES"/>
        </w:rPr>
        <w:t>ventos de personas en situación migratoria irregular</w:t>
      </w:r>
      <w:r w:rsidRPr="6F103272" w:rsidR="00715D7F">
        <w:rPr>
          <w:rFonts w:ascii="Arial" w:hAnsi="Arial" w:cs="Arial"/>
          <w:lang w:val="es-ES"/>
        </w:rPr>
        <w:t>”</w:t>
      </w:r>
      <w:r w:rsidRPr="6F103272" w:rsidR="00D47ACF">
        <w:rPr>
          <w:rFonts w:ascii="Arial" w:hAnsi="Arial" w:cs="Arial"/>
          <w:lang w:val="es-ES"/>
        </w:rPr>
        <w:t xml:space="preserve"> hace referencia al número de procedimientos administrativos migratorios iniciados por el Instituto Nacional de Migración (INM). Este procedimiento se activa cuando el INM ejerce sus facultades de (1) control migratorio, al supervisar el ingreso o salida de personas del país, o al inspeccionar medios de transporte, (2) verificación, cuando los permisos migratorios han vencido o cuando se deben confirmar los datos proporcionados, por ejemplo ante denuncias penales contra personas no nacionales y (3) revisión migratoria, en cualquier otro caso donde sea necesario determinar la situación migratoria de una persona en el territorio nacional.</w:t>
      </w:r>
    </w:p>
    <w:p w:rsidR="001963DE" w:rsidP="001963DE" w:rsidRDefault="00004C52" w14:paraId="5F7BDE3E" w14:textId="6C085B13">
      <w:pPr>
        <w:spacing w:before="240" w:after="240"/>
        <w:rPr>
          <w:rFonts w:ascii="Arial" w:hAnsi="Arial" w:cs="Arial"/>
          <w:lang w:val="es-ES_tradnl"/>
        </w:rPr>
      </w:pPr>
      <w:r>
        <w:rPr>
          <w:rFonts w:ascii="Arial" w:hAnsi="Arial" w:cs="Arial"/>
          <w:lang w:val="es-ES_tradnl"/>
        </w:rPr>
        <w:t xml:space="preserve">En específico, la </w:t>
      </w:r>
      <w:r w:rsidR="00AF25FD">
        <w:rPr>
          <w:rFonts w:ascii="Arial" w:hAnsi="Arial" w:cs="Arial"/>
          <w:lang w:val="es-ES_tradnl"/>
        </w:rPr>
        <w:t xml:space="preserve">gráfica muestra cómo hay una tendencia creciente en el número </w:t>
      </w:r>
      <w:r w:rsidRPr="00D47ACF" w:rsidR="00D47ACF">
        <w:rPr>
          <w:rFonts w:ascii="Arial" w:hAnsi="Arial" w:cs="Arial"/>
          <w:lang w:val="es-ES_tradnl"/>
        </w:rPr>
        <w:t>de ingresos y salidas de personas migrantes en México, así como estancias irregulares de personas migrantes observadas desde 2023. La cifra de 361.549 eventos reportados para el segundo trimestre (T2) de 2024 es la más alta en la historia registrada, siendo casi tres veces mayor a la del mismo periodo de 2023.</w:t>
      </w:r>
    </w:p>
    <w:p w:rsidRPr="00970B04" w:rsidR="005D2A06" w:rsidP="001963DE" w:rsidRDefault="005D2A06" w14:paraId="511CC3C9" w14:textId="208F5195">
      <w:pPr>
        <w:spacing w:before="240" w:after="240"/>
        <w:rPr>
          <w:rFonts w:ascii="Arial" w:hAnsi="Arial" w:cs="Arial"/>
          <w:lang w:val="es-ES_tradnl"/>
        </w:rPr>
      </w:pPr>
      <w:r>
        <w:rPr>
          <w:rFonts w:ascii="Arial" w:hAnsi="Arial" w:cs="Arial"/>
          <w:lang w:val="es-ES_tradnl"/>
        </w:rPr>
        <w:t>(Consulta la fuente con la que se realizó la gráfica en el siguiente enlace</w:t>
      </w:r>
      <w:r>
        <w:rPr>
          <w:rFonts w:ascii="Arial" w:hAnsi="Arial" w:cs="Arial"/>
          <w:lang w:val="es-ES_tradnl"/>
        </w:rPr>
        <w:t xml:space="preserve"> </w:t>
      </w:r>
      <w:hyperlink w:history="1" r:id="rId24">
        <w:r w:rsidRPr="00635363">
          <w:rPr>
            <w:rStyle w:val="Hipervnculo"/>
            <w:rFonts w:ascii="Arial" w:hAnsi="Arial" w:cs="Arial"/>
            <w:lang w:val="es-ES_tradnl"/>
          </w:rPr>
          <w:t>https://mexico.iom.int/sites/g/files/tmzbdl1686/files/documents/2024-09/2409-t2-boletin-de-estadisticas-migratorias-para-mexico.pdf</w:t>
        </w:r>
      </w:hyperlink>
      <w:r>
        <w:rPr>
          <w:rFonts w:ascii="Arial" w:hAnsi="Arial" w:cs="Arial"/>
          <w:lang w:val="es-ES_tradnl"/>
        </w:rPr>
        <w:t xml:space="preserve">). </w:t>
      </w:r>
    </w:p>
    <w:p w:rsidRPr="00796A5A" w:rsidR="001963DE" w:rsidP="00796A5A" w:rsidRDefault="00796A5A" w14:paraId="3DB7A1FF" w14:textId="5A1C5106">
      <w:pPr>
        <w:pStyle w:val="Prrafodelista"/>
        <w:numPr>
          <w:ilvl w:val="0"/>
          <w:numId w:val="3"/>
        </w:numPr>
        <w:spacing w:before="240" w:after="240"/>
        <w:rPr>
          <w:rFonts w:ascii="Arial" w:hAnsi="Arial" w:cs="Arial"/>
          <w:b/>
          <w:bCs/>
          <w:lang w:val="es-ES_tradnl"/>
        </w:rPr>
      </w:pPr>
      <w:r w:rsidRPr="00796A5A">
        <w:rPr>
          <w:rFonts w:ascii="Arial" w:hAnsi="Arial" w:cs="Arial"/>
          <w:b/>
          <w:bCs/>
          <w:lang w:val="es-ES_tradnl"/>
        </w:rPr>
        <w:t>Eventos de devoluciones por la autoridad migratoria mexicana, por trimestre, 2021-2024 (junio)</w:t>
      </w:r>
    </w:p>
    <w:p w:rsidRPr="00970B04" w:rsidR="005D2A06" w:rsidP="001963DE" w:rsidRDefault="00796A5A" w14:paraId="67899F43" w14:textId="0D9CBFB7">
      <w:pPr>
        <w:spacing w:before="240" w:after="240"/>
        <w:rPr>
          <w:rFonts w:ascii="Arial" w:hAnsi="Arial" w:cs="Arial"/>
          <w:lang w:val="es-ES_tradnl"/>
        </w:rPr>
      </w:pPr>
      <w:r>
        <w:rPr>
          <w:rFonts w:ascii="Arial" w:hAnsi="Arial" w:cs="Arial"/>
          <w:lang w:val="es-ES_tradnl"/>
        </w:rPr>
        <w:t xml:space="preserve">La gráfica muestra cómo desde </w:t>
      </w:r>
      <w:r w:rsidRPr="00796A5A">
        <w:rPr>
          <w:rFonts w:ascii="Arial" w:hAnsi="Arial" w:cs="Arial"/>
          <w:lang w:val="es-ES_tradnl"/>
        </w:rPr>
        <w:t>el 2023 se ha registrado una disminución sostenida en el número de personas migrantes devueltas por las autoridades mexicanas. Los números muestran que entre el segundo trimestre de 2022 y el segundo trimestre de 2023 hay una reducción de 78% en las devoluciones. Esta tendencia ha continuado, pues entre el segundo trimestre de 2023 y el segundo trimestre del 2024 hay una reducción del 32%</w:t>
      </w:r>
      <w:r w:rsidR="0002278F">
        <w:rPr>
          <w:rFonts w:ascii="Arial" w:hAnsi="Arial" w:cs="Arial"/>
          <w:lang w:val="es-ES_tradnl"/>
        </w:rPr>
        <w:t xml:space="preserve">. </w:t>
      </w:r>
    </w:p>
    <w:p w:rsidR="00931478" w:rsidP="005D2A06" w:rsidRDefault="005D2A06" w14:paraId="0A0B382D" w14:textId="77777777">
      <w:pPr>
        <w:spacing w:before="240" w:after="240"/>
        <w:rPr>
          <w:rFonts w:ascii="Arial" w:hAnsi="Arial" w:cs="Arial"/>
          <w:lang w:val="es-ES_tradnl"/>
        </w:rPr>
      </w:pPr>
      <w:r>
        <w:rPr>
          <w:rFonts w:ascii="Arial" w:hAnsi="Arial" w:cs="Arial"/>
          <w:lang w:val="es-ES_tradnl"/>
        </w:rPr>
        <w:t xml:space="preserve">(Consulta la fuente con la que se realizó la gráfica en el siguiente enlace </w:t>
      </w:r>
      <w:hyperlink w:history="1" r:id="rId25">
        <w:r w:rsidRPr="00635363" w:rsidR="00931478">
          <w:rPr>
            <w:rStyle w:val="Hipervnculo"/>
            <w:rFonts w:ascii="Arial" w:hAnsi="Arial" w:cs="Arial"/>
            <w:lang w:val="es-ES_tradnl"/>
          </w:rPr>
          <w:t>https://mexico.iom.int/sites/g/files/tmzbdl1686/files/documents/2024-09/2409-t2-boletin-de-estadisticas-migratorias-para-mexico.pdf</w:t>
        </w:r>
      </w:hyperlink>
      <w:r>
        <w:rPr>
          <w:rFonts w:ascii="Arial" w:hAnsi="Arial" w:cs="Arial"/>
          <w:lang w:val="es-ES_tradnl"/>
        </w:rPr>
        <w:t>)</w:t>
      </w:r>
      <w:r w:rsidR="00931478">
        <w:rPr>
          <w:rFonts w:ascii="Arial" w:hAnsi="Arial" w:cs="Arial"/>
          <w:lang w:val="es-ES_tradnl"/>
        </w:rPr>
        <w:t xml:space="preserve">. </w:t>
      </w:r>
    </w:p>
    <w:p w:rsidRPr="00BB140E" w:rsidR="00BB140E" w:rsidP="00BB140E" w:rsidRDefault="00BB140E" w14:paraId="5E262F69" w14:textId="2F163A73">
      <w:pPr>
        <w:pStyle w:val="Prrafodelista"/>
        <w:numPr>
          <w:ilvl w:val="0"/>
          <w:numId w:val="3"/>
        </w:numPr>
        <w:spacing w:before="240" w:after="240"/>
        <w:rPr>
          <w:rFonts w:ascii="Arial" w:hAnsi="Arial" w:cs="Arial"/>
          <w:b/>
          <w:bCs/>
          <w:lang w:val="es-ES_tradnl"/>
        </w:rPr>
      </w:pPr>
      <w:r w:rsidRPr="00BB140E">
        <w:rPr>
          <w:rFonts w:ascii="Arial" w:hAnsi="Arial" w:cs="Arial"/>
          <w:b/>
          <w:bCs/>
          <w:lang w:val="es-ES_tradnl"/>
        </w:rPr>
        <w:lastRenderedPageBreak/>
        <w:t xml:space="preserve">Número de orientaciones, asesorías y representaciones en materia de migración ofrecidas por el Instituto Federal de la Defensoría Pública </w:t>
      </w:r>
      <w:r>
        <w:rPr>
          <w:rFonts w:ascii="Arial" w:hAnsi="Arial" w:cs="Arial"/>
          <w:b/>
          <w:bCs/>
          <w:lang w:val="es-ES_tradnl"/>
        </w:rPr>
        <w:t xml:space="preserve">del </w:t>
      </w:r>
      <w:r w:rsidRPr="00BB140E">
        <w:rPr>
          <w:rFonts w:ascii="Arial" w:hAnsi="Arial" w:cs="Arial"/>
          <w:b/>
          <w:bCs/>
          <w:lang w:val="es-ES_tradnl"/>
        </w:rPr>
        <w:t>2017</w:t>
      </w:r>
      <w:r>
        <w:rPr>
          <w:rFonts w:ascii="Arial" w:hAnsi="Arial" w:cs="Arial"/>
          <w:b/>
          <w:bCs/>
          <w:lang w:val="es-ES_tradnl"/>
        </w:rPr>
        <w:t xml:space="preserve"> al </w:t>
      </w:r>
      <w:r w:rsidRPr="00BB140E">
        <w:rPr>
          <w:rFonts w:ascii="Arial" w:hAnsi="Arial" w:cs="Arial"/>
          <w:b/>
          <w:bCs/>
          <w:lang w:val="es-ES_tradnl"/>
        </w:rPr>
        <w:t>2024</w:t>
      </w:r>
    </w:p>
    <w:p w:rsidR="00282B41" w:rsidP="005D2A06" w:rsidRDefault="00B43CC9" w14:paraId="32A4BB07" w14:textId="77777777">
      <w:pPr>
        <w:spacing w:before="240" w:after="240"/>
        <w:rPr>
          <w:rFonts w:ascii="Arial" w:hAnsi="Arial" w:cs="Arial"/>
          <w:lang w:val="es-ES_tradnl"/>
        </w:rPr>
      </w:pPr>
      <w:r>
        <w:rPr>
          <w:rFonts w:ascii="Arial" w:hAnsi="Arial" w:cs="Arial"/>
          <w:lang w:val="es-ES_tradnl"/>
        </w:rPr>
        <w:t xml:space="preserve">El gráfico muestra cómo en los últimos 8 años se presenta una tendencia en aumento </w:t>
      </w:r>
      <w:r w:rsidR="00282B41">
        <w:rPr>
          <w:rFonts w:ascii="Arial" w:hAnsi="Arial" w:cs="Arial"/>
          <w:lang w:val="es-ES_tradnl"/>
        </w:rPr>
        <w:t>r</w:t>
      </w:r>
      <w:r w:rsidRPr="00282B41" w:rsidR="00282B41">
        <w:rPr>
          <w:rFonts w:ascii="Arial" w:hAnsi="Arial" w:cs="Arial"/>
          <w:lang w:val="es-ES_tradnl"/>
        </w:rPr>
        <w:t xml:space="preserve">especto al número de servicios ofrecidos por la Defensoría a personas migrantes, alcanzando su pico en 2023, así como una notable diferencia entre el número de representaciones frente al número asesorías de y orientaciones durante este periodo. Los servicios ofrecidos consisten en orientaciones, asesorías y representaciones significan: </w:t>
      </w:r>
    </w:p>
    <w:p w:rsidR="00282B41" w:rsidP="00282B41" w:rsidRDefault="00282B41" w14:paraId="67260969" w14:textId="0C2C00E9">
      <w:pPr>
        <w:pStyle w:val="Prrafodelista"/>
        <w:numPr>
          <w:ilvl w:val="0"/>
          <w:numId w:val="4"/>
        </w:numPr>
        <w:spacing w:before="240" w:after="240"/>
        <w:rPr>
          <w:rFonts w:ascii="Arial" w:hAnsi="Arial" w:cs="Arial"/>
          <w:lang w:val="es-ES_tradnl"/>
        </w:rPr>
      </w:pPr>
      <w:r w:rsidRPr="00282B41">
        <w:rPr>
          <w:rFonts w:ascii="Arial" w:hAnsi="Arial" w:cs="Arial"/>
          <w:b/>
          <w:bCs/>
          <w:lang w:val="es-ES_tradnl"/>
        </w:rPr>
        <w:t>Orientación:</w:t>
      </w:r>
      <w:r w:rsidRPr="00282B41">
        <w:rPr>
          <w:rFonts w:ascii="Arial" w:hAnsi="Arial" w:cs="Arial"/>
          <w:lang w:val="es-ES_tradnl"/>
        </w:rPr>
        <w:t xml:space="preserve"> Informar a la persona en casos de que la defensoría no sea competente en el asunto planteado y canalizar con la autoridad</w:t>
      </w:r>
      <w:r>
        <w:rPr>
          <w:rFonts w:ascii="Arial" w:hAnsi="Arial" w:cs="Arial"/>
          <w:lang w:val="es-ES_tradnl"/>
        </w:rPr>
        <w:t xml:space="preserve"> </w:t>
      </w:r>
      <w:r w:rsidRPr="00282B41">
        <w:rPr>
          <w:rFonts w:ascii="Arial" w:hAnsi="Arial" w:cs="Arial"/>
          <w:lang w:val="es-ES_tradnl"/>
        </w:rPr>
        <w:t xml:space="preserve">correspondiente. </w:t>
      </w:r>
    </w:p>
    <w:p w:rsidR="00282B41" w:rsidP="00282B41" w:rsidRDefault="00282B41" w14:paraId="7C823837" w14:textId="77777777">
      <w:pPr>
        <w:pStyle w:val="Prrafodelista"/>
        <w:numPr>
          <w:ilvl w:val="0"/>
          <w:numId w:val="4"/>
        </w:numPr>
        <w:spacing w:before="240" w:after="240"/>
        <w:rPr>
          <w:rFonts w:ascii="Arial" w:hAnsi="Arial" w:cs="Arial"/>
          <w:lang w:val="es-ES_tradnl"/>
        </w:rPr>
      </w:pPr>
      <w:r w:rsidRPr="00282B41">
        <w:rPr>
          <w:rFonts w:ascii="Arial" w:hAnsi="Arial" w:cs="Arial"/>
          <w:b/>
          <w:bCs/>
          <w:lang w:val="es-ES_tradnl"/>
        </w:rPr>
        <w:t>Asesoría:</w:t>
      </w:r>
      <w:r w:rsidRPr="00282B41">
        <w:rPr>
          <w:rFonts w:ascii="Arial" w:hAnsi="Arial" w:cs="Arial"/>
          <w:lang w:val="es-ES_tradnl"/>
        </w:rPr>
        <w:t xml:space="preserve"> Se brinda información cuando el caso es de la competencia del Instituto, pero no es viable la intervención legal y procesal por algún motivo. </w:t>
      </w:r>
    </w:p>
    <w:p w:rsidRPr="00282B41" w:rsidR="00282B41" w:rsidP="00282B41" w:rsidRDefault="00282B41" w14:paraId="4B66AF58" w14:textId="1FD58D27">
      <w:pPr>
        <w:pStyle w:val="Prrafodelista"/>
        <w:numPr>
          <w:ilvl w:val="0"/>
          <w:numId w:val="4"/>
        </w:numPr>
        <w:spacing w:before="240" w:after="240"/>
        <w:rPr>
          <w:rFonts w:ascii="Arial" w:hAnsi="Arial" w:cs="Arial"/>
          <w:lang w:val="es-ES_tradnl"/>
        </w:rPr>
      </w:pPr>
      <w:r w:rsidRPr="00282B41">
        <w:rPr>
          <w:rFonts w:ascii="Arial" w:hAnsi="Arial" w:cs="Arial"/>
          <w:b/>
          <w:bCs/>
          <w:lang w:val="es-ES_tradnl"/>
        </w:rPr>
        <w:t>Representación:</w:t>
      </w:r>
      <w:r w:rsidRPr="00282B41">
        <w:rPr>
          <w:rFonts w:ascii="Arial" w:hAnsi="Arial" w:cs="Arial"/>
          <w:lang w:val="es-ES_tradnl"/>
        </w:rPr>
        <w:t xml:space="preserve"> Es el patrocinio legal que se otorga a la persona que solicita la prestación del servicio</w:t>
      </w:r>
      <w:r>
        <w:rPr>
          <w:rFonts w:ascii="Arial" w:hAnsi="Arial" w:cs="Arial"/>
          <w:lang w:val="es-ES_tradnl"/>
        </w:rPr>
        <w:t xml:space="preserve">. </w:t>
      </w:r>
    </w:p>
    <w:p w:rsidR="00420C78" w:rsidP="00420C78" w:rsidRDefault="00420C78" w14:paraId="5683427A" w14:textId="78254555">
      <w:pPr>
        <w:spacing w:before="240" w:after="240"/>
        <w:rPr>
          <w:rFonts w:ascii="Arial" w:hAnsi="Arial" w:cs="Arial"/>
          <w:lang w:val="es-ES_tradnl"/>
        </w:rPr>
      </w:pPr>
      <w:r w:rsidRPr="00420C78">
        <w:rPr>
          <w:rFonts w:ascii="Arial" w:hAnsi="Arial" w:cs="Arial"/>
          <w:lang w:val="es-ES_tradnl"/>
        </w:rPr>
        <w:t xml:space="preserve">(Consulta la fuente con la que se realizó la gráfica en el siguiente enlace </w:t>
      </w:r>
      <w:hyperlink w:history="1" r:id="rId26">
        <w:r w:rsidRPr="00635363">
          <w:rPr>
            <w:rStyle w:val="Hipervnculo"/>
            <w:rFonts w:ascii="Arial" w:hAnsi="Arial" w:cs="Arial"/>
            <w:lang w:val="es-ES_tradnl"/>
          </w:rPr>
          <w:t>https://tbinternet.ohchr.org/_layouts/15/treatybodyexternal/Download.aspx?symbolno=INT%2FCMW%2FADR%2FMEX%2F59668&amp;Lang=en</w:t>
        </w:r>
      </w:hyperlink>
      <w:r w:rsidRPr="00420C78">
        <w:rPr>
          <w:rFonts w:ascii="Arial" w:hAnsi="Arial" w:cs="Arial"/>
          <w:lang w:val="es-ES_tradnl"/>
        </w:rPr>
        <w:t>).</w:t>
      </w:r>
    </w:p>
    <w:p w:rsidR="007768A3" w:rsidP="007768A3" w:rsidRDefault="007768A3" w14:paraId="6BF10459" w14:textId="77777777">
      <w:pPr>
        <w:rPr>
          <w:rFonts w:ascii="Arial" w:hAnsi="Arial" w:cs="Arial"/>
          <w:lang w:val="es-ES_tradnl"/>
        </w:rPr>
      </w:pPr>
    </w:p>
    <w:p w:rsidR="007768A3" w:rsidRDefault="007768A3" w14:paraId="079E476B" w14:textId="77777777">
      <w:pPr>
        <w:rPr>
          <w:rFonts w:ascii="Arial" w:hAnsi="Arial" w:cs="Arial"/>
          <w:lang w:val="es-ES_tradnl"/>
        </w:rPr>
      </w:pPr>
      <w:r>
        <w:rPr>
          <w:rFonts w:ascii="Arial" w:hAnsi="Arial" w:cs="Arial"/>
          <w:lang w:val="es-ES_tradnl"/>
        </w:rPr>
        <w:br w:type="page"/>
      </w:r>
    </w:p>
    <w:p w:rsidR="007768A3" w:rsidP="007768A3" w:rsidRDefault="007768A3" w14:paraId="0770CF84" w14:textId="77777777">
      <w:pPr>
        <w:pStyle w:val="Ttulo1"/>
        <w:rPr>
          <w:lang w:val="es-ES_tradnl"/>
        </w:rPr>
      </w:pPr>
      <w:r w:rsidRPr="007768A3">
        <w:rPr>
          <w:lang w:val="es-ES_tradnl"/>
        </w:rPr>
        <w:lastRenderedPageBreak/>
        <w:t xml:space="preserve">Panorama internacional   </w:t>
      </w:r>
    </w:p>
    <w:p w:rsidR="0087625A" w:rsidP="007768A3" w:rsidRDefault="007768A3" w14:paraId="3A0593F1" w14:textId="78E1F40B">
      <w:pPr>
        <w:rPr>
          <w:rFonts w:ascii="Arial" w:hAnsi="Arial" w:cs="Arial"/>
          <w:lang w:val="es-ES_tradnl"/>
        </w:rPr>
      </w:pPr>
      <w:r w:rsidRPr="007768A3">
        <w:rPr>
          <w:rFonts w:ascii="Arial" w:hAnsi="Arial" w:cs="Arial"/>
          <w:lang w:val="es-ES_tradnl"/>
        </w:rPr>
        <w:t>En este apartado del boletín, cuarta hoja, se da cuenta de informes y sentencias sobre temas relacionados</w:t>
      </w:r>
      <w:r w:rsidRPr="007768A3">
        <w:rPr>
          <w:rFonts w:ascii="Arial" w:hAnsi="Arial" w:cs="Arial"/>
          <w:lang w:val="es-ES_tradnl"/>
        </w:rPr>
        <w:t xml:space="preserve"> </w:t>
      </w:r>
      <w:r>
        <w:rPr>
          <w:rFonts w:ascii="Arial" w:hAnsi="Arial" w:cs="Arial"/>
          <w:lang w:val="es-ES_tradnl"/>
        </w:rPr>
        <w:t>con</w:t>
      </w:r>
      <w:r w:rsidRPr="007768A3">
        <w:rPr>
          <w:rFonts w:ascii="Arial" w:hAnsi="Arial" w:cs="Arial"/>
          <w:lang w:val="es-ES_tradnl"/>
        </w:rPr>
        <w:t xml:space="preserve"> </w:t>
      </w:r>
      <w:r w:rsidRPr="007768A3">
        <w:rPr>
          <w:rFonts w:ascii="Arial" w:hAnsi="Arial" w:cs="Arial"/>
          <w:b/>
          <w:bCs/>
          <w:lang w:val="es-ES_tradnl"/>
        </w:rPr>
        <w:t>la movilidad humana</w:t>
      </w:r>
      <w:r w:rsidRPr="007768A3">
        <w:rPr>
          <w:rFonts w:ascii="Arial" w:hAnsi="Arial" w:cs="Arial"/>
          <w:lang w:val="es-ES_tradnl"/>
        </w:rPr>
        <w:t xml:space="preserve"> por órganos de los sistemas internacional e interamericano de derechos humanos.  </w:t>
      </w:r>
    </w:p>
    <w:p w:rsidR="00420C78" w:rsidP="00D34444" w:rsidRDefault="00B352E2" w14:paraId="29E49A92" w14:textId="7CC09A36">
      <w:pPr>
        <w:pStyle w:val="Prrafodelista"/>
        <w:numPr>
          <w:ilvl w:val="0"/>
          <w:numId w:val="6"/>
        </w:numPr>
        <w:spacing w:before="240" w:after="240"/>
        <w:rPr>
          <w:rFonts w:ascii="Arial" w:hAnsi="Arial" w:cs="Arial"/>
          <w:lang w:val="es-ES_tradnl"/>
        </w:rPr>
      </w:pPr>
      <w:r w:rsidRPr="00D34444">
        <w:rPr>
          <w:rFonts w:ascii="Arial" w:hAnsi="Arial" w:cs="Arial"/>
          <w:lang w:val="es-ES_tradnl"/>
        </w:rPr>
        <w:t xml:space="preserve">El pasado 30 de diciembre de 2024 la CIDH publicó su </w:t>
      </w:r>
      <w:r w:rsidRPr="00D34444">
        <w:rPr>
          <w:rFonts w:ascii="Arial" w:hAnsi="Arial" w:cs="Arial"/>
          <w:b/>
          <w:bCs/>
          <w:lang w:val="es-ES_tradnl"/>
        </w:rPr>
        <w:t>resolución no. 2/24 sobre movilidad humana inducida por el cambio climático.</w:t>
      </w:r>
      <w:r w:rsidRPr="00D34444">
        <w:rPr>
          <w:rFonts w:ascii="Arial" w:hAnsi="Arial" w:cs="Arial"/>
          <w:lang w:val="es-ES_tradnl"/>
        </w:rPr>
        <w:t xml:space="preserve"> La resolución aborda este fenómeno para orientar a los Estados de la región en el desarrollo de legislación y políticas públicas para la protección de las personas en contexto de movilidad. Destaca, entre todo el contenido, el apartado sobre medidas destinadas a la protección y asistencia frente a la inmovilidad, la migración o el desplazamiento.</w:t>
      </w:r>
    </w:p>
    <w:p w:rsidRPr="001F1471" w:rsidR="001F1471" w:rsidP="00DE5A99" w:rsidRDefault="00DE5A99" w14:paraId="484C401A" w14:textId="1D29D8F0">
      <w:pPr>
        <w:spacing w:before="240" w:after="240"/>
        <w:ind w:left="708"/>
        <w:rPr>
          <w:rFonts w:ascii="Arial" w:hAnsi="Arial" w:cs="Arial"/>
          <w:lang w:val="es-ES_tradnl"/>
        </w:rPr>
      </w:pPr>
      <w:r>
        <w:rPr>
          <w:rFonts w:ascii="Arial" w:hAnsi="Arial" w:cs="Arial"/>
          <w:lang w:val="es-ES_tradnl"/>
        </w:rPr>
        <w:t xml:space="preserve">(Para conocer más sobre </w:t>
      </w:r>
      <w:r w:rsidR="00144295">
        <w:rPr>
          <w:rFonts w:ascii="Arial" w:hAnsi="Arial" w:cs="Arial"/>
          <w:lang w:val="es-ES_tradnl"/>
        </w:rPr>
        <w:t>la resolución sobre movilidad humana</w:t>
      </w:r>
      <w:r>
        <w:rPr>
          <w:rFonts w:ascii="Arial" w:hAnsi="Arial" w:cs="Arial"/>
          <w:lang w:val="es-ES_tradnl"/>
        </w:rPr>
        <w:t xml:space="preserve">, consulta el siguiente enlace </w:t>
      </w:r>
      <w:hyperlink w:history="1" r:id="rId27">
        <w:r w:rsidRPr="00635363" w:rsidR="00144295">
          <w:rPr>
            <w:rStyle w:val="Hipervnculo"/>
            <w:rFonts w:ascii="Arial" w:hAnsi="Arial" w:cs="Arial"/>
            <w:lang w:val="es-ES_tradnl"/>
          </w:rPr>
          <w:t>https://www.oas.org/es/CIDH/jsForm/?File=/es/cidh/prensa/comunicados/2024/330.asp&amp;utm_content=country-blz</w:t>
        </w:r>
      </w:hyperlink>
      <w:r>
        <w:rPr>
          <w:rFonts w:ascii="Arial" w:hAnsi="Arial" w:cs="Arial"/>
          <w:lang w:val="es-ES_tradnl"/>
        </w:rPr>
        <w:t>)</w:t>
      </w:r>
      <w:r w:rsidR="00144295">
        <w:rPr>
          <w:rFonts w:ascii="Arial" w:hAnsi="Arial" w:cs="Arial"/>
          <w:lang w:val="es-ES_tradnl"/>
        </w:rPr>
        <w:t xml:space="preserve">. </w:t>
      </w:r>
    </w:p>
    <w:p w:rsidRPr="00DE5A99" w:rsidR="00DE5A99" w:rsidP="6F103272" w:rsidRDefault="0006773E" w14:paraId="5ADC7FB3" w14:textId="1DB3CD76" w14:noSpellErr="1">
      <w:pPr>
        <w:pStyle w:val="Prrafodelista"/>
        <w:numPr>
          <w:ilvl w:val="0"/>
          <w:numId w:val="6"/>
        </w:numPr>
        <w:spacing w:before="240" w:after="240"/>
        <w:rPr>
          <w:rFonts w:ascii="Arial" w:hAnsi="Arial" w:cs="Arial"/>
          <w:lang w:val="es-ES"/>
        </w:rPr>
      </w:pPr>
      <w:r w:rsidRPr="6F103272" w:rsidR="0006773E">
        <w:rPr>
          <w:rFonts w:ascii="Arial" w:hAnsi="Arial" w:cs="Arial"/>
          <w:lang w:val="es-ES"/>
        </w:rPr>
        <w:t>E</w:t>
      </w:r>
      <w:r w:rsidRPr="6F103272" w:rsidR="0006773E">
        <w:rPr>
          <w:rFonts w:ascii="Arial" w:hAnsi="Arial" w:cs="Arial"/>
          <w:lang w:val="es-ES"/>
        </w:rPr>
        <w:t xml:space="preserve">n mayo de 2025, </w:t>
      </w:r>
      <w:r w:rsidRPr="6F103272" w:rsidR="0006773E">
        <w:rPr>
          <w:rFonts w:ascii="Arial" w:hAnsi="Arial" w:cs="Arial"/>
          <w:b w:val="1"/>
          <w:bCs w:val="1"/>
          <w:lang w:val="es-ES"/>
        </w:rPr>
        <w:t>e</w:t>
      </w:r>
      <w:r w:rsidRPr="6F103272" w:rsidR="0006773E">
        <w:rPr>
          <w:rFonts w:ascii="Arial" w:hAnsi="Arial" w:cs="Arial"/>
          <w:b w:val="1"/>
          <w:bCs w:val="1"/>
          <w:lang w:val="es-ES"/>
        </w:rPr>
        <w:t xml:space="preserve">l Alto Comisionado de la ONU </w:t>
      </w:r>
      <w:r w:rsidRPr="6F103272" w:rsidR="0006773E">
        <w:rPr>
          <w:rFonts w:ascii="Arial" w:hAnsi="Arial" w:cs="Arial"/>
          <w:b w:val="1"/>
          <w:bCs w:val="1"/>
          <w:lang w:val="es-ES"/>
        </w:rPr>
        <w:t>denunció</w:t>
      </w:r>
      <w:r w:rsidRPr="6F103272" w:rsidR="0006773E">
        <w:rPr>
          <w:rFonts w:ascii="Arial" w:hAnsi="Arial" w:cs="Arial"/>
          <w:b w:val="1"/>
          <w:bCs w:val="1"/>
          <w:lang w:val="es-ES"/>
        </w:rPr>
        <w:t xml:space="preserve"> </w:t>
      </w:r>
      <w:r w:rsidRPr="6F103272" w:rsidR="0006773E">
        <w:rPr>
          <w:rFonts w:ascii="Arial" w:hAnsi="Arial" w:cs="Arial"/>
          <w:b w:val="1"/>
          <w:bCs w:val="1"/>
          <w:lang w:val="es-ES"/>
        </w:rPr>
        <w:t>que los planes del Estado de Israel de desplazar forzosamente a la población de Gaza</w:t>
      </w:r>
      <w:r w:rsidRPr="6F103272" w:rsidR="0006773E">
        <w:rPr>
          <w:rFonts w:ascii="Arial" w:hAnsi="Arial" w:cs="Arial"/>
          <w:lang w:val="es-ES"/>
        </w:rPr>
        <w:t>, junto con amenazas de deportación, crearían condiciones inviables para la vida palestina. Tras 20 meses de ofensiva, solo persisten muertes civiles y destrucción. El bloqueo, con ataques a infraestructura alimentaria, podría ser un crimen de guerra. Exige cumplir las resoluciones de la Corte Internacional de Justicia.</w:t>
      </w:r>
    </w:p>
    <w:p w:rsidRPr="00DE5A99" w:rsidR="00DE5A99" w:rsidP="00DE5A99" w:rsidRDefault="00DE5A99" w14:paraId="774848B0" w14:textId="232DB6BD">
      <w:pPr>
        <w:spacing w:before="240" w:after="240"/>
        <w:ind w:left="708"/>
        <w:rPr>
          <w:rFonts w:ascii="Arial" w:hAnsi="Arial" w:cs="Arial"/>
          <w:lang w:val="es-ES_tradnl"/>
        </w:rPr>
      </w:pPr>
      <w:r>
        <w:rPr>
          <w:rFonts w:ascii="Arial" w:hAnsi="Arial" w:cs="Arial"/>
          <w:lang w:val="es-ES_tradnl"/>
        </w:rPr>
        <w:t xml:space="preserve">(Para conocer más sobre </w:t>
      </w:r>
      <w:r w:rsidR="00E4557D">
        <w:rPr>
          <w:rFonts w:ascii="Arial" w:hAnsi="Arial" w:cs="Arial"/>
          <w:lang w:val="es-ES_tradnl"/>
        </w:rPr>
        <w:t>el comunicado de prensa del Alto Comisionado</w:t>
      </w:r>
      <w:r>
        <w:rPr>
          <w:rFonts w:ascii="Arial" w:hAnsi="Arial" w:cs="Arial"/>
          <w:lang w:val="es-ES_tradnl"/>
        </w:rPr>
        <w:t xml:space="preserve">, consulta el siguiente enlace </w:t>
      </w:r>
      <w:hyperlink w:history="1" r:id="rId28">
        <w:r w:rsidRPr="00635363" w:rsidR="00E4557D">
          <w:rPr>
            <w:rStyle w:val="Hipervnculo"/>
            <w:rFonts w:ascii="Arial" w:hAnsi="Arial" w:cs="Arial"/>
            <w:lang w:val="es-ES_tradnl"/>
          </w:rPr>
          <w:t>https://www.ohchr.org/es/press-releases/2025/05/turk-israeli-plans-expand-gaza-offensive-aggravate-concerns-regarding</w:t>
        </w:r>
      </w:hyperlink>
      <w:r>
        <w:rPr>
          <w:rFonts w:ascii="Arial" w:hAnsi="Arial" w:cs="Arial"/>
          <w:lang w:val="es-ES_tradnl"/>
        </w:rPr>
        <w:t>)</w:t>
      </w:r>
      <w:r w:rsidR="00E4557D">
        <w:rPr>
          <w:rFonts w:ascii="Arial" w:hAnsi="Arial" w:cs="Arial"/>
          <w:lang w:val="es-ES_tradnl"/>
        </w:rPr>
        <w:t xml:space="preserve">. </w:t>
      </w:r>
    </w:p>
    <w:p w:rsidRPr="00DE5A99" w:rsidR="00DE5A99" w:rsidP="00DE5A99" w:rsidRDefault="008C27D3" w14:paraId="54A338BB" w14:textId="7C6E1477">
      <w:pPr>
        <w:pStyle w:val="Prrafodelista"/>
        <w:numPr>
          <w:ilvl w:val="0"/>
          <w:numId w:val="6"/>
        </w:numPr>
        <w:spacing w:before="240" w:after="240"/>
        <w:rPr>
          <w:rFonts w:ascii="Arial" w:hAnsi="Arial" w:cs="Arial"/>
          <w:lang w:val="es-ES_tradnl"/>
        </w:rPr>
      </w:pPr>
      <w:r>
        <w:rPr>
          <w:rFonts w:ascii="Arial" w:hAnsi="Arial" w:cs="Arial"/>
          <w:lang w:val="es-ES_tradnl"/>
        </w:rPr>
        <w:t>En mayo de 2025, la</w:t>
      </w:r>
      <w:r w:rsidRPr="008C27D3">
        <w:rPr>
          <w:rFonts w:ascii="Arial" w:hAnsi="Arial" w:cs="Arial"/>
          <w:lang w:val="es-ES_tradnl"/>
        </w:rPr>
        <w:t xml:space="preserve"> CIDH publicó su </w:t>
      </w:r>
      <w:r w:rsidRPr="008C27D3">
        <w:rPr>
          <w:rFonts w:ascii="Arial" w:hAnsi="Arial" w:cs="Arial"/>
          <w:b/>
          <w:bCs/>
          <w:lang w:val="es-ES_tradnl"/>
        </w:rPr>
        <w:t>primer informe temático dirigido a las personas con discapacidad</w:t>
      </w:r>
      <w:r w:rsidRPr="008C27D3">
        <w:rPr>
          <w:rFonts w:ascii="Arial" w:hAnsi="Arial" w:cs="Arial"/>
          <w:lang w:val="es-ES_tradnl"/>
        </w:rPr>
        <w:t xml:space="preserve"> en el que presenta un análisis sobre la situación regional que viven, los principales obstáculos para el respeto y protección de sus derechos, así como una serie de recomendaciones para superar estas problemáticas.</w:t>
      </w:r>
    </w:p>
    <w:p w:rsidRPr="00DE5A99" w:rsidR="00DE5A99" w:rsidP="00DE5A99" w:rsidRDefault="00DE5A99" w14:paraId="0D54B141" w14:textId="2B439264">
      <w:pPr>
        <w:spacing w:before="240" w:after="240"/>
        <w:ind w:left="708"/>
        <w:rPr>
          <w:rFonts w:ascii="Arial" w:hAnsi="Arial" w:cs="Arial"/>
          <w:lang w:val="es-ES_tradnl"/>
        </w:rPr>
      </w:pPr>
      <w:r>
        <w:rPr>
          <w:rFonts w:ascii="Arial" w:hAnsi="Arial" w:cs="Arial"/>
          <w:lang w:val="es-ES_tradnl"/>
        </w:rPr>
        <w:t xml:space="preserve">(Para conocer más sobre </w:t>
      </w:r>
      <w:r w:rsidR="00F7007F">
        <w:rPr>
          <w:rFonts w:ascii="Arial" w:hAnsi="Arial" w:cs="Arial"/>
          <w:lang w:val="es-ES_tradnl"/>
        </w:rPr>
        <w:t>el informe temático</w:t>
      </w:r>
      <w:r>
        <w:rPr>
          <w:rFonts w:ascii="Arial" w:hAnsi="Arial" w:cs="Arial"/>
          <w:lang w:val="es-ES_tradnl"/>
        </w:rPr>
        <w:t xml:space="preserve">, consulta el siguiente enlace </w:t>
      </w:r>
      <w:hyperlink w:history="1" r:id="rId29">
        <w:r w:rsidRPr="00635363" w:rsidR="00F7007F">
          <w:rPr>
            <w:rStyle w:val="Hipervnculo"/>
            <w:rFonts w:ascii="Arial" w:hAnsi="Arial" w:cs="Arial"/>
            <w:lang w:val="es-ES_tradnl"/>
          </w:rPr>
          <w:t>https://www.oas.org/es/CIDH/jsForm/?File=/es/cidh/prensa/comunicados/2025/100.asp&amp;utm_term=class-inft</w:t>
        </w:r>
      </w:hyperlink>
      <w:r>
        <w:rPr>
          <w:rFonts w:ascii="Arial" w:hAnsi="Arial" w:cs="Arial"/>
          <w:lang w:val="es-ES_tradnl"/>
        </w:rPr>
        <w:t>)</w:t>
      </w:r>
      <w:r w:rsidR="00F7007F">
        <w:rPr>
          <w:rFonts w:ascii="Arial" w:hAnsi="Arial" w:cs="Arial"/>
          <w:lang w:val="es-ES_tradnl"/>
        </w:rPr>
        <w:t xml:space="preserve">. </w:t>
      </w:r>
    </w:p>
    <w:p w:rsidRPr="00DE5A99" w:rsidR="00DE5A99" w:rsidP="00DE5A99" w:rsidRDefault="004517C4" w14:paraId="68B0F0A4" w14:textId="62F8EE7B">
      <w:pPr>
        <w:pStyle w:val="Prrafodelista"/>
        <w:numPr>
          <w:ilvl w:val="0"/>
          <w:numId w:val="6"/>
        </w:numPr>
        <w:spacing w:before="240" w:after="240"/>
        <w:rPr>
          <w:rFonts w:ascii="Arial" w:hAnsi="Arial" w:cs="Arial"/>
          <w:lang w:val="es-ES_tradnl"/>
        </w:rPr>
      </w:pPr>
      <w:r>
        <w:rPr>
          <w:rFonts w:ascii="Arial" w:hAnsi="Arial" w:cs="Arial"/>
          <w:lang w:val="es-ES_tradnl"/>
        </w:rPr>
        <w:lastRenderedPageBreak/>
        <w:t>En mayo de 2025, a</w:t>
      </w:r>
      <w:r w:rsidRPr="004517C4">
        <w:rPr>
          <w:rFonts w:ascii="Arial" w:hAnsi="Arial" w:cs="Arial"/>
          <w:lang w:val="es-ES_tradnl"/>
        </w:rPr>
        <w:t xml:space="preserve"> propósito del 1° de mayo de 2025, expertos independientes de la ONU y la CIDH instaron reconocer y garantizar el derecho al cuidado, mejorar condiciones laborales y seguridad social para los y las trabajadoras del sector.</w:t>
      </w:r>
      <w:r w:rsidR="00D874B0">
        <w:rPr>
          <w:rFonts w:ascii="Arial" w:hAnsi="Arial" w:cs="Arial"/>
          <w:lang w:val="es-ES_tradnl"/>
        </w:rPr>
        <w:t xml:space="preserve"> Esto se hizo a través de la </w:t>
      </w:r>
      <w:r w:rsidRPr="00717B06" w:rsidR="00D874B0">
        <w:rPr>
          <w:rFonts w:ascii="Arial" w:hAnsi="Arial" w:cs="Arial"/>
          <w:b/>
          <w:bCs/>
          <w:lang w:val="es-ES_tradnl"/>
        </w:rPr>
        <w:t>declaración conjunta por el reconocimiento del derecho al cuidado y la libertad de asociación de mujeres trabajadoras.</w:t>
      </w:r>
      <w:r w:rsidR="00D874B0">
        <w:rPr>
          <w:rFonts w:ascii="Arial" w:hAnsi="Arial" w:cs="Arial"/>
          <w:lang w:val="es-ES_tradnl"/>
        </w:rPr>
        <w:t xml:space="preserve"> </w:t>
      </w:r>
    </w:p>
    <w:p w:rsidRPr="00DE5A99" w:rsidR="00DE5A99" w:rsidP="00DE5A99" w:rsidRDefault="00DE5A99" w14:paraId="2CACBD00" w14:textId="00C7C834">
      <w:pPr>
        <w:spacing w:before="240" w:after="240"/>
        <w:ind w:left="708"/>
        <w:rPr>
          <w:rFonts w:ascii="Arial" w:hAnsi="Arial" w:cs="Arial"/>
          <w:lang w:val="es-ES_tradnl"/>
        </w:rPr>
      </w:pPr>
      <w:r>
        <w:rPr>
          <w:rFonts w:ascii="Arial" w:hAnsi="Arial" w:cs="Arial"/>
          <w:lang w:val="es-ES_tradnl"/>
        </w:rPr>
        <w:t xml:space="preserve">(Para conocer más sobre </w:t>
      </w:r>
      <w:r w:rsidR="008D077F">
        <w:rPr>
          <w:rFonts w:ascii="Arial" w:hAnsi="Arial" w:cs="Arial"/>
          <w:lang w:val="es-ES_tradnl"/>
        </w:rPr>
        <w:t>la declaración conjunta por el reconocimiento al derecho al cuidado</w:t>
      </w:r>
      <w:r>
        <w:rPr>
          <w:rFonts w:ascii="Arial" w:hAnsi="Arial" w:cs="Arial"/>
          <w:lang w:val="es-ES_tradnl"/>
        </w:rPr>
        <w:t xml:space="preserve">, consulta el siguiente enlace </w:t>
      </w:r>
      <w:hyperlink w:history="1" r:id="rId30">
        <w:r w:rsidRPr="00635363" w:rsidR="008D077F">
          <w:rPr>
            <w:rStyle w:val="Hipervnculo"/>
            <w:rFonts w:ascii="Arial" w:hAnsi="Arial" w:cs="Arial"/>
            <w:lang w:val="es-ES_tradnl"/>
          </w:rPr>
          <w:t>https://www.oas.org/es/CIDH/jsForm/?File=/es/cidh/prensa/comunicados/2025/086.asp&amp;utm_term=class-dc</w:t>
        </w:r>
      </w:hyperlink>
      <w:r>
        <w:rPr>
          <w:rFonts w:ascii="Arial" w:hAnsi="Arial" w:cs="Arial"/>
          <w:lang w:val="es-ES_tradnl"/>
        </w:rPr>
        <w:t>)</w:t>
      </w:r>
      <w:r w:rsidR="008D077F">
        <w:rPr>
          <w:rFonts w:ascii="Arial" w:hAnsi="Arial" w:cs="Arial"/>
          <w:lang w:val="es-ES_tradnl"/>
        </w:rPr>
        <w:t xml:space="preserve">. </w:t>
      </w:r>
    </w:p>
    <w:p w:rsidRPr="00DE5A99" w:rsidR="00DE5A99" w:rsidP="00DE5A99" w:rsidRDefault="00717B06" w14:paraId="726BB74B" w14:textId="55D18FF9">
      <w:pPr>
        <w:pStyle w:val="Prrafodelista"/>
        <w:numPr>
          <w:ilvl w:val="0"/>
          <w:numId w:val="6"/>
        </w:numPr>
        <w:spacing w:before="240" w:after="240"/>
        <w:rPr>
          <w:rFonts w:ascii="Arial" w:hAnsi="Arial" w:cs="Arial"/>
          <w:lang w:val="es-ES_tradnl"/>
        </w:rPr>
      </w:pPr>
      <w:r>
        <w:rPr>
          <w:rFonts w:ascii="Arial" w:hAnsi="Arial" w:cs="Arial"/>
          <w:lang w:val="es-ES_tradnl"/>
        </w:rPr>
        <w:t xml:space="preserve">En abril de 2025, </w:t>
      </w:r>
      <w:r w:rsidRPr="004360FE">
        <w:rPr>
          <w:rFonts w:ascii="Arial" w:hAnsi="Arial" w:cs="Arial"/>
          <w:b/>
          <w:bCs/>
          <w:lang w:val="es-ES_tradnl"/>
        </w:rPr>
        <w:t>la</w:t>
      </w:r>
      <w:r w:rsidRPr="004360FE">
        <w:rPr>
          <w:rFonts w:ascii="Arial" w:hAnsi="Arial" w:cs="Arial"/>
          <w:b/>
          <w:bCs/>
          <w:lang w:val="es-ES_tradnl"/>
        </w:rPr>
        <w:t xml:space="preserve"> CIDH publicó las Observaciones de su visita a Panamá, en el que detalló sus principales preocupaciones</w:t>
      </w:r>
      <w:r w:rsidRPr="00717B06">
        <w:rPr>
          <w:rFonts w:ascii="Arial" w:hAnsi="Arial" w:cs="Arial"/>
          <w:lang w:val="es-ES_tradnl"/>
        </w:rPr>
        <w:t xml:space="preserve">, especialmente sobre el desplazamiento interno y la migración internacional, y su impacto en los derechos humanos de la población. Por su parte, la Oficina del Alto Comisionado de Naciones Unidas para los Derechos Humanos implementó una </w:t>
      </w:r>
      <w:r w:rsidRPr="004360FE">
        <w:rPr>
          <w:rFonts w:ascii="Arial" w:hAnsi="Arial" w:cs="Arial"/>
          <w:b/>
          <w:bCs/>
          <w:lang w:val="es-ES_tradnl"/>
        </w:rPr>
        <w:t>campaña sobre la situación de derechos humanos de las personas migrantes y refugiadas en la región del Darién.</w:t>
      </w:r>
    </w:p>
    <w:p w:rsidRPr="001F1471" w:rsidR="00DE5A99" w:rsidP="00DE5A99" w:rsidRDefault="00DE5A99" w14:paraId="11AAC60B" w14:textId="3AA29E94">
      <w:pPr>
        <w:spacing w:before="240" w:after="240"/>
        <w:ind w:left="708"/>
        <w:rPr>
          <w:rFonts w:ascii="Arial" w:hAnsi="Arial" w:cs="Arial"/>
          <w:lang w:val="es-ES_tradnl"/>
        </w:rPr>
      </w:pPr>
      <w:r>
        <w:rPr>
          <w:rFonts w:ascii="Arial" w:hAnsi="Arial" w:cs="Arial"/>
          <w:lang w:val="es-ES_tradnl"/>
        </w:rPr>
        <w:t xml:space="preserve">(Para conocer más sobre </w:t>
      </w:r>
      <w:r w:rsidR="007341C2">
        <w:rPr>
          <w:rFonts w:ascii="Arial" w:hAnsi="Arial" w:cs="Arial"/>
          <w:lang w:val="es-ES_tradnl"/>
        </w:rPr>
        <w:t>las observaciones por la visita de trabajo a panamá</w:t>
      </w:r>
      <w:r>
        <w:rPr>
          <w:rFonts w:ascii="Arial" w:hAnsi="Arial" w:cs="Arial"/>
          <w:lang w:val="es-ES_tradnl"/>
        </w:rPr>
        <w:t xml:space="preserve">, consulta el siguiente enlace </w:t>
      </w:r>
      <w:hyperlink w:history="1" r:id="rId31">
        <w:r w:rsidRPr="00635363" w:rsidR="007341C2">
          <w:rPr>
            <w:rStyle w:val="Hipervnculo"/>
            <w:rFonts w:ascii="Arial" w:hAnsi="Arial" w:cs="Arial"/>
            <w:lang w:val="es-ES_tradnl"/>
          </w:rPr>
          <w:t>https://www.oas.org/es/cidh/informes/pdfs/2025/Observaciones-visita-Panama.pdf</w:t>
        </w:r>
      </w:hyperlink>
      <w:r>
        <w:rPr>
          <w:rFonts w:ascii="Arial" w:hAnsi="Arial" w:cs="Arial"/>
          <w:lang w:val="es-ES_tradnl"/>
        </w:rPr>
        <w:t>)</w:t>
      </w:r>
      <w:r w:rsidR="007341C2">
        <w:rPr>
          <w:rFonts w:ascii="Arial" w:hAnsi="Arial" w:cs="Arial"/>
          <w:lang w:val="es-ES_tradnl"/>
        </w:rPr>
        <w:t xml:space="preserve">. </w:t>
      </w:r>
    </w:p>
    <w:p w:rsidRPr="00DE5A99" w:rsidR="00DE5A99" w:rsidP="00DE5A99" w:rsidRDefault="00DE5A99" w14:paraId="40BF9B04" w14:textId="267CC9F6">
      <w:pPr>
        <w:spacing w:before="240" w:after="240"/>
        <w:ind w:left="708"/>
        <w:rPr>
          <w:rFonts w:ascii="Arial" w:hAnsi="Arial" w:cs="Arial"/>
          <w:lang w:val="es-ES_tradnl"/>
        </w:rPr>
      </w:pPr>
      <w:r>
        <w:rPr>
          <w:rFonts w:ascii="Arial" w:hAnsi="Arial" w:cs="Arial"/>
          <w:lang w:val="es-ES_tradnl"/>
        </w:rPr>
        <w:t xml:space="preserve">(Para conocer más sobre </w:t>
      </w:r>
      <w:r w:rsidR="002F1867">
        <w:rPr>
          <w:rFonts w:ascii="Arial" w:hAnsi="Arial" w:cs="Arial"/>
          <w:lang w:val="es-ES_tradnl"/>
        </w:rPr>
        <w:t xml:space="preserve">la campaña </w:t>
      </w:r>
      <w:r w:rsidR="00B76FC0">
        <w:rPr>
          <w:rFonts w:ascii="Arial" w:hAnsi="Arial" w:cs="Arial"/>
          <w:lang w:val="es-ES_tradnl"/>
        </w:rPr>
        <w:t>sobre la situación de los derechos humanos</w:t>
      </w:r>
      <w:r>
        <w:rPr>
          <w:rFonts w:ascii="Arial" w:hAnsi="Arial" w:cs="Arial"/>
          <w:lang w:val="es-ES_tradnl"/>
        </w:rPr>
        <w:t xml:space="preserve">, consulta el siguiente enlace </w:t>
      </w:r>
      <w:hyperlink w:history="1" r:id="rId32">
        <w:r w:rsidRPr="00635363" w:rsidR="00AC05D6">
          <w:rPr>
            <w:rStyle w:val="Hipervnculo"/>
            <w:rFonts w:ascii="Arial" w:hAnsi="Arial" w:cs="Arial"/>
            <w:lang w:val="es-ES_tradnl"/>
          </w:rPr>
          <w:t>https://www.ohchr.org/es/stories/2025/05/monitoring-motion-migrants-darien-gap</w:t>
        </w:r>
      </w:hyperlink>
      <w:r>
        <w:rPr>
          <w:rFonts w:ascii="Arial" w:hAnsi="Arial" w:cs="Arial"/>
          <w:lang w:val="es-ES_tradnl"/>
        </w:rPr>
        <w:t>)</w:t>
      </w:r>
      <w:r w:rsidR="00AC05D6">
        <w:rPr>
          <w:rFonts w:ascii="Arial" w:hAnsi="Arial" w:cs="Arial"/>
          <w:lang w:val="es-ES_tradnl"/>
        </w:rPr>
        <w:t xml:space="preserve">. </w:t>
      </w:r>
    </w:p>
    <w:p w:rsidRPr="00DE5A99" w:rsidR="00DE5A99" w:rsidP="00DE5A99" w:rsidRDefault="00C640DC" w14:paraId="3BE28DA8" w14:textId="51748B0E">
      <w:pPr>
        <w:pStyle w:val="Prrafodelista"/>
        <w:numPr>
          <w:ilvl w:val="0"/>
          <w:numId w:val="6"/>
        </w:numPr>
        <w:spacing w:before="240" w:after="240"/>
        <w:rPr>
          <w:rFonts w:ascii="Arial" w:hAnsi="Arial" w:cs="Arial"/>
          <w:lang w:val="es-ES_tradnl"/>
        </w:rPr>
      </w:pPr>
      <w:r>
        <w:rPr>
          <w:rFonts w:ascii="Arial" w:hAnsi="Arial" w:cs="Arial"/>
          <w:lang w:val="es-ES_tradnl"/>
        </w:rPr>
        <w:t xml:space="preserve">En abril de 2025, </w:t>
      </w:r>
      <w:r w:rsidRPr="009D0DA5">
        <w:rPr>
          <w:rFonts w:ascii="Arial" w:hAnsi="Arial" w:cs="Arial"/>
          <w:b/>
          <w:bCs/>
          <w:lang w:val="es-ES_tradnl"/>
        </w:rPr>
        <w:t>e</w:t>
      </w:r>
      <w:r w:rsidRPr="009D0DA5">
        <w:rPr>
          <w:b/>
          <w:bCs/>
        </w:rPr>
        <w:t xml:space="preserve">l </w:t>
      </w:r>
      <w:r w:rsidRPr="009D0DA5">
        <w:rPr>
          <w:rFonts w:ascii="Arial" w:hAnsi="Arial" w:cs="Arial"/>
          <w:b/>
          <w:bCs/>
          <w:lang w:val="es-ES_tradnl"/>
        </w:rPr>
        <w:t xml:space="preserve">Comité contra las Desapariciones Forzadas abrió una convocatoria, para recibir aportes de Estados, víctimas, sociedad civil e instituciones de derechos </w:t>
      </w:r>
      <w:r w:rsidRPr="00B76FC0">
        <w:rPr>
          <w:rFonts w:ascii="Arial" w:hAnsi="Arial" w:cs="Arial"/>
          <w:b/>
          <w:bCs/>
          <w:lang w:val="es-ES_tradnl"/>
        </w:rPr>
        <w:t>humanos</w:t>
      </w:r>
      <w:r w:rsidR="00794CCB">
        <w:rPr>
          <w:rFonts w:ascii="Arial" w:hAnsi="Arial" w:cs="Arial"/>
          <w:b/>
          <w:bCs/>
          <w:lang w:val="es-ES_tradnl"/>
        </w:rPr>
        <w:t xml:space="preserve"> para </w:t>
      </w:r>
      <w:r w:rsidRPr="00794CCB" w:rsidR="00794CCB">
        <w:rPr>
          <w:rFonts w:ascii="Arial" w:hAnsi="Arial" w:cs="Arial"/>
          <w:b/>
          <w:bCs/>
          <w:lang w:val="es-ES_tradnl"/>
        </w:rPr>
        <w:t xml:space="preserve">redactar </w:t>
      </w:r>
      <w:r w:rsidRPr="00794CCB">
        <w:rPr>
          <w:rFonts w:ascii="Arial" w:hAnsi="Arial" w:cs="Arial"/>
          <w:b/>
          <w:bCs/>
          <w:lang w:val="es-ES_tradnl"/>
        </w:rPr>
        <w:t>su segunda Observación General</w:t>
      </w:r>
      <w:r w:rsidRPr="00C640DC">
        <w:rPr>
          <w:rFonts w:ascii="Arial" w:hAnsi="Arial" w:cs="Arial"/>
          <w:lang w:val="es-ES_tradnl"/>
        </w:rPr>
        <w:t xml:space="preserve"> sobre mujeres, niñas y desaparición forzada.</w:t>
      </w:r>
    </w:p>
    <w:p w:rsidRPr="00DE5A99" w:rsidR="00DE5A99" w:rsidP="00DE5A99" w:rsidRDefault="00DE5A99" w14:paraId="633D8B09" w14:textId="3DC7B4F2">
      <w:pPr>
        <w:spacing w:before="240" w:after="240"/>
        <w:ind w:left="708"/>
        <w:rPr>
          <w:rFonts w:ascii="Arial" w:hAnsi="Arial" w:cs="Arial"/>
          <w:lang w:val="es-ES_tradnl"/>
        </w:rPr>
      </w:pPr>
      <w:r>
        <w:rPr>
          <w:rFonts w:ascii="Arial" w:hAnsi="Arial" w:cs="Arial"/>
          <w:lang w:val="es-ES_tradnl"/>
        </w:rPr>
        <w:t xml:space="preserve">(Para conocer más sobre </w:t>
      </w:r>
      <w:r w:rsidR="00B42FFD">
        <w:rPr>
          <w:rFonts w:ascii="Arial" w:hAnsi="Arial" w:cs="Arial"/>
          <w:lang w:val="es-ES_tradnl"/>
        </w:rPr>
        <w:t>la convocatoria</w:t>
      </w:r>
      <w:r>
        <w:rPr>
          <w:rFonts w:ascii="Arial" w:hAnsi="Arial" w:cs="Arial"/>
          <w:lang w:val="es-ES_tradnl"/>
        </w:rPr>
        <w:t xml:space="preserve">, consulta el siguiente enlace </w:t>
      </w:r>
      <w:hyperlink w:history="1" r:id="rId33">
        <w:r w:rsidRPr="00635363" w:rsidR="00B42FFD">
          <w:rPr>
            <w:rStyle w:val="Hipervnculo"/>
            <w:rFonts w:ascii="Arial" w:hAnsi="Arial" w:cs="Arial"/>
            <w:lang w:val="es-ES_tradnl"/>
          </w:rPr>
          <w:t>https://www.ohchr.org/en/calls-for-input/2025/call-inputs-women-girls-and-enforced-disappearances-concept-note-ced-general</w:t>
        </w:r>
      </w:hyperlink>
      <w:r>
        <w:rPr>
          <w:rFonts w:ascii="Arial" w:hAnsi="Arial" w:cs="Arial"/>
          <w:lang w:val="es-ES_tradnl"/>
        </w:rPr>
        <w:t>)</w:t>
      </w:r>
      <w:r w:rsidR="00B42FFD">
        <w:rPr>
          <w:rFonts w:ascii="Arial" w:hAnsi="Arial" w:cs="Arial"/>
          <w:lang w:val="es-ES_tradnl"/>
        </w:rPr>
        <w:t xml:space="preserve">. </w:t>
      </w:r>
    </w:p>
    <w:p w:rsidRPr="00DE5A99" w:rsidR="00DE5A99" w:rsidP="00DE5A99" w:rsidRDefault="00FC0884" w14:paraId="46DE3E7F" w14:textId="365F00E3">
      <w:pPr>
        <w:pStyle w:val="Prrafodelista"/>
        <w:numPr>
          <w:ilvl w:val="0"/>
          <w:numId w:val="6"/>
        </w:numPr>
        <w:spacing w:before="240" w:after="240"/>
        <w:rPr>
          <w:rFonts w:ascii="Arial" w:hAnsi="Arial" w:cs="Arial"/>
          <w:lang w:val="es-ES_tradnl"/>
        </w:rPr>
      </w:pPr>
      <w:r>
        <w:rPr>
          <w:rFonts w:ascii="Arial" w:hAnsi="Arial" w:cs="Arial"/>
          <w:lang w:val="es-ES_tradnl"/>
        </w:rPr>
        <w:t xml:space="preserve">En marzo de 2025, </w:t>
      </w:r>
      <w:r w:rsidRPr="00DA1804" w:rsidR="00DA1804">
        <w:rPr>
          <w:rFonts w:ascii="Arial" w:hAnsi="Arial" w:cs="Arial"/>
          <w:lang w:val="es-ES_tradnl"/>
        </w:rPr>
        <w:t xml:space="preserve">en el marco de su 192° período ordinario de sesiones, </w:t>
      </w:r>
      <w:r w:rsidR="00E74497">
        <w:rPr>
          <w:rFonts w:ascii="Arial" w:hAnsi="Arial" w:cs="Arial"/>
          <w:lang w:val="es-ES_tradnl"/>
        </w:rPr>
        <w:t xml:space="preserve">la CIDH </w:t>
      </w:r>
      <w:r w:rsidRPr="00DA1804" w:rsidR="00DA1804">
        <w:rPr>
          <w:rFonts w:ascii="Arial" w:hAnsi="Arial" w:cs="Arial"/>
          <w:lang w:val="es-ES_tradnl"/>
        </w:rPr>
        <w:t xml:space="preserve">examinó la situación de las personas en contexto de movilidad de </w:t>
      </w:r>
      <w:r w:rsidRPr="00DA1804" w:rsidR="00DA1804">
        <w:rPr>
          <w:rFonts w:ascii="Arial" w:hAnsi="Arial" w:cs="Arial"/>
          <w:lang w:val="es-ES_tradnl"/>
        </w:rPr>
        <w:lastRenderedPageBreak/>
        <w:t xml:space="preserve">migración en situaciones específicas como </w:t>
      </w:r>
      <w:r w:rsidRPr="009344FC" w:rsidR="00DA1804">
        <w:rPr>
          <w:rFonts w:ascii="Arial" w:hAnsi="Arial" w:cs="Arial"/>
          <w:b/>
          <w:bCs/>
          <w:lang w:val="es-ES_tradnl"/>
        </w:rPr>
        <w:t>las prácticas de detención en fronteras de Estados Unidos, las condiciones de las personas trabajadoras migrantes en Canadá y los riesgos de las personas refugiadas y solicitantes de asilo en Argentina.</w:t>
      </w:r>
      <w:r w:rsidRPr="00DA1804" w:rsidR="00DA1804">
        <w:rPr>
          <w:rFonts w:ascii="Arial" w:hAnsi="Arial" w:cs="Arial"/>
          <w:lang w:val="es-ES_tradnl"/>
        </w:rPr>
        <w:t xml:space="preserve"> La realización de estas audiencias públicas da cuenta de la magnitud de la problemática en la región.</w:t>
      </w:r>
    </w:p>
    <w:p w:rsidRPr="00DE5A99" w:rsidR="00DE5A99" w:rsidP="00DE5A99" w:rsidRDefault="00DE5A99" w14:paraId="17689D65" w14:textId="7402DB98">
      <w:pPr>
        <w:spacing w:before="240" w:after="240"/>
        <w:ind w:left="708"/>
        <w:rPr>
          <w:rFonts w:ascii="Arial" w:hAnsi="Arial" w:cs="Arial"/>
          <w:lang w:val="es-ES_tradnl"/>
        </w:rPr>
      </w:pPr>
      <w:r>
        <w:rPr>
          <w:rFonts w:ascii="Arial" w:hAnsi="Arial" w:cs="Arial"/>
          <w:lang w:val="es-ES_tradnl"/>
        </w:rPr>
        <w:t xml:space="preserve">(Para conocer más sobre </w:t>
      </w:r>
      <w:r w:rsidR="00F72F24">
        <w:rPr>
          <w:rFonts w:ascii="Arial" w:hAnsi="Arial" w:cs="Arial"/>
          <w:lang w:val="es-ES_tradnl"/>
        </w:rPr>
        <w:t>las prácticas de detención</w:t>
      </w:r>
      <w:r>
        <w:rPr>
          <w:rFonts w:ascii="Arial" w:hAnsi="Arial" w:cs="Arial"/>
          <w:lang w:val="es-ES_tradnl"/>
        </w:rPr>
        <w:t xml:space="preserve">, consulta el siguiente enlace </w:t>
      </w:r>
      <w:hyperlink w:history="1" r:id="rId34">
        <w:r w:rsidRPr="00635363" w:rsidR="00F72F24">
          <w:rPr>
            <w:rStyle w:val="Hipervnculo"/>
            <w:rFonts w:ascii="Arial" w:hAnsi="Arial" w:cs="Arial"/>
            <w:lang w:val="es-ES_tradnl"/>
          </w:rPr>
          <w:t>https://www.oas.org/es/cidh/sesiones/?S=192</w:t>
        </w:r>
      </w:hyperlink>
      <w:r>
        <w:rPr>
          <w:rFonts w:ascii="Arial" w:hAnsi="Arial" w:cs="Arial"/>
          <w:lang w:val="es-ES_tradnl"/>
        </w:rPr>
        <w:t>)</w:t>
      </w:r>
      <w:r w:rsidR="00F72F24">
        <w:rPr>
          <w:rFonts w:ascii="Arial" w:hAnsi="Arial" w:cs="Arial"/>
          <w:lang w:val="es-ES_tradnl"/>
        </w:rPr>
        <w:t xml:space="preserve">. </w:t>
      </w:r>
    </w:p>
    <w:p w:rsidRPr="00DE5A99" w:rsidR="00DE5A99" w:rsidP="00DE5A99" w:rsidRDefault="009B449C" w14:paraId="55E0B1F1" w14:textId="77EAF3A0">
      <w:pPr>
        <w:pStyle w:val="Prrafodelista"/>
        <w:numPr>
          <w:ilvl w:val="0"/>
          <w:numId w:val="6"/>
        </w:numPr>
        <w:spacing w:before="240" w:after="240"/>
        <w:rPr>
          <w:rFonts w:ascii="Arial" w:hAnsi="Arial" w:cs="Arial"/>
          <w:lang w:val="es-ES_tradnl"/>
        </w:rPr>
      </w:pPr>
      <w:r>
        <w:rPr>
          <w:rFonts w:ascii="Arial" w:hAnsi="Arial" w:cs="Arial"/>
          <w:lang w:val="es-ES_tradnl"/>
        </w:rPr>
        <w:t xml:space="preserve">En diciembre de 2024, </w:t>
      </w:r>
      <w:r w:rsidRPr="00236CD2">
        <w:rPr>
          <w:rFonts w:ascii="Arial" w:hAnsi="Arial" w:cs="Arial"/>
          <w:b/>
          <w:bCs/>
          <w:lang w:val="es-ES_tradnl"/>
        </w:rPr>
        <w:t>e</w:t>
      </w:r>
      <w:r w:rsidRPr="00236CD2">
        <w:rPr>
          <w:rFonts w:ascii="Arial" w:hAnsi="Arial" w:cs="Arial"/>
          <w:b/>
          <w:bCs/>
          <w:lang w:val="es-ES_tradnl"/>
        </w:rPr>
        <w:t>l Comité contra la Tortura de la ONU (CAT) ordenó a Suecia suspender la expulsión de una persona a Kosovo</w:t>
      </w:r>
      <w:r w:rsidRPr="009B449C">
        <w:rPr>
          <w:rFonts w:ascii="Arial" w:hAnsi="Arial" w:cs="Arial"/>
          <w:lang w:val="es-ES_tradnl"/>
        </w:rPr>
        <w:t>, al considerar que podría ser extraditado ilegalmente a Turquía, donde enfrentaría riesgo de tortura por su militancia política. El CAT aplicó el principio de no devolución, extendiendo su protección a expulsiones indirectas a terceros países seguros.</w:t>
      </w:r>
    </w:p>
    <w:p w:rsidRPr="00DE5A99" w:rsidR="00DE5A99" w:rsidP="00DE5A99" w:rsidRDefault="00DE5A99" w14:paraId="2454AF76" w14:textId="5CB2D159">
      <w:pPr>
        <w:spacing w:before="240" w:after="240"/>
        <w:ind w:left="708"/>
        <w:rPr>
          <w:rFonts w:ascii="Arial" w:hAnsi="Arial" w:cs="Arial"/>
          <w:lang w:val="es-ES_tradnl"/>
        </w:rPr>
      </w:pPr>
      <w:r>
        <w:rPr>
          <w:rFonts w:ascii="Arial" w:hAnsi="Arial" w:cs="Arial"/>
          <w:lang w:val="es-ES_tradnl"/>
        </w:rPr>
        <w:t xml:space="preserve">(Para conocer más sobre </w:t>
      </w:r>
      <w:r w:rsidR="00BC02EA">
        <w:rPr>
          <w:rFonts w:ascii="Arial" w:hAnsi="Arial" w:cs="Arial"/>
          <w:lang w:val="es-ES_tradnl"/>
        </w:rPr>
        <w:t>la suspensión de deportación</w:t>
      </w:r>
      <w:r>
        <w:rPr>
          <w:rFonts w:ascii="Arial" w:hAnsi="Arial" w:cs="Arial"/>
          <w:lang w:val="es-ES_tradnl"/>
        </w:rPr>
        <w:t xml:space="preserve">, consulta el siguiente enlace </w:t>
      </w:r>
      <w:hyperlink w:history="1" r:id="rId35">
        <w:r w:rsidRPr="00635363" w:rsidR="00385877">
          <w:rPr>
            <w:rStyle w:val="Hipervnculo"/>
            <w:rFonts w:ascii="Arial" w:hAnsi="Arial" w:cs="Arial"/>
            <w:lang w:val="es-ES_tradnl"/>
          </w:rPr>
          <w:t>https://digitallibrary.un.org/record/4069346/files/CAT_C_81_D_1109_2021-ES.pdf</w:t>
        </w:r>
      </w:hyperlink>
      <w:r>
        <w:rPr>
          <w:rFonts w:ascii="Arial" w:hAnsi="Arial" w:cs="Arial"/>
          <w:lang w:val="es-ES_tradnl"/>
        </w:rPr>
        <w:t>)</w:t>
      </w:r>
      <w:r w:rsidR="00385877">
        <w:rPr>
          <w:rFonts w:ascii="Arial" w:hAnsi="Arial" w:cs="Arial"/>
          <w:lang w:val="es-ES_tradnl"/>
        </w:rPr>
        <w:t xml:space="preserve">. </w:t>
      </w:r>
    </w:p>
    <w:p w:rsidRPr="00DE5A99" w:rsidR="00DE5A99" w:rsidP="00DE5A99" w:rsidRDefault="00B34A80" w14:paraId="03E443F7" w14:textId="7ECF9CD2">
      <w:pPr>
        <w:pStyle w:val="Prrafodelista"/>
        <w:numPr>
          <w:ilvl w:val="0"/>
          <w:numId w:val="6"/>
        </w:numPr>
        <w:spacing w:before="240" w:after="240"/>
        <w:rPr>
          <w:rFonts w:ascii="Arial" w:hAnsi="Arial" w:cs="Arial"/>
          <w:lang w:val="es-ES_tradnl"/>
        </w:rPr>
      </w:pPr>
      <w:r>
        <w:rPr>
          <w:rFonts w:ascii="Arial" w:hAnsi="Arial" w:cs="Arial"/>
          <w:lang w:val="es-ES_tradnl"/>
        </w:rPr>
        <w:t>En f</w:t>
      </w:r>
      <w:r w:rsidRPr="00B34A80">
        <w:rPr>
          <w:rFonts w:ascii="Arial" w:hAnsi="Arial" w:cs="Arial"/>
          <w:lang w:val="es-ES_tradnl"/>
        </w:rPr>
        <w:t>ebrero</w:t>
      </w:r>
      <w:r>
        <w:rPr>
          <w:rFonts w:ascii="Arial" w:hAnsi="Arial" w:cs="Arial"/>
          <w:lang w:val="es-ES_tradnl"/>
        </w:rPr>
        <w:t xml:space="preserve"> de </w:t>
      </w:r>
      <w:r w:rsidRPr="00B34A80">
        <w:rPr>
          <w:rFonts w:ascii="Arial" w:hAnsi="Arial" w:cs="Arial"/>
          <w:lang w:val="es-ES_tradnl"/>
        </w:rPr>
        <w:t>2025</w:t>
      </w:r>
      <w:r>
        <w:rPr>
          <w:rFonts w:ascii="Arial" w:hAnsi="Arial" w:cs="Arial"/>
          <w:lang w:val="es-ES_tradnl"/>
        </w:rPr>
        <w:t>,</w:t>
      </w:r>
      <w:r w:rsidRPr="00B34A80">
        <w:rPr>
          <w:rFonts w:ascii="Arial" w:hAnsi="Arial" w:cs="Arial"/>
          <w:lang w:val="es-ES_tradnl"/>
        </w:rPr>
        <w:t xml:space="preserve"> </w:t>
      </w:r>
      <w:r w:rsidRPr="00AF59A8">
        <w:rPr>
          <w:rFonts w:ascii="Arial" w:hAnsi="Arial" w:cs="Arial"/>
          <w:b/>
          <w:bCs/>
          <w:lang w:val="es-ES_tradnl"/>
        </w:rPr>
        <w:t>el</w:t>
      </w:r>
      <w:r w:rsidRPr="00AF59A8">
        <w:rPr>
          <w:rFonts w:ascii="Arial" w:hAnsi="Arial" w:cs="Arial"/>
          <w:b/>
          <w:bCs/>
          <w:lang w:val="es-ES_tradnl"/>
        </w:rPr>
        <w:t xml:space="preserve"> CERD en su Observación General No. 37 señala que la discriminación racial restringe el acceso a la salud, especialmente para personas migrantes</w:t>
      </w:r>
      <w:r w:rsidRPr="00B34A80">
        <w:rPr>
          <w:rFonts w:ascii="Arial" w:hAnsi="Arial" w:cs="Arial"/>
          <w:lang w:val="es-ES_tradnl"/>
        </w:rPr>
        <w:t>, quienes enfrentan exclusión, trabajos riesgosos y detención en malas condiciones. Recomienda a los Estados garantizar el acceso igualitario a servicios médicos, sin discriminación por estatus migratorio y eliminar prácticas como negar atención básica o detenciones insalubres.</w:t>
      </w:r>
    </w:p>
    <w:p w:rsidRPr="00DE5A99" w:rsidR="00DE5A99" w:rsidP="00DE5A99" w:rsidRDefault="00DE5A99" w14:paraId="47C2B7D1" w14:textId="0949B8D1">
      <w:pPr>
        <w:spacing w:before="240" w:after="240"/>
        <w:ind w:left="708"/>
        <w:rPr>
          <w:rFonts w:ascii="Arial" w:hAnsi="Arial" w:cs="Arial"/>
          <w:lang w:val="es-ES_tradnl"/>
        </w:rPr>
      </w:pPr>
      <w:r>
        <w:rPr>
          <w:rFonts w:ascii="Arial" w:hAnsi="Arial" w:cs="Arial"/>
          <w:lang w:val="es-ES_tradnl"/>
        </w:rPr>
        <w:t xml:space="preserve">(Para conocer más sobre </w:t>
      </w:r>
      <w:r w:rsidR="00385877">
        <w:rPr>
          <w:rFonts w:ascii="Arial" w:hAnsi="Arial" w:cs="Arial"/>
          <w:lang w:val="es-ES_tradnl"/>
        </w:rPr>
        <w:t>la Observación General 37</w:t>
      </w:r>
      <w:r>
        <w:rPr>
          <w:rFonts w:ascii="Arial" w:hAnsi="Arial" w:cs="Arial"/>
          <w:lang w:val="es-ES_tradnl"/>
        </w:rPr>
        <w:t xml:space="preserve">, consulta el siguiente enlace </w:t>
      </w:r>
      <w:hyperlink w:history="1" r:id="rId36">
        <w:r w:rsidRPr="00635363" w:rsidR="00385877">
          <w:rPr>
            <w:rStyle w:val="Hipervnculo"/>
            <w:rFonts w:ascii="Arial" w:hAnsi="Arial" w:cs="Arial"/>
            <w:lang w:val="es-ES_tradnl"/>
          </w:rPr>
          <w:t>https://docs.un.org/es/CERD/C/GC/37</w:t>
        </w:r>
      </w:hyperlink>
      <w:r>
        <w:rPr>
          <w:rFonts w:ascii="Arial" w:hAnsi="Arial" w:cs="Arial"/>
          <w:lang w:val="es-ES_tradnl"/>
        </w:rPr>
        <w:t>)</w:t>
      </w:r>
      <w:r w:rsidR="00385877">
        <w:rPr>
          <w:rFonts w:ascii="Arial" w:hAnsi="Arial" w:cs="Arial"/>
          <w:lang w:val="es-ES_tradnl"/>
        </w:rPr>
        <w:t xml:space="preserve">. </w:t>
      </w:r>
    </w:p>
    <w:p w:rsidR="00AF59A8" w:rsidP="00DE5A99" w:rsidRDefault="001F1471" w14:paraId="322CD955" w14:textId="311BFF80">
      <w:pPr>
        <w:pStyle w:val="Prrafodelista"/>
        <w:numPr>
          <w:ilvl w:val="0"/>
          <w:numId w:val="6"/>
        </w:numPr>
        <w:spacing w:before="240" w:after="240"/>
        <w:rPr>
          <w:rFonts w:ascii="Arial" w:hAnsi="Arial" w:cs="Arial"/>
          <w:b/>
          <w:bCs/>
          <w:lang w:val="es-ES_tradnl"/>
        </w:rPr>
      </w:pPr>
      <w:r w:rsidRPr="00DE5A99">
        <w:rPr>
          <w:rFonts w:ascii="Arial" w:hAnsi="Arial" w:cs="Arial"/>
          <w:lang w:val="es-ES_tradnl"/>
        </w:rPr>
        <w:t xml:space="preserve">En junio de 2025, la Asamblea General de la </w:t>
      </w:r>
      <w:r w:rsidRPr="00DE5A99">
        <w:rPr>
          <w:rFonts w:ascii="Arial" w:hAnsi="Arial" w:cs="Arial"/>
          <w:lang w:val="es-ES_tradnl"/>
        </w:rPr>
        <w:t xml:space="preserve">OEA eligió a Marion Bethel (Bahamas) y Rosa María Paya (EE. UU.) y reeligió José Luis Caballero Ochoa (México) </w:t>
      </w:r>
      <w:r w:rsidRPr="00DE5A99">
        <w:rPr>
          <w:rFonts w:ascii="Arial" w:hAnsi="Arial" w:cs="Arial"/>
          <w:b/>
          <w:bCs/>
          <w:lang w:val="es-ES_tradnl"/>
        </w:rPr>
        <w:t>como integrantes de la CIDH.</w:t>
      </w:r>
    </w:p>
    <w:p w:rsidRPr="000B6A06" w:rsidR="00385877" w:rsidP="004315A7" w:rsidRDefault="00385877" w14:paraId="346D3180" w14:textId="0AB89B77">
      <w:pPr>
        <w:spacing w:before="240" w:after="240"/>
        <w:ind w:left="708" w:firstLine="12"/>
        <w:rPr>
          <w:rFonts w:ascii="Arial" w:hAnsi="Arial" w:cs="Arial"/>
          <w:lang w:val="es-ES_tradnl"/>
        </w:rPr>
      </w:pPr>
      <w:r w:rsidRPr="000B6A06">
        <w:rPr>
          <w:rFonts w:ascii="Arial" w:hAnsi="Arial" w:cs="Arial"/>
          <w:lang w:val="es-ES_tradnl"/>
        </w:rPr>
        <w:t xml:space="preserve">(Para conocer más sobre </w:t>
      </w:r>
      <w:r w:rsidRPr="000B6A06" w:rsidR="004315A7">
        <w:rPr>
          <w:rFonts w:ascii="Arial" w:hAnsi="Arial" w:cs="Arial"/>
          <w:lang w:val="es-ES_tradnl"/>
        </w:rPr>
        <w:t xml:space="preserve">los resultados de la elección, consulta el siguiente enlace </w:t>
      </w:r>
      <w:hyperlink w:history="1" r:id="rId37">
        <w:r w:rsidRPr="00635363" w:rsidR="00BC0009">
          <w:rPr>
            <w:rStyle w:val="Hipervnculo"/>
            <w:rFonts w:ascii="Arial" w:hAnsi="Arial" w:cs="Arial"/>
            <w:lang w:val="es-ES_tradnl"/>
          </w:rPr>
          <w:t>https://x.com/cidh/status/1943762279897739577?s=46</w:t>
        </w:r>
      </w:hyperlink>
      <w:r w:rsidRPr="000B6A06">
        <w:rPr>
          <w:rFonts w:ascii="Arial" w:hAnsi="Arial" w:cs="Arial"/>
          <w:lang w:val="es-ES_tradnl"/>
        </w:rPr>
        <w:t>)</w:t>
      </w:r>
      <w:r w:rsidR="00BC0009">
        <w:rPr>
          <w:rFonts w:ascii="Arial" w:hAnsi="Arial" w:cs="Arial"/>
          <w:lang w:val="es-ES_tradnl"/>
        </w:rPr>
        <w:t xml:space="preserve">. </w:t>
      </w:r>
    </w:p>
    <w:p w:rsidRPr="00970B04" w:rsidR="001963DE" w:rsidP="001963DE" w:rsidRDefault="001963DE" w14:paraId="101A17ED" w14:textId="77777777">
      <w:pPr>
        <w:spacing w:before="240" w:after="240"/>
        <w:rPr>
          <w:rFonts w:ascii="Arial" w:hAnsi="Arial" w:cs="Arial"/>
          <w:lang w:val="es-ES_tradnl"/>
        </w:rPr>
      </w:pPr>
    </w:p>
    <w:p w:rsidR="001963DE" w:rsidP="001963DE" w:rsidRDefault="001963DE" w14:paraId="34AF5E6B" w14:textId="77777777">
      <w:pPr>
        <w:spacing w:before="240" w:after="240"/>
        <w:rPr>
          <w:rFonts w:ascii="Arial" w:hAnsi="Arial" w:cs="Arial"/>
          <w:lang w:val="es-ES_tradnl"/>
        </w:rPr>
      </w:pPr>
    </w:p>
    <w:p w:rsidRPr="00970B04" w:rsidR="004D3CA4" w:rsidP="00154976" w:rsidRDefault="004D3CA4" w14:paraId="02D98842" w14:textId="55803F4A">
      <w:pPr>
        <w:pStyle w:val="Ttulo1"/>
        <w:rPr>
          <w:lang w:val="es-ES_tradnl"/>
        </w:rPr>
      </w:pPr>
      <w:r>
        <w:rPr>
          <w:lang w:val="es-ES_tradnl"/>
        </w:rPr>
        <w:lastRenderedPageBreak/>
        <w:t xml:space="preserve">México ante </w:t>
      </w:r>
      <w:r w:rsidR="001F0146">
        <w:rPr>
          <w:lang w:val="es-ES_tradnl"/>
        </w:rPr>
        <w:t xml:space="preserve">los sistemas internacionales de justicia </w:t>
      </w:r>
    </w:p>
    <w:p w:rsidRPr="008677C9" w:rsidR="00154976" w:rsidP="001963DE" w:rsidRDefault="00154976" w14:paraId="19A905AE" w14:textId="72837150">
      <w:pPr>
        <w:spacing w:before="240" w:after="240"/>
        <w:rPr>
          <w:rFonts w:ascii="Arial" w:hAnsi="Arial" w:cs="Arial"/>
          <w:lang w:val="es-ES_tradnl"/>
        </w:rPr>
      </w:pPr>
      <w:r w:rsidRPr="00154976">
        <w:rPr>
          <w:rFonts w:ascii="Arial" w:hAnsi="Arial" w:cs="Arial"/>
          <w:lang w:val="es-ES_tradnl"/>
        </w:rPr>
        <w:t xml:space="preserve">En este apartado del boletín, quinta hoja, se recaban las observaciones, informes, opiniones consultivas y resoluciones de Naciones Unidas </w:t>
      </w:r>
      <w:r w:rsidR="00522C8F">
        <w:rPr>
          <w:rFonts w:ascii="Arial" w:hAnsi="Arial" w:cs="Arial"/>
          <w:lang w:val="es-ES_tradnl"/>
        </w:rPr>
        <w:t xml:space="preserve">sobre distintas noticias de México ante los sistemas internacionales </w:t>
      </w:r>
      <w:r w:rsidRPr="008677C9" w:rsidR="00522C8F">
        <w:rPr>
          <w:rFonts w:ascii="Arial" w:hAnsi="Arial" w:cs="Arial"/>
          <w:lang w:val="es-ES_tradnl"/>
        </w:rPr>
        <w:t xml:space="preserve">de Justicia. </w:t>
      </w:r>
    </w:p>
    <w:p w:rsidRPr="008677C9" w:rsidR="00F02989" w:rsidP="0072198C" w:rsidRDefault="00F02989" w14:paraId="44ECE1DB" w14:textId="7CCEB27E">
      <w:pPr>
        <w:pStyle w:val="Prrafodelista"/>
        <w:numPr>
          <w:ilvl w:val="0"/>
          <w:numId w:val="10"/>
        </w:numPr>
        <w:spacing w:before="240" w:after="240"/>
        <w:rPr>
          <w:rFonts w:ascii="Arial" w:hAnsi="Arial" w:cs="Arial"/>
          <w:lang w:val="es-ES_tradnl"/>
        </w:rPr>
      </w:pPr>
      <w:r w:rsidRPr="008677C9">
        <w:rPr>
          <w:rFonts w:ascii="Arial" w:hAnsi="Arial" w:cs="Arial"/>
          <w:lang w:val="es-ES_tradnl"/>
        </w:rPr>
        <w:t>En enero de 2025, e</w:t>
      </w:r>
      <w:r w:rsidRPr="008677C9">
        <w:rPr>
          <w:rFonts w:ascii="Arial" w:hAnsi="Arial" w:cs="Arial"/>
          <w:lang w:val="es-ES_tradnl"/>
        </w:rPr>
        <w:t>n su informe al Consejo de Derechos Humanos, el Relator Especial sobre los derechos a la libertad de reunión pacífica y de asociación destacó los obstáculos que enfrentan migrantes, refugiados y víctimas de trata para acceder a vivienda adecuada. Como práctica prometedora, mencionó al Fondo Nacional de la Vivienda en México, que otorga créditos a personas migrantes retornadas.</w:t>
      </w:r>
    </w:p>
    <w:p w:rsidRPr="008677C9" w:rsidR="00BC6F3D" w:rsidP="00913446" w:rsidRDefault="001635B6" w14:paraId="7F4A2BF0" w14:textId="3424A3C2">
      <w:pPr>
        <w:spacing w:before="240" w:after="240"/>
        <w:ind w:left="708"/>
        <w:rPr>
          <w:rFonts w:ascii="Arial" w:hAnsi="Arial" w:cs="Arial"/>
          <w:lang w:val="es-ES_tradnl"/>
        </w:rPr>
      </w:pPr>
      <w:r w:rsidRPr="008677C9">
        <w:rPr>
          <w:rFonts w:ascii="Arial" w:hAnsi="Arial" w:cs="Arial"/>
          <w:lang w:val="es-ES_tradnl"/>
        </w:rPr>
        <w:t>(</w:t>
      </w:r>
      <w:r w:rsidRPr="008677C9" w:rsidR="00C54CB5">
        <w:rPr>
          <w:rFonts w:ascii="Arial" w:hAnsi="Arial" w:cs="Arial"/>
          <w:lang w:val="es-ES_tradnl"/>
        </w:rPr>
        <w:t xml:space="preserve">Para conocer más </w:t>
      </w:r>
      <w:r w:rsidRPr="008677C9" w:rsidR="00022BB4">
        <w:rPr>
          <w:rFonts w:ascii="Arial" w:hAnsi="Arial" w:cs="Arial"/>
          <w:lang w:val="es-ES_tradnl"/>
        </w:rPr>
        <w:t>sobre</w:t>
      </w:r>
      <w:r w:rsidRPr="008677C9" w:rsidR="00C54CB5">
        <w:rPr>
          <w:rFonts w:ascii="Arial" w:hAnsi="Arial" w:cs="Arial"/>
          <w:lang w:val="es-ES_tradnl"/>
        </w:rPr>
        <w:t xml:space="preserve"> el informe, </w:t>
      </w:r>
      <w:r w:rsidRPr="008677C9" w:rsidR="00AC62D0">
        <w:rPr>
          <w:rFonts w:ascii="Arial" w:hAnsi="Arial" w:cs="Arial"/>
          <w:lang w:val="es-ES_tradnl"/>
        </w:rPr>
        <w:t>consulta el siguiente enlace</w:t>
      </w:r>
      <w:r w:rsidRPr="008677C9" w:rsidR="00913446">
        <w:rPr>
          <w:rFonts w:ascii="Arial" w:hAnsi="Arial" w:cs="Arial"/>
          <w:lang w:val="es-ES_tradnl"/>
        </w:rPr>
        <w:t xml:space="preserve"> </w:t>
      </w:r>
      <w:hyperlink w:history="1" r:id="rId38">
        <w:r w:rsidRPr="008677C9" w:rsidR="008677C9">
          <w:rPr>
            <w:rStyle w:val="Hipervnculo"/>
            <w:rFonts w:ascii="Arial" w:hAnsi="Arial" w:cs="Arial"/>
            <w:lang w:val="es-ES_tradnl"/>
          </w:rPr>
          <w:t>https://docs.un.org/es/A/HRC/58/50</w:t>
        </w:r>
      </w:hyperlink>
      <w:r w:rsidRPr="008677C9" w:rsidR="005F0BA6">
        <w:rPr>
          <w:rFonts w:ascii="Arial" w:hAnsi="Arial" w:cs="Arial"/>
          <w:lang w:val="es-ES_tradnl"/>
        </w:rPr>
        <w:t>)</w:t>
      </w:r>
      <w:r w:rsidRPr="008677C9" w:rsidR="008677C9">
        <w:rPr>
          <w:rFonts w:ascii="Arial" w:hAnsi="Arial" w:cs="Arial"/>
          <w:lang w:val="es-ES_tradnl"/>
        </w:rPr>
        <w:t xml:space="preserve">. </w:t>
      </w:r>
    </w:p>
    <w:p w:rsidRPr="008677C9" w:rsidR="00F84869" w:rsidP="0072198C" w:rsidRDefault="00F84869" w14:paraId="3E5B19AE" w14:textId="3157088E">
      <w:pPr>
        <w:pStyle w:val="Prrafodelista"/>
        <w:numPr>
          <w:ilvl w:val="0"/>
          <w:numId w:val="10"/>
        </w:numPr>
        <w:spacing w:before="240" w:after="240"/>
        <w:rPr>
          <w:rFonts w:ascii="Arial" w:hAnsi="Arial" w:cs="Arial"/>
          <w:lang w:val="es-ES_tradnl"/>
        </w:rPr>
      </w:pPr>
      <w:r w:rsidRPr="008677C9">
        <w:rPr>
          <w:rFonts w:ascii="Arial" w:hAnsi="Arial" w:cs="Arial"/>
          <w:lang w:val="es-ES_tradnl"/>
        </w:rPr>
        <w:t>En abril de 2025, e</w:t>
      </w:r>
      <w:r w:rsidRPr="008677C9">
        <w:rPr>
          <w:rFonts w:ascii="Arial" w:hAnsi="Arial" w:cs="Arial"/>
          <w:lang w:val="es-ES_tradnl"/>
        </w:rPr>
        <w:t>l informe de la Relatora Especial sobre los derechos a la libertad de reunión pacífica y de asociación alerta sobre la represión a las libertades de reunión y asociación durante el ciclo electoral 2023- 2025. Documenta cómo candidatos en Brasil, Ecuador y México enfrentan amenazas y asesinatos por parte del crimen organizado, evidenciando la infiltración de actores no estatales en procesos democráticos.</w:t>
      </w:r>
    </w:p>
    <w:p w:rsidRPr="008677C9" w:rsidR="00B913C5" w:rsidP="00B65582" w:rsidRDefault="00B913C5" w14:paraId="1D3A7D3F" w14:textId="7EB11D27">
      <w:pPr>
        <w:spacing w:before="240" w:after="240"/>
        <w:ind w:left="708" w:firstLine="12"/>
        <w:rPr>
          <w:rFonts w:ascii="Arial" w:hAnsi="Arial" w:cs="Arial"/>
          <w:lang w:val="es-ES_tradnl"/>
        </w:rPr>
      </w:pPr>
      <w:r w:rsidRPr="008677C9">
        <w:rPr>
          <w:rFonts w:ascii="Arial" w:hAnsi="Arial" w:cs="Arial"/>
          <w:lang w:val="es-ES_tradnl"/>
        </w:rPr>
        <w:t xml:space="preserve">(Para conocer más </w:t>
      </w:r>
      <w:r w:rsidRPr="008677C9" w:rsidR="00F00203">
        <w:rPr>
          <w:rFonts w:ascii="Arial" w:hAnsi="Arial" w:cs="Arial"/>
          <w:lang w:val="es-ES_tradnl"/>
        </w:rPr>
        <w:t xml:space="preserve">sobre el informe, consulta el siguiente enlace </w:t>
      </w:r>
      <w:hyperlink w:history="1" r:id="rId39">
        <w:r w:rsidRPr="008677C9" w:rsidR="007F736D">
          <w:rPr>
            <w:rStyle w:val="Hipervnculo"/>
            <w:rFonts w:ascii="Arial" w:hAnsi="Arial" w:cs="Arial"/>
            <w:lang w:val="es-ES_tradnl"/>
          </w:rPr>
          <w:t>https://docs.un.org/es/A/HRC/59/44</w:t>
        </w:r>
      </w:hyperlink>
      <w:r w:rsidRPr="008677C9" w:rsidR="005F0BA6">
        <w:rPr>
          <w:rFonts w:ascii="Arial" w:hAnsi="Arial" w:cs="Arial"/>
          <w:lang w:val="es-ES_tradnl"/>
        </w:rPr>
        <w:t>)</w:t>
      </w:r>
      <w:r w:rsidRPr="008677C9" w:rsidR="007F736D">
        <w:rPr>
          <w:rFonts w:ascii="Arial" w:hAnsi="Arial" w:cs="Arial"/>
          <w:lang w:val="es-ES_tradnl"/>
        </w:rPr>
        <w:t xml:space="preserve">. </w:t>
      </w:r>
    </w:p>
    <w:p w:rsidRPr="008677C9" w:rsidR="00BF3497" w:rsidP="00BF3497" w:rsidRDefault="00F84869" w14:paraId="518D97C5" w14:textId="1C9E972F">
      <w:pPr>
        <w:pStyle w:val="Prrafodelista"/>
        <w:numPr>
          <w:ilvl w:val="0"/>
          <w:numId w:val="10"/>
        </w:numPr>
        <w:spacing w:before="240" w:after="240"/>
        <w:rPr>
          <w:rFonts w:ascii="Arial" w:hAnsi="Arial" w:cs="Arial"/>
          <w:lang w:val="es-ES_tradnl"/>
        </w:rPr>
      </w:pPr>
      <w:r w:rsidRPr="008677C9">
        <w:rPr>
          <w:rFonts w:ascii="Arial" w:hAnsi="Arial" w:cs="Arial"/>
          <w:lang w:val="es-ES_tradnl"/>
        </w:rPr>
        <w:t>En abril de 2025, e</w:t>
      </w:r>
      <w:r w:rsidRPr="008677C9">
        <w:rPr>
          <w:rFonts w:ascii="Arial" w:hAnsi="Arial" w:cs="Arial"/>
          <w:lang w:val="es-ES_tradnl"/>
        </w:rPr>
        <w:t>l relator especial sobre los derechos humanos de los migrantes denunció las desapariciones de migrantes en México, vinculado a la militarización fronteriza y los controles migratorios represivos. El experto independiente instó al Estado a garantizar justicia a las víctimas.</w:t>
      </w:r>
    </w:p>
    <w:p w:rsidRPr="008677C9" w:rsidR="00BF3497" w:rsidP="00E20A1F" w:rsidRDefault="006E6915" w14:paraId="1AA9180C" w14:textId="2B8E731F">
      <w:pPr>
        <w:spacing w:before="240" w:after="240"/>
        <w:ind w:left="708" w:firstLine="12"/>
        <w:rPr>
          <w:rFonts w:ascii="Arial" w:hAnsi="Arial" w:cs="Arial"/>
          <w:lang w:val="es-ES_tradnl"/>
        </w:rPr>
      </w:pPr>
      <w:r w:rsidRPr="008677C9">
        <w:rPr>
          <w:rFonts w:ascii="Arial" w:hAnsi="Arial" w:cs="Arial"/>
          <w:lang w:val="es-ES_tradnl"/>
        </w:rPr>
        <w:t xml:space="preserve">(Para conocer más sobre el informe, consulta el siguiente enlace </w:t>
      </w:r>
      <w:hyperlink w:history="1" r:id="rId40">
        <w:r w:rsidRPr="008677C9" w:rsidR="007F736D">
          <w:rPr>
            <w:rStyle w:val="Hipervnculo"/>
            <w:rFonts w:ascii="Arial" w:hAnsi="Arial" w:cs="Arial"/>
            <w:lang w:val="es-ES_tradnl"/>
          </w:rPr>
          <w:t>https://docs.un.org/es/A/HRC/59/49</w:t>
        </w:r>
      </w:hyperlink>
      <w:r w:rsidRPr="008677C9" w:rsidR="005F0BA6">
        <w:rPr>
          <w:rFonts w:ascii="Arial" w:hAnsi="Arial" w:cs="Arial"/>
          <w:lang w:val="es-ES_tradnl"/>
        </w:rPr>
        <w:t>)</w:t>
      </w:r>
      <w:r w:rsidRPr="008677C9" w:rsidR="007F736D">
        <w:rPr>
          <w:rFonts w:ascii="Arial" w:hAnsi="Arial" w:cs="Arial"/>
          <w:lang w:val="es-ES_tradnl"/>
        </w:rPr>
        <w:t xml:space="preserve">. </w:t>
      </w:r>
    </w:p>
    <w:p w:rsidRPr="00DC6358" w:rsidR="00DC6358" w:rsidP="6F103272" w:rsidRDefault="00DC6358" w14:paraId="4C98C60D" w14:textId="5AAFE884">
      <w:pPr>
        <w:pStyle w:val="Prrafodelista"/>
        <w:numPr>
          <w:ilvl w:val="0"/>
          <w:numId w:val="10"/>
        </w:numPr>
        <w:spacing w:before="240" w:after="240"/>
        <w:ind/>
        <w:rPr>
          <w:rFonts w:ascii="Arial" w:hAnsi="Arial" w:cs="Arial"/>
          <w:lang w:val="es-ES"/>
        </w:rPr>
      </w:pPr>
      <w:r w:rsidRPr="6F103272" w:rsidR="00DC6358">
        <w:rPr>
          <w:rFonts w:ascii="Arial" w:hAnsi="Arial" w:cs="Arial"/>
          <w:lang w:val="es-ES"/>
        </w:rPr>
        <w:t>En mayo de 2025, la</w:t>
      </w:r>
      <w:r w:rsidRPr="6F103272" w:rsidR="005A680C">
        <w:rPr>
          <w:rFonts w:ascii="Arial" w:hAnsi="Arial" w:cs="Arial"/>
          <w:lang w:val="es-ES"/>
        </w:rPr>
        <w:t xml:space="preserve"> CIDH publicó el Informe 60/25 sobre el caso 14.042 respecto a la muerte en 2010 del migrante mexicano Anastasio Hernández Rojas, quien fue amarrado, electrocutado</w:t>
      </w:r>
      <w:r w:rsidRPr="6F103272" w:rsidR="005A680C">
        <w:rPr>
          <w:rFonts w:ascii="Arial" w:hAnsi="Arial" w:cs="Arial"/>
          <w:lang w:val="es-ES"/>
        </w:rPr>
        <w:t xml:space="preserve"> y golpeado por agentes fronterizos de Estados Unidos. La CIDH determinó que hubo uso desproporcionado de la fuerza que constituyó tortura, enmarcado en un patrón de violencia contra migrantes latinos, generando responsabilidad internacional del Estado</w:t>
      </w:r>
      <w:r w:rsidRPr="6F103272" w:rsidR="2850EAE8">
        <w:rPr>
          <w:rFonts w:ascii="Arial" w:hAnsi="Arial" w:cs="Arial"/>
          <w:lang w:val="es-ES"/>
        </w:rPr>
        <w:t>.</w:t>
      </w:r>
      <w:proofErr w:type="gramStart"/>
      <w:proofErr w:type="gramEnd"/>
    </w:p>
    <w:p w:rsidRPr="00DC6358" w:rsidR="00DC6358" w:rsidP="6F103272" w:rsidRDefault="00DC6358" w14:paraId="344AA91D" w14:textId="5373A97C">
      <w:pPr>
        <w:pStyle w:val="Prrafodelista"/>
        <w:spacing w:before="240" w:after="240"/>
        <w:ind w:left="720"/>
        <w:rPr>
          <w:rFonts w:ascii="Arial" w:hAnsi="Arial" w:cs="Arial"/>
          <w:lang w:val="es-ES"/>
        </w:rPr>
      </w:pPr>
      <w:r w:rsidRPr="6F103272" w:rsidR="00DC6358">
        <w:rPr>
          <w:rFonts w:ascii="Arial" w:hAnsi="Arial" w:cs="Arial"/>
          <w:lang w:val="es-ES"/>
        </w:rPr>
        <w:t xml:space="preserve">(Para conocer más sobre el informe, consulta el siguiente </w:t>
      </w:r>
      <w:r w:rsidRPr="6F103272" w:rsidR="00DC6358">
        <w:rPr>
          <w:rFonts w:ascii="Arial" w:hAnsi="Arial" w:cs="Arial"/>
          <w:lang w:val="es-ES"/>
        </w:rPr>
        <w:t>enlace</w:t>
      </w:r>
      <w:r w:rsidRPr="6F103272" w:rsidR="41048801">
        <w:rPr>
          <w:rFonts w:ascii="Arial" w:hAnsi="Arial" w:cs="Arial"/>
          <w:lang w:val="es-ES"/>
        </w:rPr>
        <w:t xml:space="preserve">:  </w:t>
      </w:r>
      <w:hyperlink r:id="R522a057a90c54176">
        <w:r w:rsidRPr="6F103272" w:rsidR="41048801">
          <w:rPr>
            <w:rStyle w:val="Hipervnculo"/>
            <w:rFonts w:ascii="Arial" w:hAnsi="Arial" w:eastAsia="Arial" w:cs="Arial"/>
            <w:noProof w:val="0"/>
            <w:sz w:val="24"/>
            <w:szCs w:val="24"/>
            <w:lang w:val="es-ES"/>
          </w:rPr>
          <w:t>https://www.oas.org/es/cidh/decisiones/2025/US_14.042_ES.PDF</w:t>
        </w:r>
        <w:r w:rsidRPr="6F103272" w:rsidR="1C756F67">
          <w:rPr>
            <w:rStyle w:val="Hipervnculo"/>
            <w:rFonts w:ascii="Arial" w:hAnsi="Arial" w:eastAsia="Arial" w:cs="Arial"/>
            <w:noProof w:val="0"/>
            <w:sz w:val="24"/>
            <w:szCs w:val="24"/>
            <w:lang w:val="es-ES"/>
          </w:rPr>
          <w:t>)</w:t>
        </w:r>
      </w:hyperlink>
    </w:p>
    <w:p w:rsidRPr="00DC6358" w:rsidR="00DC6358" w:rsidP="6F103272" w:rsidRDefault="00DC6358" w14:paraId="1218F135" w14:textId="60A0C3E5">
      <w:pPr>
        <w:spacing w:before="240" w:after="240"/>
        <w:ind w:firstLine="0"/>
        <w:rPr>
          <w:rFonts w:ascii="Arial" w:hAnsi="Arial" w:cs="Arial"/>
          <w:lang w:val="es-ES"/>
        </w:rPr>
      </w:pPr>
    </w:p>
    <w:p w:rsidR="00DC6358" w:rsidP="00DC6358" w:rsidRDefault="00DC6358" w14:paraId="009BEC84" w14:textId="77777777">
      <w:pPr>
        <w:pStyle w:val="Prrafodelista"/>
        <w:numPr>
          <w:ilvl w:val="0"/>
          <w:numId w:val="10"/>
        </w:numPr>
        <w:spacing w:before="240" w:after="240"/>
        <w:rPr>
          <w:rFonts w:ascii="Arial" w:hAnsi="Arial" w:cs="Arial"/>
          <w:lang w:val="es-ES_tradnl"/>
        </w:rPr>
      </w:pPr>
      <w:r>
        <w:rPr>
          <w:rFonts w:ascii="Arial" w:hAnsi="Arial" w:cs="Arial"/>
          <w:lang w:val="es-ES_tradnl"/>
        </w:rPr>
        <w:t>En junio de 2025, l</w:t>
      </w:r>
      <w:r w:rsidRPr="0072198C">
        <w:rPr>
          <w:rFonts w:ascii="Arial" w:hAnsi="Arial" w:cs="Arial"/>
          <w:lang w:val="es-ES_tradnl"/>
        </w:rPr>
        <w:t>a ONU-DH en México realizó un llamado a las autoridades jurisdiccionales, en un contexto de renovación, del país para garantizar los derechos de las personas víctimas de tortura, para lo cual destacó la necesidad de contar con imparcialidad y capacidad técnica, así como enfocarse en etapas cruciales del proceso penal como la de</w:t>
      </w:r>
      <w:r>
        <w:rPr>
          <w:rFonts w:ascii="Arial" w:hAnsi="Arial" w:cs="Arial"/>
          <w:lang w:val="es-ES_tradnl"/>
        </w:rPr>
        <w:t>t</w:t>
      </w:r>
      <w:r w:rsidRPr="0072198C">
        <w:rPr>
          <w:rFonts w:ascii="Arial" w:hAnsi="Arial" w:cs="Arial"/>
          <w:lang w:val="es-ES_tradnl"/>
        </w:rPr>
        <w:t>ención.</w:t>
      </w:r>
    </w:p>
    <w:p w:rsidRPr="00DC6358" w:rsidR="00DC6358" w:rsidP="008677C9" w:rsidRDefault="00DC6358" w14:paraId="169748D2" w14:textId="15700A25">
      <w:pPr>
        <w:spacing w:before="240" w:after="240"/>
        <w:ind w:left="708" w:firstLine="12"/>
        <w:rPr>
          <w:rFonts w:ascii="Arial" w:hAnsi="Arial" w:cs="Arial"/>
          <w:lang w:val="es-ES_tradnl"/>
        </w:rPr>
      </w:pPr>
      <w:r>
        <w:rPr>
          <w:rFonts w:ascii="Arial" w:hAnsi="Arial" w:cs="Arial"/>
          <w:lang w:val="es-ES_tradnl"/>
        </w:rPr>
        <w:t xml:space="preserve">(Para conocer más sobre el informe, consulta el siguiente enlace </w:t>
      </w:r>
      <w:hyperlink w:history="1" r:id="rId41">
        <w:r w:rsidRPr="00635363" w:rsidR="00A40B96">
          <w:rPr>
            <w:rStyle w:val="Hipervnculo"/>
            <w:rFonts w:ascii="Arial" w:hAnsi="Arial" w:cs="Arial"/>
            <w:lang w:val="es-ES_tradnl"/>
          </w:rPr>
          <w:t>https://hchr.org.mx/wp/wp-content/uploads/2025/06/20250626-ComPrensa-Dia-Internacional-Apoyo-a-Victimas-de-la-Tortura.pdf</w:t>
        </w:r>
      </w:hyperlink>
      <w:r w:rsidR="005F0BA6">
        <w:rPr>
          <w:rFonts w:ascii="Arial" w:hAnsi="Arial" w:cs="Arial"/>
          <w:lang w:val="es-ES_tradnl"/>
        </w:rPr>
        <w:t>)</w:t>
      </w:r>
      <w:r w:rsidR="00A40B96">
        <w:rPr>
          <w:rFonts w:ascii="Arial" w:hAnsi="Arial" w:cs="Arial"/>
          <w:lang w:val="es-ES_tradnl"/>
        </w:rPr>
        <w:t xml:space="preserve">. </w:t>
      </w:r>
    </w:p>
    <w:p w:rsidR="00522C8F" w:rsidP="004B673D" w:rsidRDefault="00522C8F" w14:paraId="27D45857" w14:textId="23545E33">
      <w:pPr>
        <w:pStyle w:val="Ttulo1"/>
        <w:rPr>
          <w:lang w:val="es-ES_tradnl"/>
        </w:rPr>
      </w:pPr>
      <w:r>
        <w:rPr>
          <w:lang w:val="es-ES_tradnl"/>
        </w:rPr>
        <w:t>Te podría interesar</w:t>
      </w:r>
    </w:p>
    <w:p w:rsidR="00522C8F" w:rsidP="004B673D" w:rsidRDefault="004B673D" w14:paraId="22F33232" w14:textId="6D85B434">
      <w:pPr>
        <w:spacing w:before="240" w:after="240"/>
        <w:rPr>
          <w:rFonts w:ascii="Arial" w:hAnsi="Arial" w:cs="Arial"/>
          <w:b/>
          <w:bCs/>
          <w:lang w:val="es-ES_tradnl"/>
        </w:rPr>
      </w:pPr>
      <w:r w:rsidRPr="004B673D">
        <w:rPr>
          <w:rFonts w:ascii="Arial" w:hAnsi="Arial" w:cs="Arial"/>
          <w:b/>
          <w:bCs/>
          <w:lang w:val="es-ES_tradnl"/>
        </w:rPr>
        <w:t xml:space="preserve">Publicaciones y materiales de la UGCCDH </w:t>
      </w:r>
    </w:p>
    <w:p w:rsidR="004B673D" w:rsidP="00C53B53" w:rsidRDefault="00C53B53" w14:paraId="6CB7CFC6" w14:textId="61DE171A">
      <w:pPr>
        <w:pStyle w:val="Prrafodelista"/>
        <w:numPr>
          <w:ilvl w:val="0"/>
          <w:numId w:val="9"/>
        </w:numPr>
        <w:spacing w:before="240" w:after="240"/>
        <w:rPr>
          <w:rFonts w:ascii="Arial" w:hAnsi="Arial" w:cs="Arial"/>
          <w:lang w:val="es-ES_tradnl"/>
        </w:rPr>
      </w:pPr>
      <w:r w:rsidRPr="00C53B53">
        <w:rPr>
          <w:rFonts w:ascii="Arial" w:hAnsi="Arial" w:cs="Arial"/>
          <w:lang w:val="es-ES_tradnl"/>
        </w:rPr>
        <w:t>Protocolo de actuación para juzgar casos que involucren a personas migrantes y sujetas de protección internacional</w:t>
      </w:r>
      <w:r>
        <w:rPr>
          <w:rFonts w:ascii="Arial" w:hAnsi="Arial" w:cs="Arial"/>
          <w:lang w:val="es-ES_tradnl"/>
        </w:rPr>
        <w:t xml:space="preserve">. </w:t>
      </w:r>
    </w:p>
    <w:p w:rsidRPr="00141B83" w:rsidR="00141B83" w:rsidP="00141B83" w:rsidRDefault="00141B83" w14:paraId="5A2A307C" w14:textId="4FBFA9F0">
      <w:pPr>
        <w:spacing w:before="240" w:after="240"/>
        <w:ind w:left="708" w:firstLine="12"/>
        <w:rPr>
          <w:rFonts w:ascii="Arial" w:hAnsi="Arial" w:cs="Arial"/>
          <w:lang w:val="es-ES_tradnl"/>
        </w:rPr>
      </w:pPr>
      <w:r>
        <w:rPr>
          <w:rFonts w:ascii="Arial" w:hAnsi="Arial" w:cs="Arial"/>
          <w:lang w:val="es-ES_tradnl"/>
        </w:rPr>
        <w:t xml:space="preserve">(Para conocer más sobre el protocolo, consulta el siguiente enlace </w:t>
      </w:r>
      <w:hyperlink w:history="1" r:id="rId42">
        <w:r w:rsidRPr="00635363">
          <w:rPr>
            <w:rStyle w:val="Hipervnculo"/>
            <w:rFonts w:ascii="Arial" w:hAnsi="Arial" w:cs="Arial"/>
            <w:lang w:val="es-ES_tradnl"/>
          </w:rPr>
          <w:t>https://www.scjn.gob.mx/derechos-humanos/protocolos-de-actuacion/en-casos-que-involucren-personas-migrantes-y-sujetas-de-proteccion</w:t>
        </w:r>
      </w:hyperlink>
      <w:r>
        <w:rPr>
          <w:rFonts w:ascii="Arial" w:hAnsi="Arial" w:cs="Arial"/>
          <w:lang w:val="es-ES_tradnl"/>
        </w:rPr>
        <w:t xml:space="preserve">). </w:t>
      </w:r>
    </w:p>
    <w:p w:rsidR="00C53B53" w:rsidP="00C53B53" w:rsidRDefault="00C53B53" w14:paraId="659440A9" w14:textId="225C40B3">
      <w:pPr>
        <w:pStyle w:val="Prrafodelista"/>
        <w:numPr>
          <w:ilvl w:val="0"/>
          <w:numId w:val="9"/>
        </w:numPr>
        <w:spacing w:before="240" w:after="240"/>
        <w:rPr>
          <w:rFonts w:ascii="Arial" w:hAnsi="Arial" w:cs="Arial"/>
          <w:lang w:val="es-ES_tradnl"/>
        </w:rPr>
      </w:pPr>
      <w:r w:rsidRPr="00C53B53">
        <w:rPr>
          <w:rFonts w:ascii="Arial" w:hAnsi="Arial" w:cs="Arial"/>
          <w:lang w:val="es-ES_tradnl"/>
        </w:rPr>
        <w:t>Manual sobre desplazamiento interno</w:t>
      </w:r>
      <w:r>
        <w:rPr>
          <w:rFonts w:ascii="Arial" w:hAnsi="Arial" w:cs="Arial"/>
          <w:lang w:val="es-ES_tradnl"/>
        </w:rPr>
        <w:t xml:space="preserve">. </w:t>
      </w:r>
    </w:p>
    <w:p w:rsidRPr="00141B83" w:rsidR="00141B83" w:rsidP="00A41668" w:rsidRDefault="00A41668" w14:paraId="72D930A1" w14:textId="25FB3848">
      <w:pPr>
        <w:spacing w:before="240" w:after="240"/>
        <w:ind w:left="708" w:firstLine="12"/>
        <w:rPr>
          <w:rFonts w:ascii="Arial" w:hAnsi="Arial" w:cs="Arial"/>
          <w:lang w:val="es-ES_tradnl"/>
        </w:rPr>
      </w:pPr>
      <w:r>
        <w:rPr>
          <w:rFonts w:ascii="Arial" w:hAnsi="Arial" w:cs="Arial"/>
          <w:lang w:val="es-ES_tradnl"/>
        </w:rPr>
        <w:t xml:space="preserve">(Para conocer más sobre el manual, consulta el siguiente enlace </w:t>
      </w:r>
      <w:hyperlink w:history="1" r:id="rId43">
        <w:r w:rsidRPr="00635363">
          <w:rPr>
            <w:rStyle w:val="Hipervnculo"/>
            <w:rFonts w:ascii="Arial" w:hAnsi="Arial" w:cs="Arial"/>
            <w:lang w:val="es-ES_tradnl"/>
          </w:rPr>
          <w:t>https://www.scjn.gob.mx/derechos-humanos/sites/default/files/Publicaciones/archivos/2022-11/Manual%20sobre%20desplazamiento%20interno.pdf</w:t>
        </w:r>
      </w:hyperlink>
      <w:r>
        <w:rPr>
          <w:rFonts w:ascii="Arial" w:hAnsi="Arial" w:cs="Arial"/>
          <w:lang w:val="es-ES_tradnl"/>
        </w:rPr>
        <w:t xml:space="preserve">). </w:t>
      </w:r>
    </w:p>
    <w:p w:rsidR="004B673D" w:rsidP="004B673D" w:rsidRDefault="004B673D" w14:paraId="0500BB87" w14:textId="79A6CC3B">
      <w:pPr>
        <w:spacing w:before="240" w:after="240"/>
        <w:rPr>
          <w:rFonts w:ascii="Arial" w:hAnsi="Arial" w:cs="Arial"/>
          <w:b/>
          <w:bCs/>
          <w:lang w:val="es-ES_tradnl"/>
        </w:rPr>
      </w:pPr>
      <w:r w:rsidRPr="004B673D">
        <w:rPr>
          <w:rFonts w:ascii="Arial" w:hAnsi="Arial" w:cs="Arial"/>
          <w:b/>
          <w:bCs/>
          <w:lang w:val="es-ES_tradnl"/>
        </w:rPr>
        <w:t xml:space="preserve">Publicaciones del CEC </w:t>
      </w:r>
    </w:p>
    <w:p w:rsidR="004B673D" w:rsidP="004B673D" w:rsidRDefault="004B673D" w14:paraId="4B25E7D0" w14:textId="09541E1C">
      <w:pPr>
        <w:pStyle w:val="Prrafodelista"/>
        <w:numPr>
          <w:ilvl w:val="0"/>
          <w:numId w:val="8"/>
        </w:numPr>
        <w:spacing w:before="240" w:after="240"/>
        <w:rPr>
          <w:rFonts w:ascii="Arial" w:hAnsi="Arial" w:cs="Arial"/>
          <w:lang w:val="es-ES_tradnl"/>
        </w:rPr>
      </w:pPr>
      <w:r w:rsidRPr="004B673D">
        <w:rPr>
          <w:rFonts w:ascii="Arial" w:hAnsi="Arial" w:cs="Arial"/>
          <w:lang w:val="es-ES_tradnl"/>
        </w:rPr>
        <w:t>Cuadernillo sobre extradición</w:t>
      </w:r>
      <w:r w:rsidR="00C53B53">
        <w:rPr>
          <w:rFonts w:ascii="Arial" w:hAnsi="Arial" w:cs="Arial"/>
          <w:lang w:val="es-ES_tradnl"/>
        </w:rPr>
        <w:t>.</w:t>
      </w:r>
      <w:r w:rsidRPr="004B673D">
        <w:rPr>
          <w:rFonts w:ascii="Arial" w:hAnsi="Arial" w:cs="Arial"/>
          <w:lang w:val="es-ES_tradnl"/>
        </w:rPr>
        <w:t xml:space="preserve"> </w:t>
      </w:r>
    </w:p>
    <w:p w:rsidRPr="00C53890" w:rsidR="00C53890" w:rsidP="00EE1238" w:rsidRDefault="00C53890" w14:paraId="49DD01D4" w14:textId="433C0557">
      <w:pPr>
        <w:spacing w:before="240" w:after="240"/>
        <w:ind w:left="708" w:firstLine="12"/>
        <w:rPr>
          <w:rFonts w:ascii="Arial" w:hAnsi="Arial" w:cs="Arial"/>
          <w:lang w:val="es-ES_tradnl"/>
        </w:rPr>
      </w:pPr>
      <w:r>
        <w:rPr>
          <w:rFonts w:ascii="Arial" w:hAnsi="Arial" w:cs="Arial"/>
          <w:lang w:val="es-ES_tradnl"/>
        </w:rPr>
        <w:t xml:space="preserve">(Para conocer más sobre el cuadernillo de extradición, consulta el siguiente enlace </w:t>
      </w:r>
      <w:hyperlink w:history="1" r:id="rId44">
        <w:r w:rsidRPr="00635363">
          <w:rPr>
            <w:rStyle w:val="Hipervnculo"/>
            <w:rFonts w:ascii="Arial" w:hAnsi="Arial" w:cs="Arial"/>
            <w:lang w:val="es-ES_tradnl"/>
          </w:rPr>
          <w:t>https://www.sitios.scjn.gob.mx/cec/editorial/extradicion</w:t>
        </w:r>
      </w:hyperlink>
      <w:r>
        <w:rPr>
          <w:rFonts w:ascii="Arial" w:hAnsi="Arial" w:cs="Arial"/>
          <w:lang w:val="es-ES_tradnl"/>
        </w:rPr>
        <w:t xml:space="preserve">). </w:t>
      </w:r>
    </w:p>
    <w:p w:rsidR="004B673D" w:rsidP="004B673D" w:rsidRDefault="004B673D" w14:paraId="2D9E4EBC" w14:textId="482ADBC8">
      <w:pPr>
        <w:pStyle w:val="Prrafodelista"/>
        <w:numPr>
          <w:ilvl w:val="0"/>
          <w:numId w:val="8"/>
        </w:numPr>
        <w:spacing w:before="240" w:after="240"/>
        <w:rPr>
          <w:rFonts w:ascii="Arial" w:hAnsi="Arial" w:cs="Arial"/>
          <w:lang w:val="es-ES_tradnl"/>
        </w:rPr>
      </w:pPr>
      <w:r w:rsidRPr="004B673D">
        <w:rPr>
          <w:rFonts w:ascii="Arial" w:hAnsi="Arial" w:cs="Arial"/>
          <w:lang w:val="es-ES_tradnl"/>
        </w:rPr>
        <w:t>Cuadernillo sobre personas migrantes y sujetas a protección internacional</w:t>
      </w:r>
      <w:r w:rsidR="00C53B53">
        <w:rPr>
          <w:rFonts w:ascii="Arial" w:hAnsi="Arial" w:cs="Arial"/>
          <w:lang w:val="es-ES_tradnl"/>
        </w:rPr>
        <w:t>.</w:t>
      </w:r>
      <w:r w:rsidRPr="004B673D">
        <w:rPr>
          <w:rFonts w:ascii="Arial" w:hAnsi="Arial" w:cs="Arial"/>
          <w:lang w:val="es-ES_tradnl"/>
        </w:rPr>
        <w:t xml:space="preserve"> </w:t>
      </w:r>
    </w:p>
    <w:p w:rsidRPr="00C53890" w:rsidR="00C53890" w:rsidP="00EE1238" w:rsidRDefault="00EE1238" w14:paraId="3B27B938" w14:textId="1A00F719">
      <w:pPr>
        <w:spacing w:before="240" w:after="240"/>
        <w:ind w:left="708" w:firstLine="12"/>
        <w:rPr>
          <w:rFonts w:ascii="Arial" w:hAnsi="Arial" w:cs="Arial"/>
          <w:lang w:val="es-ES_tradnl"/>
        </w:rPr>
      </w:pPr>
      <w:r>
        <w:rPr>
          <w:rFonts w:ascii="Arial" w:hAnsi="Arial" w:cs="Arial"/>
          <w:lang w:val="es-ES_tradnl"/>
        </w:rPr>
        <w:t>(</w:t>
      </w:r>
      <w:r w:rsidR="00C53890">
        <w:rPr>
          <w:rFonts w:ascii="Arial" w:hAnsi="Arial" w:cs="Arial"/>
          <w:lang w:val="es-ES_tradnl"/>
        </w:rPr>
        <w:t xml:space="preserve">Para conocer más sobre el cuadernillo, consulta el siguiente enlace, </w:t>
      </w:r>
      <w:hyperlink w:history="1" r:id="rId45">
        <w:r w:rsidRPr="00635363">
          <w:rPr>
            <w:rStyle w:val="Hipervnculo"/>
            <w:rFonts w:ascii="Arial" w:hAnsi="Arial" w:cs="Arial"/>
            <w:lang w:val="es-ES_tradnl"/>
          </w:rPr>
          <w:t>https://www.sitios.scjn.gob.mx/cec/editorial/personas-migrantes-y-sujetas-proteccion-internacional</w:t>
        </w:r>
      </w:hyperlink>
      <w:r>
        <w:rPr>
          <w:rFonts w:ascii="Arial" w:hAnsi="Arial" w:cs="Arial"/>
          <w:lang w:val="es-ES_tradnl"/>
        </w:rPr>
        <w:t xml:space="preserve">). </w:t>
      </w:r>
    </w:p>
    <w:p w:rsidR="004B673D" w:rsidP="004B673D" w:rsidRDefault="004B673D" w14:paraId="50586C9B" w14:textId="2F3E6FCF">
      <w:pPr>
        <w:pStyle w:val="Prrafodelista"/>
        <w:numPr>
          <w:ilvl w:val="0"/>
          <w:numId w:val="8"/>
        </w:numPr>
        <w:spacing w:before="240" w:after="240"/>
        <w:rPr>
          <w:rFonts w:ascii="Arial" w:hAnsi="Arial" w:cs="Arial"/>
          <w:lang w:val="es-ES_tradnl"/>
        </w:rPr>
      </w:pPr>
      <w:r w:rsidRPr="004B673D">
        <w:rPr>
          <w:rFonts w:ascii="Arial" w:hAnsi="Arial" w:cs="Arial"/>
          <w:lang w:val="es-ES_tradnl"/>
        </w:rPr>
        <w:lastRenderedPageBreak/>
        <w:t>Cuadernillo sobre Derecho a la notificación, contacto y asistencia consular</w:t>
      </w:r>
      <w:r w:rsidR="00C53B53">
        <w:rPr>
          <w:rFonts w:ascii="Arial" w:hAnsi="Arial" w:cs="Arial"/>
          <w:lang w:val="es-ES_tradnl"/>
        </w:rPr>
        <w:t>.</w:t>
      </w:r>
    </w:p>
    <w:p w:rsidRPr="00EE1238" w:rsidR="00EE1238" w:rsidP="00821639" w:rsidRDefault="00821639" w14:paraId="62B3BF00" w14:textId="18A4F3E8">
      <w:pPr>
        <w:spacing w:before="240" w:after="240"/>
        <w:ind w:left="708" w:firstLine="12"/>
        <w:rPr>
          <w:rFonts w:ascii="Arial" w:hAnsi="Arial" w:cs="Arial"/>
          <w:lang w:val="es-ES_tradnl"/>
        </w:rPr>
      </w:pPr>
      <w:r>
        <w:rPr>
          <w:rFonts w:ascii="Arial" w:hAnsi="Arial" w:cs="Arial"/>
          <w:lang w:val="es-ES_tradnl"/>
        </w:rPr>
        <w:t>(</w:t>
      </w:r>
      <w:r w:rsidR="00EE1238">
        <w:rPr>
          <w:rFonts w:ascii="Arial" w:hAnsi="Arial" w:cs="Arial"/>
          <w:lang w:val="es-ES_tradnl"/>
        </w:rPr>
        <w:t xml:space="preserve">Para conocer más sobre el cuadernillo, consulta el siguiente enlace </w:t>
      </w:r>
      <w:hyperlink w:history="1" r:id="rId46">
        <w:r w:rsidRPr="00635363">
          <w:rPr>
            <w:rStyle w:val="Hipervnculo"/>
            <w:rFonts w:ascii="Arial" w:hAnsi="Arial" w:cs="Arial"/>
            <w:lang w:val="es-ES_tradnl"/>
          </w:rPr>
          <w:t>https://www.sitios.scjn.gob.mx/cec/editorial/derecho-la-notificacion-contacto-y-asistencia-consular</w:t>
        </w:r>
      </w:hyperlink>
      <w:r>
        <w:rPr>
          <w:rFonts w:ascii="Arial" w:hAnsi="Arial" w:cs="Arial"/>
          <w:lang w:val="es-ES_tradnl"/>
        </w:rPr>
        <w:t xml:space="preserve">). </w:t>
      </w:r>
    </w:p>
    <w:p w:rsidRPr="00970B04" w:rsidR="001963DE" w:rsidP="001963DE" w:rsidRDefault="001963DE" w14:paraId="7B8FE1C5" w14:textId="77777777">
      <w:pPr>
        <w:spacing w:before="240" w:after="240"/>
        <w:rPr>
          <w:rFonts w:ascii="Arial" w:hAnsi="Arial" w:cs="Arial"/>
          <w:lang w:val="es-ES_tradnl"/>
        </w:rPr>
      </w:pPr>
    </w:p>
    <w:p w:rsidRPr="00970B04" w:rsidR="001963DE" w:rsidP="001963DE" w:rsidRDefault="001963DE" w14:paraId="61F15975" w14:textId="77777777">
      <w:pPr>
        <w:spacing w:before="240" w:after="240"/>
        <w:rPr>
          <w:rFonts w:ascii="Arial" w:hAnsi="Arial" w:cs="Arial"/>
          <w:lang w:val="es-ES_tradnl"/>
        </w:rPr>
      </w:pPr>
    </w:p>
    <w:p w:rsidRPr="00970B04" w:rsidR="001963DE" w:rsidP="001963DE" w:rsidRDefault="001963DE" w14:paraId="762B0262" w14:textId="77777777">
      <w:pPr>
        <w:spacing w:before="240" w:after="240"/>
        <w:rPr>
          <w:rFonts w:ascii="Arial" w:hAnsi="Arial" w:cs="Arial"/>
          <w:lang w:val="es-ES_tradnl"/>
        </w:rPr>
      </w:pPr>
    </w:p>
    <w:p w:rsidRPr="00970B04" w:rsidR="001963DE" w:rsidP="001963DE" w:rsidRDefault="001963DE" w14:paraId="177E4069" w14:textId="77777777">
      <w:pPr>
        <w:spacing w:before="240" w:after="240"/>
        <w:rPr>
          <w:rFonts w:ascii="Arial" w:hAnsi="Arial" w:cs="Arial"/>
          <w:lang w:val="es-ES_tradnl"/>
        </w:rPr>
      </w:pPr>
    </w:p>
    <w:p w:rsidRPr="00970B04" w:rsidR="001963DE" w:rsidP="001963DE" w:rsidRDefault="001963DE" w14:paraId="17ABD1E6" w14:textId="77777777">
      <w:pPr>
        <w:spacing w:before="240" w:after="240"/>
        <w:rPr>
          <w:rFonts w:ascii="Arial" w:hAnsi="Arial" w:cs="Arial"/>
          <w:lang w:val="es-ES_tradnl"/>
        </w:rPr>
      </w:pPr>
    </w:p>
    <w:p w:rsidRPr="00970B04" w:rsidR="001963DE" w:rsidP="001963DE" w:rsidRDefault="001963DE" w14:paraId="59A43E21" w14:textId="77777777">
      <w:pPr>
        <w:spacing w:before="240" w:after="240"/>
        <w:rPr>
          <w:rFonts w:ascii="Arial" w:hAnsi="Arial" w:cs="Arial"/>
          <w:lang w:val="es-ES_tradnl"/>
        </w:rPr>
      </w:pPr>
    </w:p>
    <w:p w:rsidRPr="00970B04" w:rsidR="001963DE" w:rsidP="001963DE" w:rsidRDefault="001963DE" w14:paraId="7C183152" w14:textId="77777777">
      <w:pPr>
        <w:spacing w:before="240" w:after="240"/>
        <w:rPr>
          <w:rFonts w:ascii="Arial" w:hAnsi="Arial" w:cs="Arial"/>
          <w:lang w:val="es-ES_tradnl"/>
        </w:rPr>
      </w:pPr>
    </w:p>
    <w:p w:rsidRPr="00970B04" w:rsidR="001963DE" w:rsidP="001963DE" w:rsidRDefault="001963DE" w14:paraId="0CDCF19D" w14:textId="77777777">
      <w:pPr>
        <w:spacing w:before="240" w:after="240"/>
        <w:rPr>
          <w:rFonts w:ascii="Arial" w:hAnsi="Arial" w:cs="Arial"/>
          <w:lang w:val="es-ES_tradnl"/>
        </w:rPr>
      </w:pPr>
    </w:p>
    <w:p w:rsidRPr="00970B04" w:rsidR="001963DE" w:rsidP="001963DE" w:rsidRDefault="001963DE" w14:paraId="5D06ECE0" w14:textId="77777777">
      <w:pPr>
        <w:spacing w:before="240" w:after="240"/>
        <w:rPr>
          <w:rFonts w:ascii="Arial" w:hAnsi="Arial" w:cs="Arial"/>
          <w:lang w:val="es-ES_tradnl"/>
        </w:rPr>
      </w:pPr>
    </w:p>
    <w:p w:rsidRPr="00970B04" w:rsidR="001963DE" w:rsidP="001963DE" w:rsidRDefault="001963DE" w14:paraId="1A3A1240" w14:textId="77777777">
      <w:pPr>
        <w:spacing w:before="240" w:after="240"/>
        <w:rPr>
          <w:rFonts w:ascii="Arial" w:hAnsi="Arial" w:cs="Arial"/>
          <w:lang w:val="es-ES_tradnl"/>
        </w:rPr>
      </w:pPr>
    </w:p>
    <w:p w:rsidRPr="00970B04" w:rsidR="001963DE" w:rsidP="001963DE" w:rsidRDefault="001963DE" w14:paraId="262B34BA" w14:textId="77777777">
      <w:pPr>
        <w:spacing w:before="240" w:after="240"/>
        <w:rPr>
          <w:rFonts w:ascii="Arial" w:hAnsi="Arial" w:cs="Arial"/>
          <w:lang w:val="es-ES_tradnl"/>
        </w:rPr>
      </w:pPr>
    </w:p>
    <w:p w:rsidRPr="00970B04" w:rsidR="001963DE" w:rsidP="001963DE" w:rsidRDefault="001963DE" w14:paraId="2B23F40C" w14:textId="77777777">
      <w:pPr>
        <w:spacing w:before="240" w:after="240"/>
        <w:rPr>
          <w:rFonts w:ascii="Arial" w:hAnsi="Arial" w:cs="Arial"/>
          <w:lang w:val="es-ES_tradnl"/>
        </w:rPr>
      </w:pPr>
    </w:p>
    <w:p w:rsidRPr="00970B04" w:rsidR="001963DE" w:rsidP="001963DE" w:rsidRDefault="001963DE" w14:paraId="0E3088D4" w14:textId="77777777">
      <w:pPr>
        <w:spacing w:before="240" w:after="240"/>
        <w:rPr>
          <w:rFonts w:ascii="Arial" w:hAnsi="Arial" w:cs="Arial"/>
          <w:lang w:val="es-ES_tradnl"/>
        </w:rPr>
      </w:pPr>
    </w:p>
    <w:p w:rsidRPr="00970B04" w:rsidR="001963DE" w:rsidP="001963DE" w:rsidRDefault="001963DE" w14:paraId="06C7BA5C" w14:textId="77777777">
      <w:pPr>
        <w:spacing w:before="240" w:after="240"/>
        <w:rPr>
          <w:rFonts w:ascii="Arial" w:hAnsi="Arial" w:cs="Arial"/>
          <w:lang w:val="es-ES_tradnl"/>
        </w:rPr>
      </w:pPr>
    </w:p>
    <w:p w:rsidRPr="00970B04" w:rsidR="001963DE" w:rsidP="001963DE" w:rsidRDefault="001963DE" w14:paraId="7033D565" w14:textId="77777777">
      <w:pPr>
        <w:spacing w:before="240" w:after="240"/>
        <w:rPr>
          <w:rFonts w:ascii="Arial" w:hAnsi="Arial" w:cs="Arial"/>
          <w:lang w:val="es-ES_tradnl"/>
        </w:rPr>
      </w:pPr>
    </w:p>
    <w:sectPr w:rsidRPr="00970B04" w:rsidR="001963DE">
      <w:footerReference w:type="even" r:id="rId47"/>
      <w:footerReference w:type="default" r:id="rId48"/>
      <w:pgSz w:w="12240" w:h="15840" w:orient="portrait"/>
      <w:pgMar w:top="1417" w:right="1701" w:bottom="1417" w:left="1701"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96FB4" w:rsidP="00821639" w:rsidRDefault="00D96FB4" w14:paraId="302ED566" w14:textId="77777777">
      <w:pPr>
        <w:spacing w:after="0" w:line="240" w:lineRule="auto"/>
      </w:pPr>
      <w:r>
        <w:separator/>
      </w:r>
    </w:p>
  </w:endnote>
  <w:endnote w:type="continuationSeparator" w:id="0">
    <w:p w:rsidR="00D96FB4" w:rsidP="00821639" w:rsidRDefault="00D96FB4" w14:paraId="7055099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7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074357317"/>
      <w:docPartObj>
        <w:docPartGallery w:val="Page Numbers (Bottom of Page)"/>
        <w:docPartUnique/>
      </w:docPartObj>
    </w:sdtPr>
    <w:sdtContent>
      <w:p w:rsidR="00821639" w:rsidP="00635363" w:rsidRDefault="00821639" w14:paraId="2495F32A" w14:textId="7FDD1855">
        <w:pPr>
          <w:pStyle w:val="Piedepgina"/>
          <w:framePr w:wrap="none" w:hAnchor="margin" w:vAnchor="text"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EndPr>
      <w:rPr>
        <w:rStyle w:val="Nmerodepgina"/>
      </w:rPr>
    </w:sdtEndPr>
  </w:sdt>
  <w:p w:rsidR="00821639" w:rsidP="00821639" w:rsidRDefault="00821639" w14:paraId="54AA4E98"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447420145"/>
      <w:docPartObj>
        <w:docPartGallery w:val="Page Numbers (Bottom of Page)"/>
        <w:docPartUnique/>
      </w:docPartObj>
    </w:sdtPr>
    <w:sdtContent>
      <w:p w:rsidR="00821639" w:rsidP="00635363" w:rsidRDefault="00821639" w14:paraId="50CBF2A2" w14:textId="4CD5F91F">
        <w:pPr>
          <w:pStyle w:val="Piedepgina"/>
          <w:framePr w:wrap="none" w:hAnchor="margin" w:vAnchor="text"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noProof/>
          </w:rPr>
          <w:t>1</w:t>
        </w:r>
        <w:r>
          <w:rPr>
            <w:rStyle w:val="Nmerodepgina"/>
          </w:rPr>
          <w:fldChar w:fldCharType="end"/>
        </w:r>
      </w:p>
    </w:sdtContent>
    <w:sdtEndPr>
      <w:rPr>
        <w:rStyle w:val="Nmerodepgina"/>
      </w:rPr>
    </w:sdtEndPr>
  </w:sdt>
  <w:p w:rsidR="00821639" w:rsidP="00821639" w:rsidRDefault="00821639" w14:paraId="65C850AD" w14:textId="7777777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96FB4" w:rsidP="00821639" w:rsidRDefault="00D96FB4" w14:paraId="1F60BC53" w14:textId="77777777">
      <w:pPr>
        <w:spacing w:after="0" w:line="240" w:lineRule="auto"/>
      </w:pPr>
      <w:r>
        <w:separator/>
      </w:r>
    </w:p>
  </w:footnote>
  <w:footnote w:type="continuationSeparator" w:id="0">
    <w:p w:rsidR="00D96FB4" w:rsidP="00821639" w:rsidRDefault="00D96FB4" w14:paraId="006C02D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D37D3"/>
    <w:multiLevelType w:val="hybridMultilevel"/>
    <w:tmpl w:val="231442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637011"/>
    <w:multiLevelType w:val="hybridMultilevel"/>
    <w:tmpl w:val="B43865FE"/>
    <w:lvl w:ilvl="0" w:tplc="51860D8C">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9A435C"/>
    <w:multiLevelType w:val="hybridMultilevel"/>
    <w:tmpl w:val="40A448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02160B2"/>
    <w:multiLevelType w:val="hybridMultilevel"/>
    <w:tmpl w:val="B358D6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3AE1E97"/>
    <w:multiLevelType w:val="hybridMultilevel"/>
    <w:tmpl w:val="8B20F0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4992B59"/>
    <w:multiLevelType w:val="hybridMultilevel"/>
    <w:tmpl w:val="FDA8E072"/>
    <w:lvl w:ilvl="0" w:tplc="934C2D72">
      <w:start w:val="2025"/>
      <w:numFmt w:val="bullet"/>
      <w:lvlText w:val="-"/>
      <w:lvlJc w:val="left"/>
      <w:pPr>
        <w:ind w:left="720" w:hanging="360"/>
      </w:pPr>
      <w:rPr>
        <w:rFonts w:hint="default" w:ascii="Arial" w:hAnsi="Arial" w:cs="Arial" w:eastAsiaTheme="minorHAnsi"/>
      </w:rPr>
    </w:lvl>
    <w:lvl w:ilvl="1" w:tplc="080A0003" w:tentative="1">
      <w:start w:val="1"/>
      <w:numFmt w:val="bullet"/>
      <w:lvlText w:val="o"/>
      <w:lvlJc w:val="left"/>
      <w:pPr>
        <w:ind w:left="1440" w:hanging="360"/>
      </w:pPr>
      <w:rPr>
        <w:rFonts w:hint="default" w:ascii="Courier New" w:hAnsi="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6DB574D5"/>
    <w:multiLevelType w:val="hybridMultilevel"/>
    <w:tmpl w:val="FE8499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39C00CF"/>
    <w:multiLevelType w:val="hybridMultilevel"/>
    <w:tmpl w:val="88AA7F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62D7279"/>
    <w:multiLevelType w:val="hybridMultilevel"/>
    <w:tmpl w:val="6734AE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BF41507"/>
    <w:multiLevelType w:val="hybridMultilevel"/>
    <w:tmpl w:val="5AB657D8"/>
    <w:lvl w:ilvl="0" w:tplc="6B74DA06">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74889679">
    <w:abstractNumId w:val="5"/>
  </w:num>
  <w:num w:numId="2" w16cid:durableId="1058556357">
    <w:abstractNumId w:val="4"/>
  </w:num>
  <w:num w:numId="3" w16cid:durableId="932006932">
    <w:abstractNumId w:val="3"/>
  </w:num>
  <w:num w:numId="4" w16cid:durableId="125633838">
    <w:abstractNumId w:val="9"/>
  </w:num>
  <w:num w:numId="5" w16cid:durableId="1359309220">
    <w:abstractNumId w:val="0"/>
  </w:num>
  <w:num w:numId="6" w16cid:durableId="556822122">
    <w:abstractNumId w:val="1"/>
  </w:num>
  <w:num w:numId="7" w16cid:durableId="557665621">
    <w:abstractNumId w:val="6"/>
  </w:num>
  <w:num w:numId="8" w16cid:durableId="779498202">
    <w:abstractNumId w:val="2"/>
  </w:num>
  <w:num w:numId="9" w16cid:durableId="1623729932">
    <w:abstractNumId w:val="8"/>
  </w:num>
  <w:num w:numId="10" w16cid:durableId="878401383">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3DE"/>
    <w:rsid w:val="00004C52"/>
    <w:rsid w:val="0002278F"/>
    <w:rsid w:val="00022BB4"/>
    <w:rsid w:val="0006773E"/>
    <w:rsid w:val="000B6A06"/>
    <w:rsid w:val="000E18CF"/>
    <w:rsid w:val="000E3BC1"/>
    <w:rsid w:val="000F5D8D"/>
    <w:rsid w:val="00141B83"/>
    <w:rsid w:val="00142416"/>
    <w:rsid w:val="00144295"/>
    <w:rsid w:val="00154976"/>
    <w:rsid w:val="001635B6"/>
    <w:rsid w:val="001740A1"/>
    <w:rsid w:val="001952EA"/>
    <w:rsid w:val="001963DE"/>
    <w:rsid w:val="001A227A"/>
    <w:rsid w:val="001C007C"/>
    <w:rsid w:val="001F0146"/>
    <w:rsid w:val="001F1471"/>
    <w:rsid w:val="001F7823"/>
    <w:rsid w:val="00213A89"/>
    <w:rsid w:val="00236CD2"/>
    <w:rsid w:val="00282B41"/>
    <w:rsid w:val="002A3DF2"/>
    <w:rsid w:val="002F1867"/>
    <w:rsid w:val="0030541C"/>
    <w:rsid w:val="0031649F"/>
    <w:rsid w:val="00321D7B"/>
    <w:rsid w:val="00333E5C"/>
    <w:rsid w:val="00367EC2"/>
    <w:rsid w:val="00375CAA"/>
    <w:rsid w:val="00385877"/>
    <w:rsid w:val="003F64A4"/>
    <w:rsid w:val="004159C7"/>
    <w:rsid w:val="00420C78"/>
    <w:rsid w:val="00427CB6"/>
    <w:rsid w:val="004315A7"/>
    <w:rsid w:val="004360FE"/>
    <w:rsid w:val="004517C4"/>
    <w:rsid w:val="0049650B"/>
    <w:rsid w:val="004B673D"/>
    <w:rsid w:val="004C0FC2"/>
    <w:rsid w:val="004C5002"/>
    <w:rsid w:val="004D3CA4"/>
    <w:rsid w:val="00522C8F"/>
    <w:rsid w:val="0058225C"/>
    <w:rsid w:val="005A680C"/>
    <w:rsid w:val="005B787C"/>
    <w:rsid w:val="005D2A06"/>
    <w:rsid w:val="005F0BA6"/>
    <w:rsid w:val="006B5B87"/>
    <w:rsid w:val="006D4FF1"/>
    <w:rsid w:val="006E6915"/>
    <w:rsid w:val="00712751"/>
    <w:rsid w:val="00715D7F"/>
    <w:rsid w:val="00717B06"/>
    <w:rsid w:val="0072198C"/>
    <w:rsid w:val="007341C2"/>
    <w:rsid w:val="007768A3"/>
    <w:rsid w:val="0078112C"/>
    <w:rsid w:val="00794CCB"/>
    <w:rsid w:val="00796A5A"/>
    <w:rsid w:val="007F736D"/>
    <w:rsid w:val="00820287"/>
    <w:rsid w:val="00821639"/>
    <w:rsid w:val="0086092E"/>
    <w:rsid w:val="008677C9"/>
    <w:rsid w:val="0087625A"/>
    <w:rsid w:val="008C27D3"/>
    <w:rsid w:val="008D077F"/>
    <w:rsid w:val="008D1985"/>
    <w:rsid w:val="008F79E1"/>
    <w:rsid w:val="00913446"/>
    <w:rsid w:val="00931478"/>
    <w:rsid w:val="009344FC"/>
    <w:rsid w:val="00970B04"/>
    <w:rsid w:val="00981C4D"/>
    <w:rsid w:val="009B449C"/>
    <w:rsid w:val="009D0DA5"/>
    <w:rsid w:val="00A12767"/>
    <w:rsid w:val="00A2352D"/>
    <w:rsid w:val="00A40B96"/>
    <w:rsid w:val="00A41668"/>
    <w:rsid w:val="00AC05D6"/>
    <w:rsid w:val="00AC4644"/>
    <w:rsid w:val="00AC62D0"/>
    <w:rsid w:val="00AF25FD"/>
    <w:rsid w:val="00AF59A8"/>
    <w:rsid w:val="00B34A80"/>
    <w:rsid w:val="00B352E2"/>
    <w:rsid w:val="00B405D9"/>
    <w:rsid w:val="00B42FFD"/>
    <w:rsid w:val="00B43CC9"/>
    <w:rsid w:val="00B56763"/>
    <w:rsid w:val="00B65582"/>
    <w:rsid w:val="00B76FC0"/>
    <w:rsid w:val="00B913C5"/>
    <w:rsid w:val="00BA4745"/>
    <w:rsid w:val="00BA55D8"/>
    <w:rsid w:val="00BB140E"/>
    <w:rsid w:val="00BC0009"/>
    <w:rsid w:val="00BC02EA"/>
    <w:rsid w:val="00BC6F3D"/>
    <w:rsid w:val="00BE1135"/>
    <w:rsid w:val="00BF3497"/>
    <w:rsid w:val="00C00974"/>
    <w:rsid w:val="00C16C67"/>
    <w:rsid w:val="00C17F5C"/>
    <w:rsid w:val="00C21FED"/>
    <w:rsid w:val="00C53890"/>
    <w:rsid w:val="00C53B53"/>
    <w:rsid w:val="00C54CB5"/>
    <w:rsid w:val="00C640DC"/>
    <w:rsid w:val="00C741A9"/>
    <w:rsid w:val="00CB4974"/>
    <w:rsid w:val="00CE020C"/>
    <w:rsid w:val="00CF2E9F"/>
    <w:rsid w:val="00D34444"/>
    <w:rsid w:val="00D47ACF"/>
    <w:rsid w:val="00D874B0"/>
    <w:rsid w:val="00D96FB4"/>
    <w:rsid w:val="00DA1804"/>
    <w:rsid w:val="00DC6358"/>
    <w:rsid w:val="00DE2C87"/>
    <w:rsid w:val="00DE5A99"/>
    <w:rsid w:val="00E20A1F"/>
    <w:rsid w:val="00E2305D"/>
    <w:rsid w:val="00E300F6"/>
    <w:rsid w:val="00E4557D"/>
    <w:rsid w:val="00E57C75"/>
    <w:rsid w:val="00E6390B"/>
    <w:rsid w:val="00E74497"/>
    <w:rsid w:val="00E77905"/>
    <w:rsid w:val="00EC3972"/>
    <w:rsid w:val="00EE1238"/>
    <w:rsid w:val="00EE4455"/>
    <w:rsid w:val="00F00203"/>
    <w:rsid w:val="00F02989"/>
    <w:rsid w:val="00F7007F"/>
    <w:rsid w:val="00F72F24"/>
    <w:rsid w:val="00F751E0"/>
    <w:rsid w:val="00F84869"/>
    <w:rsid w:val="00FA4EA8"/>
    <w:rsid w:val="00FC0884"/>
    <w:rsid w:val="1C756F67"/>
    <w:rsid w:val="22C82936"/>
    <w:rsid w:val="2850EAE8"/>
    <w:rsid w:val="41048801"/>
    <w:rsid w:val="4399CDF1"/>
    <w:rsid w:val="470CC5BE"/>
    <w:rsid w:val="55043FA2"/>
    <w:rsid w:val="6F103272"/>
    <w:rsid w:val="77B3C1E9"/>
    <w:rsid w:val="784CA2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BA27417"/>
  <w15:chartTrackingRefBased/>
  <w15:docId w15:val="{ADDFB9D9-DE96-D041-9693-FCF668B8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1963D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963D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963D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963D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963D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963D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963D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963D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963DE"/>
    <w:pPr>
      <w:keepNext/>
      <w:keepLines/>
      <w:spacing w:after="0"/>
      <w:outlineLvl w:val="8"/>
    </w:pPr>
    <w:rPr>
      <w:rFonts w:eastAsiaTheme="majorEastAsia" w:cstheme="majorBidi"/>
      <w:color w:val="272727" w:themeColor="text1" w:themeTint="D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1963DE"/>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semiHidden/>
    <w:rsid w:val="001963DE"/>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semiHidden/>
    <w:rsid w:val="001963DE"/>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semiHidden/>
    <w:rsid w:val="001963DE"/>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semiHidden/>
    <w:rsid w:val="001963DE"/>
    <w:rPr>
      <w:rFonts w:eastAsiaTheme="majorEastAsia" w:cstheme="majorBidi"/>
      <w:color w:val="0F4761" w:themeColor="accent1" w:themeShade="BF"/>
    </w:rPr>
  </w:style>
  <w:style w:type="character" w:styleId="Ttulo6Car" w:customStyle="1">
    <w:name w:val="Título 6 Car"/>
    <w:basedOn w:val="Fuentedeprrafopredeter"/>
    <w:link w:val="Ttulo6"/>
    <w:uiPriority w:val="9"/>
    <w:semiHidden/>
    <w:rsid w:val="001963DE"/>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1963DE"/>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1963DE"/>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1963DE"/>
    <w:rPr>
      <w:rFonts w:eastAsiaTheme="majorEastAsia" w:cstheme="majorBidi"/>
      <w:color w:val="272727" w:themeColor="text1" w:themeTint="D8"/>
    </w:rPr>
  </w:style>
  <w:style w:type="paragraph" w:styleId="Ttulo">
    <w:name w:val="Title"/>
    <w:basedOn w:val="Normal"/>
    <w:next w:val="Normal"/>
    <w:link w:val="TtuloCar"/>
    <w:uiPriority w:val="10"/>
    <w:qFormat/>
    <w:rsid w:val="001963DE"/>
    <w:pPr>
      <w:spacing w:after="80" w:line="240" w:lineRule="auto"/>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1963DE"/>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1963DE"/>
    <w:pPr>
      <w:numPr>
        <w:ilvl w:val="1"/>
      </w:numPr>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1963D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963DE"/>
    <w:pPr>
      <w:spacing w:before="160"/>
      <w:jc w:val="center"/>
    </w:pPr>
    <w:rPr>
      <w:i/>
      <w:iCs/>
      <w:color w:val="404040" w:themeColor="text1" w:themeTint="BF"/>
    </w:rPr>
  </w:style>
  <w:style w:type="character" w:styleId="CitaCar" w:customStyle="1">
    <w:name w:val="Cita Car"/>
    <w:basedOn w:val="Fuentedeprrafopredeter"/>
    <w:link w:val="Cita"/>
    <w:uiPriority w:val="29"/>
    <w:rsid w:val="001963DE"/>
    <w:rPr>
      <w:i/>
      <w:iCs/>
      <w:color w:val="404040" w:themeColor="text1" w:themeTint="BF"/>
    </w:rPr>
  </w:style>
  <w:style w:type="paragraph" w:styleId="Prrafodelista">
    <w:name w:val="List Paragraph"/>
    <w:basedOn w:val="Normal"/>
    <w:uiPriority w:val="34"/>
    <w:qFormat/>
    <w:rsid w:val="001963DE"/>
    <w:pPr>
      <w:ind w:left="720"/>
      <w:contextualSpacing/>
    </w:pPr>
  </w:style>
  <w:style w:type="character" w:styleId="nfasisintenso">
    <w:name w:val="Intense Emphasis"/>
    <w:basedOn w:val="Fuentedeprrafopredeter"/>
    <w:uiPriority w:val="21"/>
    <w:qFormat/>
    <w:rsid w:val="001963DE"/>
    <w:rPr>
      <w:i/>
      <w:iCs/>
      <w:color w:val="0F4761" w:themeColor="accent1" w:themeShade="BF"/>
    </w:rPr>
  </w:style>
  <w:style w:type="paragraph" w:styleId="Citadestacada">
    <w:name w:val="Intense Quote"/>
    <w:basedOn w:val="Normal"/>
    <w:next w:val="Normal"/>
    <w:link w:val="CitadestacadaCar"/>
    <w:uiPriority w:val="30"/>
    <w:qFormat/>
    <w:rsid w:val="001963D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1963DE"/>
    <w:rPr>
      <w:i/>
      <w:iCs/>
      <w:color w:val="0F4761" w:themeColor="accent1" w:themeShade="BF"/>
    </w:rPr>
  </w:style>
  <w:style w:type="character" w:styleId="Referenciaintensa">
    <w:name w:val="Intense Reference"/>
    <w:basedOn w:val="Fuentedeprrafopredeter"/>
    <w:uiPriority w:val="32"/>
    <w:qFormat/>
    <w:rsid w:val="001963DE"/>
    <w:rPr>
      <w:b/>
      <w:bCs/>
      <w:smallCaps/>
      <w:color w:val="0F4761" w:themeColor="accent1" w:themeShade="BF"/>
      <w:spacing w:val="5"/>
    </w:rPr>
  </w:style>
  <w:style w:type="paragraph" w:styleId="paragraph" w:customStyle="1">
    <w:name w:val="paragraph"/>
    <w:basedOn w:val="Normal"/>
    <w:rsid w:val="001963DE"/>
    <w:pPr>
      <w:spacing w:before="100" w:beforeAutospacing="1" w:after="100" w:afterAutospacing="1" w:line="240" w:lineRule="auto"/>
    </w:pPr>
    <w:rPr>
      <w:rFonts w:ascii="Times New Roman" w:hAnsi="Times New Roman" w:eastAsia="Times New Roman" w:cs="Times New Roman"/>
      <w:kern w:val="0"/>
      <w:lang w:eastAsia="es-MX"/>
      <w14:ligatures w14:val="none"/>
    </w:rPr>
  </w:style>
  <w:style w:type="character" w:styleId="wacimagecontainer" w:customStyle="1">
    <w:name w:val="wacimagecontainer"/>
    <w:basedOn w:val="Fuentedeprrafopredeter"/>
    <w:rsid w:val="001963DE"/>
  </w:style>
  <w:style w:type="character" w:styleId="normaltextrun" w:customStyle="1">
    <w:name w:val="normaltextrun"/>
    <w:basedOn w:val="Fuentedeprrafopredeter"/>
    <w:rsid w:val="001963DE"/>
  </w:style>
  <w:style w:type="character" w:styleId="eop" w:customStyle="1">
    <w:name w:val="eop"/>
    <w:basedOn w:val="Fuentedeprrafopredeter"/>
    <w:rsid w:val="001963DE"/>
  </w:style>
  <w:style w:type="character" w:styleId="Hipervnculo">
    <w:name w:val="Hyperlink"/>
    <w:basedOn w:val="Fuentedeprrafopredeter"/>
    <w:uiPriority w:val="99"/>
    <w:unhideWhenUsed/>
    <w:rsid w:val="00E6390B"/>
    <w:rPr>
      <w:color w:val="467886" w:themeColor="hyperlink"/>
      <w:u w:val="single"/>
    </w:rPr>
  </w:style>
  <w:style w:type="character" w:styleId="Mencinsinresolver">
    <w:name w:val="Unresolved Mention"/>
    <w:basedOn w:val="Fuentedeprrafopredeter"/>
    <w:uiPriority w:val="99"/>
    <w:semiHidden/>
    <w:unhideWhenUsed/>
    <w:rsid w:val="00E6390B"/>
    <w:rPr>
      <w:color w:val="605E5C"/>
      <w:shd w:val="clear" w:color="auto" w:fill="E1DFDD"/>
    </w:rPr>
  </w:style>
  <w:style w:type="character" w:styleId="Refdecomentario">
    <w:name w:val="annotation reference"/>
    <w:basedOn w:val="Fuentedeprrafopredeter"/>
    <w:uiPriority w:val="99"/>
    <w:semiHidden/>
    <w:unhideWhenUsed/>
    <w:rsid w:val="00E6390B"/>
    <w:rPr>
      <w:sz w:val="16"/>
      <w:szCs w:val="16"/>
    </w:rPr>
  </w:style>
  <w:style w:type="paragraph" w:styleId="Textocomentario">
    <w:name w:val="annotation text"/>
    <w:basedOn w:val="Normal"/>
    <w:link w:val="TextocomentarioCar"/>
    <w:uiPriority w:val="99"/>
    <w:semiHidden/>
    <w:unhideWhenUsed/>
    <w:rsid w:val="00E6390B"/>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E6390B"/>
    <w:rPr>
      <w:sz w:val="20"/>
      <w:szCs w:val="20"/>
    </w:rPr>
  </w:style>
  <w:style w:type="paragraph" w:styleId="Asuntodelcomentario">
    <w:name w:val="annotation subject"/>
    <w:basedOn w:val="Textocomentario"/>
    <w:next w:val="Textocomentario"/>
    <w:link w:val="AsuntodelcomentarioCar"/>
    <w:uiPriority w:val="99"/>
    <w:semiHidden/>
    <w:unhideWhenUsed/>
    <w:rsid w:val="00E6390B"/>
    <w:rPr>
      <w:b/>
      <w:bCs/>
    </w:rPr>
  </w:style>
  <w:style w:type="character" w:styleId="AsuntodelcomentarioCar" w:customStyle="1">
    <w:name w:val="Asunto del comentario Car"/>
    <w:basedOn w:val="TextocomentarioCar"/>
    <w:link w:val="Asuntodelcomentario"/>
    <w:uiPriority w:val="99"/>
    <w:semiHidden/>
    <w:rsid w:val="00E6390B"/>
    <w:rPr>
      <w:b/>
      <w:bCs/>
      <w:sz w:val="20"/>
      <w:szCs w:val="20"/>
    </w:rPr>
  </w:style>
  <w:style w:type="character" w:styleId="Hipervnculovisitado">
    <w:name w:val="FollowedHyperlink"/>
    <w:basedOn w:val="Fuentedeprrafopredeter"/>
    <w:uiPriority w:val="99"/>
    <w:semiHidden/>
    <w:unhideWhenUsed/>
    <w:rsid w:val="007768A3"/>
    <w:rPr>
      <w:color w:val="96607D" w:themeColor="followedHyperlink"/>
      <w:u w:val="single"/>
    </w:rPr>
  </w:style>
  <w:style w:type="paragraph" w:styleId="Piedepgina">
    <w:name w:val="footer"/>
    <w:basedOn w:val="Normal"/>
    <w:link w:val="PiedepginaCar"/>
    <w:uiPriority w:val="99"/>
    <w:unhideWhenUsed/>
    <w:rsid w:val="00821639"/>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21639"/>
  </w:style>
  <w:style w:type="character" w:styleId="Nmerodepgina">
    <w:name w:val="page number"/>
    <w:basedOn w:val="Fuentedeprrafopredeter"/>
    <w:uiPriority w:val="99"/>
    <w:semiHidden/>
    <w:unhideWhenUsed/>
    <w:rsid w:val="00821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34335">
      <w:bodyDiv w:val="1"/>
      <w:marLeft w:val="0"/>
      <w:marRight w:val="0"/>
      <w:marTop w:val="0"/>
      <w:marBottom w:val="0"/>
      <w:divBdr>
        <w:top w:val="none" w:sz="0" w:space="0" w:color="auto"/>
        <w:left w:val="none" w:sz="0" w:space="0" w:color="auto"/>
        <w:bottom w:val="none" w:sz="0" w:space="0" w:color="auto"/>
        <w:right w:val="none" w:sz="0" w:space="0" w:color="auto"/>
      </w:divBdr>
      <w:divsChild>
        <w:div w:id="964001350">
          <w:marLeft w:val="0"/>
          <w:marRight w:val="0"/>
          <w:marTop w:val="0"/>
          <w:marBottom w:val="0"/>
          <w:divBdr>
            <w:top w:val="none" w:sz="0" w:space="0" w:color="auto"/>
            <w:left w:val="none" w:sz="0" w:space="0" w:color="auto"/>
            <w:bottom w:val="none" w:sz="0" w:space="0" w:color="auto"/>
            <w:right w:val="none" w:sz="0" w:space="0" w:color="auto"/>
          </w:divBdr>
        </w:div>
        <w:div w:id="1831019119">
          <w:marLeft w:val="0"/>
          <w:marRight w:val="0"/>
          <w:marTop w:val="0"/>
          <w:marBottom w:val="0"/>
          <w:divBdr>
            <w:top w:val="none" w:sz="0" w:space="0" w:color="auto"/>
            <w:left w:val="none" w:sz="0" w:space="0" w:color="auto"/>
            <w:bottom w:val="none" w:sz="0" w:space="0" w:color="auto"/>
            <w:right w:val="none" w:sz="0" w:space="0" w:color="auto"/>
          </w:divBdr>
        </w:div>
        <w:div w:id="172644598">
          <w:marLeft w:val="0"/>
          <w:marRight w:val="0"/>
          <w:marTop w:val="0"/>
          <w:marBottom w:val="0"/>
          <w:divBdr>
            <w:top w:val="none" w:sz="0" w:space="0" w:color="auto"/>
            <w:left w:val="none" w:sz="0" w:space="0" w:color="auto"/>
            <w:bottom w:val="none" w:sz="0" w:space="0" w:color="auto"/>
            <w:right w:val="none" w:sz="0" w:space="0" w:color="auto"/>
          </w:divBdr>
        </w:div>
        <w:div w:id="2028211675">
          <w:marLeft w:val="0"/>
          <w:marRight w:val="0"/>
          <w:marTop w:val="0"/>
          <w:marBottom w:val="0"/>
          <w:divBdr>
            <w:top w:val="none" w:sz="0" w:space="0" w:color="auto"/>
            <w:left w:val="none" w:sz="0" w:space="0" w:color="auto"/>
            <w:bottom w:val="none" w:sz="0" w:space="0" w:color="auto"/>
            <w:right w:val="none" w:sz="0" w:space="0" w:color="auto"/>
          </w:divBdr>
        </w:div>
        <w:div w:id="161549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2.scjn.gob.mx/ConsultasTematica/Resultados/-0-0-2-388-2022" TargetMode="External" Id="rId13" /><Relationship Type="http://schemas.openxmlformats.org/officeDocument/2006/relationships/hyperlink" Target="https://tbinternet.ohchr.org/_layouts/15/treatybodyexternal/Download.aspx?symbolno=INT%2FCMW%2FADR%2FMEX%2F59668&amp;Lang=en" TargetMode="External" Id="rId26" /><Relationship Type="http://schemas.openxmlformats.org/officeDocument/2006/relationships/hyperlink" Target="https://docs.un.org/es/A/HRC/59/44" TargetMode="External" Id="rId39" /><Relationship Type="http://schemas.openxmlformats.org/officeDocument/2006/relationships/hyperlink" Target="https://www2.scjn.gob.mx/ConsultasTematica/Detalle/253426" TargetMode="External" Id="rId21" /><Relationship Type="http://schemas.openxmlformats.org/officeDocument/2006/relationships/hyperlink" Target="https://www.oas.org/es/cidh/sesiones/?S=192" TargetMode="External" Id="rId34" /><Relationship Type="http://schemas.openxmlformats.org/officeDocument/2006/relationships/hyperlink" Target="https://www.scjn.gob.mx/derechos-humanos/protocolos-de-actuacion/en-casos-que-involucren-personas-migrantes-y-sujetas-de-proteccion" TargetMode="External" Id="rId42" /><Relationship Type="http://schemas.openxmlformats.org/officeDocument/2006/relationships/footer" Target="footer1.xml" Id="rId47" /><Relationship Type="http://schemas.microsoft.com/office/2011/relationships/people" Target="people.xml" Id="rId50"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hyperlink" Target="https://www.ohchr.org/es/press-releases/2025/05/us-turk-raises-human-rights-concerns-about-deportations" TargetMode="External" Id="rId16" /><Relationship Type="http://schemas.openxmlformats.org/officeDocument/2006/relationships/hyperlink" Target="https://www.oas.org/es/CIDH/jsForm/?File=/es/cidh/prensa/comunicados/2025/100.asp&amp;utm_term=class-inft" TargetMode="External" Id="rId29" /><Relationship Type="http://schemas.openxmlformats.org/officeDocument/2006/relationships/hyperlink" Target="https://mexico.iom.int/sites/g/files/tmzbdl1686/files/documents/2024-09/2409-t2-boletin-de-estadisticas-migratorias-para-mexico.pdf" TargetMode="External" Id="rId24" /><Relationship Type="http://schemas.openxmlformats.org/officeDocument/2006/relationships/hyperlink" Target="https://www.ohchr.org/es/stories/2025/05/monitoring-motion-migrants-darien-gap" TargetMode="External" Id="rId32" /><Relationship Type="http://schemas.openxmlformats.org/officeDocument/2006/relationships/hyperlink" Target="https://x.com/cidh/status/1943762279897739577?s=46" TargetMode="External" Id="rId37" /><Relationship Type="http://schemas.openxmlformats.org/officeDocument/2006/relationships/hyperlink" Target="https://docs.un.org/es/A/HRC/59/49" TargetMode="External" Id="rId40" /><Relationship Type="http://schemas.openxmlformats.org/officeDocument/2006/relationships/hyperlink" Target="https://www.sitios.scjn.gob.mx/cec/editorial/personas-migrantes-y-sujetas-proteccion-internacional" TargetMode="External" Id="rId45" /><Relationship Type="http://schemas.openxmlformats.org/officeDocument/2006/relationships/footnotes" Target="footnotes.xml" Id="rId5" /><Relationship Type="http://schemas.openxmlformats.org/officeDocument/2006/relationships/hyperlink" Target="https://www.oas.org/es/CIDH/jsForm/?File=/es/cidh/prensa/comunicados/2025/085.asp&amp;utm_content=country-usa" TargetMode="External" Id="rId15" /><Relationship Type="http://schemas.openxmlformats.org/officeDocument/2006/relationships/hyperlink" Target="https://www2.scjn.gob.mx/ConsultaTematica/PaginasPub/DetallePub.aspx?AsuntoID=255986" TargetMode="External" Id="rId23" /><Relationship Type="http://schemas.openxmlformats.org/officeDocument/2006/relationships/hyperlink" Target="https://www.ohchr.org/es/press-releases/2025/05/turk-israeli-plans-expand-gaza-offensive-aggravate-concerns-regarding" TargetMode="External" Id="rId28" /><Relationship Type="http://schemas.openxmlformats.org/officeDocument/2006/relationships/hyperlink" Target="https://docs.un.org/es/CERD/C/GC/37" TargetMode="External" Id="rId36" /><Relationship Type="http://schemas.openxmlformats.org/officeDocument/2006/relationships/fontTable" Target="fontTable.xml" Id="rId49" /><Relationship Type="http://schemas.microsoft.com/office/2016/09/relationships/commentsIds" Target="commentsIds.xml" Id="rId10" /><Relationship Type="http://schemas.openxmlformats.org/officeDocument/2006/relationships/hyperlink" Target="https://www.oas.org/es/cidh/informes/pdfs/2025/Observaciones-visita-Panama.pdf" TargetMode="External" Id="rId31" /><Relationship Type="http://schemas.openxmlformats.org/officeDocument/2006/relationships/hyperlink" Target="https://www.sitios.scjn.gob.mx/cec/editorial/extradicion" TargetMode="External" Id="rId44" /><Relationship Type="http://schemas.openxmlformats.org/officeDocument/2006/relationships/webSettings" Target="webSettings.xml" Id="rId4" /><Relationship Type="http://schemas.microsoft.com/office/2011/relationships/commentsExtended" Target="commentsExtended.xml" Id="rId9" /><Relationship Type="http://schemas.openxmlformats.org/officeDocument/2006/relationships/hyperlink" Target="https://www2.scjn.gob.mx/ConsultasTematica/Resultados/-0-0-2-275-2019" TargetMode="External" Id="rId14" /><Relationship Type="http://schemas.openxmlformats.org/officeDocument/2006/relationships/hyperlink" Target="https://www2.scjn.gob.mx/ConsultasTematica/Detalle/300178" TargetMode="External" Id="rId22" /><Relationship Type="http://schemas.openxmlformats.org/officeDocument/2006/relationships/hyperlink" Target="https://www.oas.org/es/CIDH/jsForm/?File=/es/cidh/prensa/comunicados/2024/330.asp&amp;utm_content=country-blz" TargetMode="External" Id="rId27" /><Relationship Type="http://schemas.openxmlformats.org/officeDocument/2006/relationships/hyperlink" Target="https://www.oas.org/es/CIDH/jsForm/?File=/es/cidh/prensa/comunicados/2025/086.asp&amp;utm_term=class-dc" TargetMode="External" Id="rId30" /><Relationship Type="http://schemas.openxmlformats.org/officeDocument/2006/relationships/hyperlink" Target="https://digitallibrary.un.org/record/4069346/files/CAT_C_81_D_1109_2021-ES.pdf" TargetMode="External" Id="rId35" /><Relationship Type="http://schemas.openxmlformats.org/officeDocument/2006/relationships/hyperlink" Target="https://www.scjn.gob.mx/derechos-humanos/sites/default/files/Publicaciones/archivos/2022-11/Manual%20sobre%20desplazamiento%20interno.pdf" TargetMode="External" Id="rId43" /><Relationship Type="http://schemas.openxmlformats.org/officeDocument/2006/relationships/footer" Target="footer2.xml" Id="rId48" /><Relationship Type="http://schemas.openxmlformats.org/officeDocument/2006/relationships/theme" Target="theme/theme1.xml" Id="rId51" /><Relationship Type="http://schemas.openxmlformats.org/officeDocument/2006/relationships/settings" Target="settings.xml" Id="rId3" /><Relationship Type="http://schemas.openxmlformats.org/officeDocument/2006/relationships/hyperlink" Target="https://webtv.un.org/en/asset/k1w/k1wizftdg9" TargetMode="External" Id="rId12" /><Relationship Type="http://schemas.openxmlformats.org/officeDocument/2006/relationships/hyperlink" Target="https://docs.un.org/es/CMW/C/GC/6" TargetMode="External" Id="rId17" /><Relationship Type="http://schemas.openxmlformats.org/officeDocument/2006/relationships/hyperlink" Target="https://mexico.iom.int/sites/g/files/tmzbdl1686/files/documents/2024-09/2409-t2-boletin-de-estadisticas-migratorias-para-mexico.pdf" TargetMode="External" Id="rId25" /><Relationship Type="http://schemas.openxmlformats.org/officeDocument/2006/relationships/hyperlink" Target="https://www.ohchr.org/en/calls-for-input/2025/call-inputs-women-girls-and-enforced-disappearances-concept-note-ced-general" TargetMode="External" Id="rId33" /><Relationship Type="http://schemas.openxmlformats.org/officeDocument/2006/relationships/hyperlink" Target="https://docs.un.org/es/A/HRC/58/50" TargetMode="External" Id="rId38" /><Relationship Type="http://schemas.openxmlformats.org/officeDocument/2006/relationships/hyperlink" Target="https://www.sitios.scjn.gob.mx/cec/editorial/derecho-la-notificacion-contacto-y-asistencia-consular" TargetMode="External" Id="rId46" /><Relationship Type="http://schemas.openxmlformats.org/officeDocument/2006/relationships/hyperlink" Target="https://www2.scjn.gob.mx/ConsultasTematica/Detalle/336185" TargetMode="External" Id="rId20" /><Relationship Type="http://schemas.openxmlformats.org/officeDocument/2006/relationships/hyperlink" Target="https://hchr.org.mx/wp/wp-content/uploads/2025/06/20250626-ComPrensa-Dia-Internacional-Apoyo-a-Victimas-de-la-Tortura.pdf" TargetMode="External" Id="rId41"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2.scjn.gob.mx/ConsultasTematica/Resultados/-0-0-2-198-2024" TargetMode="External" Id="Rf84fc0eb0a4048cf" /><Relationship Type="http://schemas.openxmlformats.org/officeDocument/2006/relationships/hyperlink" Target="https://www2.scjn.gob.mx/ConsultasTematica/Detalle/335897" TargetMode="External" Id="Rc1b10edf9f9d4a8f" /><Relationship Type="http://schemas.openxmlformats.org/officeDocument/2006/relationships/hyperlink" Target="https://www.oas.org/es/cidh/decisiones/2025/US_14.042_ES.PDF)" TargetMode="External" Id="R522a057a90c54176" /></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Alexis Guadalupe Betanzos Espinoza</dc:creator>
  <keywords/>
  <dc:description/>
  <lastModifiedBy>SALVADOR CASTILLO RANGEL</lastModifiedBy>
  <revision>138</revision>
  <dcterms:created xsi:type="dcterms:W3CDTF">2025-07-14T19:49:00.0000000Z</dcterms:created>
  <dcterms:modified xsi:type="dcterms:W3CDTF">2025-08-26T19:04:38.5801571Z</dcterms:modified>
</coreProperties>
</file>