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20BE" w14:textId="77777777" w:rsidR="009B120F" w:rsidRPr="00C204F1" w:rsidRDefault="009B120F" w:rsidP="00C204F1">
      <w:pPr>
        <w:spacing w:after="0" w:line="240" w:lineRule="auto"/>
        <w:rPr>
          <w:color w:val="000000" w:themeColor="text1"/>
          <w:lang w:val="es-ES_tradnl"/>
        </w:rPr>
      </w:pPr>
    </w:p>
    <w:p w14:paraId="7644026C" w14:textId="33B46102" w:rsidR="00C204F1" w:rsidRPr="00370C72" w:rsidRDefault="00C204F1" w:rsidP="00C204F1">
      <w:pPr>
        <w:spacing w:after="0" w:line="240" w:lineRule="auto"/>
        <w:jc w:val="both"/>
        <w:rPr>
          <w:rFonts w:ascii="Arial" w:eastAsia="Arial" w:hAnsi="Arial" w:cs="Arial"/>
          <w:b/>
          <w:color w:val="000000" w:themeColor="text1"/>
          <w:sz w:val="26"/>
          <w:szCs w:val="26"/>
        </w:rPr>
      </w:pPr>
      <w:bookmarkStart w:id="0" w:name="_Hlk204510276"/>
      <w:r w:rsidRPr="00370C72">
        <w:rPr>
          <w:rFonts w:ascii="Arial" w:eastAsia="Arial" w:hAnsi="Arial" w:cs="Arial"/>
          <w:b/>
          <w:color w:val="000000" w:themeColor="text1"/>
          <w:sz w:val="26"/>
          <w:szCs w:val="26"/>
        </w:rPr>
        <w:t xml:space="preserve">ACUERDO GENERAL NÚMERO </w:t>
      </w:r>
      <w:r w:rsidR="00562DEB" w:rsidRPr="00370C72">
        <w:rPr>
          <w:rFonts w:ascii="Arial" w:eastAsia="Arial" w:hAnsi="Arial" w:cs="Arial"/>
          <w:b/>
          <w:color w:val="000000" w:themeColor="text1"/>
          <w:sz w:val="26"/>
          <w:szCs w:val="26"/>
        </w:rPr>
        <w:t>9</w:t>
      </w:r>
      <w:r w:rsidRPr="00370C72">
        <w:rPr>
          <w:rFonts w:ascii="Arial" w:eastAsia="Arial" w:hAnsi="Arial" w:cs="Arial"/>
          <w:b/>
          <w:color w:val="000000" w:themeColor="text1"/>
          <w:sz w:val="26"/>
          <w:szCs w:val="26"/>
        </w:rPr>
        <w:t>/2025</w:t>
      </w:r>
      <w:r w:rsidR="00562DEB" w:rsidRPr="00370C72">
        <w:rPr>
          <w:rFonts w:ascii="Arial" w:eastAsia="Arial" w:hAnsi="Arial" w:cs="Arial"/>
          <w:b/>
          <w:color w:val="000000" w:themeColor="text1"/>
          <w:sz w:val="26"/>
          <w:szCs w:val="26"/>
        </w:rPr>
        <w:t xml:space="preserve"> </w:t>
      </w:r>
      <w:r w:rsidR="00562DEB" w:rsidRPr="00370C72">
        <w:rPr>
          <w:rFonts w:ascii="Arial" w:hAnsi="Arial" w:cs="Arial"/>
          <w:b/>
          <w:bCs/>
          <w:color w:val="000000" w:themeColor="text1"/>
          <w:sz w:val="26"/>
          <w:szCs w:val="26"/>
        </w:rPr>
        <w:t>(12a.)</w:t>
      </w:r>
      <w:r w:rsidR="0068799A" w:rsidRPr="00370C72">
        <w:rPr>
          <w:rFonts w:ascii="Arial" w:hAnsi="Arial" w:cs="Arial"/>
          <w:b/>
          <w:bCs/>
          <w:color w:val="000000" w:themeColor="text1"/>
          <w:sz w:val="26"/>
          <w:szCs w:val="26"/>
        </w:rPr>
        <w:t xml:space="preserve"> </w:t>
      </w:r>
      <w:r w:rsidRPr="00370C72">
        <w:rPr>
          <w:rFonts w:ascii="Arial" w:eastAsia="Arial" w:hAnsi="Arial" w:cs="Arial"/>
          <w:b/>
          <w:color w:val="000000" w:themeColor="text1"/>
          <w:sz w:val="26"/>
          <w:szCs w:val="26"/>
        </w:rPr>
        <w:t xml:space="preserve">DEL PLENO DE LA SUPREMA CORTE DE JUSTICIA DE LA NACIÓN, </w:t>
      </w:r>
      <w:r w:rsidR="00CC188B" w:rsidRPr="00370C72">
        <w:rPr>
          <w:rFonts w:ascii="Arial" w:hAnsi="Arial" w:cs="Arial"/>
          <w:b/>
          <w:bCs/>
          <w:color w:val="000000" w:themeColor="text1"/>
          <w:sz w:val="26"/>
          <w:szCs w:val="26"/>
        </w:rPr>
        <w:t xml:space="preserve">DE TRES DE SEPTIEMBRE DE DOS MIL VEINTICINCO, </w:t>
      </w:r>
      <w:r w:rsidRPr="00370C72">
        <w:rPr>
          <w:rFonts w:ascii="Arial" w:eastAsia="Arial" w:hAnsi="Arial" w:cs="Arial"/>
          <w:b/>
          <w:color w:val="000000" w:themeColor="text1"/>
          <w:sz w:val="26"/>
          <w:szCs w:val="26"/>
        </w:rPr>
        <w:t>QUE ESTABLECE EL PROCEDIMIENTO PARA LA DECLARATORIA GENERAL DE INCONSTITUCIONALIDAD.</w:t>
      </w:r>
    </w:p>
    <w:p w14:paraId="7271EFDE" w14:textId="77777777" w:rsidR="003C5629" w:rsidRPr="00370C72" w:rsidRDefault="003C5629" w:rsidP="00C204F1">
      <w:pPr>
        <w:spacing w:after="0" w:line="240" w:lineRule="auto"/>
        <w:jc w:val="center"/>
        <w:rPr>
          <w:rFonts w:ascii="Arial" w:eastAsia="Arial" w:hAnsi="Arial" w:cs="Arial"/>
          <w:color w:val="000000" w:themeColor="text1"/>
          <w:sz w:val="26"/>
          <w:szCs w:val="26"/>
        </w:rPr>
      </w:pPr>
    </w:p>
    <w:p w14:paraId="2A1DD19D" w14:textId="42207694" w:rsidR="00C204F1" w:rsidRPr="00370C72" w:rsidRDefault="00C204F1" w:rsidP="00C204F1">
      <w:pPr>
        <w:spacing w:after="0" w:line="240" w:lineRule="auto"/>
        <w:jc w:val="center"/>
        <w:rPr>
          <w:rFonts w:ascii="Arial" w:eastAsia="Arial" w:hAnsi="Arial" w:cs="Arial"/>
          <w:b/>
          <w:color w:val="000000" w:themeColor="text1"/>
          <w:sz w:val="26"/>
          <w:szCs w:val="26"/>
        </w:rPr>
      </w:pPr>
      <w:r w:rsidRPr="00370C72">
        <w:rPr>
          <w:rFonts w:ascii="Arial" w:eastAsia="Arial" w:hAnsi="Arial" w:cs="Arial"/>
          <w:color w:val="000000" w:themeColor="text1"/>
          <w:sz w:val="26"/>
          <w:szCs w:val="26"/>
        </w:rPr>
        <w:br/>
      </w:r>
      <w:r w:rsidRPr="00370C72">
        <w:rPr>
          <w:rFonts w:ascii="Arial" w:eastAsia="Arial" w:hAnsi="Arial" w:cs="Arial"/>
          <w:b/>
          <w:color w:val="000000" w:themeColor="text1"/>
          <w:sz w:val="26"/>
          <w:szCs w:val="26"/>
        </w:rPr>
        <w:t>RECONOCIMIENTO</w:t>
      </w:r>
    </w:p>
    <w:p w14:paraId="424448F7" w14:textId="77777777" w:rsidR="00C204F1" w:rsidRPr="00370C72" w:rsidRDefault="00C204F1" w:rsidP="00C204F1">
      <w:pPr>
        <w:spacing w:after="0" w:line="240" w:lineRule="auto"/>
        <w:jc w:val="center"/>
        <w:rPr>
          <w:rFonts w:ascii="Arial" w:eastAsia="Arial" w:hAnsi="Arial" w:cs="Arial"/>
          <w:b/>
          <w:color w:val="000000" w:themeColor="text1"/>
          <w:sz w:val="26"/>
          <w:szCs w:val="26"/>
        </w:rPr>
      </w:pPr>
    </w:p>
    <w:p w14:paraId="2118EDAC" w14:textId="77777777" w:rsidR="003C5629" w:rsidRPr="00370C72" w:rsidRDefault="003C5629" w:rsidP="00C204F1">
      <w:pPr>
        <w:spacing w:after="0" w:line="240" w:lineRule="auto"/>
        <w:jc w:val="center"/>
        <w:rPr>
          <w:rFonts w:ascii="Arial" w:eastAsia="Arial" w:hAnsi="Arial" w:cs="Arial"/>
          <w:b/>
          <w:color w:val="000000" w:themeColor="text1"/>
          <w:sz w:val="26"/>
          <w:szCs w:val="26"/>
        </w:rPr>
      </w:pPr>
    </w:p>
    <w:p w14:paraId="54FF3F7D" w14:textId="0DD04042"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 xml:space="preserve">Conforme al principio de “relatividad de las sentencias” del </w:t>
      </w:r>
      <w:r w:rsidR="00B33392" w:rsidRPr="00370C72">
        <w:rPr>
          <w:rFonts w:ascii="Arial" w:eastAsia="Arial" w:hAnsi="Arial" w:cs="Arial"/>
          <w:color w:val="000000" w:themeColor="text1"/>
          <w:sz w:val="26"/>
          <w:szCs w:val="26"/>
        </w:rPr>
        <w:t>j</w:t>
      </w:r>
      <w:r w:rsidRPr="00370C72">
        <w:rPr>
          <w:rFonts w:ascii="Arial" w:eastAsia="Arial" w:hAnsi="Arial" w:cs="Arial"/>
          <w:color w:val="000000" w:themeColor="text1"/>
          <w:sz w:val="26"/>
          <w:szCs w:val="26"/>
        </w:rPr>
        <w:t xml:space="preserve">uicio de </w:t>
      </w:r>
      <w:r w:rsidR="00B33392" w:rsidRPr="00370C72">
        <w:rPr>
          <w:rFonts w:ascii="Arial" w:eastAsia="Arial" w:hAnsi="Arial" w:cs="Arial"/>
          <w:color w:val="000000" w:themeColor="text1"/>
          <w:sz w:val="26"/>
          <w:szCs w:val="26"/>
        </w:rPr>
        <w:t>a</w:t>
      </w:r>
      <w:r w:rsidRPr="00370C72">
        <w:rPr>
          <w:rFonts w:ascii="Arial" w:eastAsia="Arial" w:hAnsi="Arial" w:cs="Arial"/>
          <w:color w:val="000000" w:themeColor="text1"/>
          <w:sz w:val="26"/>
          <w:szCs w:val="26"/>
        </w:rPr>
        <w:t>mparo previsto en el artículo 107, fracción II, de la Constitución Política de los Estados Unidos Mexicanos (CPEUM), cuando se otorga un amparo contra una norma general, la sentencia sólo protege a la persona quejosa promovente, a la vez que la norma declarada inconstitucional sigue vigente para la población en general.</w:t>
      </w:r>
    </w:p>
    <w:p w14:paraId="167D0ECC"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5F3374E0" w14:textId="77777777" w:rsidR="00C204F1" w:rsidRPr="00370C72" w:rsidRDefault="00C204F1" w:rsidP="00C204F1">
      <w:pPr>
        <w:spacing w:after="0" w:line="240" w:lineRule="auto"/>
        <w:jc w:val="both"/>
        <w:rPr>
          <w:rFonts w:ascii="Arial" w:eastAsia="Arial" w:hAnsi="Arial" w:cs="Arial"/>
          <w:color w:val="000000" w:themeColor="text1"/>
          <w:sz w:val="12"/>
          <w:szCs w:val="12"/>
        </w:rPr>
      </w:pPr>
    </w:p>
    <w:p w14:paraId="5417A6BE" w14:textId="06A5B2CA"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 xml:space="preserve">En este sentido, la CPEUM y la Ley de Amparo </w:t>
      </w:r>
      <w:r w:rsidR="008931C1" w:rsidRPr="00370C72">
        <w:rPr>
          <w:rFonts w:ascii="Arial" w:eastAsia="Arial" w:hAnsi="Arial" w:cs="Arial"/>
          <w:color w:val="000000" w:themeColor="text1"/>
          <w:sz w:val="26"/>
          <w:szCs w:val="26"/>
        </w:rPr>
        <w:t xml:space="preserve">(LA) </w:t>
      </w:r>
      <w:r w:rsidRPr="00370C72">
        <w:rPr>
          <w:rFonts w:ascii="Arial" w:eastAsia="Arial" w:hAnsi="Arial" w:cs="Arial"/>
          <w:color w:val="000000" w:themeColor="text1"/>
          <w:sz w:val="26"/>
          <w:szCs w:val="26"/>
        </w:rPr>
        <w:t>regulan un mecanismo jurídico denominado “Declaratoria General de Inconstitucionalidad” en virtud del cual, una vez agotado el procedimiento respectivo, la Suprema Corte de Justicia de la Nación (SCJN) realizará la declaratoria de inconstitucionalidad de una norma con efectos para todos. La declaratoria procede cuando la S</w:t>
      </w:r>
      <w:r w:rsidR="00C55250"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los Plenos Regionales o Tribunales Colegiados de Circuito, hayan determinado la inconstitucionalidad de una norma general y notificada dicha determinación a la autoridad responsable, ésta no modifique o derogue la norma cuyo contenido no es acorde a la CPEUM.</w:t>
      </w:r>
    </w:p>
    <w:p w14:paraId="2A649A0C" w14:textId="77777777" w:rsidR="00C204F1" w:rsidRPr="00370C72" w:rsidRDefault="00C204F1" w:rsidP="00C204F1">
      <w:pPr>
        <w:spacing w:after="0" w:line="240" w:lineRule="auto"/>
        <w:jc w:val="both"/>
        <w:rPr>
          <w:rFonts w:ascii="Arial" w:eastAsia="Arial" w:hAnsi="Arial" w:cs="Arial"/>
          <w:color w:val="000000" w:themeColor="text1"/>
          <w:sz w:val="18"/>
          <w:szCs w:val="18"/>
        </w:rPr>
      </w:pPr>
    </w:p>
    <w:p w14:paraId="55A1E404" w14:textId="77777777" w:rsidR="00C204F1" w:rsidRPr="00370C72" w:rsidRDefault="00C204F1" w:rsidP="00C204F1">
      <w:pPr>
        <w:spacing w:after="0" w:line="240" w:lineRule="auto"/>
        <w:jc w:val="both"/>
        <w:rPr>
          <w:rFonts w:ascii="Arial" w:eastAsia="Arial" w:hAnsi="Arial" w:cs="Arial"/>
          <w:color w:val="000000" w:themeColor="text1"/>
          <w:sz w:val="18"/>
          <w:szCs w:val="18"/>
        </w:rPr>
      </w:pPr>
    </w:p>
    <w:p w14:paraId="70767BB9" w14:textId="6B118B50" w:rsidR="00C204F1" w:rsidRPr="00370C72" w:rsidRDefault="00C204F1" w:rsidP="00C204F1">
      <w:pPr>
        <w:spacing w:after="0" w:line="240" w:lineRule="auto"/>
        <w:jc w:val="both"/>
        <w:rPr>
          <w:rFonts w:ascii="Arial" w:eastAsia="Arial" w:hAnsi="Arial" w:cs="Arial"/>
          <w:bCs/>
          <w:color w:val="000000" w:themeColor="text1"/>
          <w:sz w:val="26"/>
          <w:szCs w:val="26"/>
        </w:rPr>
      </w:pPr>
      <w:r w:rsidRPr="00370C72">
        <w:rPr>
          <w:rFonts w:ascii="Arial" w:eastAsia="Arial" w:hAnsi="Arial" w:cs="Arial"/>
          <w:color w:val="000000" w:themeColor="text1"/>
          <w:sz w:val="26"/>
          <w:szCs w:val="26"/>
        </w:rPr>
        <w:t xml:space="preserve">La declaratoria general de inconstitucionalidad no procede en contra de normas generales en materia tributaria, de conformidad con lo establecido en la fracción II del artículo 107 de la </w:t>
      </w:r>
      <w:r w:rsidR="00020046" w:rsidRPr="00370C72">
        <w:rPr>
          <w:rFonts w:ascii="Arial" w:eastAsia="Arial" w:hAnsi="Arial" w:cs="Arial"/>
          <w:color w:val="000000" w:themeColor="text1"/>
          <w:sz w:val="26"/>
          <w:szCs w:val="26"/>
        </w:rPr>
        <w:t>CPEUM</w:t>
      </w:r>
      <w:r w:rsidRPr="00370C72">
        <w:rPr>
          <w:rFonts w:ascii="Arial" w:eastAsia="Arial" w:hAnsi="Arial" w:cs="Arial"/>
          <w:color w:val="000000" w:themeColor="text1"/>
          <w:sz w:val="26"/>
          <w:szCs w:val="26"/>
        </w:rPr>
        <w:t>, en razón de la importancia que guarda la materia con las finanzas públicas y el impacto negativo en el caso de establecer una declaratoria de efectos generales</w:t>
      </w:r>
      <w:r w:rsidR="00C55250" w:rsidRPr="00370C72">
        <w:rPr>
          <w:rFonts w:ascii="Arial" w:eastAsia="Arial" w:hAnsi="Arial" w:cs="Arial"/>
          <w:color w:val="000000" w:themeColor="text1"/>
          <w:sz w:val="26"/>
          <w:szCs w:val="26"/>
        </w:rPr>
        <w:t>;</w:t>
      </w:r>
      <w:r w:rsidRPr="00370C72">
        <w:rPr>
          <w:rFonts w:ascii="Arial" w:eastAsia="Arial" w:hAnsi="Arial" w:cs="Arial"/>
          <w:color w:val="000000" w:themeColor="text1"/>
          <w:sz w:val="26"/>
          <w:szCs w:val="26"/>
        </w:rPr>
        <w:t xml:space="preserve"> </w:t>
      </w:r>
      <w:r w:rsidR="00C55250" w:rsidRPr="00370C72">
        <w:rPr>
          <w:rFonts w:ascii="Arial" w:eastAsia="Arial" w:hAnsi="Arial" w:cs="Arial"/>
          <w:color w:val="000000" w:themeColor="text1"/>
          <w:sz w:val="26"/>
          <w:szCs w:val="26"/>
        </w:rPr>
        <w:t>s</w:t>
      </w:r>
      <w:r w:rsidRPr="00370C72">
        <w:rPr>
          <w:rFonts w:ascii="Arial" w:eastAsia="Arial" w:hAnsi="Arial" w:cs="Arial"/>
          <w:color w:val="000000" w:themeColor="text1"/>
          <w:sz w:val="26"/>
          <w:szCs w:val="26"/>
        </w:rPr>
        <w:t xml:space="preserve">in embargo, permite tener un sistema jurídico consistente, coherente y sin contradicciones, además de que beneficia a todos aquéllos que por alguna razón no pudieron acceder a la administración de justicia por lo que permitirá alcanzar los anhelos de la reforma judicial. Por ello, el presente </w:t>
      </w:r>
      <w:r w:rsidR="003A2B1E" w:rsidRPr="00370C72">
        <w:rPr>
          <w:rFonts w:ascii="Arial" w:eastAsia="Arial" w:hAnsi="Arial" w:cs="Arial"/>
          <w:color w:val="000000" w:themeColor="text1"/>
          <w:sz w:val="26"/>
          <w:szCs w:val="26"/>
        </w:rPr>
        <w:t>A</w:t>
      </w:r>
      <w:r w:rsidRPr="00370C72">
        <w:rPr>
          <w:rFonts w:ascii="Arial" w:eastAsia="Arial" w:hAnsi="Arial" w:cs="Arial"/>
          <w:color w:val="000000" w:themeColor="text1"/>
          <w:sz w:val="26"/>
          <w:szCs w:val="26"/>
        </w:rPr>
        <w:t xml:space="preserve">cuerdo </w:t>
      </w:r>
      <w:r w:rsidR="006674A5" w:rsidRPr="00370C72">
        <w:rPr>
          <w:rFonts w:ascii="Arial" w:eastAsia="Arial" w:hAnsi="Arial" w:cs="Arial"/>
          <w:color w:val="000000" w:themeColor="text1"/>
          <w:sz w:val="26"/>
          <w:szCs w:val="26"/>
        </w:rPr>
        <w:t xml:space="preserve">General </w:t>
      </w:r>
      <w:r w:rsidRPr="00370C72">
        <w:rPr>
          <w:rFonts w:ascii="Arial" w:eastAsia="Arial" w:hAnsi="Arial" w:cs="Arial"/>
          <w:color w:val="000000" w:themeColor="text1"/>
          <w:sz w:val="26"/>
          <w:szCs w:val="26"/>
        </w:rPr>
        <w:t xml:space="preserve">regula </w:t>
      </w:r>
      <w:r w:rsidRPr="00370C72">
        <w:rPr>
          <w:rFonts w:ascii="Arial" w:eastAsia="Arial" w:hAnsi="Arial" w:cs="Arial"/>
          <w:bCs/>
          <w:color w:val="000000" w:themeColor="text1"/>
          <w:sz w:val="26"/>
          <w:szCs w:val="26"/>
        </w:rPr>
        <w:t>el procedimiento que debe seguirse para la emisión de la declaratoria general de inconstitucionalidad.</w:t>
      </w:r>
    </w:p>
    <w:p w14:paraId="01A06E49" w14:textId="77777777" w:rsidR="003C5629" w:rsidRPr="00370C72" w:rsidRDefault="003C5629" w:rsidP="00C204F1">
      <w:pPr>
        <w:spacing w:after="0" w:line="240" w:lineRule="auto"/>
        <w:jc w:val="both"/>
        <w:rPr>
          <w:rFonts w:ascii="Arial" w:eastAsia="Arial" w:hAnsi="Arial" w:cs="Arial"/>
          <w:color w:val="000000" w:themeColor="text1"/>
          <w:sz w:val="26"/>
          <w:szCs w:val="26"/>
        </w:rPr>
      </w:pPr>
    </w:p>
    <w:p w14:paraId="0C755F59" w14:textId="77777777" w:rsidR="00C204F1" w:rsidRPr="00370C72" w:rsidRDefault="00C204F1" w:rsidP="00C204F1">
      <w:pPr>
        <w:spacing w:after="0" w:line="240" w:lineRule="auto"/>
        <w:jc w:val="center"/>
        <w:rPr>
          <w:rFonts w:ascii="Arial" w:eastAsia="Arial" w:hAnsi="Arial" w:cs="Arial"/>
          <w:b/>
          <w:color w:val="000000" w:themeColor="text1"/>
          <w:sz w:val="26"/>
          <w:szCs w:val="26"/>
        </w:rPr>
      </w:pPr>
    </w:p>
    <w:p w14:paraId="0DD78578" w14:textId="77777777" w:rsidR="00C204F1" w:rsidRPr="00370C72" w:rsidRDefault="00C204F1" w:rsidP="00C204F1">
      <w:pPr>
        <w:spacing w:after="0" w:line="240" w:lineRule="auto"/>
        <w:jc w:val="center"/>
        <w:rPr>
          <w:rFonts w:ascii="Arial" w:eastAsia="Arial" w:hAnsi="Arial" w:cs="Arial"/>
          <w:b/>
          <w:color w:val="000000" w:themeColor="text1"/>
          <w:sz w:val="26"/>
          <w:szCs w:val="26"/>
        </w:rPr>
      </w:pPr>
      <w:r w:rsidRPr="00370C72">
        <w:rPr>
          <w:rFonts w:ascii="Arial" w:eastAsia="Arial" w:hAnsi="Arial" w:cs="Arial"/>
          <w:b/>
          <w:color w:val="000000" w:themeColor="text1"/>
          <w:sz w:val="26"/>
          <w:szCs w:val="26"/>
        </w:rPr>
        <w:t>CONSIDERANDO</w:t>
      </w:r>
    </w:p>
    <w:p w14:paraId="4A1B49D3" w14:textId="77777777" w:rsidR="00C204F1" w:rsidRPr="00370C72" w:rsidRDefault="00C204F1" w:rsidP="00C204F1">
      <w:pPr>
        <w:spacing w:after="0" w:line="240" w:lineRule="auto"/>
        <w:jc w:val="center"/>
        <w:rPr>
          <w:rFonts w:ascii="Arial" w:eastAsia="Arial" w:hAnsi="Arial" w:cs="Arial"/>
          <w:color w:val="000000" w:themeColor="text1"/>
          <w:sz w:val="26"/>
          <w:szCs w:val="26"/>
        </w:rPr>
      </w:pPr>
    </w:p>
    <w:p w14:paraId="4135A5A5" w14:textId="77777777" w:rsidR="003C5629" w:rsidRPr="00370C72" w:rsidRDefault="003C5629" w:rsidP="00C204F1">
      <w:pPr>
        <w:spacing w:after="0" w:line="240" w:lineRule="auto"/>
        <w:jc w:val="center"/>
        <w:rPr>
          <w:rFonts w:ascii="Arial" w:eastAsia="Arial" w:hAnsi="Arial" w:cs="Arial"/>
          <w:color w:val="000000" w:themeColor="text1"/>
          <w:sz w:val="26"/>
          <w:szCs w:val="26"/>
        </w:rPr>
      </w:pPr>
    </w:p>
    <w:p w14:paraId="2027FF8C" w14:textId="0957E4EF"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b/>
          <w:color w:val="000000" w:themeColor="text1"/>
          <w:sz w:val="26"/>
          <w:szCs w:val="26"/>
        </w:rPr>
        <w:t>PRIMERO.</w:t>
      </w:r>
      <w:r w:rsidRPr="00370C72">
        <w:rPr>
          <w:rFonts w:ascii="Arial" w:eastAsia="Arial" w:hAnsi="Arial" w:cs="Arial"/>
          <w:color w:val="000000" w:themeColor="text1"/>
          <w:sz w:val="26"/>
          <w:szCs w:val="26"/>
        </w:rPr>
        <w:t xml:space="preserve"> </w:t>
      </w:r>
      <w:r w:rsidRPr="00370C72">
        <w:rPr>
          <w:rFonts w:ascii="Arial" w:eastAsia="Arial" w:hAnsi="Arial" w:cs="Arial"/>
          <w:b/>
          <w:color w:val="000000" w:themeColor="text1"/>
          <w:sz w:val="26"/>
          <w:szCs w:val="26"/>
        </w:rPr>
        <w:t xml:space="preserve">Base Constitucional. </w:t>
      </w:r>
      <w:r w:rsidRPr="00370C72">
        <w:rPr>
          <w:rFonts w:ascii="Arial" w:eastAsia="Arial" w:hAnsi="Arial" w:cs="Arial"/>
          <w:color w:val="000000" w:themeColor="text1"/>
          <w:sz w:val="26"/>
          <w:szCs w:val="26"/>
        </w:rPr>
        <w:t>Con la reforma al artículo 107, fracción II, de la C</w:t>
      </w:r>
      <w:r w:rsidR="004010DB" w:rsidRPr="00370C72">
        <w:rPr>
          <w:rFonts w:ascii="Arial" w:eastAsia="Arial" w:hAnsi="Arial" w:cs="Arial"/>
          <w:color w:val="000000" w:themeColor="text1"/>
          <w:sz w:val="26"/>
          <w:szCs w:val="26"/>
        </w:rPr>
        <w:t>PEUM</w:t>
      </w:r>
      <w:r w:rsidRPr="00370C72">
        <w:rPr>
          <w:rFonts w:ascii="Arial" w:eastAsia="Arial" w:hAnsi="Arial" w:cs="Arial"/>
          <w:color w:val="000000" w:themeColor="text1"/>
          <w:sz w:val="26"/>
          <w:szCs w:val="26"/>
        </w:rPr>
        <w:t xml:space="preserve">, publicada el seis de junio de dos mil once, se estableció formalmente la </w:t>
      </w:r>
      <w:r w:rsidRPr="00370C72">
        <w:rPr>
          <w:rFonts w:ascii="Arial" w:eastAsia="Arial" w:hAnsi="Arial" w:cs="Arial"/>
          <w:b/>
          <w:color w:val="000000" w:themeColor="text1"/>
          <w:sz w:val="26"/>
          <w:szCs w:val="26"/>
        </w:rPr>
        <w:t>declaratoria general de inconstitucionalidad</w:t>
      </w:r>
      <w:r w:rsidRPr="00370C72">
        <w:rPr>
          <w:rFonts w:ascii="Arial" w:eastAsia="Arial" w:hAnsi="Arial" w:cs="Arial"/>
          <w:color w:val="000000" w:themeColor="text1"/>
          <w:sz w:val="26"/>
          <w:szCs w:val="26"/>
        </w:rPr>
        <w:t xml:space="preserve">. Esta reforma </w:t>
      </w:r>
      <w:r w:rsidRPr="00370C72">
        <w:rPr>
          <w:rFonts w:ascii="Arial" w:eastAsia="Arial" w:hAnsi="Arial" w:cs="Arial"/>
          <w:color w:val="000000" w:themeColor="text1"/>
          <w:sz w:val="26"/>
          <w:szCs w:val="26"/>
        </w:rPr>
        <w:lastRenderedPageBreak/>
        <w:t>introdujo la posibilidad de que la S</w:t>
      </w:r>
      <w:r w:rsidR="001E1180"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xml:space="preserve"> declare la inconstitucionalidad de una norma con efectos generales a excepción de la materia tributaria.</w:t>
      </w:r>
    </w:p>
    <w:p w14:paraId="67AE9489"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3983651E" w14:textId="77777777"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La reforma a la CPEUM de fecha quince de septiembre de dos mil veinticuatro deja intocada en forma general este instrumento, subsistiendo en sus términos con algunas modificaciones que permiten apreciarlo con mayor claridad.</w:t>
      </w:r>
    </w:p>
    <w:p w14:paraId="2462C4D8"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00CAFFC7" w14:textId="3269BBA0"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b/>
          <w:color w:val="000000" w:themeColor="text1"/>
          <w:sz w:val="26"/>
          <w:szCs w:val="26"/>
        </w:rPr>
        <w:t xml:space="preserve">SEGUNDO.  Base legal. </w:t>
      </w:r>
      <w:r w:rsidRPr="00370C72">
        <w:rPr>
          <w:rFonts w:ascii="Arial" w:eastAsia="Arial" w:hAnsi="Arial" w:cs="Arial"/>
          <w:color w:val="000000" w:themeColor="text1"/>
          <w:sz w:val="26"/>
          <w:szCs w:val="26"/>
        </w:rPr>
        <w:t>De conformidad con los párrafos segundo, tercero y cuarto de la fracción II del artículo 107 de la C</w:t>
      </w:r>
      <w:r w:rsidR="0000421E" w:rsidRPr="00370C72">
        <w:rPr>
          <w:rFonts w:ascii="Arial" w:eastAsia="Arial" w:hAnsi="Arial" w:cs="Arial"/>
          <w:color w:val="000000" w:themeColor="text1"/>
          <w:sz w:val="26"/>
          <w:szCs w:val="26"/>
        </w:rPr>
        <w:t>PEUM</w:t>
      </w:r>
      <w:r w:rsidRPr="00370C72">
        <w:rPr>
          <w:rFonts w:ascii="Arial" w:eastAsia="Arial" w:hAnsi="Arial" w:cs="Arial"/>
          <w:color w:val="000000" w:themeColor="text1"/>
          <w:sz w:val="26"/>
          <w:szCs w:val="26"/>
        </w:rPr>
        <w:t>, así como de los artículos 210, 231 a 235 de la L</w:t>
      </w:r>
      <w:r w:rsidR="00F67BE1" w:rsidRPr="00370C72">
        <w:rPr>
          <w:rFonts w:ascii="Arial" w:eastAsia="Arial" w:hAnsi="Arial" w:cs="Arial"/>
          <w:color w:val="000000" w:themeColor="text1"/>
          <w:sz w:val="26"/>
          <w:szCs w:val="26"/>
        </w:rPr>
        <w:t>A</w:t>
      </w:r>
      <w:r w:rsidRPr="00370C72">
        <w:rPr>
          <w:rFonts w:ascii="Arial" w:eastAsia="Arial" w:hAnsi="Arial" w:cs="Arial"/>
          <w:color w:val="000000" w:themeColor="text1"/>
          <w:sz w:val="26"/>
          <w:szCs w:val="26"/>
        </w:rPr>
        <w:t>; 16, fracción VI y 20, fracción XIV, de la Ley Orgánica del Poder Judicial de la Federación</w:t>
      </w:r>
      <w:r w:rsidR="00F67BE1" w:rsidRPr="00370C72">
        <w:rPr>
          <w:rFonts w:ascii="Arial" w:eastAsia="Arial" w:hAnsi="Arial" w:cs="Arial"/>
          <w:color w:val="000000" w:themeColor="text1"/>
          <w:sz w:val="26"/>
          <w:szCs w:val="26"/>
        </w:rPr>
        <w:t xml:space="preserve"> (LOPJF)</w:t>
      </w:r>
      <w:r w:rsidRPr="00370C72">
        <w:rPr>
          <w:rFonts w:ascii="Arial" w:eastAsia="Arial" w:hAnsi="Arial" w:cs="Arial"/>
          <w:color w:val="000000" w:themeColor="text1"/>
          <w:sz w:val="26"/>
          <w:szCs w:val="26"/>
        </w:rPr>
        <w:t>, es competencia de la S</w:t>
      </w:r>
      <w:r w:rsidR="001E1180"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xml:space="preserve"> conocer de los procedimientos de declaratoria general de inconstitucionalidad.</w:t>
      </w:r>
    </w:p>
    <w:p w14:paraId="2467C7AC"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06C31A89" w14:textId="25D12611"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En consecuencia, con fundamento en el artículo 94, párrafo noveno, de la C</w:t>
      </w:r>
      <w:r w:rsidR="00F76183" w:rsidRPr="00370C72">
        <w:rPr>
          <w:rFonts w:ascii="Arial" w:eastAsia="Arial" w:hAnsi="Arial" w:cs="Arial"/>
          <w:color w:val="000000" w:themeColor="text1"/>
          <w:sz w:val="26"/>
          <w:szCs w:val="26"/>
        </w:rPr>
        <w:t>PEUM</w:t>
      </w:r>
      <w:r w:rsidRPr="00370C72">
        <w:rPr>
          <w:rFonts w:ascii="Arial" w:eastAsia="Arial" w:hAnsi="Arial" w:cs="Arial"/>
          <w:color w:val="000000" w:themeColor="text1"/>
          <w:sz w:val="26"/>
          <w:szCs w:val="26"/>
        </w:rPr>
        <w:t>, así como en la fracción VII, del artículo 17 de la L</w:t>
      </w:r>
      <w:r w:rsidR="00F76183" w:rsidRPr="00370C72">
        <w:rPr>
          <w:rFonts w:ascii="Arial" w:eastAsia="Arial" w:hAnsi="Arial" w:cs="Arial"/>
          <w:color w:val="000000" w:themeColor="text1"/>
          <w:sz w:val="26"/>
          <w:szCs w:val="26"/>
        </w:rPr>
        <w:t>OPJF</w:t>
      </w:r>
      <w:r w:rsidRPr="00370C72">
        <w:rPr>
          <w:rFonts w:ascii="Arial" w:eastAsia="Arial" w:hAnsi="Arial" w:cs="Arial"/>
          <w:color w:val="000000" w:themeColor="text1"/>
          <w:sz w:val="26"/>
          <w:szCs w:val="26"/>
        </w:rPr>
        <w:t>, el Pleno de la S</w:t>
      </w:r>
      <w:r w:rsidR="00E6370E"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xml:space="preserve"> expide el siguiente:</w:t>
      </w:r>
    </w:p>
    <w:p w14:paraId="220992E1" w14:textId="77777777" w:rsidR="003C5629" w:rsidRPr="00370C72" w:rsidRDefault="003C5629" w:rsidP="00C204F1">
      <w:pPr>
        <w:spacing w:after="0" w:line="240" w:lineRule="auto"/>
        <w:jc w:val="both"/>
        <w:rPr>
          <w:rFonts w:ascii="Arial" w:eastAsia="Arial" w:hAnsi="Arial" w:cs="Arial"/>
          <w:color w:val="000000" w:themeColor="text1"/>
          <w:sz w:val="26"/>
          <w:szCs w:val="26"/>
        </w:rPr>
      </w:pPr>
    </w:p>
    <w:p w14:paraId="05DDB7D1" w14:textId="77777777" w:rsidR="00C204F1" w:rsidRPr="00370C72" w:rsidRDefault="00C204F1" w:rsidP="00C204F1">
      <w:pPr>
        <w:pStyle w:val="Sinespaciado"/>
        <w:jc w:val="both"/>
        <w:rPr>
          <w:rFonts w:ascii="Arial" w:hAnsi="Arial" w:cs="Arial"/>
          <w:color w:val="000000" w:themeColor="text1"/>
          <w:sz w:val="12"/>
          <w:szCs w:val="12"/>
        </w:rPr>
      </w:pPr>
    </w:p>
    <w:bookmarkEnd w:id="0"/>
    <w:p w14:paraId="25E174D4" w14:textId="77777777" w:rsidR="00C204F1" w:rsidRPr="00370C72" w:rsidRDefault="00C204F1" w:rsidP="00C204F1">
      <w:pPr>
        <w:spacing w:after="0" w:line="240" w:lineRule="auto"/>
        <w:jc w:val="center"/>
        <w:rPr>
          <w:rFonts w:ascii="Arial" w:eastAsia="Times New Roman" w:hAnsi="Arial" w:cs="Arial"/>
          <w:b/>
          <w:bCs/>
          <w:color w:val="000000" w:themeColor="text1"/>
          <w:sz w:val="26"/>
          <w:szCs w:val="26"/>
          <w:lang w:val="es-ES_tradnl"/>
        </w:rPr>
      </w:pPr>
      <w:r w:rsidRPr="00370C72">
        <w:rPr>
          <w:rFonts w:ascii="Arial" w:eastAsia="Times New Roman" w:hAnsi="Arial" w:cs="Arial"/>
          <w:b/>
          <w:bCs/>
          <w:color w:val="000000" w:themeColor="text1"/>
          <w:sz w:val="26"/>
          <w:szCs w:val="26"/>
          <w:lang w:val="es-ES_tradnl"/>
        </w:rPr>
        <w:t>ACUERDO</w:t>
      </w:r>
    </w:p>
    <w:p w14:paraId="554BA512" w14:textId="77777777" w:rsidR="00C204F1" w:rsidRPr="00370C72" w:rsidRDefault="00C204F1" w:rsidP="00C204F1">
      <w:pPr>
        <w:autoSpaceDE w:val="0"/>
        <w:autoSpaceDN w:val="0"/>
        <w:adjustRightInd w:val="0"/>
        <w:spacing w:after="0" w:line="240" w:lineRule="auto"/>
        <w:jc w:val="both"/>
        <w:rPr>
          <w:rFonts w:ascii="Arial" w:hAnsi="Arial" w:cs="Arial"/>
          <w:b/>
          <w:bCs/>
          <w:color w:val="000000" w:themeColor="text1"/>
          <w:sz w:val="26"/>
          <w:szCs w:val="26"/>
        </w:rPr>
      </w:pPr>
    </w:p>
    <w:p w14:paraId="172A3044" w14:textId="77777777" w:rsidR="003C5629" w:rsidRPr="00370C72" w:rsidRDefault="003C5629" w:rsidP="00C204F1">
      <w:pPr>
        <w:autoSpaceDE w:val="0"/>
        <w:autoSpaceDN w:val="0"/>
        <w:adjustRightInd w:val="0"/>
        <w:spacing w:after="0" w:line="240" w:lineRule="auto"/>
        <w:jc w:val="both"/>
        <w:rPr>
          <w:rFonts w:ascii="Arial" w:hAnsi="Arial" w:cs="Arial"/>
          <w:b/>
          <w:bCs/>
          <w:color w:val="000000" w:themeColor="text1"/>
          <w:sz w:val="26"/>
          <w:szCs w:val="26"/>
        </w:rPr>
      </w:pPr>
    </w:p>
    <w:p w14:paraId="520880A3" w14:textId="10E2E178"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b/>
          <w:color w:val="000000" w:themeColor="text1"/>
          <w:sz w:val="26"/>
          <w:szCs w:val="26"/>
        </w:rPr>
        <w:t>PRIMERO.</w:t>
      </w:r>
      <w:r w:rsidRPr="00370C72">
        <w:rPr>
          <w:rFonts w:ascii="Arial" w:eastAsia="Arial" w:hAnsi="Arial" w:cs="Arial"/>
          <w:color w:val="000000" w:themeColor="text1"/>
          <w:sz w:val="26"/>
          <w:szCs w:val="26"/>
        </w:rPr>
        <w:t xml:space="preserve"> </w:t>
      </w:r>
      <w:r w:rsidRPr="00370C72">
        <w:rPr>
          <w:rFonts w:ascii="Arial" w:eastAsia="Arial" w:hAnsi="Arial" w:cs="Arial"/>
          <w:b/>
          <w:bCs/>
          <w:color w:val="000000" w:themeColor="text1"/>
          <w:sz w:val="26"/>
          <w:szCs w:val="26"/>
        </w:rPr>
        <w:t>Objeto</w:t>
      </w:r>
      <w:r w:rsidRPr="00370C72">
        <w:rPr>
          <w:rFonts w:ascii="Arial" w:eastAsia="Arial" w:hAnsi="Arial" w:cs="Arial"/>
          <w:b/>
          <w:color w:val="000000" w:themeColor="text1"/>
          <w:sz w:val="26"/>
          <w:szCs w:val="26"/>
        </w:rPr>
        <w:t xml:space="preserve">. </w:t>
      </w:r>
      <w:r w:rsidRPr="00370C72">
        <w:rPr>
          <w:rFonts w:ascii="Arial" w:eastAsia="Arial" w:hAnsi="Arial" w:cs="Arial"/>
          <w:color w:val="000000" w:themeColor="text1"/>
          <w:sz w:val="26"/>
          <w:szCs w:val="26"/>
        </w:rPr>
        <w:t xml:space="preserve">Este </w:t>
      </w:r>
      <w:r w:rsidR="003A2B1E" w:rsidRPr="00370C72">
        <w:rPr>
          <w:rFonts w:ascii="Arial" w:eastAsia="Arial" w:hAnsi="Arial" w:cs="Arial"/>
          <w:color w:val="000000" w:themeColor="text1"/>
          <w:sz w:val="26"/>
          <w:szCs w:val="26"/>
        </w:rPr>
        <w:t>A</w:t>
      </w:r>
      <w:r w:rsidRPr="00370C72">
        <w:rPr>
          <w:rFonts w:ascii="Arial" w:eastAsia="Arial" w:hAnsi="Arial" w:cs="Arial"/>
          <w:color w:val="000000" w:themeColor="text1"/>
          <w:sz w:val="26"/>
          <w:szCs w:val="26"/>
        </w:rPr>
        <w:t>cuerdo tiene por objeto regular el procedimiento que se debe seguir para la emisión de la declaratoria general de inconstitucionalidad en términos de la C</w:t>
      </w:r>
      <w:r w:rsidR="003A7A78" w:rsidRPr="00370C72">
        <w:rPr>
          <w:rFonts w:ascii="Arial" w:eastAsia="Arial" w:hAnsi="Arial" w:cs="Arial"/>
          <w:color w:val="000000" w:themeColor="text1"/>
          <w:sz w:val="26"/>
          <w:szCs w:val="26"/>
        </w:rPr>
        <w:t>PEUM</w:t>
      </w:r>
      <w:r w:rsidRPr="00370C72">
        <w:rPr>
          <w:rFonts w:ascii="Arial" w:eastAsia="Arial" w:hAnsi="Arial" w:cs="Arial"/>
          <w:color w:val="000000" w:themeColor="text1"/>
          <w:sz w:val="26"/>
          <w:szCs w:val="26"/>
        </w:rPr>
        <w:t xml:space="preserve"> y la L</w:t>
      </w:r>
      <w:r w:rsidR="003A7A78" w:rsidRPr="00370C72">
        <w:rPr>
          <w:rFonts w:ascii="Arial" w:eastAsia="Arial" w:hAnsi="Arial" w:cs="Arial"/>
          <w:color w:val="000000" w:themeColor="text1"/>
          <w:sz w:val="26"/>
          <w:szCs w:val="26"/>
        </w:rPr>
        <w:t>A</w:t>
      </w:r>
      <w:r w:rsidRPr="00370C72">
        <w:rPr>
          <w:rFonts w:ascii="Arial" w:eastAsia="Arial" w:hAnsi="Arial" w:cs="Arial"/>
          <w:color w:val="000000" w:themeColor="text1"/>
          <w:sz w:val="26"/>
          <w:szCs w:val="26"/>
        </w:rPr>
        <w:t>, con excepción de las normas generales en materia tributaria.</w:t>
      </w:r>
    </w:p>
    <w:p w14:paraId="2B3BCE53"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30670937" w14:textId="22B67871"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b/>
          <w:bCs/>
          <w:color w:val="000000" w:themeColor="text1"/>
          <w:sz w:val="26"/>
          <w:szCs w:val="26"/>
        </w:rPr>
        <w:t xml:space="preserve">SEGUNDO. Inicio de procedimientos de declaratoria general de inconstitucionalidad. </w:t>
      </w:r>
      <w:r w:rsidRPr="00370C72">
        <w:rPr>
          <w:rFonts w:ascii="Arial" w:eastAsia="Arial" w:hAnsi="Arial" w:cs="Arial"/>
          <w:color w:val="000000" w:themeColor="text1"/>
          <w:sz w:val="26"/>
          <w:szCs w:val="26"/>
        </w:rPr>
        <w:t>Cuando la S</w:t>
      </w:r>
      <w:r w:rsidR="003A7A78"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xml:space="preserve"> declare la inconstitucionalidad de una norma general en amparo indirecto en revisión, la Presidencia de la SCJN ordenará la apertura del expediente de declaratoria general de inconstitucionalidad, en términos de los artículos 231 o 232 de la L</w:t>
      </w:r>
      <w:r w:rsidR="00B45C73" w:rsidRPr="00370C72">
        <w:rPr>
          <w:rFonts w:ascii="Arial" w:eastAsia="Arial" w:hAnsi="Arial" w:cs="Arial"/>
          <w:color w:val="000000" w:themeColor="text1"/>
          <w:sz w:val="26"/>
          <w:szCs w:val="26"/>
        </w:rPr>
        <w:t>A</w:t>
      </w:r>
      <w:r w:rsidRPr="00370C72">
        <w:rPr>
          <w:rFonts w:ascii="Arial" w:eastAsia="Arial" w:hAnsi="Arial" w:cs="Arial"/>
          <w:color w:val="000000" w:themeColor="text1"/>
          <w:sz w:val="26"/>
          <w:szCs w:val="26"/>
        </w:rPr>
        <w:t>, según corresponda.</w:t>
      </w:r>
    </w:p>
    <w:p w14:paraId="5A87E30A"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7BD94C42" w14:textId="686BF035"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 xml:space="preserve">Cuando un Pleno Regional o </w:t>
      </w:r>
      <w:r w:rsidR="000D05BF" w:rsidRPr="00370C72">
        <w:rPr>
          <w:rFonts w:ascii="Arial" w:eastAsia="Arial" w:hAnsi="Arial" w:cs="Arial"/>
          <w:color w:val="000000" w:themeColor="text1"/>
          <w:sz w:val="26"/>
          <w:szCs w:val="26"/>
        </w:rPr>
        <w:t xml:space="preserve">un </w:t>
      </w:r>
      <w:r w:rsidRPr="00370C72">
        <w:rPr>
          <w:rFonts w:ascii="Arial" w:eastAsia="Arial" w:hAnsi="Arial" w:cs="Arial"/>
          <w:color w:val="000000" w:themeColor="text1"/>
          <w:sz w:val="26"/>
          <w:szCs w:val="26"/>
        </w:rPr>
        <w:t>Tribunal Colegiado de Circuito integre jurisprudencia sobre la inconstitucionalidad de una norma general no tributaria, lo comunicará por escrito a la Presidencia de la S</w:t>
      </w:r>
      <w:r w:rsidR="00B45C73"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xml:space="preserve"> para que inicie el procedimiento de declaratoria general de inconstitucionalidad.</w:t>
      </w:r>
    </w:p>
    <w:p w14:paraId="2A6DFA3E" w14:textId="77777777" w:rsidR="00EC6527" w:rsidRPr="00370C72" w:rsidRDefault="00EC6527" w:rsidP="00C204F1">
      <w:pPr>
        <w:spacing w:after="0" w:line="240" w:lineRule="auto"/>
        <w:jc w:val="both"/>
        <w:rPr>
          <w:rFonts w:ascii="Arial" w:eastAsia="Arial" w:hAnsi="Arial" w:cs="Arial"/>
          <w:color w:val="000000" w:themeColor="text1"/>
          <w:sz w:val="26"/>
          <w:szCs w:val="26"/>
        </w:rPr>
      </w:pPr>
    </w:p>
    <w:p w14:paraId="5A4F728A" w14:textId="00A4FA88"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Para tal efecto deberá indicar si el criterio jurisprudencial ha sido materia de análisis por la S</w:t>
      </w:r>
      <w:r w:rsidR="00500D8B"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xml:space="preserve"> y, en su caso, si se encuentra pendiente de resolver alguna contradicción de criterios sobre el tema, en cuyo caso se desechará por la Presidencia de la SCJN.</w:t>
      </w:r>
    </w:p>
    <w:p w14:paraId="54C24467"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34EA0DFF" w14:textId="77777777" w:rsidR="00C204F1" w:rsidRPr="00370C72" w:rsidRDefault="00C204F1" w:rsidP="00C204F1">
      <w:pPr>
        <w:spacing w:after="0" w:line="240" w:lineRule="auto"/>
        <w:jc w:val="both"/>
        <w:rPr>
          <w:rFonts w:ascii="Arial" w:eastAsia="Arial" w:hAnsi="Arial" w:cs="Arial"/>
          <w:color w:val="000000" w:themeColor="text1"/>
          <w:sz w:val="8"/>
          <w:szCs w:val="8"/>
        </w:rPr>
      </w:pPr>
    </w:p>
    <w:p w14:paraId="1227BEC4" w14:textId="3A5DC0E8"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b/>
          <w:color w:val="000000" w:themeColor="text1"/>
          <w:sz w:val="26"/>
          <w:szCs w:val="26"/>
        </w:rPr>
        <w:t xml:space="preserve">TERCERO. Determinación de la naturaleza tributaria de la norma. </w:t>
      </w:r>
      <w:r w:rsidRPr="00370C72">
        <w:rPr>
          <w:rFonts w:ascii="Arial" w:eastAsia="Arial" w:hAnsi="Arial" w:cs="Arial"/>
          <w:bCs/>
          <w:color w:val="000000" w:themeColor="text1"/>
          <w:sz w:val="26"/>
          <w:szCs w:val="26"/>
        </w:rPr>
        <w:t>Cuando exista</w:t>
      </w:r>
      <w:r w:rsidRPr="00370C72">
        <w:rPr>
          <w:rFonts w:ascii="Arial" w:eastAsia="Arial" w:hAnsi="Arial" w:cs="Arial"/>
          <w:color w:val="000000" w:themeColor="text1"/>
          <w:sz w:val="26"/>
          <w:szCs w:val="26"/>
        </w:rPr>
        <w:t xml:space="preserve"> duda sobre la naturaleza de la norma general en cuestión y con la finalidad de dar certeza de que no se trata de una norma tributaria, </w:t>
      </w:r>
      <w:r w:rsidRPr="00370C72">
        <w:rPr>
          <w:rFonts w:ascii="Arial" w:eastAsia="Arial" w:hAnsi="Arial" w:cs="Arial"/>
          <w:color w:val="000000" w:themeColor="text1"/>
          <w:sz w:val="26"/>
          <w:szCs w:val="26"/>
        </w:rPr>
        <w:lastRenderedPageBreak/>
        <w:t>antes de notificar a la autoridad emisora, la Presidencia de la S</w:t>
      </w:r>
      <w:r w:rsidR="005F578E"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xml:space="preserve"> instruirá a la persona titular de la Secretaría General de Acuerdos para que presente un proyecto de </w:t>
      </w:r>
      <w:r w:rsidR="008F5358" w:rsidRPr="00370C72">
        <w:rPr>
          <w:rFonts w:ascii="Arial" w:eastAsia="Arial" w:hAnsi="Arial" w:cs="Arial"/>
          <w:color w:val="000000" w:themeColor="text1"/>
          <w:sz w:val="26"/>
          <w:szCs w:val="26"/>
        </w:rPr>
        <w:t>a</w:t>
      </w:r>
      <w:r w:rsidRPr="00370C72">
        <w:rPr>
          <w:rFonts w:ascii="Arial" w:eastAsia="Arial" w:hAnsi="Arial" w:cs="Arial"/>
          <w:color w:val="000000" w:themeColor="text1"/>
          <w:sz w:val="26"/>
          <w:szCs w:val="26"/>
        </w:rPr>
        <w:t>cuerdo con los elementos necesarios a fin de someterlo a la consideración del Pleno.</w:t>
      </w:r>
    </w:p>
    <w:p w14:paraId="5F91F4BF"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19CE117D" w14:textId="77777777" w:rsidR="00C204F1" w:rsidRPr="00370C72" w:rsidRDefault="00C204F1" w:rsidP="00C204F1">
      <w:pPr>
        <w:spacing w:after="0" w:line="240" w:lineRule="auto"/>
        <w:jc w:val="both"/>
        <w:rPr>
          <w:rFonts w:ascii="Arial" w:eastAsia="Arial" w:hAnsi="Arial" w:cs="Arial"/>
          <w:color w:val="000000" w:themeColor="text1"/>
          <w:sz w:val="12"/>
          <w:szCs w:val="12"/>
        </w:rPr>
      </w:pPr>
    </w:p>
    <w:p w14:paraId="1181A94D" w14:textId="315BB5E8" w:rsidR="00C204F1" w:rsidRPr="00370C72" w:rsidRDefault="00C204F1" w:rsidP="00C204F1">
      <w:pPr>
        <w:spacing w:after="0" w:line="240" w:lineRule="auto"/>
        <w:jc w:val="both"/>
        <w:rPr>
          <w:rFonts w:ascii="Arial" w:eastAsia="Arial" w:hAnsi="Arial" w:cs="Arial"/>
          <w:bCs/>
          <w:color w:val="000000" w:themeColor="text1"/>
          <w:sz w:val="26"/>
          <w:szCs w:val="26"/>
        </w:rPr>
      </w:pPr>
      <w:r w:rsidRPr="00370C72">
        <w:rPr>
          <w:rFonts w:ascii="Arial" w:eastAsia="Arial" w:hAnsi="Arial" w:cs="Arial"/>
          <w:b/>
          <w:color w:val="000000" w:themeColor="text1"/>
          <w:sz w:val="26"/>
          <w:szCs w:val="26"/>
        </w:rPr>
        <w:t>CUARTO. Informe sobre la inconstitucionalidad declarada por la S</w:t>
      </w:r>
      <w:r w:rsidR="009743DA" w:rsidRPr="00370C72">
        <w:rPr>
          <w:rFonts w:ascii="Arial" w:eastAsia="Arial" w:hAnsi="Arial" w:cs="Arial"/>
          <w:b/>
          <w:color w:val="000000" w:themeColor="text1"/>
          <w:sz w:val="26"/>
          <w:szCs w:val="26"/>
        </w:rPr>
        <w:t>CJN</w:t>
      </w:r>
      <w:r w:rsidRPr="00370C72">
        <w:rPr>
          <w:rFonts w:ascii="Arial" w:eastAsia="Arial" w:hAnsi="Arial" w:cs="Arial"/>
          <w:b/>
          <w:color w:val="000000" w:themeColor="text1"/>
          <w:sz w:val="26"/>
          <w:szCs w:val="26"/>
        </w:rPr>
        <w:t>.</w:t>
      </w:r>
      <w:r w:rsidRPr="00370C72">
        <w:rPr>
          <w:rFonts w:ascii="Arial" w:eastAsia="Arial" w:hAnsi="Arial" w:cs="Arial"/>
          <w:bCs/>
          <w:color w:val="000000" w:themeColor="text1"/>
          <w:sz w:val="26"/>
          <w:szCs w:val="26"/>
        </w:rPr>
        <w:t xml:space="preserve"> La Presidencia de la </w:t>
      </w:r>
      <w:r w:rsidRPr="00370C72">
        <w:rPr>
          <w:rFonts w:ascii="Arial" w:eastAsia="Arial" w:hAnsi="Arial" w:cs="Arial"/>
          <w:color w:val="000000" w:themeColor="text1"/>
          <w:sz w:val="26"/>
          <w:szCs w:val="26"/>
        </w:rPr>
        <w:t>SCJN,</w:t>
      </w:r>
      <w:r w:rsidRPr="00370C72">
        <w:rPr>
          <w:rFonts w:ascii="Arial" w:eastAsia="Arial" w:hAnsi="Arial" w:cs="Arial"/>
          <w:bCs/>
          <w:color w:val="000000" w:themeColor="text1"/>
          <w:sz w:val="26"/>
          <w:szCs w:val="26"/>
        </w:rPr>
        <w:t xml:space="preserve"> en un plazo no mayor a quince días hábiles a partir de la firma del engrose, informará a la autoridad responsable de emitir la norma general no tributaria que, el Pleno de la S</w:t>
      </w:r>
      <w:r w:rsidR="00B73F83" w:rsidRPr="00370C72">
        <w:rPr>
          <w:rFonts w:ascii="Arial" w:eastAsia="Arial" w:hAnsi="Arial" w:cs="Arial"/>
          <w:bCs/>
          <w:color w:val="000000" w:themeColor="text1"/>
          <w:sz w:val="26"/>
          <w:szCs w:val="26"/>
        </w:rPr>
        <w:t>CJN</w:t>
      </w:r>
      <w:r w:rsidRPr="00370C72">
        <w:rPr>
          <w:rFonts w:ascii="Arial" w:eastAsia="Arial" w:hAnsi="Arial" w:cs="Arial"/>
          <w:bCs/>
          <w:color w:val="000000" w:themeColor="text1"/>
          <w:sz w:val="26"/>
          <w:szCs w:val="26"/>
        </w:rPr>
        <w:t>, al resolver un amparo indirecto en revisión determinó su inconstitucionalidad.</w:t>
      </w:r>
    </w:p>
    <w:p w14:paraId="78E73F95" w14:textId="77777777" w:rsidR="00C204F1" w:rsidRPr="00370C72" w:rsidRDefault="00C204F1" w:rsidP="00C204F1">
      <w:pPr>
        <w:spacing w:after="0" w:line="240" w:lineRule="auto"/>
        <w:jc w:val="both"/>
        <w:rPr>
          <w:rFonts w:ascii="Arial" w:eastAsia="Arial" w:hAnsi="Arial" w:cs="Arial"/>
          <w:bCs/>
          <w:color w:val="000000" w:themeColor="text1"/>
          <w:sz w:val="26"/>
          <w:szCs w:val="26"/>
        </w:rPr>
      </w:pPr>
    </w:p>
    <w:p w14:paraId="3648ADFD" w14:textId="77777777" w:rsidR="00C204F1" w:rsidRPr="00370C72" w:rsidRDefault="00C204F1" w:rsidP="00C204F1">
      <w:pPr>
        <w:spacing w:after="0" w:line="240" w:lineRule="auto"/>
        <w:jc w:val="both"/>
        <w:rPr>
          <w:rFonts w:ascii="Arial" w:eastAsia="Arial" w:hAnsi="Arial" w:cs="Arial"/>
          <w:bCs/>
          <w:color w:val="000000" w:themeColor="text1"/>
          <w:sz w:val="4"/>
          <w:szCs w:val="4"/>
        </w:rPr>
      </w:pPr>
    </w:p>
    <w:p w14:paraId="1D479389" w14:textId="6DE2A6A9"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b/>
          <w:color w:val="000000" w:themeColor="text1"/>
          <w:sz w:val="26"/>
          <w:szCs w:val="26"/>
        </w:rPr>
        <w:t>QUINTO. Procedimiento en los casos de inconstitucionalidad determinada por la S</w:t>
      </w:r>
      <w:r w:rsidR="00B73F83" w:rsidRPr="00370C72">
        <w:rPr>
          <w:rFonts w:ascii="Arial" w:eastAsia="Arial" w:hAnsi="Arial" w:cs="Arial"/>
          <w:b/>
          <w:color w:val="000000" w:themeColor="text1"/>
          <w:sz w:val="26"/>
          <w:szCs w:val="26"/>
        </w:rPr>
        <w:t>CJN</w:t>
      </w:r>
      <w:r w:rsidRPr="00370C72">
        <w:rPr>
          <w:rFonts w:ascii="Arial" w:eastAsia="Arial" w:hAnsi="Arial" w:cs="Arial"/>
          <w:b/>
          <w:color w:val="000000" w:themeColor="text1"/>
          <w:sz w:val="26"/>
          <w:szCs w:val="26"/>
        </w:rPr>
        <w:t xml:space="preserve">. </w:t>
      </w:r>
      <w:r w:rsidRPr="00370C72">
        <w:rPr>
          <w:rFonts w:ascii="Arial" w:eastAsia="Arial" w:hAnsi="Arial" w:cs="Arial"/>
          <w:color w:val="000000" w:themeColor="text1"/>
          <w:sz w:val="26"/>
          <w:szCs w:val="26"/>
        </w:rPr>
        <w:t>Cuando el Pleno establezca jurisprudencia en la cual determine la inconstitucionalidad de una norma general no tributaria, la Presidencia ordenará la notificación a la autoridad emisora para que modifique o derogue dicha norma en términos de lo que establece la C</w:t>
      </w:r>
      <w:r w:rsidR="00716E76" w:rsidRPr="00370C72">
        <w:rPr>
          <w:rFonts w:ascii="Arial" w:eastAsia="Arial" w:hAnsi="Arial" w:cs="Arial"/>
          <w:color w:val="000000" w:themeColor="text1"/>
          <w:sz w:val="26"/>
          <w:szCs w:val="26"/>
        </w:rPr>
        <w:t>PEUM</w:t>
      </w:r>
      <w:r w:rsidRPr="00370C72">
        <w:rPr>
          <w:rFonts w:ascii="Arial" w:eastAsia="Arial" w:hAnsi="Arial" w:cs="Arial"/>
          <w:color w:val="000000" w:themeColor="text1"/>
          <w:sz w:val="26"/>
          <w:szCs w:val="26"/>
        </w:rPr>
        <w:t xml:space="preserve"> y la L</w:t>
      </w:r>
      <w:r w:rsidR="00716E76" w:rsidRPr="00370C72">
        <w:rPr>
          <w:rFonts w:ascii="Arial" w:eastAsia="Arial" w:hAnsi="Arial" w:cs="Arial"/>
          <w:color w:val="000000" w:themeColor="text1"/>
          <w:sz w:val="26"/>
          <w:szCs w:val="26"/>
        </w:rPr>
        <w:t>A</w:t>
      </w:r>
      <w:r w:rsidRPr="00370C72">
        <w:rPr>
          <w:rFonts w:ascii="Arial" w:eastAsia="Arial" w:hAnsi="Arial" w:cs="Arial"/>
          <w:color w:val="000000" w:themeColor="text1"/>
          <w:sz w:val="26"/>
          <w:szCs w:val="26"/>
        </w:rPr>
        <w:t>. Integrará el expediente y lo turnará a la Ministra o Ministro que corresponda.</w:t>
      </w:r>
    </w:p>
    <w:p w14:paraId="5CD990DE"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5DF3B354" w14:textId="77777777"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A la notificación se acompañará copia certificada de las sentencias respectivas y, de ser posible, de las tesis jurisprudenciales correspondientes. </w:t>
      </w:r>
    </w:p>
    <w:p w14:paraId="728FEC22" w14:textId="77777777" w:rsidR="00576990" w:rsidRPr="00370C72" w:rsidRDefault="00576990" w:rsidP="00C204F1">
      <w:pPr>
        <w:spacing w:after="0" w:line="240" w:lineRule="auto"/>
        <w:jc w:val="both"/>
        <w:rPr>
          <w:rFonts w:ascii="Arial" w:eastAsia="Arial" w:hAnsi="Arial" w:cs="Arial"/>
          <w:color w:val="000000" w:themeColor="text1"/>
          <w:sz w:val="26"/>
          <w:szCs w:val="26"/>
        </w:rPr>
      </w:pPr>
    </w:p>
    <w:p w14:paraId="69337F12" w14:textId="358E47C3"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Si en el plazo de noventa días naturales no se supera el problema de inconstitucionalidad, la S</w:t>
      </w:r>
      <w:r w:rsidR="003D7717"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xml:space="preserve"> emitirá la declaratoria general de inconstitucionalidad, con efectos generales, siempre que sea aprobada por una mayoría de cuando menos seis votos, en la cual se fijarán sus alcances y condiciones en los términos de la L</w:t>
      </w:r>
      <w:r w:rsidR="003D7717" w:rsidRPr="00370C72">
        <w:rPr>
          <w:rFonts w:ascii="Arial" w:eastAsia="Arial" w:hAnsi="Arial" w:cs="Arial"/>
          <w:color w:val="000000" w:themeColor="text1"/>
          <w:sz w:val="26"/>
          <w:szCs w:val="26"/>
        </w:rPr>
        <w:t>A</w:t>
      </w:r>
      <w:r w:rsidRPr="00370C72">
        <w:rPr>
          <w:rFonts w:ascii="Arial" w:eastAsia="Arial" w:hAnsi="Arial" w:cs="Arial"/>
          <w:color w:val="000000" w:themeColor="text1"/>
          <w:sz w:val="26"/>
          <w:szCs w:val="26"/>
        </w:rPr>
        <w:t>.</w:t>
      </w:r>
    </w:p>
    <w:p w14:paraId="4A8796CC"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779EC268" w14:textId="1CC8DEAD"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 xml:space="preserve">Cuando el órgano emisor de la norma sea el órgano legislativo federal o </w:t>
      </w:r>
      <w:r w:rsidR="00437615" w:rsidRPr="00370C72">
        <w:rPr>
          <w:rFonts w:ascii="Arial" w:eastAsia="Arial" w:hAnsi="Arial" w:cs="Arial"/>
          <w:color w:val="000000" w:themeColor="text1"/>
          <w:sz w:val="26"/>
          <w:szCs w:val="26"/>
        </w:rPr>
        <w:t>un</w:t>
      </w:r>
      <w:r w:rsidR="00C21D03" w:rsidRPr="00370C72">
        <w:rPr>
          <w:rFonts w:ascii="Arial" w:eastAsia="Arial" w:hAnsi="Arial" w:cs="Arial"/>
          <w:color w:val="000000" w:themeColor="text1"/>
          <w:sz w:val="26"/>
          <w:szCs w:val="26"/>
        </w:rPr>
        <w:t>a</w:t>
      </w:r>
      <w:r w:rsidR="00437615" w:rsidRPr="00370C72">
        <w:rPr>
          <w:rFonts w:ascii="Arial" w:eastAsia="Arial" w:hAnsi="Arial" w:cs="Arial"/>
          <w:color w:val="000000" w:themeColor="text1"/>
          <w:sz w:val="26"/>
          <w:szCs w:val="26"/>
        </w:rPr>
        <w:t xml:space="preserve"> legisla</w:t>
      </w:r>
      <w:r w:rsidR="00C21D03" w:rsidRPr="00370C72">
        <w:rPr>
          <w:rFonts w:ascii="Arial" w:eastAsia="Arial" w:hAnsi="Arial" w:cs="Arial"/>
          <w:color w:val="000000" w:themeColor="text1"/>
          <w:sz w:val="26"/>
          <w:szCs w:val="26"/>
        </w:rPr>
        <w:t>tura</w:t>
      </w:r>
      <w:r w:rsidR="00437615" w:rsidRPr="00370C72">
        <w:rPr>
          <w:rFonts w:ascii="Arial" w:eastAsia="Arial" w:hAnsi="Arial" w:cs="Arial"/>
          <w:color w:val="000000" w:themeColor="text1"/>
          <w:sz w:val="26"/>
          <w:szCs w:val="26"/>
        </w:rPr>
        <w:t xml:space="preserve"> </w:t>
      </w:r>
      <w:r w:rsidRPr="00370C72">
        <w:rPr>
          <w:rFonts w:ascii="Arial" w:eastAsia="Arial" w:hAnsi="Arial" w:cs="Arial"/>
          <w:color w:val="000000" w:themeColor="text1"/>
          <w:sz w:val="26"/>
          <w:szCs w:val="26"/>
        </w:rPr>
        <w:t>local, el plazo referido en el párrafo anterior se computará en días útiles de los periodos ordinarios de sesiones determinados en la C</w:t>
      </w:r>
      <w:r w:rsidR="00F24305" w:rsidRPr="00370C72">
        <w:rPr>
          <w:rFonts w:ascii="Arial" w:eastAsia="Arial" w:hAnsi="Arial" w:cs="Arial"/>
          <w:color w:val="000000" w:themeColor="text1"/>
          <w:sz w:val="26"/>
          <w:szCs w:val="26"/>
        </w:rPr>
        <w:t>PEUM</w:t>
      </w:r>
      <w:r w:rsidRPr="00370C72">
        <w:rPr>
          <w:rFonts w:ascii="Arial" w:eastAsia="Arial" w:hAnsi="Arial" w:cs="Arial"/>
          <w:color w:val="000000" w:themeColor="text1"/>
          <w:sz w:val="26"/>
          <w:szCs w:val="26"/>
        </w:rPr>
        <w:t xml:space="preserve"> o en las Constituciones Locales, según corresponda.</w:t>
      </w:r>
    </w:p>
    <w:p w14:paraId="72CCCF4D"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20950D10" w14:textId="77777777" w:rsidR="00C204F1" w:rsidRPr="00370C72" w:rsidRDefault="00C204F1" w:rsidP="00C204F1">
      <w:pPr>
        <w:spacing w:after="0" w:line="240" w:lineRule="auto"/>
        <w:jc w:val="both"/>
        <w:rPr>
          <w:rFonts w:ascii="Arial" w:eastAsia="Arial" w:hAnsi="Arial" w:cs="Arial"/>
          <w:color w:val="000000" w:themeColor="text1"/>
          <w:sz w:val="18"/>
          <w:szCs w:val="18"/>
        </w:rPr>
      </w:pPr>
    </w:p>
    <w:p w14:paraId="1122ED44" w14:textId="2E8002E4"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b/>
          <w:color w:val="000000" w:themeColor="text1"/>
          <w:sz w:val="26"/>
          <w:szCs w:val="26"/>
        </w:rPr>
        <w:t>SEXTO.</w:t>
      </w:r>
      <w:r w:rsidRPr="00370C72">
        <w:rPr>
          <w:rFonts w:ascii="Arial" w:eastAsia="Arial" w:hAnsi="Arial" w:cs="Arial"/>
          <w:color w:val="000000" w:themeColor="text1"/>
          <w:sz w:val="26"/>
          <w:szCs w:val="26"/>
        </w:rPr>
        <w:t xml:space="preserve"> </w:t>
      </w:r>
      <w:r w:rsidRPr="00370C72">
        <w:rPr>
          <w:rFonts w:ascii="Arial" w:eastAsia="Arial" w:hAnsi="Arial" w:cs="Arial"/>
          <w:b/>
          <w:bCs/>
          <w:color w:val="000000" w:themeColor="text1"/>
          <w:sz w:val="26"/>
          <w:szCs w:val="26"/>
        </w:rPr>
        <w:t>Modificación de la norma materia de la declaratoria general de inconstitucionalidad</w:t>
      </w:r>
      <w:r w:rsidRPr="00370C72">
        <w:rPr>
          <w:rFonts w:ascii="Arial" w:eastAsia="Arial" w:hAnsi="Arial" w:cs="Arial"/>
          <w:b/>
          <w:color w:val="000000" w:themeColor="text1"/>
          <w:sz w:val="26"/>
          <w:szCs w:val="26"/>
        </w:rPr>
        <w:t xml:space="preserve">. </w:t>
      </w:r>
      <w:r w:rsidRPr="00370C72">
        <w:rPr>
          <w:rFonts w:ascii="Arial" w:eastAsia="Arial" w:hAnsi="Arial" w:cs="Arial"/>
          <w:color w:val="000000" w:themeColor="text1"/>
          <w:sz w:val="26"/>
          <w:szCs w:val="26"/>
        </w:rPr>
        <w:t>Si antes de los noventa días otorgados a la autoridad emisora de la norma general, entra en vigor otra, que a juicio de la S</w:t>
      </w:r>
      <w:r w:rsidR="00AD539B"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xml:space="preserve"> supere el vicio de inconstitucionalidad detectado, el procedimiento de declaratoria general se deberá declarar sin materia, para lo cual la Ministra o Ministro ponente someterá al Pleno el proyecto de resolución.</w:t>
      </w:r>
    </w:p>
    <w:p w14:paraId="5F99DED6"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03F50400" w14:textId="77777777" w:rsidR="00C204F1" w:rsidRPr="00370C72" w:rsidRDefault="00C204F1" w:rsidP="00C204F1">
      <w:pPr>
        <w:spacing w:after="0" w:line="240" w:lineRule="auto"/>
        <w:jc w:val="both"/>
        <w:rPr>
          <w:rFonts w:ascii="Arial" w:eastAsia="Arial" w:hAnsi="Arial" w:cs="Arial"/>
          <w:color w:val="000000" w:themeColor="text1"/>
          <w:sz w:val="12"/>
          <w:szCs w:val="12"/>
        </w:rPr>
      </w:pPr>
    </w:p>
    <w:p w14:paraId="69A7339D" w14:textId="77777777"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b/>
          <w:color w:val="000000" w:themeColor="text1"/>
          <w:sz w:val="26"/>
          <w:szCs w:val="26"/>
        </w:rPr>
        <w:t>SÉPTIMO.</w:t>
      </w:r>
      <w:r w:rsidRPr="00370C72">
        <w:rPr>
          <w:rFonts w:ascii="Arial" w:eastAsia="Arial" w:hAnsi="Arial" w:cs="Arial"/>
          <w:color w:val="000000" w:themeColor="text1"/>
          <w:sz w:val="26"/>
          <w:szCs w:val="26"/>
        </w:rPr>
        <w:t xml:space="preserve"> </w:t>
      </w:r>
      <w:r w:rsidRPr="00370C72">
        <w:rPr>
          <w:rFonts w:ascii="Arial" w:eastAsia="Arial" w:hAnsi="Arial" w:cs="Arial"/>
          <w:b/>
          <w:bCs/>
          <w:color w:val="000000" w:themeColor="text1"/>
          <w:sz w:val="26"/>
          <w:szCs w:val="26"/>
        </w:rPr>
        <w:t>Procedimiento en caso de no superar la inconstitucionalidad.</w:t>
      </w:r>
      <w:r w:rsidRPr="00370C72">
        <w:rPr>
          <w:rFonts w:ascii="Arial" w:eastAsia="Arial" w:hAnsi="Arial" w:cs="Arial"/>
          <w:color w:val="000000" w:themeColor="text1"/>
          <w:sz w:val="26"/>
          <w:szCs w:val="26"/>
        </w:rPr>
        <w:t xml:space="preserve"> En caso de no superarse el problema de inconstitucionalidad en el plazo de noventa días a que se refiere el artículo que antecede se seguirá el siguiente procedimiento:</w:t>
      </w:r>
    </w:p>
    <w:p w14:paraId="74C5FC5A"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4E73F00A" w14:textId="77777777" w:rsidR="00C204F1" w:rsidRPr="00370C72" w:rsidRDefault="00C204F1" w:rsidP="00C204F1">
      <w:pPr>
        <w:pStyle w:val="Prrafodelista"/>
        <w:numPr>
          <w:ilvl w:val="0"/>
          <w:numId w:val="22"/>
        </w:numPr>
        <w:spacing w:after="0" w:line="240" w:lineRule="auto"/>
        <w:ind w:left="447" w:hanging="283"/>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lastRenderedPageBreak/>
        <w:t>La o el Ministro ponente, dentro de los diez días hábiles siguientes al vencimiento del plazo de noventa días, deberá remitir a la Secretaría General de Acuerdos el proyecto de resolución correspondiente, el que se deberá listar para sesión pública del Pleno que se celebrará dentro de los diez días hábiles siguientes;</w:t>
      </w:r>
    </w:p>
    <w:p w14:paraId="50CC9FF3" w14:textId="77777777" w:rsidR="00C204F1" w:rsidRPr="00370C72" w:rsidRDefault="00C204F1" w:rsidP="00C204F1">
      <w:pPr>
        <w:pStyle w:val="Prrafodelista"/>
        <w:spacing w:after="0" w:line="240" w:lineRule="auto"/>
        <w:ind w:left="447"/>
        <w:jc w:val="both"/>
        <w:rPr>
          <w:rFonts w:ascii="Arial" w:eastAsia="Arial" w:hAnsi="Arial" w:cs="Arial"/>
          <w:color w:val="000000" w:themeColor="text1"/>
          <w:sz w:val="26"/>
          <w:szCs w:val="26"/>
        </w:rPr>
      </w:pPr>
    </w:p>
    <w:p w14:paraId="552111D5" w14:textId="58F47B68" w:rsidR="00C204F1" w:rsidRPr="00370C72" w:rsidRDefault="00C204F1" w:rsidP="00C204F1">
      <w:pPr>
        <w:pStyle w:val="Prrafodelista"/>
        <w:numPr>
          <w:ilvl w:val="0"/>
          <w:numId w:val="22"/>
        </w:numPr>
        <w:spacing w:after="0" w:line="240" w:lineRule="auto"/>
        <w:ind w:left="447" w:hanging="283"/>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 xml:space="preserve">Si el proyecto de la declaratoria general </w:t>
      </w:r>
      <w:r w:rsidR="00AD539B" w:rsidRPr="00370C72">
        <w:rPr>
          <w:rFonts w:ascii="Arial" w:eastAsia="Arial" w:hAnsi="Arial" w:cs="Arial"/>
          <w:color w:val="000000" w:themeColor="text1"/>
          <w:sz w:val="26"/>
          <w:szCs w:val="26"/>
        </w:rPr>
        <w:t xml:space="preserve">de inconstitucionalidad </w:t>
      </w:r>
      <w:r w:rsidRPr="00370C72">
        <w:rPr>
          <w:rFonts w:ascii="Arial" w:eastAsia="Arial" w:hAnsi="Arial" w:cs="Arial"/>
          <w:color w:val="000000" w:themeColor="text1"/>
          <w:sz w:val="26"/>
          <w:szCs w:val="26"/>
        </w:rPr>
        <w:t>obtiene una</w:t>
      </w:r>
      <w:r w:rsidR="001F52C2" w:rsidRPr="00370C72">
        <w:rPr>
          <w:rFonts w:ascii="Arial" w:eastAsia="Arial" w:hAnsi="Arial" w:cs="Arial"/>
          <w:color w:val="000000" w:themeColor="text1"/>
          <w:sz w:val="26"/>
          <w:szCs w:val="26"/>
        </w:rPr>
        <w:t xml:space="preserve"> </w:t>
      </w:r>
      <w:r w:rsidRPr="00370C72">
        <w:rPr>
          <w:rFonts w:ascii="Arial" w:eastAsia="Arial" w:hAnsi="Arial" w:cs="Arial"/>
          <w:color w:val="000000" w:themeColor="text1"/>
          <w:sz w:val="26"/>
          <w:szCs w:val="26"/>
        </w:rPr>
        <w:t>mayoría de cuando menos seis votos, el Pleno de la S</w:t>
      </w:r>
      <w:r w:rsidR="00AD539B" w:rsidRPr="00370C72">
        <w:rPr>
          <w:rFonts w:ascii="Arial" w:eastAsia="Arial" w:hAnsi="Arial" w:cs="Arial"/>
          <w:color w:val="000000" w:themeColor="text1"/>
          <w:sz w:val="26"/>
          <w:szCs w:val="26"/>
        </w:rPr>
        <w:t>CJN</w:t>
      </w:r>
      <w:r w:rsidRPr="00370C72">
        <w:rPr>
          <w:rFonts w:ascii="Arial" w:eastAsia="Arial" w:hAnsi="Arial" w:cs="Arial"/>
          <w:color w:val="000000" w:themeColor="text1"/>
          <w:sz w:val="26"/>
          <w:szCs w:val="26"/>
        </w:rPr>
        <w:t xml:space="preserve"> determinará la declaratoria general de inconstitucionalidad, en cuyo caso, deberá señalar la fecha a partir de la cual surtirá sus efectos, así como sus alcances y condiciones, tomando en cuenta lo previsto en el artículo 234 de la L</w:t>
      </w:r>
      <w:r w:rsidR="00D162F3" w:rsidRPr="00370C72">
        <w:rPr>
          <w:rFonts w:ascii="Arial" w:eastAsia="Arial" w:hAnsi="Arial" w:cs="Arial"/>
          <w:color w:val="000000" w:themeColor="text1"/>
          <w:sz w:val="26"/>
          <w:szCs w:val="26"/>
        </w:rPr>
        <w:t>A</w:t>
      </w:r>
      <w:r w:rsidRPr="00370C72">
        <w:rPr>
          <w:rFonts w:ascii="Arial" w:eastAsia="Arial" w:hAnsi="Arial" w:cs="Arial"/>
          <w:color w:val="000000" w:themeColor="text1"/>
          <w:sz w:val="26"/>
          <w:szCs w:val="26"/>
        </w:rPr>
        <w:t>, y</w:t>
      </w:r>
    </w:p>
    <w:p w14:paraId="70B5E913" w14:textId="77777777" w:rsidR="00C204F1" w:rsidRPr="00370C72" w:rsidRDefault="00C204F1" w:rsidP="00C204F1">
      <w:pPr>
        <w:pStyle w:val="Prrafodelista"/>
        <w:spacing w:after="0" w:line="240" w:lineRule="auto"/>
        <w:rPr>
          <w:rFonts w:ascii="Arial" w:eastAsia="Arial" w:hAnsi="Arial" w:cs="Arial"/>
          <w:color w:val="000000" w:themeColor="text1"/>
          <w:sz w:val="26"/>
          <w:szCs w:val="26"/>
        </w:rPr>
      </w:pPr>
    </w:p>
    <w:p w14:paraId="0DBB6FCC" w14:textId="77777777" w:rsidR="00C204F1" w:rsidRPr="00370C72" w:rsidRDefault="00C204F1" w:rsidP="00C204F1">
      <w:pPr>
        <w:pStyle w:val="Prrafodelista"/>
        <w:numPr>
          <w:ilvl w:val="0"/>
          <w:numId w:val="22"/>
        </w:numPr>
        <w:spacing w:after="0" w:line="240" w:lineRule="auto"/>
        <w:ind w:left="447" w:hanging="283"/>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t>Si el proyecto de la declaratoria general de inconstitucionalidad no alcanza la votación calificada requerida, se desestimará y se ordenará el archivo del asunto. </w:t>
      </w:r>
    </w:p>
    <w:p w14:paraId="6ABC9C2E" w14:textId="77777777" w:rsidR="00C204F1" w:rsidRPr="00370C72" w:rsidRDefault="00C204F1" w:rsidP="00C204F1">
      <w:pPr>
        <w:pStyle w:val="Prrafodelista"/>
        <w:spacing w:after="0" w:line="240" w:lineRule="auto"/>
        <w:rPr>
          <w:rFonts w:ascii="Arial" w:eastAsia="Arial" w:hAnsi="Arial" w:cs="Arial"/>
          <w:b/>
          <w:color w:val="000000" w:themeColor="text1"/>
          <w:sz w:val="26"/>
          <w:szCs w:val="26"/>
        </w:rPr>
      </w:pPr>
    </w:p>
    <w:p w14:paraId="60C07DF4" w14:textId="17EC96A0" w:rsidR="00C204F1" w:rsidRPr="00370C72" w:rsidRDefault="00C204F1" w:rsidP="00C204F1">
      <w:pPr>
        <w:pStyle w:val="Prrafodelista"/>
        <w:spacing w:after="0" w:line="240" w:lineRule="auto"/>
        <w:ind w:left="0"/>
        <w:jc w:val="both"/>
        <w:rPr>
          <w:rFonts w:ascii="Arial" w:eastAsia="Arial" w:hAnsi="Arial" w:cs="Arial"/>
          <w:color w:val="000000" w:themeColor="text1"/>
          <w:sz w:val="26"/>
          <w:szCs w:val="26"/>
        </w:rPr>
      </w:pPr>
      <w:r w:rsidRPr="00370C72">
        <w:rPr>
          <w:rFonts w:ascii="Arial" w:eastAsia="Arial" w:hAnsi="Arial" w:cs="Arial"/>
          <w:b/>
          <w:color w:val="000000" w:themeColor="text1"/>
          <w:sz w:val="26"/>
          <w:szCs w:val="26"/>
        </w:rPr>
        <w:t>OCTAVO.</w:t>
      </w:r>
      <w:r w:rsidRPr="00370C72">
        <w:rPr>
          <w:rFonts w:ascii="Arial" w:eastAsia="Arial" w:hAnsi="Arial" w:cs="Arial"/>
          <w:color w:val="000000" w:themeColor="text1"/>
          <w:sz w:val="26"/>
          <w:szCs w:val="26"/>
        </w:rPr>
        <w:t xml:space="preserve"> </w:t>
      </w:r>
      <w:r w:rsidRPr="00370C72">
        <w:rPr>
          <w:rFonts w:ascii="Arial" w:eastAsia="Arial" w:hAnsi="Arial" w:cs="Arial"/>
          <w:b/>
          <w:color w:val="000000" w:themeColor="text1"/>
          <w:sz w:val="26"/>
          <w:szCs w:val="26"/>
        </w:rPr>
        <w:t>Publicidad.</w:t>
      </w:r>
      <w:r w:rsidRPr="00370C72">
        <w:rPr>
          <w:rFonts w:ascii="Arial" w:eastAsia="Arial" w:hAnsi="Arial" w:cs="Arial"/>
          <w:color w:val="000000" w:themeColor="text1"/>
          <w:sz w:val="26"/>
          <w:szCs w:val="26"/>
        </w:rPr>
        <w:t xml:space="preserve"> La Secretaría General de Acuerdos, dentro de los siete días hábiles siguientes </w:t>
      </w:r>
      <w:r w:rsidR="001353EF" w:rsidRPr="00370C72">
        <w:rPr>
          <w:rFonts w:ascii="Arial" w:eastAsia="Arial" w:hAnsi="Arial" w:cs="Arial"/>
          <w:color w:val="000000" w:themeColor="text1"/>
          <w:sz w:val="26"/>
          <w:szCs w:val="26"/>
        </w:rPr>
        <w:t xml:space="preserve">al </w:t>
      </w:r>
      <w:r w:rsidRPr="00370C72">
        <w:rPr>
          <w:rFonts w:ascii="Arial" w:eastAsia="Arial" w:hAnsi="Arial" w:cs="Arial"/>
          <w:color w:val="000000" w:themeColor="text1"/>
          <w:sz w:val="26"/>
          <w:szCs w:val="26"/>
        </w:rPr>
        <w:t>en que se apruebe el engrose respectivo, realizará las gestiones necesarias para que, la declaratoria general de inconstitucionalidad emitida por el Pleno, se publique en el Diario Oficial de la Federación y, en su caso, en los diversos medios oficiales en los que se hubiera publicado la norma declarada inconstitucional.</w:t>
      </w:r>
    </w:p>
    <w:p w14:paraId="53ACF366" w14:textId="77777777" w:rsidR="00C204F1" w:rsidRPr="00370C72" w:rsidRDefault="00C204F1" w:rsidP="00C204F1">
      <w:pPr>
        <w:pStyle w:val="Prrafodelista"/>
        <w:spacing w:after="0" w:line="240" w:lineRule="auto"/>
        <w:ind w:left="0"/>
        <w:jc w:val="both"/>
        <w:rPr>
          <w:rFonts w:ascii="Arial" w:eastAsia="Arial" w:hAnsi="Arial" w:cs="Arial"/>
          <w:color w:val="000000" w:themeColor="text1"/>
          <w:sz w:val="26"/>
          <w:szCs w:val="26"/>
        </w:rPr>
      </w:pPr>
    </w:p>
    <w:p w14:paraId="2D027044" w14:textId="77777777" w:rsidR="00C204F1" w:rsidRPr="00370C72" w:rsidRDefault="00C204F1" w:rsidP="00C204F1">
      <w:pPr>
        <w:pStyle w:val="Prrafodelista"/>
        <w:spacing w:after="0" w:line="240" w:lineRule="auto"/>
        <w:ind w:left="0"/>
        <w:jc w:val="both"/>
        <w:rPr>
          <w:rFonts w:ascii="Arial" w:eastAsia="Arial" w:hAnsi="Arial" w:cs="Arial"/>
          <w:color w:val="000000" w:themeColor="text1"/>
          <w:sz w:val="26"/>
          <w:szCs w:val="26"/>
        </w:rPr>
      </w:pPr>
    </w:p>
    <w:p w14:paraId="51999CDF" w14:textId="77777777" w:rsidR="00C204F1" w:rsidRPr="00370C72" w:rsidRDefault="00C204F1" w:rsidP="00C204F1">
      <w:pPr>
        <w:spacing w:after="0" w:line="240" w:lineRule="auto"/>
        <w:jc w:val="center"/>
        <w:rPr>
          <w:rFonts w:ascii="Arial" w:eastAsia="Arial" w:hAnsi="Arial" w:cs="Arial"/>
          <w:b/>
          <w:color w:val="000000" w:themeColor="text1"/>
          <w:sz w:val="26"/>
          <w:szCs w:val="26"/>
        </w:rPr>
      </w:pPr>
      <w:r w:rsidRPr="00370C72">
        <w:rPr>
          <w:rFonts w:ascii="Arial" w:eastAsia="Arial" w:hAnsi="Arial" w:cs="Arial"/>
          <w:b/>
          <w:color w:val="000000" w:themeColor="text1"/>
          <w:sz w:val="26"/>
          <w:szCs w:val="26"/>
        </w:rPr>
        <w:t>TRANSITORIOS</w:t>
      </w:r>
    </w:p>
    <w:p w14:paraId="100924FA" w14:textId="77777777" w:rsidR="003C5629" w:rsidRPr="00370C72" w:rsidRDefault="003C5629" w:rsidP="00C204F1">
      <w:pPr>
        <w:spacing w:after="0" w:line="240" w:lineRule="auto"/>
        <w:jc w:val="both"/>
        <w:rPr>
          <w:rFonts w:ascii="Arial" w:eastAsia="Arial" w:hAnsi="Arial" w:cs="Arial"/>
          <w:color w:val="000000" w:themeColor="text1"/>
          <w:sz w:val="26"/>
          <w:szCs w:val="26"/>
        </w:rPr>
      </w:pPr>
    </w:p>
    <w:p w14:paraId="0D23EB62" w14:textId="37B403F8"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color w:val="000000" w:themeColor="text1"/>
          <w:sz w:val="26"/>
          <w:szCs w:val="26"/>
        </w:rPr>
        <w:br/>
      </w:r>
      <w:r w:rsidRPr="00370C72">
        <w:rPr>
          <w:rFonts w:ascii="Arial" w:eastAsia="Arial" w:hAnsi="Arial" w:cs="Arial"/>
          <w:b/>
          <w:color w:val="000000" w:themeColor="text1"/>
          <w:sz w:val="26"/>
          <w:szCs w:val="26"/>
        </w:rPr>
        <w:t>PRIMERO.</w:t>
      </w:r>
      <w:r w:rsidRPr="00370C72">
        <w:rPr>
          <w:rFonts w:ascii="Arial" w:eastAsia="Arial" w:hAnsi="Arial" w:cs="Arial"/>
          <w:color w:val="000000" w:themeColor="text1"/>
          <w:sz w:val="26"/>
          <w:szCs w:val="26"/>
        </w:rPr>
        <w:t xml:space="preserve"> Este Acuerdo General entrará en vigor al día siguiente de su publicación en el Diario Oficial de la Federación.</w:t>
      </w:r>
    </w:p>
    <w:p w14:paraId="3F5960E0"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3609D64F" w14:textId="7E3A1CFE" w:rsidR="00C204F1" w:rsidRPr="00370C72" w:rsidRDefault="00C204F1" w:rsidP="00C204F1">
      <w:pPr>
        <w:spacing w:after="0" w:line="240" w:lineRule="auto"/>
        <w:jc w:val="both"/>
        <w:rPr>
          <w:rFonts w:ascii="Arial" w:eastAsia="Arial" w:hAnsi="Arial" w:cs="Arial"/>
          <w:color w:val="000000" w:themeColor="text1"/>
          <w:sz w:val="26"/>
          <w:szCs w:val="26"/>
        </w:rPr>
      </w:pPr>
      <w:r w:rsidRPr="00370C72">
        <w:rPr>
          <w:rFonts w:ascii="Arial" w:eastAsia="Arial" w:hAnsi="Arial" w:cs="Arial"/>
          <w:b/>
          <w:color w:val="000000" w:themeColor="text1"/>
          <w:sz w:val="26"/>
          <w:szCs w:val="26"/>
        </w:rPr>
        <w:t xml:space="preserve">SEGUNDO. </w:t>
      </w:r>
      <w:r w:rsidRPr="00370C72">
        <w:rPr>
          <w:rFonts w:ascii="Arial" w:eastAsia="Arial" w:hAnsi="Arial" w:cs="Arial"/>
          <w:color w:val="000000" w:themeColor="text1"/>
          <w:sz w:val="26"/>
          <w:szCs w:val="26"/>
        </w:rPr>
        <w:t xml:space="preserve">Se abroga el Acuerdo General Número 15/2013, de </w:t>
      </w:r>
      <w:r w:rsidR="00EA4397" w:rsidRPr="00370C72">
        <w:rPr>
          <w:rFonts w:ascii="Arial" w:eastAsia="Arial" w:hAnsi="Arial" w:cs="Arial"/>
          <w:color w:val="000000" w:themeColor="text1"/>
          <w:sz w:val="26"/>
          <w:szCs w:val="26"/>
        </w:rPr>
        <w:t>veintitrés</w:t>
      </w:r>
      <w:r w:rsidRPr="00370C72">
        <w:rPr>
          <w:rFonts w:ascii="Arial" w:eastAsia="Arial" w:hAnsi="Arial" w:cs="Arial"/>
          <w:color w:val="000000" w:themeColor="text1"/>
          <w:sz w:val="26"/>
          <w:szCs w:val="26"/>
        </w:rPr>
        <w:t xml:space="preserve"> de septiembre de </w:t>
      </w:r>
      <w:r w:rsidR="00EA4397" w:rsidRPr="00370C72">
        <w:rPr>
          <w:rFonts w:ascii="Arial" w:eastAsia="Arial" w:hAnsi="Arial" w:cs="Arial"/>
          <w:color w:val="000000" w:themeColor="text1"/>
          <w:sz w:val="26"/>
          <w:szCs w:val="26"/>
        </w:rPr>
        <w:t>dos mil trece</w:t>
      </w:r>
      <w:r w:rsidRPr="00370C72">
        <w:rPr>
          <w:rFonts w:ascii="Arial" w:eastAsia="Arial" w:hAnsi="Arial" w:cs="Arial"/>
          <w:color w:val="000000" w:themeColor="text1"/>
          <w:sz w:val="26"/>
          <w:szCs w:val="26"/>
        </w:rPr>
        <w:t>, del Pleno de la Suprema Corte de Justicia de la Nación, relativo al procedimiento para la declaratoria general de inconstitucionalidad, así como todas las disposiciones que se opongan al presente Acuerdo General.</w:t>
      </w:r>
    </w:p>
    <w:p w14:paraId="37CC2F8F" w14:textId="77777777" w:rsidR="00C204F1" w:rsidRPr="00370C72" w:rsidRDefault="00C204F1" w:rsidP="00C204F1">
      <w:pPr>
        <w:spacing w:after="0" w:line="240" w:lineRule="auto"/>
        <w:jc w:val="both"/>
        <w:rPr>
          <w:rFonts w:ascii="Arial" w:eastAsia="Arial" w:hAnsi="Arial" w:cs="Arial"/>
          <w:color w:val="000000" w:themeColor="text1"/>
          <w:sz w:val="26"/>
          <w:szCs w:val="26"/>
        </w:rPr>
      </w:pPr>
    </w:p>
    <w:p w14:paraId="326F6805" w14:textId="77777777" w:rsidR="00C204F1" w:rsidRPr="00370C72" w:rsidRDefault="00C204F1" w:rsidP="00C204F1">
      <w:pPr>
        <w:spacing w:after="0" w:line="240" w:lineRule="auto"/>
        <w:jc w:val="both"/>
        <w:rPr>
          <w:rFonts w:ascii="Arial" w:eastAsia="Arial" w:hAnsi="Arial" w:cs="Arial"/>
          <w:bCs/>
          <w:color w:val="000000" w:themeColor="text1"/>
          <w:sz w:val="26"/>
          <w:szCs w:val="26"/>
        </w:rPr>
      </w:pPr>
      <w:r w:rsidRPr="00370C72">
        <w:rPr>
          <w:rFonts w:ascii="Arial" w:eastAsia="Arial" w:hAnsi="Arial" w:cs="Arial"/>
          <w:b/>
          <w:color w:val="000000" w:themeColor="text1"/>
          <w:sz w:val="26"/>
          <w:szCs w:val="26"/>
        </w:rPr>
        <w:t>TERCERO</w:t>
      </w:r>
      <w:r w:rsidRPr="00370C72">
        <w:rPr>
          <w:rFonts w:ascii="Arial" w:eastAsia="Arial" w:hAnsi="Arial" w:cs="Arial"/>
          <w:bCs/>
          <w:color w:val="000000" w:themeColor="text1"/>
          <w:sz w:val="26"/>
          <w:szCs w:val="26"/>
        </w:rPr>
        <w:t>. Los procedimientos iniciados hasta el día de la publicación del presente Acuerdo General en el Diario Oficial de la Federación deberán regirse por éste, a partir de su entrada en vigor.</w:t>
      </w:r>
    </w:p>
    <w:p w14:paraId="2AAE7A42" w14:textId="77777777" w:rsidR="00C204F1" w:rsidRPr="00370C72" w:rsidRDefault="00C204F1" w:rsidP="00C204F1">
      <w:pPr>
        <w:spacing w:after="0" w:line="240" w:lineRule="auto"/>
        <w:jc w:val="both"/>
        <w:rPr>
          <w:rFonts w:ascii="Arial" w:eastAsia="Arial" w:hAnsi="Arial" w:cs="Arial"/>
          <w:bCs/>
          <w:color w:val="000000" w:themeColor="text1"/>
          <w:sz w:val="26"/>
          <w:szCs w:val="26"/>
        </w:rPr>
      </w:pPr>
    </w:p>
    <w:p w14:paraId="2E139AE4" w14:textId="7A5D3F13" w:rsidR="00C204F1" w:rsidRPr="00370C72" w:rsidRDefault="00C204F1" w:rsidP="00C204F1">
      <w:pPr>
        <w:spacing w:after="0" w:line="240" w:lineRule="auto"/>
        <w:jc w:val="both"/>
        <w:rPr>
          <w:color w:val="000000" w:themeColor="text1"/>
          <w:lang w:val="es-ES_tradnl"/>
        </w:rPr>
      </w:pPr>
      <w:r w:rsidRPr="00370C72">
        <w:rPr>
          <w:rFonts w:ascii="Arial" w:eastAsia="Arial" w:hAnsi="Arial" w:cs="Arial"/>
          <w:b/>
          <w:color w:val="000000" w:themeColor="text1"/>
          <w:sz w:val="26"/>
          <w:szCs w:val="26"/>
        </w:rPr>
        <w:t xml:space="preserve">CUARTO. </w:t>
      </w:r>
      <w:r w:rsidR="002D6A71" w:rsidRPr="00370C72">
        <w:rPr>
          <w:rFonts w:ascii="Arial" w:hAnsi="Arial" w:cs="Arial"/>
          <w:color w:val="000000" w:themeColor="text1"/>
          <w:sz w:val="26"/>
          <w:szCs w:val="26"/>
        </w:rPr>
        <w:t>Publíquese el presente Acuerdo General en el Diario Oficial de la Federación, en el Semanario Judicial de la Federación y su Gaceta así como en medios electrónicos de consulta pública, en términos de lo dispuesto en el artículo 65, fracción I, de la Ley General de Transparencia y Acceso a la Información Pública.</w:t>
      </w:r>
    </w:p>
    <w:p w14:paraId="189A5E3E" w14:textId="77777777" w:rsidR="00562DEB" w:rsidRPr="00370C72" w:rsidRDefault="00562DEB" w:rsidP="00C204F1">
      <w:pPr>
        <w:spacing w:after="0" w:line="240" w:lineRule="auto"/>
        <w:jc w:val="both"/>
        <w:rPr>
          <w:rFonts w:ascii="Arial" w:hAnsi="Arial" w:cs="Arial"/>
          <w:color w:val="000000" w:themeColor="text1"/>
          <w:sz w:val="26"/>
          <w:szCs w:val="26"/>
          <w:lang w:val="es-ES_tradnl"/>
        </w:rPr>
      </w:pPr>
    </w:p>
    <w:p w14:paraId="27081D60" w14:textId="77777777" w:rsidR="00562DEB" w:rsidRPr="00370C72" w:rsidRDefault="00562DEB" w:rsidP="00562DEB">
      <w:pPr>
        <w:spacing w:after="0" w:line="240" w:lineRule="auto"/>
        <w:ind w:left="142"/>
        <w:jc w:val="center"/>
        <w:rPr>
          <w:rFonts w:ascii="Arial" w:hAnsi="Arial" w:cs="Arial"/>
          <w:color w:val="000000"/>
          <w:sz w:val="28"/>
          <w:szCs w:val="28"/>
        </w:rPr>
      </w:pPr>
      <w:r w:rsidRPr="00370C72">
        <w:rPr>
          <w:rFonts w:ascii="Arial" w:hAnsi="Arial" w:cs="Arial"/>
          <w:b/>
          <w:sz w:val="28"/>
          <w:szCs w:val="28"/>
        </w:rPr>
        <w:lastRenderedPageBreak/>
        <w:t>EL PRESIDENTE DE LA SUPREMA CORTE</w:t>
      </w:r>
    </w:p>
    <w:p w14:paraId="7D5BC27D" w14:textId="77777777" w:rsidR="00562DEB" w:rsidRPr="00370C72" w:rsidRDefault="00562DEB" w:rsidP="00562DEB">
      <w:pPr>
        <w:spacing w:after="0" w:line="240" w:lineRule="auto"/>
        <w:ind w:left="142"/>
        <w:jc w:val="center"/>
        <w:rPr>
          <w:rFonts w:ascii="Arial" w:hAnsi="Arial" w:cs="Arial"/>
          <w:b/>
          <w:sz w:val="28"/>
          <w:szCs w:val="28"/>
        </w:rPr>
      </w:pPr>
      <w:r w:rsidRPr="00370C72">
        <w:rPr>
          <w:rFonts w:ascii="Arial" w:hAnsi="Arial" w:cs="Arial"/>
          <w:b/>
          <w:sz w:val="28"/>
          <w:szCs w:val="28"/>
        </w:rPr>
        <w:t>DE JUSTICIA DE LA NACIÓN</w:t>
      </w:r>
    </w:p>
    <w:p w14:paraId="444134B7" w14:textId="77777777" w:rsidR="00562DEB" w:rsidRPr="00370C72" w:rsidRDefault="00562DEB" w:rsidP="00562DEB">
      <w:pPr>
        <w:spacing w:after="0" w:line="240" w:lineRule="auto"/>
        <w:ind w:left="142"/>
        <w:jc w:val="center"/>
        <w:rPr>
          <w:rFonts w:ascii="Arial" w:hAnsi="Arial" w:cs="Arial"/>
          <w:b/>
          <w:sz w:val="28"/>
          <w:szCs w:val="28"/>
        </w:rPr>
      </w:pPr>
    </w:p>
    <w:p w14:paraId="14901B56" w14:textId="77777777" w:rsidR="00562DEB" w:rsidRPr="00370C72" w:rsidRDefault="00562DEB" w:rsidP="00562DEB">
      <w:pPr>
        <w:spacing w:after="0" w:line="240" w:lineRule="auto"/>
        <w:ind w:left="142"/>
        <w:jc w:val="center"/>
        <w:rPr>
          <w:rFonts w:ascii="Arial" w:hAnsi="Arial" w:cs="Arial"/>
          <w:b/>
          <w:sz w:val="28"/>
          <w:szCs w:val="28"/>
        </w:rPr>
      </w:pPr>
    </w:p>
    <w:p w14:paraId="77757753" w14:textId="77777777" w:rsidR="00562DEB" w:rsidRPr="00370C72" w:rsidRDefault="00562DEB" w:rsidP="00562DEB">
      <w:pPr>
        <w:spacing w:after="0" w:line="240" w:lineRule="auto"/>
        <w:ind w:left="142"/>
        <w:jc w:val="center"/>
        <w:rPr>
          <w:rFonts w:ascii="Arial" w:hAnsi="Arial" w:cs="Arial"/>
          <w:b/>
          <w:sz w:val="28"/>
          <w:szCs w:val="28"/>
        </w:rPr>
      </w:pPr>
    </w:p>
    <w:p w14:paraId="706F971F" w14:textId="77777777" w:rsidR="00562DEB" w:rsidRPr="00370C72" w:rsidRDefault="00562DEB" w:rsidP="00562DEB">
      <w:pPr>
        <w:spacing w:after="0" w:line="240" w:lineRule="auto"/>
        <w:ind w:left="142"/>
        <w:jc w:val="center"/>
        <w:rPr>
          <w:rFonts w:ascii="Arial" w:hAnsi="Arial" w:cs="Arial"/>
          <w:b/>
          <w:sz w:val="28"/>
          <w:szCs w:val="28"/>
        </w:rPr>
      </w:pPr>
    </w:p>
    <w:p w14:paraId="040576BA" w14:textId="77777777" w:rsidR="00562DEB" w:rsidRPr="00370C72" w:rsidRDefault="00562DEB" w:rsidP="00562DEB">
      <w:pPr>
        <w:tabs>
          <w:tab w:val="left" w:pos="851"/>
        </w:tabs>
        <w:spacing w:after="0" w:line="240" w:lineRule="auto"/>
        <w:ind w:left="426"/>
        <w:jc w:val="center"/>
        <w:rPr>
          <w:rFonts w:ascii="Arial" w:hAnsi="Arial" w:cs="Arial"/>
          <w:b/>
          <w:sz w:val="28"/>
          <w:szCs w:val="28"/>
        </w:rPr>
      </w:pPr>
      <w:r w:rsidRPr="00370C72">
        <w:rPr>
          <w:rFonts w:ascii="Arial" w:hAnsi="Arial" w:cs="Arial"/>
          <w:b/>
          <w:sz w:val="28"/>
          <w:szCs w:val="28"/>
        </w:rPr>
        <w:t>MINISTRO HUGO AGUILAR ORTIZ</w:t>
      </w:r>
    </w:p>
    <w:p w14:paraId="60A877CA" w14:textId="77777777" w:rsidR="00562DEB" w:rsidRPr="00370C72" w:rsidRDefault="00562DEB" w:rsidP="00562DEB">
      <w:pPr>
        <w:tabs>
          <w:tab w:val="left" w:pos="851"/>
        </w:tabs>
        <w:spacing w:after="0" w:line="240" w:lineRule="auto"/>
        <w:ind w:left="426"/>
        <w:jc w:val="center"/>
        <w:rPr>
          <w:rFonts w:ascii="Arial" w:hAnsi="Arial" w:cs="Arial"/>
          <w:b/>
          <w:sz w:val="28"/>
          <w:szCs w:val="28"/>
        </w:rPr>
      </w:pPr>
    </w:p>
    <w:p w14:paraId="3A085F64" w14:textId="77777777" w:rsidR="00562DEB" w:rsidRPr="00370C72" w:rsidRDefault="00562DEB" w:rsidP="00562DEB">
      <w:pPr>
        <w:tabs>
          <w:tab w:val="left" w:pos="851"/>
        </w:tabs>
        <w:spacing w:after="0" w:line="240" w:lineRule="auto"/>
        <w:ind w:left="426"/>
        <w:jc w:val="center"/>
        <w:rPr>
          <w:rFonts w:ascii="Arial" w:hAnsi="Arial" w:cs="Arial"/>
          <w:b/>
          <w:sz w:val="28"/>
          <w:szCs w:val="28"/>
        </w:rPr>
      </w:pPr>
    </w:p>
    <w:p w14:paraId="6E406574" w14:textId="77777777" w:rsidR="00562DEB" w:rsidRPr="00370C72" w:rsidRDefault="00562DEB" w:rsidP="00562DEB">
      <w:pPr>
        <w:tabs>
          <w:tab w:val="left" w:pos="851"/>
        </w:tabs>
        <w:spacing w:after="0" w:line="240" w:lineRule="auto"/>
        <w:ind w:left="426"/>
        <w:jc w:val="center"/>
        <w:rPr>
          <w:rFonts w:ascii="Arial" w:hAnsi="Arial" w:cs="Arial"/>
          <w:b/>
          <w:sz w:val="28"/>
          <w:szCs w:val="28"/>
        </w:rPr>
      </w:pPr>
    </w:p>
    <w:p w14:paraId="37810316" w14:textId="77777777" w:rsidR="00562DEB" w:rsidRPr="00370C72" w:rsidRDefault="00562DEB" w:rsidP="00562DEB">
      <w:pPr>
        <w:tabs>
          <w:tab w:val="left" w:pos="851"/>
        </w:tabs>
        <w:spacing w:after="0" w:line="240" w:lineRule="auto"/>
        <w:ind w:left="426"/>
        <w:jc w:val="center"/>
        <w:rPr>
          <w:rFonts w:ascii="Arial" w:hAnsi="Arial" w:cs="Arial"/>
          <w:b/>
          <w:sz w:val="28"/>
          <w:szCs w:val="28"/>
        </w:rPr>
      </w:pPr>
    </w:p>
    <w:p w14:paraId="6B6024DA" w14:textId="77777777" w:rsidR="00562DEB" w:rsidRPr="00370C72" w:rsidRDefault="00562DEB" w:rsidP="00562DEB">
      <w:pPr>
        <w:spacing w:after="0" w:line="240" w:lineRule="auto"/>
        <w:ind w:left="142"/>
        <w:jc w:val="center"/>
        <w:rPr>
          <w:rFonts w:ascii="Arial" w:hAnsi="Arial" w:cs="Arial"/>
          <w:b/>
          <w:sz w:val="28"/>
          <w:szCs w:val="28"/>
        </w:rPr>
      </w:pPr>
      <w:r w:rsidRPr="00370C72">
        <w:rPr>
          <w:rFonts w:ascii="Arial" w:hAnsi="Arial" w:cs="Arial"/>
          <w:b/>
          <w:sz w:val="28"/>
          <w:szCs w:val="28"/>
        </w:rPr>
        <w:t>EL SECRETARIO GENERAL DE ACUERDOS</w:t>
      </w:r>
    </w:p>
    <w:p w14:paraId="6272B26F" w14:textId="77777777" w:rsidR="00562DEB" w:rsidRPr="00370C72" w:rsidRDefault="00562DEB" w:rsidP="00562DEB">
      <w:pPr>
        <w:spacing w:after="0" w:line="240" w:lineRule="auto"/>
        <w:ind w:left="142"/>
        <w:jc w:val="center"/>
        <w:rPr>
          <w:rFonts w:ascii="Arial" w:hAnsi="Arial" w:cs="Arial"/>
          <w:b/>
          <w:sz w:val="28"/>
          <w:szCs w:val="28"/>
        </w:rPr>
      </w:pPr>
    </w:p>
    <w:p w14:paraId="6534343F" w14:textId="77777777" w:rsidR="00562DEB" w:rsidRPr="00370C72" w:rsidRDefault="00562DEB" w:rsidP="00562DEB">
      <w:pPr>
        <w:spacing w:after="0" w:line="240" w:lineRule="auto"/>
        <w:ind w:left="142"/>
        <w:jc w:val="center"/>
        <w:rPr>
          <w:rFonts w:ascii="Arial" w:hAnsi="Arial" w:cs="Arial"/>
          <w:b/>
          <w:sz w:val="28"/>
          <w:szCs w:val="28"/>
        </w:rPr>
      </w:pPr>
    </w:p>
    <w:p w14:paraId="1EC5529E" w14:textId="77777777" w:rsidR="00562DEB" w:rsidRPr="00370C72" w:rsidRDefault="00562DEB" w:rsidP="00562DEB">
      <w:pPr>
        <w:spacing w:after="0" w:line="240" w:lineRule="auto"/>
        <w:ind w:left="142"/>
        <w:jc w:val="center"/>
        <w:rPr>
          <w:rFonts w:ascii="Arial" w:hAnsi="Arial" w:cs="Arial"/>
          <w:b/>
          <w:sz w:val="28"/>
          <w:szCs w:val="28"/>
        </w:rPr>
      </w:pPr>
    </w:p>
    <w:p w14:paraId="12FF494C" w14:textId="77777777" w:rsidR="00562DEB" w:rsidRPr="00370C72" w:rsidRDefault="00562DEB" w:rsidP="00562DEB">
      <w:pPr>
        <w:spacing w:after="0" w:line="240" w:lineRule="auto"/>
        <w:ind w:left="142"/>
        <w:jc w:val="center"/>
        <w:rPr>
          <w:rFonts w:ascii="Arial" w:hAnsi="Arial" w:cs="Arial"/>
          <w:b/>
          <w:sz w:val="28"/>
          <w:szCs w:val="28"/>
        </w:rPr>
      </w:pPr>
    </w:p>
    <w:p w14:paraId="66ABB08A" w14:textId="77777777" w:rsidR="00562DEB" w:rsidRPr="00370C72" w:rsidRDefault="00562DEB" w:rsidP="00562DEB">
      <w:pPr>
        <w:spacing w:after="0" w:line="240" w:lineRule="auto"/>
        <w:ind w:left="142"/>
        <w:jc w:val="center"/>
        <w:rPr>
          <w:rFonts w:ascii="Arial" w:hAnsi="Arial" w:cs="Arial"/>
          <w:b/>
          <w:sz w:val="28"/>
          <w:szCs w:val="28"/>
        </w:rPr>
      </w:pPr>
      <w:r w:rsidRPr="00370C72">
        <w:rPr>
          <w:rFonts w:ascii="Arial" w:hAnsi="Arial" w:cs="Arial"/>
          <w:b/>
          <w:sz w:val="28"/>
          <w:szCs w:val="28"/>
        </w:rPr>
        <w:t>LIC. RAFAEL COELLO CETINA</w:t>
      </w:r>
    </w:p>
    <w:p w14:paraId="2D814265" w14:textId="77777777" w:rsidR="00562DEB" w:rsidRPr="00370C72" w:rsidRDefault="00562DEB" w:rsidP="0021374B">
      <w:pPr>
        <w:pStyle w:val="NormalWeb"/>
        <w:spacing w:after="0" w:line="276" w:lineRule="auto"/>
        <w:jc w:val="both"/>
        <w:rPr>
          <w:rFonts w:ascii="Arial" w:hAnsi="Arial" w:cs="Arial"/>
          <w:color w:val="000000" w:themeColor="text1"/>
          <w:sz w:val="26"/>
          <w:szCs w:val="26"/>
        </w:rPr>
      </w:pPr>
    </w:p>
    <w:p w14:paraId="0E92CE6B" w14:textId="037F924C" w:rsidR="002D6A71" w:rsidRPr="00370C72" w:rsidRDefault="00562DEB" w:rsidP="002D6A71">
      <w:pPr>
        <w:pStyle w:val="NormalWeb"/>
        <w:spacing w:after="0"/>
        <w:ind w:left="142"/>
        <w:jc w:val="both"/>
        <w:rPr>
          <w:rFonts w:ascii="Arial" w:hAnsi="Arial" w:cs="Arial"/>
          <w:b/>
        </w:rPr>
      </w:pPr>
      <w:bookmarkStart w:id="1" w:name="_Hlk207616137"/>
      <w:r w:rsidRPr="00370C72">
        <w:rPr>
          <w:rFonts w:ascii="Arial" w:hAnsi="Arial" w:cs="Arial"/>
          <w:b/>
        </w:rPr>
        <w:t xml:space="preserve">El licenciado Rafael Coello Cetina, Secretario General de Acuerdos de la Suprema Corte de Justicia de la Nación, - - - - - - - - - - - - - - - - - - - - - - - - - - - - - - - - - - - - - -  - - - - - - - - - - - - C E R T I F I C A:- - - - - - - - - - - - - - - - - - - - - - Este </w:t>
      </w:r>
      <w:r w:rsidRPr="00370C72">
        <w:rPr>
          <w:rFonts w:ascii="Arial" w:eastAsia="Arial" w:hAnsi="Arial" w:cs="Arial"/>
          <w:b/>
          <w:color w:val="000000" w:themeColor="text1"/>
          <w:sz w:val="26"/>
          <w:szCs w:val="26"/>
        </w:rPr>
        <w:t xml:space="preserve">ACUERDO GENERAL NÚMERO 9/2025 </w:t>
      </w:r>
      <w:r w:rsidRPr="00370C72">
        <w:rPr>
          <w:rFonts w:ascii="Arial" w:hAnsi="Arial" w:cs="Arial"/>
          <w:b/>
          <w:bCs/>
          <w:color w:val="000000" w:themeColor="text1"/>
          <w:sz w:val="26"/>
          <w:szCs w:val="26"/>
        </w:rPr>
        <w:t>(12a.)</w:t>
      </w:r>
      <w:r w:rsidR="0068799A" w:rsidRPr="00370C72">
        <w:rPr>
          <w:rFonts w:ascii="Arial" w:hAnsi="Arial" w:cs="Arial"/>
          <w:b/>
          <w:bCs/>
          <w:color w:val="000000" w:themeColor="text1"/>
          <w:sz w:val="26"/>
          <w:szCs w:val="26"/>
        </w:rPr>
        <w:t xml:space="preserve"> </w:t>
      </w:r>
      <w:r w:rsidRPr="00370C72">
        <w:rPr>
          <w:rFonts w:ascii="Arial" w:eastAsia="Arial" w:hAnsi="Arial" w:cs="Arial"/>
          <w:b/>
          <w:color w:val="000000" w:themeColor="text1"/>
          <w:sz w:val="26"/>
          <w:szCs w:val="26"/>
        </w:rPr>
        <w:t xml:space="preserve">DEL PLENO DE LA SUPREMA CORTE DE JUSTICIA DE LA NACIÓN, </w:t>
      </w:r>
      <w:r w:rsidR="009D2893" w:rsidRPr="00370C72">
        <w:rPr>
          <w:rFonts w:ascii="Arial" w:hAnsi="Arial" w:cs="Arial"/>
          <w:b/>
          <w:bCs/>
          <w:color w:val="000000" w:themeColor="text1"/>
          <w:sz w:val="26"/>
          <w:szCs w:val="26"/>
        </w:rPr>
        <w:t xml:space="preserve">DE TRES DE SEPTIEMBRE DE DOS MIL VEINTICINCO, </w:t>
      </w:r>
      <w:r w:rsidRPr="00370C72">
        <w:rPr>
          <w:rFonts w:ascii="Arial" w:eastAsia="Arial" w:hAnsi="Arial" w:cs="Arial"/>
          <w:b/>
          <w:color w:val="000000" w:themeColor="text1"/>
          <w:sz w:val="26"/>
          <w:szCs w:val="26"/>
        </w:rPr>
        <w:t>QUE ESTABLECE EL PROCEDIMIENTO PARA LA DECLARATORIA GENERAL DE INCONSTITUCIONALIDAD</w:t>
      </w:r>
      <w:r w:rsidRPr="00370C72">
        <w:rPr>
          <w:rFonts w:ascii="Arial" w:hAnsi="Arial" w:cs="Arial"/>
          <w:b/>
        </w:rPr>
        <w:t xml:space="preserve">, </w:t>
      </w:r>
      <w:r w:rsidR="002D6A71" w:rsidRPr="00370C72">
        <w:rPr>
          <w:rFonts w:ascii="Arial" w:hAnsi="Arial" w:cs="Arial"/>
          <w:b/>
        </w:rPr>
        <w:t xml:space="preserve">fue aprobado por el Tribunal Pleno en Sesión Privada celebrada el día de hoy, por unanimidad de nueve votos de las señoras Ministras Lenia Batres Guadarrama, Yasmín Esquivel Mossa, Loretta Ortiz Ahlf, María Estela Ríos González y Sara Irene Herrerías Guerra así como por los señores Ministros Giovanni Azael Figueroa Mejía, Irving Espinosa Betanzo, Arístides Rodrigo Guerrero García y Presidente Hugo Aguilar Ortiz.- - - - - - - - - - - - - - - - - - - - - - - - - - - - - - - - - - - - - - - - - - - - - -  Ciudad de México, a </w:t>
      </w:r>
      <w:r w:rsidR="0068799A" w:rsidRPr="00370C72">
        <w:rPr>
          <w:rFonts w:ascii="Arial" w:hAnsi="Arial" w:cs="Arial"/>
          <w:b/>
        </w:rPr>
        <w:t>tres</w:t>
      </w:r>
      <w:r w:rsidR="002D6A71" w:rsidRPr="00370C72">
        <w:rPr>
          <w:rFonts w:ascii="Arial" w:hAnsi="Arial" w:cs="Arial"/>
          <w:b/>
        </w:rPr>
        <w:t xml:space="preserve"> de septiembre de dos mil veinticinco.- - -</w:t>
      </w:r>
      <w:r w:rsidR="00F72C32" w:rsidRPr="00370C72">
        <w:rPr>
          <w:rFonts w:ascii="Arial" w:hAnsi="Arial" w:cs="Arial"/>
          <w:b/>
        </w:rPr>
        <w:t xml:space="preserve"> - - - - - - - -</w:t>
      </w:r>
      <w:r w:rsidR="002D6A71" w:rsidRPr="00370C72">
        <w:rPr>
          <w:rFonts w:ascii="Arial" w:hAnsi="Arial" w:cs="Arial"/>
          <w:b/>
        </w:rPr>
        <w:t xml:space="preserve">    </w:t>
      </w:r>
    </w:p>
    <w:p w14:paraId="31059CC3" w14:textId="77777777" w:rsidR="002D6A71" w:rsidRPr="00370C72" w:rsidRDefault="002D6A71" w:rsidP="002D6A71">
      <w:pPr>
        <w:pStyle w:val="NormalWeb"/>
        <w:spacing w:after="0"/>
        <w:ind w:left="142"/>
        <w:jc w:val="both"/>
        <w:rPr>
          <w:rFonts w:ascii="Arial" w:hAnsi="Arial" w:cs="Arial"/>
          <w:b/>
        </w:rPr>
      </w:pPr>
    </w:p>
    <w:p w14:paraId="52DCF6D4" w14:textId="3F5BC007" w:rsidR="00562DEB" w:rsidRPr="00370C72" w:rsidRDefault="00562DEB" w:rsidP="00562DEB">
      <w:pPr>
        <w:pStyle w:val="NormalWeb"/>
        <w:spacing w:after="0"/>
        <w:ind w:left="142"/>
        <w:jc w:val="both"/>
        <w:rPr>
          <w:rFonts w:ascii="Arial" w:hAnsi="Arial" w:cs="Arial"/>
          <w:b/>
        </w:rPr>
      </w:pPr>
    </w:p>
    <w:p w14:paraId="1B568077" w14:textId="77777777" w:rsidR="00F72C32" w:rsidRPr="00370C72" w:rsidRDefault="00F72C32" w:rsidP="00562DEB">
      <w:pPr>
        <w:pStyle w:val="NormalWeb"/>
        <w:spacing w:after="0"/>
        <w:ind w:left="142"/>
        <w:jc w:val="both"/>
        <w:rPr>
          <w:rFonts w:ascii="Arial" w:hAnsi="Arial" w:cs="Arial"/>
          <w:b/>
        </w:rPr>
      </w:pPr>
    </w:p>
    <w:p w14:paraId="651FCC7B" w14:textId="77777777" w:rsidR="0091767E" w:rsidRPr="00370C72" w:rsidRDefault="0091767E" w:rsidP="00562DEB">
      <w:pPr>
        <w:pStyle w:val="NormalWeb"/>
        <w:spacing w:after="0"/>
        <w:ind w:left="142"/>
        <w:jc w:val="both"/>
        <w:rPr>
          <w:rFonts w:ascii="Arial" w:hAnsi="Arial" w:cs="Arial"/>
          <w:b/>
        </w:rPr>
      </w:pPr>
    </w:p>
    <w:p w14:paraId="4F7474B0" w14:textId="77777777" w:rsidR="001F3900" w:rsidRPr="00370C72" w:rsidRDefault="001F3900" w:rsidP="00562DEB">
      <w:pPr>
        <w:pStyle w:val="NormalWeb"/>
        <w:spacing w:after="0"/>
        <w:ind w:left="142"/>
        <w:jc w:val="both"/>
        <w:rPr>
          <w:rFonts w:ascii="Arial" w:hAnsi="Arial" w:cs="Arial"/>
          <w:b/>
        </w:rPr>
      </w:pPr>
    </w:p>
    <w:p w14:paraId="363AC734" w14:textId="77777777" w:rsidR="001F3900" w:rsidRPr="00370C72" w:rsidRDefault="001F3900" w:rsidP="00562DEB">
      <w:pPr>
        <w:pStyle w:val="NormalWeb"/>
        <w:spacing w:after="0"/>
        <w:ind w:left="142"/>
        <w:jc w:val="both"/>
        <w:rPr>
          <w:rFonts w:ascii="Arial" w:hAnsi="Arial" w:cs="Arial"/>
          <w:b/>
        </w:rPr>
      </w:pPr>
    </w:p>
    <w:p w14:paraId="01F61091" w14:textId="77777777" w:rsidR="00562DEB" w:rsidRPr="00370C72" w:rsidRDefault="00562DEB" w:rsidP="00562DEB">
      <w:pPr>
        <w:pStyle w:val="NormalWeb"/>
        <w:spacing w:after="0"/>
        <w:ind w:left="142"/>
        <w:jc w:val="both"/>
        <w:rPr>
          <w:rFonts w:ascii="Arial" w:hAnsi="Arial" w:cs="Arial"/>
          <w:b/>
        </w:rPr>
      </w:pPr>
    </w:p>
    <w:p w14:paraId="1D6DC036" w14:textId="3AEDAED3" w:rsidR="00562DEB" w:rsidRPr="00DA306D" w:rsidRDefault="00562DEB" w:rsidP="00562DEB">
      <w:pPr>
        <w:pStyle w:val="NormalWeb"/>
        <w:spacing w:after="0"/>
        <w:ind w:left="142"/>
        <w:jc w:val="both"/>
        <w:rPr>
          <w:rFonts w:ascii="Arial" w:hAnsi="Arial" w:cs="Arial"/>
          <w:b/>
        </w:rPr>
      </w:pPr>
      <w:bookmarkStart w:id="2" w:name="_Hlk207614592"/>
      <w:r w:rsidRPr="00370C72">
        <w:rPr>
          <w:rFonts w:ascii="Arial" w:hAnsi="Arial" w:cs="Arial"/>
          <w:b/>
          <w:lang w:val="es-ES_tradnl"/>
        </w:rPr>
        <w:t xml:space="preserve">EL LICENCIADO RAFAEL COELLO CETINA, SECRETARIO GENERAL DE ACUERDOS DE LA SUPREMA CORTE DE JUSTICIA DE LA NACIÓN,- - - - - - - - - - - - - - - - - - - - - - - - - - - - - C E R T I F I C A:- - - - - - - - - - - - - - - - - - - - - - - -Que esta copia fotostática constante de </w:t>
      </w:r>
      <w:r w:rsidR="00A6353F" w:rsidRPr="00370C72">
        <w:rPr>
          <w:rFonts w:ascii="Arial" w:hAnsi="Arial" w:cs="Arial"/>
          <w:b/>
          <w:lang w:val="es-ES_tradnl"/>
        </w:rPr>
        <w:t>cinco</w:t>
      </w:r>
      <w:r w:rsidRPr="00370C72">
        <w:rPr>
          <w:rFonts w:ascii="Arial" w:hAnsi="Arial" w:cs="Arial"/>
          <w:b/>
          <w:lang w:val="es-ES_tradnl"/>
        </w:rPr>
        <w:t xml:space="preserve"> fojas útiles, incluyendo esta certificación, concuerda fiel y exactamente con el original del</w:t>
      </w:r>
      <w:r w:rsidRPr="00370C72">
        <w:rPr>
          <w:rFonts w:ascii="Arial" w:hAnsi="Arial" w:cs="Arial"/>
          <w:b/>
          <w:bCs/>
          <w:color w:val="000000" w:themeColor="text1"/>
          <w:sz w:val="26"/>
          <w:szCs w:val="26"/>
        </w:rPr>
        <w:t xml:space="preserve"> </w:t>
      </w:r>
      <w:r w:rsidRPr="00370C72">
        <w:rPr>
          <w:rFonts w:ascii="Arial" w:eastAsia="Arial" w:hAnsi="Arial" w:cs="Arial"/>
          <w:b/>
          <w:color w:val="000000" w:themeColor="text1"/>
          <w:sz w:val="26"/>
          <w:szCs w:val="26"/>
        </w:rPr>
        <w:t xml:space="preserve">ACUERDO GENERAL NÚMERO 9/2025 </w:t>
      </w:r>
      <w:r w:rsidRPr="00370C72">
        <w:rPr>
          <w:rFonts w:ascii="Arial" w:hAnsi="Arial" w:cs="Arial"/>
          <w:b/>
          <w:bCs/>
          <w:color w:val="000000" w:themeColor="text1"/>
          <w:sz w:val="26"/>
          <w:szCs w:val="26"/>
        </w:rPr>
        <w:t>(12a.)</w:t>
      </w:r>
      <w:r w:rsidR="00F300E1" w:rsidRPr="00370C72">
        <w:rPr>
          <w:rFonts w:ascii="Arial" w:hAnsi="Arial" w:cs="Arial"/>
          <w:b/>
          <w:bCs/>
          <w:color w:val="000000" w:themeColor="text1"/>
          <w:sz w:val="26"/>
          <w:szCs w:val="26"/>
        </w:rPr>
        <w:t xml:space="preserve"> </w:t>
      </w:r>
      <w:r w:rsidRPr="00370C72">
        <w:rPr>
          <w:rFonts w:ascii="Arial" w:eastAsia="Arial" w:hAnsi="Arial" w:cs="Arial"/>
          <w:b/>
          <w:color w:val="000000" w:themeColor="text1"/>
          <w:sz w:val="26"/>
          <w:szCs w:val="26"/>
        </w:rPr>
        <w:t xml:space="preserve">DEL PLENO DE LA SUPREMA CORTE DE JUSTICIA DE LA NACIÓN, </w:t>
      </w:r>
      <w:r w:rsidR="00F300E1" w:rsidRPr="00370C72">
        <w:rPr>
          <w:rFonts w:ascii="Arial" w:hAnsi="Arial" w:cs="Arial"/>
          <w:b/>
          <w:bCs/>
          <w:color w:val="000000" w:themeColor="text1"/>
          <w:sz w:val="26"/>
          <w:szCs w:val="26"/>
        </w:rPr>
        <w:t xml:space="preserve">DE TRES DE SEPTIEMBRE DE DOS MIL VEINTICINCO, </w:t>
      </w:r>
      <w:r w:rsidRPr="00370C72">
        <w:rPr>
          <w:rFonts w:ascii="Arial" w:eastAsia="Arial" w:hAnsi="Arial" w:cs="Arial"/>
          <w:b/>
          <w:color w:val="000000" w:themeColor="text1"/>
          <w:sz w:val="26"/>
          <w:szCs w:val="26"/>
        </w:rPr>
        <w:t>QUE ESTABLECE EL PROCEDIMIENTO PARA LA DECLARATORIA GENERAL DE INCONSTITUCIONALIDAD</w:t>
      </w:r>
      <w:r w:rsidRPr="00370C72">
        <w:rPr>
          <w:rFonts w:ascii="Arial" w:hAnsi="Arial" w:cs="Arial"/>
          <w:b/>
        </w:rPr>
        <w:t xml:space="preserve">, </w:t>
      </w:r>
      <w:r w:rsidRPr="00370C72">
        <w:rPr>
          <w:rFonts w:ascii="Arial" w:hAnsi="Arial" w:cs="Arial"/>
          <w:b/>
          <w:lang w:val="es-ES_tradnl"/>
        </w:rPr>
        <w:t>que obra en los archivos de la sección de instrumentos normativos de esta Secretaría General de Acuerdos y se expide para su publicación en el Diario Oficial de la Federación. - - - - - - - - - - - - - - -</w:t>
      </w:r>
      <w:r w:rsidR="0068799A" w:rsidRPr="00370C72">
        <w:rPr>
          <w:rFonts w:ascii="Arial" w:hAnsi="Arial" w:cs="Arial"/>
          <w:b/>
          <w:lang w:val="es-ES_tradnl"/>
        </w:rPr>
        <w:t xml:space="preserve"> - - - - - - - - - - - - - - - - - - - - - - - - - - - - - - </w:t>
      </w:r>
      <w:r w:rsidRPr="00370C72">
        <w:rPr>
          <w:rFonts w:ascii="Arial" w:hAnsi="Arial" w:cs="Arial"/>
          <w:b/>
          <w:lang w:val="es-ES_tradnl"/>
        </w:rPr>
        <w:t xml:space="preserve"> Ciudad de México, a </w:t>
      </w:r>
      <w:r w:rsidR="00517C51" w:rsidRPr="00370C72">
        <w:rPr>
          <w:rFonts w:ascii="Arial" w:hAnsi="Arial" w:cs="Arial"/>
          <w:b/>
          <w:lang w:val="es-ES_tradnl"/>
        </w:rPr>
        <w:t xml:space="preserve">cinco </w:t>
      </w:r>
      <w:r w:rsidRPr="00370C72">
        <w:rPr>
          <w:rFonts w:ascii="Arial" w:hAnsi="Arial" w:cs="Arial"/>
          <w:b/>
          <w:lang w:val="es-ES_tradnl"/>
        </w:rPr>
        <w:t xml:space="preserve">de septiembre de dos mil veinticinco. </w:t>
      </w:r>
      <w:r w:rsidRPr="00370C72">
        <w:rPr>
          <w:rFonts w:ascii="Arial" w:hAnsi="Arial" w:cs="Arial"/>
          <w:b/>
        </w:rPr>
        <w:t>Doy fe.</w:t>
      </w:r>
    </w:p>
    <w:bookmarkEnd w:id="1"/>
    <w:bookmarkEnd w:id="2"/>
    <w:p w14:paraId="37FE04BA" w14:textId="77777777" w:rsidR="00562DEB" w:rsidRPr="005134B9" w:rsidRDefault="00562DEB" w:rsidP="00C204F1">
      <w:pPr>
        <w:spacing w:after="0" w:line="240" w:lineRule="auto"/>
        <w:jc w:val="both"/>
        <w:rPr>
          <w:rFonts w:ascii="Arial" w:hAnsi="Arial" w:cs="Arial"/>
          <w:color w:val="000000" w:themeColor="text1"/>
          <w:sz w:val="26"/>
          <w:szCs w:val="26"/>
          <w:lang w:val="es-ES_tradnl"/>
        </w:rPr>
      </w:pPr>
    </w:p>
    <w:sectPr w:rsidR="00562DEB" w:rsidRPr="005134B9" w:rsidSect="0021374B">
      <w:footerReference w:type="default" r:id="rId7"/>
      <w:pgSz w:w="12240" w:h="19298" w:code="119"/>
      <w:pgMar w:top="3544" w:right="1701" w:bottom="1417" w:left="1701"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054DC" w14:textId="77777777" w:rsidR="00E91822" w:rsidRDefault="00E91822" w:rsidP="00CC1D00">
      <w:pPr>
        <w:spacing w:after="0" w:line="240" w:lineRule="auto"/>
      </w:pPr>
      <w:r>
        <w:separator/>
      </w:r>
    </w:p>
  </w:endnote>
  <w:endnote w:type="continuationSeparator" w:id="0">
    <w:p w14:paraId="71A55D6E" w14:textId="77777777" w:rsidR="00E91822" w:rsidRDefault="00E91822" w:rsidP="00CC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769254"/>
      <w:docPartObj>
        <w:docPartGallery w:val="Page Numbers (Bottom of Page)"/>
        <w:docPartUnique/>
      </w:docPartObj>
    </w:sdtPr>
    <w:sdtContent>
      <w:p w14:paraId="1ED9EABD" w14:textId="799A2B8C" w:rsidR="0021374B" w:rsidRDefault="0021374B">
        <w:pPr>
          <w:pStyle w:val="Piedepgina"/>
          <w:jc w:val="center"/>
        </w:pPr>
        <w:r w:rsidRPr="0021374B">
          <w:rPr>
            <w:rFonts w:ascii="Arial" w:hAnsi="Arial" w:cs="Arial"/>
            <w:b/>
            <w:bCs/>
            <w:sz w:val="28"/>
            <w:szCs w:val="28"/>
          </w:rPr>
          <w:fldChar w:fldCharType="begin"/>
        </w:r>
        <w:r w:rsidRPr="0021374B">
          <w:rPr>
            <w:rFonts w:ascii="Arial" w:hAnsi="Arial" w:cs="Arial"/>
            <w:b/>
            <w:bCs/>
            <w:sz w:val="28"/>
            <w:szCs w:val="28"/>
          </w:rPr>
          <w:instrText>PAGE   \* MERGEFORMAT</w:instrText>
        </w:r>
        <w:r w:rsidRPr="0021374B">
          <w:rPr>
            <w:rFonts w:ascii="Arial" w:hAnsi="Arial" w:cs="Arial"/>
            <w:b/>
            <w:bCs/>
            <w:sz w:val="28"/>
            <w:szCs w:val="28"/>
          </w:rPr>
          <w:fldChar w:fldCharType="separate"/>
        </w:r>
        <w:r w:rsidRPr="0021374B">
          <w:rPr>
            <w:rFonts w:ascii="Arial" w:hAnsi="Arial" w:cs="Arial"/>
            <w:b/>
            <w:bCs/>
            <w:sz w:val="28"/>
            <w:szCs w:val="28"/>
          </w:rPr>
          <w:t>2</w:t>
        </w:r>
        <w:r w:rsidRPr="0021374B">
          <w:rPr>
            <w:rFonts w:ascii="Arial" w:hAnsi="Arial" w:cs="Arial"/>
            <w:b/>
            <w:bCs/>
            <w:sz w:val="28"/>
            <w:szCs w:val="28"/>
          </w:rPr>
          <w:fldChar w:fldCharType="end"/>
        </w:r>
      </w:p>
    </w:sdtContent>
  </w:sdt>
  <w:p w14:paraId="69023794" w14:textId="77777777" w:rsidR="0021374B" w:rsidRDefault="002137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1CC04" w14:textId="77777777" w:rsidR="00E91822" w:rsidRDefault="00E91822" w:rsidP="00CC1D00">
      <w:pPr>
        <w:spacing w:after="0" w:line="240" w:lineRule="auto"/>
      </w:pPr>
      <w:r>
        <w:separator/>
      </w:r>
    </w:p>
  </w:footnote>
  <w:footnote w:type="continuationSeparator" w:id="0">
    <w:p w14:paraId="5AB1306B" w14:textId="77777777" w:rsidR="00E91822" w:rsidRDefault="00E91822" w:rsidP="00CC1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37A"/>
    <w:multiLevelType w:val="hybridMultilevel"/>
    <w:tmpl w:val="1C0C7926"/>
    <w:lvl w:ilvl="0" w:tplc="35742E10">
      <w:start w:val="1"/>
      <w:numFmt w:val="upperRoman"/>
      <w:lvlText w:val="%1."/>
      <w:lvlJc w:val="left"/>
      <w:pPr>
        <w:ind w:left="1080" w:hanging="720"/>
      </w:pPr>
      <w:rPr>
        <w:rFonts w:hint="default"/>
        <w:b/>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954BCF"/>
    <w:multiLevelType w:val="hybridMultilevel"/>
    <w:tmpl w:val="9D80DCB0"/>
    <w:lvl w:ilvl="0" w:tplc="F208A2E0">
      <w:start w:val="3"/>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F347F7"/>
    <w:multiLevelType w:val="hybridMultilevel"/>
    <w:tmpl w:val="C720A82C"/>
    <w:lvl w:ilvl="0" w:tplc="4F7A4CC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72082"/>
    <w:multiLevelType w:val="hybridMultilevel"/>
    <w:tmpl w:val="54E43616"/>
    <w:lvl w:ilvl="0" w:tplc="37A66362">
      <w:start w:val="1"/>
      <w:numFmt w:val="upperRoman"/>
      <w:lvlText w:val="%1."/>
      <w:lvlJc w:val="righ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60139E"/>
    <w:multiLevelType w:val="hybridMultilevel"/>
    <w:tmpl w:val="D6422A0C"/>
    <w:lvl w:ilvl="0" w:tplc="7806D8B6">
      <w:start w:val="1"/>
      <w:numFmt w:val="upperRoman"/>
      <w:lvlText w:val="%1."/>
      <w:lvlJc w:val="right"/>
      <w:pPr>
        <w:ind w:left="720" w:hanging="360"/>
      </w:pPr>
      <w:rPr>
        <w:b/>
        <w:bCs/>
      </w:rPr>
    </w:lvl>
    <w:lvl w:ilvl="1" w:tplc="575CDB9A">
      <w:start w:val="1"/>
      <w:numFmt w:val="lowerLetter"/>
      <w:lvlText w:val="%2."/>
      <w:lvlJc w:val="left"/>
      <w:pPr>
        <w:ind w:left="1540" w:hanging="460"/>
      </w:pPr>
      <w:rPr>
        <w:rFonts w:hint="default"/>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BC03D5"/>
    <w:multiLevelType w:val="hybridMultilevel"/>
    <w:tmpl w:val="AD02C84C"/>
    <w:lvl w:ilvl="0" w:tplc="911AF72E">
      <w:start w:val="1"/>
      <w:numFmt w:val="lowerLetter"/>
      <w:lvlText w:val="%1)"/>
      <w:lvlJc w:val="left"/>
      <w:pPr>
        <w:ind w:left="502" w:hanging="360"/>
      </w:pPr>
      <w:rPr>
        <w:rFonts w:hint="default"/>
        <w:b/>
        <w:bCs/>
        <w:sz w:val="26"/>
        <w:szCs w:val="26"/>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845193A"/>
    <w:multiLevelType w:val="hybridMultilevel"/>
    <w:tmpl w:val="9E1AC734"/>
    <w:lvl w:ilvl="0" w:tplc="0C0A0017">
      <w:start w:val="1"/>
      <w:numFmt w:val="lowerLetter"/>
      <w:lvlText w:val="%1)"/>
      <w:lvlJc w:val="left"/>
      <w:pPr>
        <w:ind w:left="720" w:hanging="360"/>
      </w:pPr>
    </w:lvl>
    <w:lvl w:ilvl="1" w:tplc="0C0A001B">
      <w:start w:val="1"/>
      <w:numFmt w:val="lowerRoman"/>
      <w:lvlText w:val="%2."/>
      <w:lvlJc w:val="right"/>
      <w:pPr>
        <w:ind w:left="1440" w:hanging="360"/>
      </w:pPr>
    </w:lvl>
    <w:lvl w:ilvl="2" w:tplc="FBCEC942">
      <w:start w:val="1"/>
      <w:numFmt w:val="decimal"/>
      <w:lvlText w:val="%3."/>
      <w:lvlJc w:val="left"/>
      <w:pPr>
        <w:ind w:left="2520" w:hanging="54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374C23"/>
    <w:multiLevelType w:val="hybridMultilevel"/>
    <w:tmpl w:val="879AADF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444A1"/>
    <w:multiLevelType w:val="hybridMultilevel"/>
    <w:tmpl w:val="8790337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0D3B60"/>
    <w:multiLevelType w:val="hybridMultilevel"/>
    <w:tmpl w:val="4B600718"/>
    <w:lvl w:ilvl="0" w:tplc="6FF470FA">
      <w:start w:val="1"/>
      <w:numFmt w:val="upperRoman"/>
      <w:lvlText w:val="%1."/>
      <w:lvlJc w:val="right"/>
      <w:pPr>
        <w:ind w:left="502"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CB6EBE"/>
    <w:multiLevelType w:val="hybridMultilevel"/>
    <w:tmpl w:val="6D2CB082"/>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1" w15:restartNumberingAfterBreak="0">
    <w:nsid w:val="431D01C9"/>
    <w:multiLevelType w:val="hybridMultilevel"/>
    <w:tmpl w:val="5186E702"/>
    <w:lvl w:ilvl="0" w:tplc="F9B8D07A">
      <w:start w:val="1"/>
      <w:numFmt w:val="upperRoman"/>
      <w:lvlText w:val="%1."/>
      <w:lvlJc w:val="left"/>
      <w:pPr>
        <w:ind w:left="1080" w:hanging="720"/>
      </w:pPr>
      <w:rPr>
        <w:rFonts w:hint="default"/>
        <w:b/>
      </w:rPr>
    </w:lvl>
    <w:lvl w:ilvl="1" w:tplc="E5245546">
      <w:start w:val="1"/>
      <w:numFmt w:val="upp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CB0B31"/>
    <w:multiLevelType w:val="multilevel"/>
    <w:tmpl w:val="FBB04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CA500F"/>
    <w:multiLevelType w:val="hybridMultilevel"/>
    <w:tmpl w:val="C3B8DC58"/>
    <w:lvl w:ilvl="0" w:tplc="A5E6162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420A51"/>
    <w:multiLevelType w:val="hybridMultilevel"/>
    <w:tmpl w:val="D5CA476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6930773"/>
    <w:multiLevelType w:val="hybridMultilevel"/>
    <w:tmpl w:val="800CCDF6"/>
    <w:lvl w:ilvl="0" w:tplc="FFFFFFFF">
      <w:start w:val="1"/>
      <w:numFmt w:val="upperRoman"/>
      <w:lvlText w:val="%1."/>
      <w:lvlJc w:val="right"/>
      <w:pPr>
        <w:ind w:left="1287" w:hanging="72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56FB1739"/>
    <w:multiLevelType w:val="hybridMultilevel"/>
    <w:tmpl w:val="507C1FFA"/>
    <w:lvl w:ilvl="0" w:tplc="E24884C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47343E"/>
    <w:multiLevelType w:val="hybridMultilevel"/>
    <w:tmpl w:val="76A03940"/>
    <w:lvl w:ilvl="0" w:tplc="A7B41B0A">
      <w:start w:val="1"/>
      <w:numFmt w:val="upperRoman"/>
      <w:lvlText w:val="%1."/>
      <w:lvlJc w:val="left"/>
      <w:pPr>
        <w:ind w:left="1429" w:hanging="720"/>
      </w:pPr>
      <w:rPr>
        <w:rFonts w:hint="default"/>
        <w:b/>
        <w:bCs/>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A6A4402"/>
    <w:multiLevelType w:val="hybridMultilevel"/>
    <w:tmpl w:val="2CAC4D3A"/>
    <w:lvl w:ilvl="0" w:tplc="42F2952C">
      <w:start w:val="1"/>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76835BCA"/>
    <w:multiLevelType w:val="hybridMultilevel"/>
    <w:tmpl w:val="5E7421BC"/>
    <w:lvl w:ilvl="0" w:tplc="961AE2F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C04FFA"/>
    <w:multiLevelType w:val="hybridMultilevel"/>
    <w:tmpl w:val="43A0AC32"/>
    <w:lvl w:ilvl="0" w:tplc="94E8066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63827088">
    <w:abstractNumId w:val="11"/>
  </w:num>
  <w:num w:numId="2" w16cid:durableId="464927500">
    <w:abstractNumId w:val="20"/>
  </w:num>
  <w:num w:numId="3" w16cid:durableId="651761388">
    <w:abstractNumId w:val="10"/>
  </w:num>
  <w:num w:numId="4" w16cid:durableId="53436641">
    <w:abstractNumId w:val="6"/>
  </w:num>
  <w:num w:numId="5" w16cid:durableId="1898972263">
    <w:abstractNumId w:val="14"/>
  </w:num>
  <w:num w:numId="6" w16cid:durableId="1529638379">
    <w:abstractNumId w:val="8"/>
  </w:num>
  <w:num w:numId="7" w16cid:durableId="2123069792">
    <w:abstractNumId w:val="12"/>
  </w:num>
  <w:num w:numId="8" w16cid:durableId="796989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4449181">
    <w:abstractNumId w:val="19"/>
  </w:num>
  <w:num w:numId="10" w16cid:durableId="984435506">
    <w:abstractNumId w:val="9"/>
  </w:num>
  <w:num w:numId="11" w16cid:durableId="256640503">
    <w:abstractNumId w:val="13"/>
  </w:num>
  <w:num w:numId="12" w16cid:durableId="1858763673">
    <w:abstractNumId w:val="1"/>
  </w:num>
  <w:num w:numId="13" w16cid:durableId="2088528582">
    <w:abstractNumId w:val="16"/>
  </w:num>
  <w:num w:numId="14" w16cid:durableId="1741709537">
    <w:abstractNumId w:val="15"/>
  </w:num>
  <w:num w:numId="15" w16cid:durableId="676659343">
    <w:abstractNumId w:val="7"/>
  </w:num>
  <w:num w:numId="16" w16cid:durableId="112284398">
    <w:abstractNumId w:val="4"/>
  </w:num>
  <w:num w:numId="17" w16cid:durableId="440731110">
    <w:abstractNumId w:val="2"/>
  </w:num>
  <w:num w:numId="18" w16cid:durableId="593636440">
    <w:abstractNumId w:val="17"/>
  </w:num>
  <w:num w:numId="19" w16cid:durableId="1588034429">
    <w:abstractNumId w:val="3"/>
  </w:num>
  <w:num w:numId="20" w16cid:durableId="812063361">
    <w:abstractNumId w:val="18"/>
  </w:num>
  <w:num w:numId="21" w16cid:durableId="1987929241">
    <w:abstractNumId w:val="5"/>
  </w:num>
  <w:num w:numId="22" w16cid:durableId="108024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00"/>
    <w:rsid w:val="00001DEF"/>
    <w:rsid w:val="0000421E"/>
    <w:rsid w:val="00013B0F"/>
    <w:rsid w:val="00020046"/>
    <w:rsid w:val="00026A50"/>
    <w:rsid w:val="00060B2C"/>
    <w:rsid w:val="000D05BF"/>
    <w:rsid w:val="000F5158"/>
    <w:rsid w:val="001215D1"/>
    <w:rsid w:val="001353EF"/>
    <w:rsid w:val="0014534F"/>
    <w:rsid w:val="001705F1"/>
    <w:rsid w:val="001804A9"/>
    <w:rsid w:val="001931CE"/>
    <w:rsid w:val="001A39FF"/>
    <w:rsid w:val="001A4BA5"/>
    <w:rsid w:val="001B684F"/>
    <w:rsid w:val="001D4B6D"/>
    <w:rsid w:val="001E1180"/>
    <w:rsid w:val="001E2867"/>
    <w:rsid w:val="001F3900"/>
    <w:rsid w:val="001F52C2"/>
    <w:rsid w:val="00204DDF"/>
    <w:rsid w:val="0021168E"/>
    <w:rsid w:val="002133DB"/>
    <w:rsid w:val="0021374B"/>
    <w:rsid w:val="00215202"/>
    <w:rsid w:val="00237635"/>
    <w:rsid w:val="00290318"/>
    <w:rsid w:val="002A2AC3"/>
    <w:rsid w:val="002C4BAF"/>
    <w:rsid w:val="002D6A71"/>
    <w:rsid w:val="002F1A6B"/>
    <w:rsid w:val="003038A4"/>
    <w:rsid w:val="00306554"/>
    <w:rsid w:val="003105CB"/>
    <w:rsid w:val="0033201C"/>
    <w:rsid w:val="00337BEB"/>
    <w:rsid w:val="00342CD6"/>
    <w:rsid w:val="00355B83"/>
    <w:rsid w:val="0036427C"/>
    <w:rsid w:val="00370C72"/>
    <w:rsid w:val="003964B7"/>
    <w:rsid w:val="003A2B1E"/>
    <w:rsid w:val="003A7A78"/>
    <w:rsid w:val="003B1D02"/>
    <w:rsid w:val="003B79C8"/>
    <w:rsid w:val="003C5629"/>
    <w:rsid w:val="003D7717"/>
    <w:rsid w:val="004010DB"/>
    <w:rsid w:val="00437615"/>
    <w:rsid w:val="0045476C"/>
    <w:rsid w:val="00466EEF"/>
    <w:rsid w:val="004964B6"/>
    <w:rsid w:val="004C6966"/>
    <w:rsid w:val="004C6FFC"/>
    <w:rsid w:val="00500D8B"/>
    <w:rsid w:val="005134B9"/>
    <w:rsid w:val="00517C51"/>
    <w:rsid w:val="00553EBF"/>
    <w:rsid w:val="00560780"/>
    <w:rsid w:val="00561487"/>
    <w:rsid w:val="00562DEB"/>
    <w:rsid w:val="00576990"/>
    <w:rsid w:val="005D64C5"/>
    <w:rsid w:val="005F4009"/>
    <w:rsid w:val="005F578E"/>
    <w:rsid w:val="00637BA6"/>
    <w:rsid w:val="00641355"/>
    <w:rsid w:val="006674A5"/>
    <w:rsid w:val="00681093"/>
    <w:rsid w:val="0068799A"/>
    <w:rsid w:val="006A456C"/>
    <w:rsid w:val="006B76E1"/>
    <w:rsid w:val="006B76EC"/>
    <w:rsid w:val="006C3135"/>
    <w:rsid w:val="006E20C2"/>
    <w:rsid w:val="0070020F"/>
    <w:rsid w:val="00716E76"/>
    <w:rsid w:val="00746ACD"/>
    <w:rsid w:val="00747695"/>
    <w:rsid w:val="00760379"/>
    <w:rsid w:val="00760AF3"/>
    <w:rsid w:val="007621BE"/>
    <w:rsid w:val="00775A91"/>
    <w:rsid w:val="00781CD8"/>
    <w:rsid w:val="007B520E"/>
    <w:rsid w:val="007D41A3"/>
    <w:rsid w:val="00806530"/>
    <w:rsid w:val="00811588"/>
    <w:rsid w:val="008545C2"/>
    <w:rsid w:val="008931C1"/>
    <w:rsid w:val="00893E2B"/>
    <w:rsid w:val="008A4729"/>
    <w:rsid w:val="008B6E93"/>
    <w:rsid w:val="008F5358"/>
    <w:rsid w:val="00902726"/>
    <w:rsid w:val="0091767E"/>
    <w:rsid w:val="009356A6"/>
    <w:rsid w:val="00964F44"/>
    <w:rsid w:val="009743DA"/>
    <w:rsid w:val="009B120F"/>
    <w:rsid w:val="009B50D1"/>
    <w:rsid w:val="009B52A2"/>
    <w:rsid w:val="009C2244"/>
    <w:rsid w:val="009D2893"/>
    <w:rsid w:val="009D28B4"/>
    <w:rsid w:val="00A122D0"/>
    <w:rsid w:val="00A6353F"/>
    <w:rsid w:val="00A6641D"/>
    <w:rsid w:val="00A85A3A"/>
    <w:rsid w:val="00AD3FD1"/>
    <w:rsid w:val="00AD539B"/>
    <w:rsid w:val="00AD6DA2"/>
    <w:rsid w:val="00B33392"/>
    <w:rsid w:val="00B42452"/>
    <w:rsid w:val="00B4577A"/>
    <w:rsid w:val="00B45C73"/>
    <w:rsid w:val="00B73F83"/>
    <w:rsid w:val="00BA2DF0"/>
    <w:rsid w:val="00BA4593"/>
    <w:rsid w:val="00BA473F"/>
    <w:rsid w:val="00BD55E7"/>
    <w:rsid w:val="00C204F1"/>
    <w:rsid w:val="00C21D03"/>
    <w:rsid w:val="00C41674"/>
    <w:rsid w:val="00C45894"/>
    <w:rsid w:val="00C55250"/>
    <w:rsid w:val="00CA0FE1"/>
    <w:rsid w:val="00CA2B55"/>
    <w:rsid w:val="00CB0EC0"/>
    <w:rsid w:val="00CC188B"/>
    <w:rsid w:val="00CC1D00"/>
    <w:rsid w:val="00CE3FDA"/>
    <w:rsid w:val="00D01016"/>
    <w:rsid w:val="00D12B04"/>
    <w:rsid w:val="00D162F3"/>
    <w:rsid w:val="00D842DE"/>
    <w:rsid w:val="00D85456"/>
    <w:rsid w:val="00D91288"/>
    <w:rsid w:val="00DB0C76"/>
    <w:rsid w:val="00DC16FD"/>
    <w:rsid w:val="00DC2B92"/>
    <w:rsid w:val="00E403AB"/>
    <w:rsid w:val="00E6370E"/>
    <w:rsid w:val="00E86CAC"/>
    <w:rsid w:val="00E8731E"/>
    <w:rsid w:val="00E91822"/>
    <w:rsid w:val="00EA4397"/>
    <w:rsid w:val="00EA56F8"/>
    <w:rsid w:val="00EC6527"/>
    <w:rsid w:val="00ED4BB5"/>
    <w:rsid w:val="00ED4D2E"/>
    <w:rsid w:val="00EE3BF0"/>
    <w:rsid w:val="00F12175"/>
    <w:rsid w:val="00F144B5"/>
    <w:rsid w:val="00F15BF2"/>
    <w:rsid w:val="00F24305"/>
    <w:rsid w:val="00F300E1"/>
    <w:rsid w:val="00F474F8"/>
    <w:rsid w:val="00F56EC3"/>
    <w:rsid w:val="00F67BE1"/>
    <w:rsid w:val="00F71F8C"/>
    <w:rsid w:val="00F72C32"/>
    <w:rsid w:val="00F76183"/>
    <w:rsid w:val="00F807F6"/>
    <w:rsid w:val="00F856E3"/>
    <w:rsid w:val="00FA4352"/>
    <w:rsid w:val="00FC6F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F044"/>
  <w15:chartTrackingRefBased/>
  <w15:docId w15:val="{67F37934-B571-9143-B5A4-F35483FF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D00"/>
    <w:pPr>
      <w:spacing w:after="160" w:line="279" w:lineRule="auto"/>
    </w:pPr>
    <w:rPr>
      <w:lang w:val="es-ES"/>
    </w:rPr>
  </w:style>
  <w:style w:type="paragraph" w:styleId="Ttulo1">
    <w:name w:val="heading 1"/>
    <w:basedOn w:val="Normal"/>
    <w:next w:val="Normal"/>
    <w:link w:val="Ttulo1Car"/>
    <w:uiPriority w:val="9"/>
    <w:qFormat/>
    <w:rsid w:val="00CC1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1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1D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1D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1D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1D0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1D0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1D0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1D0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1D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1D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1D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1D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1D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1D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1D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1D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1D00"/>
    <w:rPr>
      <w:rFonts w:eastAsiaTheme="majorEastAsia" w:cstheme="majorBidi"/>
      <w:color w:val="272727" w:themeColor="text1" w:themeTint="D8"/>
    </w:rPr>
  </w:style>
  <w:style w:type="paragraph" w:styleId="Ttulo">
    <w:name w:val="Title"/>
    <w:basedOn w:val="Normal"/>
    <w:next w:val="Normal"/>
    <w:link w:val="TtuloCar"/>
    <w:uiPriority w:val="10"/>
    <w:qFormat/>
    <w:rsid w:val="00CC1D0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1D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1D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1D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1D00"/>
    <w:pPr>
      <w:spacing w:before="160"/>
      <w:jc w:val="center"/>
    </w:pPr>
    <w:rPr>
      <w:i/>
      <w:iCs/>
      <w:color w:val="404040" w:themeColor="text1" w:themeTint="BF"/>
    </w:rPr>
  </w:style>
  <w:style w:type="character" w:customStyle="1" w:styleId="CitaCar">
    <w:name w:val="Cita Car"/>
    <w:basedOn w:val="Fuentedeprrafopredeter"/>
    <w:link w:val="Cita"/>
    <w:uiPriority w:val="29"/>
    <w:rsid w:val="00CC1D00"/>
    <w:rPr>
      <w:i/>
      <w:iCs/>
      <w:color w:val="404040" w:themeColor="text1" w:themeTint="BF"/>
    </w:rPr>
  </w:style>
  <w:style w:type="paragraph" w:styleId="Prrafodelista">
    <w:name w:val="List Paragraph"/>
    <w:aliases w:val="Cita texto,AA Párrafo de lista,TEXTO GENERAL SENTENCIAS,Footnote,Lista vistosa - Énfasis 11,Párrafo de lista1,Párrafo de lista2,Dot pt,No Spacing1,List Paragraph Char Char Char,Indicator Text,List Paragraph1,Numbered Para 1,Figuras"/>
    <w:basedOn w:val="Normal"/>
    <w:link w:val="PrrafodelistaCar"/>
    <w:uiPriority w:val="34"/>
    <w:qFormat/>
    <w:rsid w:val="00CC1D00"/>
    <w:pPr>
      <w:ind w:left="720"/>
      <w:contextualSpacing/>
    </w:pPr>
  </w:style>
  <w:style w:type="character" w:styleId="nfasisintenso">
    <w:name w:val="Intense Emphasis"/>
    <w:basedOn w:val="Fuentedeprrafopredeter"/>
    <w:uiPriority w:val="21"/>
    <w:qFormat/>
    <w:rsid w:val="00CC1D00"/>
    <w:rPr>
      <w:i/>
      <w:iCs/>
      <w:color w:val="0F4761" w:themeColor="accent1" w:themeShade="BF"/>
    </w:rPr>
  </w:style>
  <w:style w:type="paragraph" w:styleId="Citadestacada">
    <w:name w:val="Intense Quote"/>
    <w:basedOn w:val="Normal"/>
    <w:next w:val="Normal"/>
    <w:link w:val="CitadestacadaCar"/>
    <w:uiPriority w:val="30"/>
    <w:qFormat/>
    <w:rsid w:val="00CC1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1D00"/>
    <w:rPr>
      <w:i/>
      <w:iCs/>
      <w:color w:val="0F4761" w:themeColor="accent1" w:themeShade="BF"/>
    </w:rPr>
  </w:style>
  <w:style w:type="character" w:styleId="Referenciaintensa">
    <w:name w:val="Intense Reference"/>
    <w:basedOn w:val="Fuentedeprrafopredeter"/>
    <w:uiPriority w:val="32"/>
    <w:qFormat/>
    <w:rsid w:val="00CC1D00"/>
    <w:rPr>
      <w:b/>
      <w:bCs/>
      <w:smallCaps/>
      <w:color w:val="0F4761" w:themeColor="accent1" w:themeShade="BF"/>
      <w:spacing w:val="5"/>
    </w:rPr>
  </w:style>
  <w:style w:type="table" w:styleId="Tablaconcuadrcula">
    <w:name w:val="Table Grid"/>
    <w:basedOn w:val="Tablanormal"/>
    <w:uiPriority w:val="39"/>
    <w:rsid w:val="00CC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C1D00"/>
    <w:rPr>
      <w:sz w:val="16"/>
      <w:szCs w:val="16"/>
    </w:rPr>
  </w:style>
  <w:style w:type="character" w:customStyle="1" w:styleId="PrrafodelistaCar">
    <w:name w:val="Párrafo de lista Car"/>
    <w:aliases w:val="Cita texto Car,AA Párrafo de lista Car,TEXTO GENERAL SENTENCIAS Car,Footnote Car,Lista vistosa - Énfasis 11 Car,Párrafo de lista1 Car,Párrafo de lista2 Car,Dot pt Car,No Spacing1 Car,List Paragraph Char Char Char Car,Figuras Car"/>
    <w:link w:val="Prrafodelista"/>
    <w:uiPriority w:val="34"/>
    <w:qFormat/>
    <w:rsid w:val="00CC1D00"/>
  </w:style>
  <w:style w:type="paragraph" w:styleId="Textonotapie">
    <w:name w:val="footnote text"/>
    <w:basedOn w:val="Normal"/>
    <w:link w:val="TextonotapieCar"/>
    <w:uiPriority w:val="99"/>
    <w:semiHidden/>
    <w:unhideWhenUsed/>
    <w:rsid w:val="00CC1D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1D00"/>
    <w:rPr>
      <w:sz w:val="20"/>
      <w:szCs w:val="20"/>
      <w:lang w:val="es-ES"/>
    </w:rPr>
  </w:style>
  <w:style w:type="character" w:styleId="Refdenotaalpie">
    <w:name w:val="footnote reference"/>
    <w:basedOn w:val="Fuentedeprrafopredeter"/>
    <w:uiPriority w:val="99"/>
    <w:semiHidden/>
    <w:unhideWhenUsed/>
    <w:rsid w:val="00CC1D00"/>
    <w:rPr>
      <w:vertAlign w:val="superscript"/>
    </w:rPr>
  </w:style>
  <w:style w:type="paragraph" w:customStyle="1" w:styleId="s4">
    <w:name w:val="s4"/>
    <w:basedOn w:val="Normal"/>
    <w:rsid w:val="00CC1D00"/>
    <w:pPr>
      <w:spacing w:before="100" w:beforeAutospacing="1" w:after="100" w:afterAutospacing="1" w:line="240" w:lineRule="auto"/>
    </w:pPr>
    <w:rPr>
      <w:rFonts w:ascii="Times New Roman" w:eastAsia="Times New Roman" w:hAnsi="Times New Roman" w:cs="Times New Roman"/>
      <w:lang w:val="es-MX" w:eastAsia="es-MX"/>
    </w:rPr>
  </w:style>
  <w:style w:type="character" w:customStyle="1" w:styleId="apple-converted-space">
    <w:name w:val="apple-converted-space"/>
    <w:basedOn w:val="Fuentedeprrafopredeter"/>
    <w:rsid w:val="00CC1D00"/>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CA0FE1"/>
    <w:rPr>
      <w:b/>
      <w:bCs/>
    </w:rPr>
  </w:style>
  <w:style w:type="character" w:customStyle="1" w:styleId="AsuntodelcomentarioCar">
    <w:name w:val="Asunto del comentario Car"/>
    <w:basedOn w:val="TextocomentarioCar"/>
    <w:link w:val="Asuntodelcomentario"/>
    <w:uiPriority w:val="99"/>
    <w:semiHidden/>
    <w:rsid w:val="00CA0FE1"/>
    <w:rPr>
      <w:b/>
      <w:bCs/>
      <w:sz w:val="20"/>
      <w:szCs w:val="20"/>
      <w:lang w:val="es-ES"/>
    </w:rPr>
  </w:style>
  <w:style w:type="paragraph" w:styleId="Sinespaciado">
    <w:name w:val="No Spacing"/>
    <w:link w:val="SinespaciadoCar"/>
    <w:uiPriority w:val="1"/>
    <w:qFormat/>
    <w:rsid w:val="002A2AC3"/>
    <w:rPr>
      <w:rFonts w:eastAsiaTheme="minorEastAsia"/>
      <w:sz w:val="20"/>
      <w:szCs w:val="20"/>
    </w:rPr>
  </w:style>
  <w:style w:type="character" w:customStyle="1" w:styleId="SinespaciadoCar">
    <w:name w:val="Sin espaciado Car"/>
    <w:basedOn w:val="Fuentedeprrafopredeter"/>
    <w:link w:val="Sinespaciado"/>
    <w:uiPriority w:val="1"/>
    <w:rsid w:val="002A2AC3"/>
    <w:rPr>
      <w:rFonts w:eastAsiaTheme="minorEastAsia"/>
      <w:sz w:val="20"/>
      <w:szCs w:val="20"/>
    </w:rPr>
  </w:style>
  <w:style w:type="paragraph" w:styleId="NormalWeb">
    <w:name w:val="Normal (Web)"/>
    <w:basedOn w:val="Normal"/>
    <w:unhideWhenUsed/>
    <w:rsid w:val="00466EEF"/>
    <w:pPr>
      <w:spacing w:before="100" w:beforeAutospacing="1" w:after="100" w:afterAutospacing="1" w:line="240" w:lineRule="auto"/>
    </w:pPr>
    <w:rPr>
      <w:rFonts w:ascii="Times New Roman" w:eastAsia="Times New Roman" w:hAnsi="Times New Roman" w:cs="Times New Roman"/>
      <w:lang w:eastAsia="es-MX"/>
    </w:rPr>
  </w:style>
  <w:style w:type="paragraph" w:styleId="Revisin">
    <w:name w:val="Revision"/>
    <w:hidden/>
    <w:uiPriority w:val="99"/>
    <w:semiHidden/>
    <w:rsid w:val="009356A6"/>
    <w:rPr>
      <w:lang w:val="es-ES"/>
    </w:rPr>
  </w:style>
  <w:style w:type="paragraph" w:styleId="Encabezado">
    <w:name w:val="header"/>
    <w:basedOn w:val="Normal"/>
    <w:link w:val="EncabezadoCar"/>
    <w:uiPriority w:val="99"/>
    <w:unhideWhenUsed/>
    <w:rsid w:val="002137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374B"/>
    <w:rPr>
      <w:lang w:val="es-ES"/>
    </w:rPr>
  </w:style>
  <w:style w:type="paragraph" w:styleId="Piedepgina">
    <w:name w:val="footer"/>
    <w:basedOn w:val="Normal"/>
    <w:link w:val="PiedepginaCar"/>
    <w:uiPriority w:val="99"/>
    <w:unhideWhenUsed/>
    <w:rsid w:val="002137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74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9793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Loya Guerrero</dc:creator>
  <cp:keywords/>
  <dc:description/>
  <cp:lastModifiedBy>HECTOR MAURICIO MARQUET GONZALEZ</cp:lastModifiedBy>
  <cp:revision>2</cp:revision>
  <cp:lastPrinted>2025-09-09T21:48:00Z</cp:lastPrinted>
  <dcterms:created xsi:type="dcterms:W3CDTF">2025-09-12T21:42:00Z</dcterms:created>
  <dcterms:modified xsi:type="dcterms:W3CDTF">2025-09-12T21:42:00Z</dcterms:modified>
</cp:coreProperties>
</file>