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C193" w14:textId="77777777" w:rsidR="00BF4F6F" w:rsidRDefault="0019224E" w:rsidP="00C4743B">
      <w:pPr>
        <w:pStyle w:val="Ttulo1"/>
        <w:spacing w:before="69"/>
        <w:ind w:right="265"/>
        <w:jc w:val="center"/>
        <w:rPr>
          <w:b w:val="0"/>
          <w:bCs w:val="0"/>
        </w:rPr>
      </w:pPr>
      <w:r>
        <w:rPr>
          <w:spacing w:val="-1"/>
        </w:rPr>
        <w:t>CONDICIONES</w:t>
      </w:r>
      <w:r>
        <w:rPr>
          <w:spacing w:val="-2"/>
        </w:rPr>
        <w:t xml:space="preserve"> </w:t>
      </w:r>
      <w:r>
        <w:rPr>
          <w:spacing w:val="-1"/>
        </w:rP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SUPREMA</w:t>
      </w:r>
      <w:r>
        <w:rPr>
          <w:spacing w:val="-1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JUSTICIA</w:t>
      </w:r>
      <w:r>
        <w:rPr>
          <w:spacing w:val="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 NACIÓN</w:t>
      </w:r>
    </w:p>
    <w:p w14:paraId="1F94C194" w14:textId="77777777" w:rsidR="00BF4F6F" w:rsidRDefault="00BF4F6F" w:rsidP="00C4743B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94C196" w14:textId="77777777" w:rsidR="00BF4F6F" w:rsidRDefault="00BF4F6F" w:rsidP="00C4743B">
      <w:pPr>
        <w:spacing w:before="4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1F94C197" w14:textId="77777777" w:rsidR="00BF4F6F" w:rsidRDefault="0019224E" w:rsidP="00C4743B">
      <w:pPr>
        <w:ind w:left="245" w:right="2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CONSIDERANDO</w:t>
      </w:r>
    </w:p>
    <w:p w14:paraId="1F94C198" w14:textId="77777777" w:rsidR="00BF4F6F" w:rsidRDefault="00BF4F6F" w:rsidP="00C4743B">
      <w:pPr>
        <w:spacing w:before="2"/>
        <w:jc w:val="both"/>
        <w:rPr>
          <w:rFonts w:ascii="Arial" w:eastAsia="Arial" w:hAnsi="Arial" w:cs="Arial"/>
          <w:b/>
          <w:bCs/>
          <w:sz w:val="25"/>
          <w:szCs w:val="25"/>
        </w:rPr>
      </w:pPr>
    </w:p>
    <w:p w14:paraId="1F94C19A" w14:textId="1FCEB441" w:rsidR="00BF4F6F" w:rsidRPr="00B257E4" w:rsidRDefault="008403FB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B257E4">
        <w:rPr>
          <w:rFonts w:ascii="Arial" w:eastAsia="Arial" w:hAnsi="Arial" w:cs="Arial"/>
          <w:b/>
          <w:spacing w:val="-1"/>
          <w:sz w:val="23"/>
          <w:szCs w:val="23"/>
        </w:rPr>
        <w:t xml:space="preserve">PRIMERO.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de lo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artículos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100,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último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párrafo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de la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Constitución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Política de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Estados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Unidos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Mexicanos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14,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fracciones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I, V, IX, XIV y XIX, de la Ley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corresponde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dictar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necesarias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buen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oficinas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acordar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relativo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licencias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remociones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renuncias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vacaciones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establecer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ingreso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estímulos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ascensos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promociones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remoción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del Alto Tribunal,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expedir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esa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requiera</w:t>
      </w:r>
      <w:proofErr w:type="spellEnd"/>
      <w:r w:rsidRPr="00B257E4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193025F" w14:textId="77777777" w:rsidR="008403FB" w:rsidRPr="00B257E4" w:rsidRDefault="008403FB" w:rsidP="00C4743B">
      <w:pPr>
        <w:spacing w:before="2"/>
        <w:jc w:val="both"/>
        <w:rPr>
          <w:rFonts w:ascii="Arial" w:eastAsia="Arial" w:hAnsi="Arial" w:cs="Arial"/>
          <w:sz w:val="23"/>
          <w:szCs w:val="23"/>
        </w:rPr>
      </w:pPr>
    </w:p>
    <w:p w14:paraId="5AE06FF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SEGUNDO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3o.,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I,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Materia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Alto Tribunal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atribuciones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entre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instancias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F345FD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74DF11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TERCERO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6o.,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 y X,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Materia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dispone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Alto Tribunal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proyectos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contrataciones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estratégicos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prioridad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4277A9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996CE4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CUARTO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nueve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septiembre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dos mil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diecinueve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depositaron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entonces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Substanciadora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aprobadas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celebrada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veintiséis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agosto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ingreso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promoción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estímulos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Alto Tribunal,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general,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88 de la Ley Federal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Apartado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B)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123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973F7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B3EB4C5" w14:textId="4D215932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QUINTO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87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Federal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="00FF65A5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Apartado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B)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123</w:t>
      </w:r>
      <w:r w:rsidR="00FF65A5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Titular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Dependencia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opinión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revisables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FA9AAD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B0B68E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SEXTO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recibió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Secretario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propuesta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modificación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FC3158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54EE31F" w14:textId="36882A4C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Por lo anterior,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procedieron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revisión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análisis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propuestas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modificación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posibilidades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luz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política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austeridad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racionalidad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</w:t>
      </w:r>
      <w:r w:rsidR="00FF65A5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acordaron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salvaguardar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derechos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diversas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precisiones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incorporar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lenguaje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inclusivo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texto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actualizar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referencias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estructura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Alto Tribunal.</w:t>
      </w:r>
    </w:p>
    <w:p w14:paraId="2E6BED4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83B2A31" w14:textId="4D38E31F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QUINTO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interpretación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90 y 153 de la Ley Federal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="00F8226A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Apartado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B)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123</w:t>
      </w:r>
    </w:p>
    <w:p w14:paraId="20CE624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advierte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entre la Suprema Corte de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 xml:space="preserve">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depositarse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89C4A4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ED9760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Por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anteriormente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fundamento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expiden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4790EEC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A1075E8" w14:textId="77777777" w:rsidR="004752C2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 xml:space="preserve">CONDICIONES GENERALES DE TRABAJO CAPÍTULO </w:t>
      </w:r>
    </w:p>
    <w:p w14:paraId="62055DA0" w14:textId="77777777" w:rsidR="004752C2" w:rsidRDefault="004752C2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787316DC" w14:textId="34880A71" w:rsidR="00F71EA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I. GENERALIDADES</w:t>
      </w:r>
    </w:p>
    <w:p w14:paraId="33C869E8" w14:textId="77777777" w:rsidR="00F71EAD" w:rsidRPr="00F71EAD" w:rsidRDefault="00F71EAD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505A8FC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rigen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ocupen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1o.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Política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Unidos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Mexicanos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internacionales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Estado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Mexicano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87, 88 y 90 de la Ley Federal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Apartado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B)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123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y son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obligatorias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Tratándose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personal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resulte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conducente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D4A7D5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DB7475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opinión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complementarias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particulares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adecuada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siempre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contravengan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humanos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B390BE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6899BF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revisarán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3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preferentemente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junio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revisión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8313BC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D4A80A0" w14:textId="77777777" w:rsidR="00F71EAD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tienen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objeto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</w:p>
    <w:p w14:paraId="5B345345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3CF3476" w14:textId="0B912B3C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eficiencia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553273CC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6C5652B" w14:textId="77777777" w:rsidR="00C45A71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percepciones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</w:p>
    <w:p w14:paraId="1B3C6E14" w14:textId="77777777" w:rsidR="00C45A71" w:rsidRDefault="00C45A71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F1C4D50" w14:textId="3DC720A7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forma de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aplicarlas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237D430D" w14:textId="77777777" w:rsidR="00180AB4" w:rsidRPr="00E13133" w:rsidRDefault="00180AB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BCEC39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adoptarse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063337C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5F07E2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convenientes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obtener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mayor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eficacia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262561D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32802C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Los derechos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sus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ED68992" w14:textId="77777777" w:rsidR="00201749" w:rsidRDefault="00201749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9A8EC7A" w14:textId="745653B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resueltos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amplias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facultades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interpretar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084D3F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2C4AE2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3.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entenderá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3E59FF1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D9BBE9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Pleno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ámbito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competencias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7AEA96C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4A6D21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movimiento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temporalmente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desarrolle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actividad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área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ED6A3F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B5DB60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51D800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6D0B749" w14:textId="1E630DF6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Mixta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</w:t>
      </w:r>
      <w:r w:rsidR="00F8226A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01439F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EC90EBA" w14:textId="5779D453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Mixta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</w:t>
      </w:r>
      <w:r w:rsidR="00180AB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246E53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4D43B5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CF5093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2A45334" w14:textId="291383BD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Nacional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</w:t>
      </w:r>
      <w:r w:rsidR="00180AB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518D1B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328C4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Compensación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garantizada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percepción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regular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Manual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Remuneraciones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23BA8F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2AE2CE3" w14:textId="39C8D9D2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</w:t>
      </w:r>
      <w:r w:rsidR="00180AB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EFCCDA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13DA299" w14:textId="13D8DB78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X. Instituto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 Instituto  de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="00180AB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Estado;</w:t>
      </w:r>
    </w:p>
    <w:p w14:paraId="04937CD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1452C07" w14:textId="252B9190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XI. Ley del Instituto: la Ley del Instituto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="00180AB4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Estado;</w:t>
      </w:r>
    </w:p>
    <w:p w14:paraId="15B6DFC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3B2FFC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XII.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50C2BA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EF3406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XIII.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Ley Federal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Estado,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Apartado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B)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123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4FB1CC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08C5C0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instrumentos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o bien,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Mayor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instrucciones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aquellos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derivado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3B27E6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1A8592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XV. Manual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Remuneraciones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Manual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regula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remuneraciones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fiscal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Suprema Corte;</w:t>
      </w:r>
    </w:p>
    <w:p w14:paraId="2270692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D7E19E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plazo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indefinido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plaza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titular;</w:t>
      </w:r>
    </w:p>
    <w:p w14:paraId="6D1F1808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969D36A" w14:textId="6C009348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interino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temporal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plazo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hasta 6 meses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plaza de base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titular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BE03EE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4DB1DD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plaza temporal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labor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específica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tanto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subsista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5153BE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AA771C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plaza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temporal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4C55C0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26845D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provisional: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temporal mayor a 6 meses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plaza de base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titular;</w:t>
      </w:r>
    </w:p>
    <w:p w14:paraId="354D40D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FBE821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Mayor: la persona titular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Mayor de la Suprema Corte de</w:t>
      </w:r>
    </w:p>
    <w:p w14:paraId="7A9115A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Justicia de la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2AF8802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A596C4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Pleno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Salas,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áreas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 y IV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2o.,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Materia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posteriormente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739CA3C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B44196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XXIII. Plaza Temporal: la que,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restricciones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crea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desarrollar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E8E837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56554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XXIV. Prima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quinquenal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complemento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percepción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mensual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34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razón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antigüedad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Federal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llegar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veinticinco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71277F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A90D2C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XXV.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persona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físico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intelectual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ambos,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virtud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0F4431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5BF894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XXVI.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162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100319A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1FCEAD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XXVII.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de la Suprema Corte de</w:t>
      </w:r>
    </w:p>
    <w:p w14:paraId="3EC9667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160 y 161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F6D87F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8064EF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cambio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modificación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51169E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4452B60" w14:textId="77777777" w:rsidR="00C91312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</w:p>
    <w:p w14:paraId="2B53F793" w14:textId="77777777" w:rsidR="00C91312" w:rsidRDefault="00C91312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AF7BBAA" w14:textId="77777777" w:rsidR="00C91312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base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Compensación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Garantizada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</w:p>
    <w:p w14:paraId="13370830" w14:textId="77777777" w:rsidR="00C91312" w:rsidRDefault="00C91312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819620B" w14:textId="3CE75F12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XXXI.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Tabular: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total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percepciones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refleja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tabulador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11724B03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0D31BA2" w14:textId="5CE9D3E1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XXXII. Suprema Corte: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E5DFE2D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F5A6480" w14:textId="77777777" w:rsidR="00691A75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XXXIII.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Traslado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cambio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población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</w:p>
    <w:p w14:paraId="49666D8F" w14:textId="77777777" w:rsidR="00691A75" w:rsidRDefault="00691A75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0EAC146" w14:textId="09CE462A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XXXIV.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la que se genera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creación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nueva</w:t>
      </w:r>
      <w:proofErr w:type="spellEnd"/>
      <w:r w:rsidR="00F36141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plaza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ausencia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ocupante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590571A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0E5B14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XXXV.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temporal: la que se genera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titular.</w:t>
      </w:r>
    </w:p>
    <w:p w14:paraId="255448A1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38E71D9" w14:textId="008910C0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entenderá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entre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Suprema Corte,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través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AB28C1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EB61F2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Ley del Instituto, la Ley Federal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supletoria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social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Corte.</w:t>
      </w:r>
    </w:p>
    <w:p w14:paraId="5BD62D9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29F5DE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suscite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algún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actuarán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Tratándose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Salas,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recaerá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Secretario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Sala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6E270A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807F18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éstos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directamente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relevantes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colectivo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tanto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3C8EF6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E9520D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patrocinará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afiliados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siempre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petición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oportunidad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miembros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y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A1939C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4C9B20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7.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Únicamente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Secretario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nota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personalidad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 Suprema Corte.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delegarla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Secretarías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y/o persona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legales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estatutarias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8BF754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02401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Seccionales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intervenir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susciten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ámbito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competencia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territorial,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petición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561876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994341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anterior,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celebren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forma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con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salvo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verificados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ratificados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Mayor.</w:t>
      </w:r>
    </w:p>
    <w:p w14:paraId="4B6A09E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E0ABD48" w14:textId="77777777" w:rsidR="00733FC4" w:rsidRPr="00F71EA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CAPÍTULO II. DEL INGRESO</w:t>
      </w:r>
    </w:p>
    <w:p w14:paraId="220C3051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2EDE1A2" w14:textId="77777777" w:rsidR="007D2EF0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Para ser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requerirá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</w:p>
    <w:p w14:paraId="14A2C859" w14:textId="77777777" w:rsidR="007D2EF0" w:rsidRDefault="007D2EF0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48E06E" w14:textId="0AF5D96C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contendrá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="00F36141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antecedentes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aspirante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32D6ACC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0B05AA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Tener,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dieciséis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389300F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A98585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escolaridad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aptitudes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aprobar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exámenes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418221A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851DCE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requisitos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establezcan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legales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Catálogo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CAFF354" w14:textId="77777777" w:rsidR="00F71EAD" w:rsidRDefault="00F71EA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A6F22D1" w14:textId="1B6A00DE" w:rsidR="00733FC4" w:rsidRPr="00F71EA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CAPÍTULO III. DE LOS NOMBRAMIENTOS</w:t>
      </w:r>
    </w:p>
    <w:p w14:paraId="74979D8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782B8E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10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virtud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documento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entregar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quince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hábiles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CFB672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3B228A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ninguna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se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sin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requisitos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ingreso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4CE598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B4D2EC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efectuará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fecha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determine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totalidad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requisitos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anterior.</w:t>
      </w:r>
    </w:p>
    <w:p w14:paraId="3B07DAD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7622D9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ya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44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 y III, 46 y 46 bis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C7BAD0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FA9E8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t>ARTÍCULO 11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provisionales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438BE0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FDFC57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provisionales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adquirirán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inamovilidad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simple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transcurso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Este derecho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ocupen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plazas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dispone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6o.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6A6A6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252CD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71EAD">
        <w:rPr>
          <w:rFonts w:ascii="Arial" w:eastAsia="Arial" w:hAnsi="Arial" w:cs="Arial"/>
          <w:b/>
          <w:spacing w:val="-1"/>
          <w:sz w:val="23"/>
          <w:szCs w:val="23"/>
        </w:rPr>
        <w:lastRenderedPageBreak/>
        <w:t>ARTÍCULO 12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contener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7D9204E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5D3ECA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nacionalidad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sexo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civil y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domicilio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0E2BE7B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5643D4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mayor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precisión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posible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318FADA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0069A5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carácter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interino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provisional,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485CDDC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DB57FE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jornada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jornada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diurna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nocturna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mixta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26F87B8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5A72C1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habrá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1952CCC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8872CD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4CFE43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28E1062" w14:textId="34369F73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C65D0">
        <w:rPr>
          <w:rFonts w:ascii="Arial" w:eastAsia="Arial" w:hAnsi="Arial" w:cs="Arial"/>
          <w:b/>
          <w:spacing w:val="-1"/>
          <w:sz w:val="23"/>
          <w:szCs w:val="23"/>
        </w:rPr>
        <w:t>CAPÍTULO IV. DE LA CALIDAD Y EFICIENCIA EN EL TRABAJO ARTÍCULO 13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Toda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adquiere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compromiso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</w:t>
      </w:r>
      <w:r w:rsidR="00D27A5D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eficiencia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brindará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adiestramiento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planes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aprobados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F1776D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EC67C2F" w14:textId="0DDB1A1E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14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conjunto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propiedades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diligencia,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pulcritud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esmero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</w:t>
      </w:r>
      <w:r w:rsidR="00201749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eficacia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eficiencia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aptitudes.</w:t>
      </w:r>
    </w:p>
    <w:p w14:paraId="3F96E3E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AB0E92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15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eficiencia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grado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energía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colaboración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dedicación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lograr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jornada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según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aptitudes,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mejor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encomendadas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66AC18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88F5BEC" w14:textId="77777777" w:rsidR="00733FC4" w:rsidRPr="00D27A5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CAPÍTULO V. DE LA SUSPENSIÓN Y TERMINACIÓN DE LOS EFECTOS DEL NOMBRAMIENTO</w:t>
      </w:r>
    </w:p>
    <w:p w14:paraId="7EC6143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0029DF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16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ajustarse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45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responsabilidad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 Suprema Corte.</w:t>
      </w:r>
    </w:p>
    <w:p w14:paraId="4F7386E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E0BABF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afiliadas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aviso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último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circunstancias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después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noticia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causa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0D08D8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BD23E6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17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Ninguna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cesada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causa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BAFA38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C21EDF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sólo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dejará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46 y 46 bis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carácter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perjuicio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diversas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responsabilidades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puedan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incurrir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Ley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Responsabilidades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Código Penal Federal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CB2773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1DF83D3" w14:textId="77777777" w:rsidR="00733FC4" w:rsidRPr="00D27A5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CAPÍTULO VI. DEL TRASLADO Y LA READSCRIPCIÓN</w:t>
      </w:r>
    </w:p>
    <w:p w14:paraId="06D10A7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8B8F1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18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traslado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sindicalizadas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opinión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conducente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16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0FE062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3DFB7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19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unilateralmente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siempre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modifiquen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0E548D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4C412E5" w14:textId="77777777" w:rsidR="00733FC4" w:rsidRPr="00D27A5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CAPÍTULO VII. DEL SALARIO</w:t>
      </w:r>
    </w:p>
    <w:p w14:paraId="6115AE4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7CC113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retribución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físico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intelectual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ambos,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virtud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ABD5E0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9219746" w14:textId="77777777" w:rsidR="00D27A5D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estímulos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contienen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disminuidos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cantidad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nominales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firma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7DDEF31" w14:textId="77777777" w:rsidR="00D27A5D" w:rsidRDefault="00D27A5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EE2E7D5" w14:textId="08B521CA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base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tabuladores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Manual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Remuneraciones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asigne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1E4A81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C12B3F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base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compensación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garantizada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aguinaldo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social al Instituto,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incrementos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autoricen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48F94C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34C569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El primer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efectuará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lapso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mayor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treinta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naturales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preferentemente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través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depósito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alguna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institución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bancaria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cheque,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contra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entrega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Alto Tribunal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llegar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directamente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través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electrónicos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según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subsiguientes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quincenalmente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misma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forma.</w:t>
      </w:r>
    </w:p>
    <w:p w14:paraId="12A38C3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747094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con cheque y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imposibilitada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directamente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entregar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que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apoderado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legal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cobro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B3AABF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4E4537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coincidan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festivos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descanso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semanal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obligatorio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efectuarse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hábil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anterior.</w:t>
      </w:r>
    </w:p>
    <w:p w14:paraId="0663A8C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84E568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aguinaldo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equivalente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cuarenta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05B0F8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070742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efectuará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42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bis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debiéndose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50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antes del quince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diciembre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50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tardar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quince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devengó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524030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194489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Federal,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debidamente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prima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quinquenal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complemento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que determine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0B1425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B4ABEA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Sólo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retenciones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descuentos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deducciones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38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expresa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interesado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tratándose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actividades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educativas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recreativas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u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similares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D80C53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260DF02" w14:textId="77777777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D27A5D">
        <w:rPr>
          <w:rFonts w:ascii="Arial" w:eastAsia="Arial" w:hAnsi="Arial" w:cs="Arial"/>
          <w:b/>
          <w:spacing w:val="-1"/>
          <w:sz w:val="23"/>
          <w:szCs w:val="23"/>
        </w:rPr>
        <w:t>ARTÍCULO 28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hechos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causa,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comunicará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forma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detallada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recuperar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cantidad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cuatro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quincenas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subsecuentes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implique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desfavorable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observándose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 xml:space="preserve">38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46FBF16" w14:textId="77777777" w:rsidR="00D27A5D" w:rsidRDefault="00D27A5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A92321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E2858">
        <w:rPr>
          <w:rFonts w:ascii="Arial" w:eastAsia="Arial" w:hAnsi="Arial" w:cs="Arial"/>
          <w:b/>
          <w:spacing w:val="-1"/>
          <w:sz w:val="23"/>
          <w:szCs w:val="23"/>
        </w:rPr>
        <w:t>ARTÍCULO 29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ascensos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rango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25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VI/2019,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once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julio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2019,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plazas,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ingresos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readscripciones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terminación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regula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humanos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Alto tribunal, salvo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igualdad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circunstancias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rango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nivel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buscando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número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59944F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B04A067" w14:textId="77777777" w:rsidR="001E2858" w:rsidRPr="00532689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532689">
        <w:rPr>
          <w:rFonts w:ascii="Arial" w:eastAsia="Arial" w:hAnsi="Arial" w:cs="Arial"/>
          <w:b/>
          <w:spacing w:val="-1"/>
          <w:sz w:val="23"/>
          <w:szCs w:val="23"/>
        </w:rPr>
        <w:t xml:space="preserve">CAPÍTULO VIII. DE LA JORNADA DE TRABAJO Y LOS HORARIOS </w:t>
      </w:r>
    </w:p>
    <w:p w14:paraId="10049616" w14:textId="77777777" w:rsidR="001E2858" w:rsidRDefault="001E2858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0754A37" w14:textId="4C3D1841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E2858">
        <w:rPr>
          <w:rFonts w:ascii="Arial" w:eastAsia="Arial" w:hAnsi="Arial" w:cs="Arial"/>
          <w:b/>
          <w:spacing w:val="-1"/>
          <w:sz w:val="23"/>
          <w:szCs w:val="23"/>
        </w:rPr>
        <w:t>ARTÍCULO 30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jornada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="001E2858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las Salas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</w:p>
    <w:p w14:paraId="4EACDDF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exceder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cuarenta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horas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semana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8CB6F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F70DD6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Sólo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circunstancias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especiales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26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requerir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personal para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jornada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máxima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procurando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sistema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rotatorio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remuneración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extraordinario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7EBA14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596CBE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E2858">
        <w:rPr>
          <w:rFonts w:ascii="Arial" w:eastAsia="Arial" w:hAnsi="Arial" w:cs="Arial"/>
          <w:b/>
          <w:spacing w:val="-1"/>
          <w:sz w:val="23"/>
          <w:szCs w:val="23"/>
        </w:rPr>
        <w:t>ARTÍCULO 31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mecanismo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regular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controlar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extraordinario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5183B4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FED74E8" w14:textId="77777777" w:rsidR="00733FC4" w:rsidRPr="001E2858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1E2858">
        <w:rPr>
          <w:rFonts w:ascii="Arial" w:eastAsia="Arial" w:hAnsi="Arial" w:cs="Arial"/>
          <w:b/>
          <w:spacing w:val="-1"/>
          <w:sz w:val="23"/>
          <w:szCs w:val="23"/>
        </w:rPr>
        <w:t>CAPÍTULO IX. DE LA ASISTENCIA, PUNTUALIDAD Y PERMANENCIA EN EL TRABAJO</w:t>
      </w:r>
    </w:p>
    <w:p w14:paraId="13AAB6B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731049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E2858">
        <w:rPr>
          <w:rFonts w:ascii="Arial" w:eastAsia="Arial" w:hAnsi="Arial" w:cs="Arial"/>
          <w:b/>
          <w:spacing w:val="-1"/>
          <w:sz w:val="23"/>
          <w:szCs w:val="23"/>
        </w:rPr>
        <w:t>ARTÍCULO 32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conducto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implementará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sistema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control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puntualidad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base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entrada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bases para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recepción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urgentes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inhábiles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éstos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debidamente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número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E89FAD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E689F6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E2858">
        <w:rPr>
          <w:rFonts w:ascii="Arial" w:eastAsia="Arial" w:hAnsi="Arial" w:cs="Arial"/>
          <w:b/>
          <w:spacing w:val="-1"/>
          <w:sz w:val="23"/>
          <w:szCs w:val="23"/>
        </w:rPr>
        <w:t>ARTÍCULO 33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injustificada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no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EB762E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C5AB5E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Tratándose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retardos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4F0215C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E0AFEA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tolerancia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quince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minutos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 de entrada;</w:t>
      </w:r>
    </w:p>
    <w:p w14:paraId="26D790A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6D51D8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Transcurridos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quince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minutos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tolerancia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retardo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normal,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siempre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entrada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15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minutos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8DB7D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BF48BCC" w14:textId="77777777" w:rsidR="004A387D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Si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entrada entre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minuto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treinta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uno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cuarenta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posteriores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 de entrada,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retardo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medio día.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Después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  <w:r w:rsidR="004A387D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</w:p>
    <w:p w14:paraId="4C6575E0" w14:textId="77777777" w:rsidR="004A387D" w:rsidRDefault="004A387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F305E7A" w14:textId="7FA3DD15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acumule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cuatro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retardos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lapso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descontará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medio día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antes de la hora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justificación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descontará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medio día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sucederá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omita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DA5360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6167DD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justificar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directamente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hasta cuatro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retardos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registro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hora de entrada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justificación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mayor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número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incidencias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sujetarán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7E76087" w14:textId="0EED750F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4909F9B" w14:textId="77777777" w:rsidR="00733FC4" w:rsidRPr="004A387D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4A387D">
        <w:rPr>
          <w:rFonts w:ascii="Arial" w:eastAsia="Arial" w:hAnsi="Arial" w:cs="Arial"/>
          <w:b/>
          <w:spacing w:val="-1"/>
          <w:sz w:val="23"/>
          <w:szCs w:val="23"/>
        </w:rPr>
        <w:t>CAPÍTULO X. DE LAS PRESTACIONES</w:t>
      </w:r>
    </w:p>
    <w:p w14:paraId="2B47BEE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A725F6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4A387D">
        <w:rPr>
          <w:rFonts w:ascii="Arial" w:eastAsia="Arial" w:hAnsi="Arial" w:cs="Arial"/>
          <w:b/>
          <w:spacing w:val="-1"/>
          <w:sz w:val="23"/>
          <w:szCs w:val="23"/>
        </w:rPr>
        <w:t>ARTÍCULO 34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lo que determine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eventos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10C1FB6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1BA3229" w14:textId="77777777" w:rsidR="00FE25AF" w:rsidRDefault="00FE25AF" w:rsidP="00FE25AF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E25AF">
        <w:rPr>
          <w:rFonts w:ascii="Arial" w:eastAsia="Arial" w:hAnsi="Arial" w:cs="Arial"/>
          <w:bCs/>
          <w:spacing w:val="-1"/>
          <w:sz w:val="23"/>
          <w:szCs w:val="23"/>
        </w:rPr>
        <w:t>I.</w:t>
      </w:r>
      <w:r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="00733FC4" w:rsidRPr="00FE25AF">
        <w:rPr>
          <w:rFonts w:ascii="Arial" w:eastAsia="Arial" w:hAnsi="Arial" w:cs="Arial"/>
          <w:bCs/>
          <w:spacing w:val="-1"/>
          <w:sz w:val="23"/>
          <w:szCs w:val="23"/>
        </w:rPr>
        <w:t xml:space="preserve">Día de </w:t>
      </w:r>
      <w:proofErr w:type="gramStart"/>
      <w:r w:rsidR="00733FC4" w:rsidRPr="00FE25AF">
        <w:rPr>
          <w:rFonts w:ascii="Arial" w:eastAsia="Arial" w:hAnsi="Arial" w:cs="Arial"/>
          <w:bCs/>
          <w:spacing w:val="-1"/>
          <w:sz w:val="23"/>
          <w:szCs w:val="23"/>
        </w:rPr>
        <w:t>Reyes;</w:t>
      </w:r>
      <w:proofErr w:type="gramEnd"/>
      <w:r w:rsidR="00733FC4" w:rsidRPr="00FE25AF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</w:p>
    <w:p w14:paraId="01B6734B" w14:textId="77777777" w:rsidR="00FE25AF" w:rsidRDefault="00FE25AF" w:rsidP="00FE25AF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CD79A14" w14:textId="7F232103" w:rsidR="00733FC4" w:rsidRPr="00FE25AF" w:rsidRDefault="00733FC4" w:rsidP="00FE25AF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FE25AF">
        <w:rPr>
          <w:rFonts w:ascii="Arial" w:eastAsia="Arial" w:hAnsi="Arial" w:cs="Arial"/>
          <w:bCs/>
          <w:spacing w:val="-1"/>
          <w:sz w:val="23"/>
          <w:szCs w:val="23"/>
        </w:rPr>
        <w:t xml:space="preserve">II. Día del </w:t>
      </w:r>
      <w:proofErr w:type="gramStart"/>
      <w:r w:rsidRPr="00FE25AF">
        <w:rPr>
          <w:rFonts w:ascii="Arial" w:eastAsia="Arial" w:hAnsi="Arial" w:cs="Arial"/>
          <w:bCs/>
          <w:spacing w:val="-1"/>
          <w:sz w:val="23"/>
          <w:szCs w:val="23"/>
        </w:rPr>
        <w:t>Niño;</w:t>
      </w:r>
      <w:proofErr w:type="gramEnd"/>
    </w:p>
    <w:p w14:paraId="14C2725C" w14:textId="77777777" w:rsidR="00FE25AF" w:rsidRPr="00FE25AF" w:rsidRDefault="00FE25AF" w:rsidP="00FE25AF"/>
    <w:p w14:paraId="763ED96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Día de las Madres; IV. Día del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Padre;</w:t>
      </w:r>
      <w:proofErr w:type="gramEnd"/>
    </w:p>
    <w:p w14:paraId="5675BC8C" w14:textId="77777777" w:rsidR="004A387D" w:rsidRDefault="004A387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427A3ED" w14:textId="1A9B64C6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Día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Empleado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Judicial; VI. Día del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Artesano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0DD8A832" w14:textId="77777777" w:rsidR="004A387D" w:rsidRDefault="004A387D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FC8B501" w14:textId="7DCF1EAC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VII. Día del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Maestro;</w:t>
      </w:r>
      <w:proofErr w:type="gramEnd"/>
    </w:p>
    <w:p w14:paraId="31D4D58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D0FB68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VIII. Jornadas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6ED9BB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1EA889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IX. Día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</w:p>
    <w:p w14:paraId="0D85F33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6D0B5A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X. Fiesta de fin de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6FD5FA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EE7710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Congreso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Nacional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Convención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según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0FE840B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C0742E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Torneos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Deportivos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D9DBDD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78947A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entrega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referidos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membresía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afiliados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88EF4B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F4ECD8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4A387D">
        <w:rPr>
          <w:rFonts w:ascii="Arial" w:eastAsia="Arial" w:hAnsi="Arial" w:cs="Arial"/>
          <w:b/>
          <w:spacing w:val="-1"/>
          <w:sz w:val="23"/>
          <w:szCs w:val="23"/>
        </w:rPr>
        <w:t>ARTÍCULO 35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entregará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medalla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un diploma y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incentivo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cantidad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D304F3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15B1B1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sujeto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y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F2BFB3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6CA91DA" w14:textId="61C6E991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4A387D">
        <w:rPr>
          <w:rFonts w:ascii="Arial" w:eastAsia="Arial" w:hAnsi="Arial" w:cs="Arial"/>
          <w:b/>
          <w:spacing w:val="-1"/>
          <w:sz w:val="23"/>
          <w:szCs w:val="23"/>
        </w:rPr>
        <w:t>ARTÍCULO 36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fallecimiento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ayuda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cantidad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$35,000.00,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sufragar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sepelio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inhumación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cremación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fallecimiento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  <w:r w:rsidR="005D1F92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deudos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denominada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defunción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equivalente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cuatro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tabular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quinquenios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44A11D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89A4C8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ayuda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defunción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únicamente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entre la Suprema Corte y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2779DF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1F3869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37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fin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contribuir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mejoramiento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individual y familiar,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fomentar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ahorro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abril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agosto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noviembre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nivel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establezcan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67F066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224819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38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situación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retiro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reconocimiento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único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$30,000.00,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2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tabular,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jubilación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retiro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retiro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cesantía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avanzada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vejez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D8B78B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AA29A3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39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finalidad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preservar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ingreso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eventualidad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separación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causa,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tanto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reincorporan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al mercado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separación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individualizado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reserva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individualizado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según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nivel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voluntariamente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manifiesten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decisión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incorporarse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beneficio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B02D70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6FFA6A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igual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éste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ser del 2, 5 o 10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8A8DAE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0E2134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40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fin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coadyuvar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solventar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fin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beneficio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ayuda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despensa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C0B4CD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88F7BB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41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personal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operativo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reconozca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38B053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754A72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42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nivel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jerárquico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ayuda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vestuario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propósito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coadyuvar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mejor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responsabilidades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siempre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suficiencia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59CC97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5054425" w14:textId="77777777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5D1F92">
        <w:rPr>
          <w:rFonts w:ascii="Arial" w:eastAsia="Arial" w:hAnsi="Arial" w:cs="Arial"/>
          <w:b/>
          <w:spacing w:val="-1"/>
          <w:sz w:val="23"/>
          <w:szCs w:val="23"/>
        </w:rPr>
        <w:t>ARTÍCULO 43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finalidad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contribuir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protección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adquisición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anteojos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5240C7E" w14:textId="77777777" w:rsidR="005D1F92" w:rsidRDefault="005D1F92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59ABD65" w14:textId="12BC8416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C608DC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F2BED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44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estudios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profesionales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préstamo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libros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domicilio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bibliotecas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requisitos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establezcan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332CD5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EFB66F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45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social,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regulación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DAA7AC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034519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46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coordinación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fomentar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deporte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uniformes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equipamiento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adecuado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canchas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arbitraje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requieran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practicar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deportiva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individual y/o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colectiva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elijan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desarrollo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culturales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autoricen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beneficio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apruebe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22A39D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8FA956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47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obtener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becas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profesionalización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0413F4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225FBA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48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contratará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mayores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cónyuge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veinticinco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solteros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dependientes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ante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eventualidad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cubierta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alcance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sujeto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6344CF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F78D5D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potenciar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quedando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cargo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diferencia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resulte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prima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establezca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aseguradora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través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descuento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nómina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9B0E27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1EBBF2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49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plan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complementarias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extraordinario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C10F43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174B80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12AF4">
        <w:rPr>
          <w:rFonts w:ascii="Arial" w:eastAsia="Arial" w:hAnsi="Arial" w:cs="Arial"/>
          <w:b/>
          <w:spacing w:val="-1"/>
          <w:sz w:val="23"/>
          <w:szCs w:val="23"/>
        </w:rPr>
        <w:t>ARTÍCULO 50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“Día de las Madres” y “Día del Padre”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padrones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documentos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Humanos,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un día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disfrutar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fecha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ocurran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celebraciones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5C5595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662A8D1" w14:textId="77777777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estímulos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independientemente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número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cuyo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base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59F3868" w14:textId="77777777" w:rsidR="00C96F2C" w:rsidRDefault="00C96F2C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D74A4F3" w14:textId="591096B5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C96F2C">
        <w:rPr>
          <w:rFonts w:ascii="Arial" w:eastAsia="Arial" w:hAnsi="Arial" w:cs="Arial"/>
          <w:b/>
          <w:spacing w:val="-1"/>
          <w:sz w:val="23"/>
          <w:szCs w:val="23"/>
        </w:rPr>
        <w:t>ARTÍCULO 51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ayuda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</w:t>
      </w:r>
      <w:r w:rsidR="002A20BC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$25,000.00,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dictamen del Instituto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invalidez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incapacidad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total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EE8E77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805199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C96F2C">
        <w:rPr>
          <w:rFonts w:ascii="Arial" w:eastAsia="Arial" w:hAnsi="Arial" w:cs="Arial"/>
          <w:b/>
          <w:spacing w:val="-1"/>
          <w:sz w:val="23"/>
          <w:szCs w:val="23"/>
        </w:rPr>
        <w:t>ARTÍCULO 52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favor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objeto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siniestros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fallecimiento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incapacidad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invalidez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total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consistente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40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lo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garantiza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familia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6B3DA2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CC5B0C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incrementar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dependiendo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nivel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quedando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cargo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diferencia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resulte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prima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establezca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aseguradora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través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descuento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nómina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71BF0F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789BB91" w14:textId="77777777" w:rsidR="00C96F2C" w:rsidRPr="00C96F2C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C96F2C">
        <w:rPr>
          <w:rFonts w:ascii="Arial" w:eastAsia="Arial" w:hAnsi="Arial" w:cs="Arial"/>
          <w:b/>
          <w:spacing w:val="-1"/>
          <w:sz w:val="23"/>
          <w:szCs w:val="23"/>
        </w:rPr>
        <w:t xml:space="preserve">CAPÍTULO XI. DE LAS OBLIGACIONES DE LA SUPREMA CORTE </w:t>
      </w:r>
    </w:p>
    <w:p w14:paraId="57C151CA" w14:textId="77777777" w:rsidR="00C96F2C" w:rsidRDefault="00C96F2C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92A7DCB" w14:textId="36F34C33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C96F2C">
        <w:rPr>
          <w:rFonts w:ascii="Arial" w:eastAsia="Arial" w:hAnsi="Arial" w:cs="Arial"/>
          <w:b/>
          <w:spacing w:val="-1"/>
          <w:sz w:val="23"/>
          <w:szCs w:val="23"/>
        </w:rPr>
        <w:t>ARTÍCULO 53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43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</w:t>
      </w:r>
      <w:r w:rsidR="00C96F2C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1E28CA2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DE0529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Preferir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igualdad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aptitudes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antigüedad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sindicalizadas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estuvieren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ingreso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familiar;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anterioridad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hubieren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mejores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1CC966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0B31F2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párrafo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antecede,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bases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Título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Tercero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2BEC8F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C2FEB7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útiles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instrumentos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convenido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5682DB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8AF5D7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higiene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patrones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general;</w:t>
      </w:r>
    </w:p>
    <w:p w14:paraId="1AA2563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0D2FCC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Reinstalar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plazas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hubieren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separado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condenada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laudo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ejecutoriado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supresión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plazas,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afectadas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 que se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otorgue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equivalente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categoría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19378AD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2D58D2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presupuestal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indemnización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separación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injustificada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sola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exhibición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caídos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prima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prima dominical,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aguinaldo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quinquenios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dejaron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laudo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594FC7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FA63F4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Impartir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encaminados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actualización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adecuado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7D602F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83CDA2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asignadas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18AFAB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3D9244D" w14:textId="77777777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campañas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higiene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F2C7329" w14:textId="77777777" w:rsidR="00960574" w:rsidRDefault="0096057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A93B1EE" w14:textId="6C6B65C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Ley del Instituto, para que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beneficios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comprendidos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1F1DD6F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6CDBED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a)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quirúrgica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farmacéutica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hospitalaria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indemnización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profesionales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E1E2B0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665498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b)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quirúrgica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farmacéutica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hospitalaria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profesionales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maternidad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6C2199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F5D222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c) Pago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jubilación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invalidez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incapacidad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total,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vejez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muerte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12F5148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F2071E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d)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medicinas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familiares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del Instituto;</w:t>
      </w:r>
    </w:p>
    <w:p w14:paraId="7ABD967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642F36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e)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recuperación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guarderías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infantiles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tiendas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180A70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F94DE5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f)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Propiciar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</w:t>
      </w:r>
    </w:p>
    <w:p w14:paraId="2D22497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arrendamiento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habitaciones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baratas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1768DA8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C9462C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g)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depósitos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favor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vivienda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fin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sistemas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financiamiento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éstas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crédito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barato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suficiente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adquieran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propiedad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condominio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habitaciones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cómodas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higiénicas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construirlas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repararlas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mejorarlas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pasivos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adquiridos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39D6DA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984EDA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aportaciones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enteradas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Instituto,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cuya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regulará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formas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adjudicarán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créditos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B9DB97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CE0107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menoscabo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derechos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antigüedad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4AE4C56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576CDC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a)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79C1035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CA9F55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b)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promovidas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temporalmente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área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diferente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1F3641F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F8D19C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c)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cargos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popular;</w:t>
      </w:r>
      <w:proofErr w:type="gramEnd"/>
    </w:p>
    <w:p w14:paraId="63222BC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0F728E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d) A las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sufran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profesionales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111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14E9AA3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33400E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e) Por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razones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carácter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de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D149B7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A9C87A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deducciones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cuotas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siempre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ajusten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620E168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72F3C52" w14:textId="77777777" w:rsidR="0096057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remitir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informes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trámite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0E9FE10" w14:textId="77777777" w:rsidR="00960574" w:rsidRDefault="0096057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3D49229" w14:textId="3A29CEA9" w:rsidR="00733FC4" w:rsidRPr="00960574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960574">
        <w:rPr>
          <w:rFonts w:ascii="Arial" w:eastAsia="Arial" w:hAnsi="Arial" w:cs="Arial"/>
          <w:b/>
          <w:spacing w:val="-1"/>
          <w:sz w:val="23"/>
          <w:szCs w:val="23"/>
        </w:rPr>
        <w:t>CAPÍTULO XII. DE LOS DERECHOS Y OBLIGACIONES DE LAS PERSONAS SERVIDORAS PÚBLICAS</w:t>
      </w:r>
    </w:p>
    <w:p w14:paraId="1CF813E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42032B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60574">
        <w:rPr>
          <w:rFonts w:ascii="Arial" w:eastAsia="Arial" w:hAnsi="Arial" w:cs="Arial"/>
          <w:b/>
          <w:spacing w:val="-1"/>
          <w:sz w:val="23"/>
          <w:szCs w:val="23"/>
        </w:rPr>
        <w:t>ARTICULO 54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derechos:</w:t>
      </w:r>
    </w:p>
    <w:p w14:paraId="1245D63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36F5A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Los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derivan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Constitución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Política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Unidos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Mexicanos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convenios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internacionales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México sea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Manuales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 y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37A2DE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13FDFE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caídos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dejado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laudo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A7D1A0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C5C3D1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digno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respetuoso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superiores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compañeras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compañeros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independencia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religión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sexo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preferencia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sexual,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discapacidad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social u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orientación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política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persona;</w:t>
      </w:r>
    </w:p>
    <w:p w14:paraId="79A133D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84EF7C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actualización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habilidades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obtenerlas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88569E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13DD65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ambiente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libre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violencia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actitudes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hostigamiento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y/o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acoso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sexual;</w:t>
      </w:r>
    </w:p>
    <w:p w14:paraId="7C5452E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9FDEB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Disfrutar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tienen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y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D44FC1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A88DE1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primeros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auxilios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emergencia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transcurso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jornada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aquellos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inmuebles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consultorios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7FBC23D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BCC793E" w14:textId="16EBA804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Participar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Interna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Protección</w:t>
      </w:r>
      <w:proofErr w:type="spellEnd"/>
      <w:r w:rsidR="00A95E76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Civil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Corte.</w:t>
      </w:r>
    </w:p>
    <w:p w14:paraId="6E54383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FFE214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ARTÍCULO 55.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derivan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a:</w:t>
      </w:r>
    </w:p>
    <w:p w14:paraId="434E6AC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263BFB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Acatar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participar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activamente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</w:p>
    <w:p w14:paraId="37BEC4B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Interna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Protección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Civil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Corte;</w:t>
      </w:r>
      <w:proofErr w:type="gramEnd"/>
    </w:p>
    <w:p w14:paraId="2C8E912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4626C3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encaminados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actualización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adecuado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puntualidad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que determine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anual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7EDF446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65071D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recomendaciones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emitidas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campañas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higiene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72C557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AD89D7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permanentemente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credencial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inmuebles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institucionales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531CA34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5248D77" w14:textId="77777777" w:rsidR="0096057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indicaciones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personal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inmuebles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institucionales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D3CBDB9" w14:textId="77777777" w:rsidR="00960574" w:rsidRDefault="0096057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53896EF" w14:textId="5653F076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960574">
        <w:rPr>
          <w:rFonts w:ascii="Arial" w:eastAsia="Arial" w:hAnsi="Arial" w:cs="Arial"/>
          <w:b/>
          <w:spacing w:val="-1"/>
          <w:sz w:val="23"/>
          <w:szCs w:val="23"/>
        </w:rPr>
        <w:t>ARTÍCULO 56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adicional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prohibiciones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contenidas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queda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prohibido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07031E7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DB4E50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ajenas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FC2BB3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C953B5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Desatender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injustificadamente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permanezcan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sitio,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distraerse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provocar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distracción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compañeras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compañeros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lecturas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454313D" w14:textId="77777777" w:rsidR="000F2B0B" w:rsidRDefault="000F2B0B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CBA6044" w14:textId="11278634" w:rsidR="000F2B0B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Ausentarse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jornada,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</w:p>
    <w:p w14:paraId="45B0227A" w14:textId="77777777" w:rsidR="000F2B0B" w:rsidRDefault="000F2B0B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5DE71E" w14:textId="707D086C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Omitir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retrasar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impone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Ley</w:t>
      </w:r>
      <w:r w:rsidR="000F2B0B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1780BF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570DB8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Fomentar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instigar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personal 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desobedezcan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dejen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cometan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prohibido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regulación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5A3869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D701F7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Cambiar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turno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superior,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utilizar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ajena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172BC7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9B5049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personas, sin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manejen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maquinaria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aparatos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vehículos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cuidado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usar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útiles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herramientas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suministren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objeto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distinto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estén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destinados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07DC2C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3A6801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Abstenerse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divulgar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información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confidencial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tuvieren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158DFCB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3245E4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recibir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gratificaciones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obsequios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o ser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procuradores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gestores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arreglo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jornada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540CDC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22380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préstamos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fines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lucrativos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organizar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ahorro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70A341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D7E535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XI. Registrar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propósito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retardos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ese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251094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9DDB14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Alterar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modificar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forma,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control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8E5B08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EB2016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introducir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jornada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razón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estén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DEDE9B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1797EE5" w14:textId="5F527925" w:rsidR="00C76FBF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Celebrar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reuniones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índole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contra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de las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distraigan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horas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actividades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ajenas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promovidos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excepción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reuniones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carácter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realicen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79FE56D5" w14:textId="77777777" w:rsidR="00B96607" w:rsidRDefault="00B96607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BFA8662" w14:textId="790AADA3" w:rsidR="00733FC4" w:rsidRPr="00E13133" w:rsidRDefault="005E4AAA" w:rsidP="00C4743B">
      <w:pPr>
        <w:spacing w:line="268" w:lineRule="exact"/>
        <w:ind w:left="20" w:right="-56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XV.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Introducir</w:t>
      </w:r>
      <w:proofErr w:type="spellEnd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consumir</w:t>
      </w:r>
      <w:proofErr w:type="spellEnd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comercializar</w:t>
      </w:r>
      <w:proofErr w:type="spellEnd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bebidas</w:t>
      </w:r>
      <w:proofErr w:type="spellEnd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embriagantes</w:t>
      </w:r>
      <w:proofErr w:type="spellEnd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narcóticos</w:t>
      </w:r>
      <w:proofErr w:type="spellEnd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2A2511">
        <w:rPr>
          <w:rFonts w:ascii="Arial" w:eastAsia="Arial" w:hAnsi="Arial" w:cs="Arial"/>
          <w:bCs/>
          <w:spacing w:val="-1"/>
          <w:sz w:val="23"/>
          <w:szCs w:val="23"/>
        </w:rPr>
        <w:t>drogas</w:t>
      </w:r>
      <w:proofErr w:type="spellEnd"/>
      <w:r w:rsidR="0096057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enervantes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concurrir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bajo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mismos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salvo que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último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medie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prescripción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consumo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5022C4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F696EF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Desatender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disminuir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comprometiendo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imprudencia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descuido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negligencia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bien de las personas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ahí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AD3DFE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D40EA97" w14:textId="09018316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indebido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teléfonos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material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aseo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sanitario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suministre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Corte;</w:t>
      </w:r>
    </w:p>
    <w:p w14:paraId="1A0E86D0" w14:textId="77777777" w:rsidR="002A2511" w:rsidRPr="00E13133" w:rsidRDefault="002A2511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AC456F" w14:textId="77777777" w:rsidR="002D5F66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XVIII.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Desatender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avisos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conservar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aseo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higiene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</w:p>
    <w:p w14:paraId="7FA9D55A" w14:textId="77777777" w:rsidR="002D5F66" w:rsidRDefault="002D5F66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D6953B6" w14:textId="17F07AF5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XIX. 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Destruir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sustraer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traspapelar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alterar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documentos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r w:rsid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expedients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intencionalmente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6CBD2B0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106DB19" w14:textId="0176DA69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indebido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credenciales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identificaciones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</w:t>
      </w:r>
      <w:r w:rsidR="002A2511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Suprema Corte u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ostentarse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7F100A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5746CF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Causar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destruir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intencionalmente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edificios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instalaciones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maquinaria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instrumentos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muebles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útiles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enseres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estén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Corte.</w:t>
      </w:r>
    </w:p>
    <w:p w14:paraId="7E85718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50E0626" w14:textId="04DB7FF2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XXII.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credencial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acredita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</w:t>
      </w:r>
      <w:r w:rsidR="001508DB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interior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inmuebles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institucionales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560E998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923981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XXIII.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Incumplir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indicaciones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personal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inmuebles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institucionales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58EAD5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D9C5CD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168BE">
        <w:rPr>
          <w:rFonts w:ascii="Arial" w:eastAsia="Arial" w:hAnsi="Arial" w:cs="Arial"/>
          <w:b/>
          <w:spacing w:val="-1"/>
          <w:sz w:val="23"/>
          <w:szCs w:val="23"/>
        </w:rPr>
        <w:t>ARTÍCULO 57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ejecución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prohibiciones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mencionadas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incumplimiento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cargo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derivadas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regulación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46 Bis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.,</w:t>
      </w:r>
    </w:p>
    <w:p w14:paraId="32A2581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AAA8AED" w14:textId="77777777" w:rsidR="00733FC4" w:rsidRPr="00C76FBF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C76FBF">
        <w:rPr>
          <w:rFonts w:ascii="Arial" w:eastAsia="Arial" w:hAnsi="Arial" w:cs="Arial"/>
          <w:b/>
          <w:spacing w:val="-1"/>
          <w:sz w:val="23"/>
          <w:szCs w:val="23"/>
        </w:rPr>
        <w:t>CAPÍTULO XIII. DE LOS DESCANSOS, VACACIONES, DÍAS ECONÓMICOS Y LICENCIAS</w:t>
      </w:r>
    </w:p>
    <w:p w14:paraId="2BA0A5E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D0A4A4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C76FBF">
        <w:rPr>
          <w:rFonts w:ascii="Arial" w:eastAsia="Arial" w:hAnsi="Arial" w:cs="Arial"/>
          <w:b/>
          <w:spacing w:val="-1"/>
          <w:sz w:val="23"/>
          <w:szCs w:val="23"/>
        </w:rPr>
        <w:t>ARTÍCULO 58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disfrutarán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hasta dos días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descanso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semanal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íntegro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ED0E6E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F36121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facultad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forma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suspendan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menoscabo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descanso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semanal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860D9B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68D27C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C76FBF">
        <w:rPr>
          <w:rFonts w:ascii="Arial" w:eastAsia="Arial" w:hAnsi="Arial" w:cs="Arial"/>
          <w:b/>
          <w:spacing w:val="-1"/>
          <w:sz w:val="23"/>
          <w:szCs w:val="23"/>
        </w:rPr>
        <w:t>ARTÍCULO 59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139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03B14F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5A1341C" w14:textId="168239A6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pudiere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lo que dispone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139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disfrutará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primeros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meses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CEA63FB" w14:textId="670A6361" w:rsidR="00C76FBF" w:rsidRDefault="00C76FBF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F1141E6" w14:textId="4D2B44D1" w:rsidR="00733FC4" w:rsidRPr="00E13133" w:rsidRDefault="001D27CE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Las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fechas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reposición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anteriormente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señaladas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pueden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variar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con las</w:t>
      </w:r>
      <w:r w:rsidRPr="001D27CE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necesidades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propias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y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quedará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bajo la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responsabilidad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titular la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programación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fechas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deban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disfrutarse</w:t>
      </w:r>
      <w:proofErr w:type="spellEnd"/>
      <w:r w:rsidR="00733FC4"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419DA6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EDBECE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168BE">
        <w:rPr>
          <w:rFonts w:ascii="Arial" w:eastAsia="Arial" w:hAnsi="Arial" w:cs="Arial"/>
          <w:b/>
          <w:spacing w:val="-1"/>
          <w:sz w:val="23"/>
          <w:szCs w:val="23"/>
        </w:rPr>
        <w:t>ARTÍCULO 60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antes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éste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prima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equivalente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básico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61BDA5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595256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Si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termina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seis meses,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concepto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disfrutadas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prima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5C9F2A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F6E0C7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168BE">
        <w:rPr>
          <w:rFonts w:ascii="Arial" w:eastAsia="Arial" w:hAnsi="Arial" w:cs="Arial"/>
          <w:b/>
          <w:spacing w:val="-1"/>
          <w:sz w:val="23"/>
          <w:szCs w:val="23"/>
        </w:rPr>
        <w:t>ARTÍCULO 61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embarazo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disfrutarán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maternidad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3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descanso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BE1F6D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6C88C3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Burocrática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mujeres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lactantes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descansos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lactar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consistentes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períodos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de media hora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uno, hasta que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recién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seis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continuidad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permiso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requieran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hijos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6B83DE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52C710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decidir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cómo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lactancia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optando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tarde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temprano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ampliar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comida.</w:t>
      </w:r>
    </w:p>
    <w:p w14:paraId="44FA1C9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A28E763" w14:textId="73C821E1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168BE">
        <w:rPr>
          <w:rFonts w:ascii="Arial" w:eastAsia="Arial" w:hAnsi="Arial" w:cs="Arial"/>
          <w:b/>
          <w:spacing w:val="-1"/>
          <w:sz w:val="23"/>
          <w:szCs w:val="23"/>
        </w:rPr>
        <w:t>ARTÍCULO 62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durante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domingo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adicional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FC8B311" w14:textId="77777777" w:rsidR="001508DB" w:rsidRPr="00E13133" w:rsidRDefault="001508DB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71034A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3B122B">
        <w:rPr>
          <w:rFonts w:ascii="Arial" w:eastAsia="Arial" w:hAnsi="Arial" w:cs="Arial"/>
          <w:b/>
          <w:spacing w:val="-1"/>
          <w:sz w:val="23"/>
          <w:szCs w:val="23"/>
        </w:rPr>
        <w:t>ARTÍCULO 63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entiende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tienen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seis meses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consecutivo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ausentarse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asuntos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particulares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3C170E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F15B75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Los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económicos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párrafo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acumulables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independencia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día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semana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ningún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vacaciones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F26975D" w14:textId="77777777" w:rsidR="00733FC4" w:rsidRPr="003B122B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</w:p>
    <w:p w14:paraId="568984B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3B122B">
        <w:rPr>
          <w:rFonts w:ascii="Arial" w:eastAsia="Arial" w:hAnsi="Arial" w:cs="Arial"/>
          <w:b/>
          <w:spacing w:val="-1"/>
          <w:sz w:val="23"/>
          <w:szCs w:val="23"/>
        </w:rPr>
        <w:t>ARTÍCULO 64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A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se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conceder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paternidad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cuidados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paternos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adopción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subrogada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cuidados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matrimonio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fallecimiento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familiares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4B4D6E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8A4B913" w14:textId="684717C1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3B122B">
        <w:rPr>
          <w:rFonts w:ascii="Arial" w:eastAsia="Arial" w:hAnsi="Arial" w:cs="Arial"/>
          <w:b/>
          <w:spacing w:val="-1"/>
          <w:sz w:val="23"/>
          <w:szCs w:val="23"/>
        </w:rPr>
        <w:t>ARTÍCULO 65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Toda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temporalmente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Capítulo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VI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Título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Noveno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67E1D61" w14:textId="77777777" w:rsidR="00760875" w:rsidRDefault="00760875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4C9201" w14:textId="0F623B00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760875">
        <w:rPr>
          <w:rFonts w:ascii="Arial" w:eastAsia="Arial" w:hAnsi="Arial" w:cs="Arial"/>
          <w:b/>
          <w:spacing w:val="-1"/>
          <w:sz w:val="23"/>
          <w:szCs w:val="23"/>
        </w:rPr>
        <w:t>ARTÍCULO 66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sueldo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ocupar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mencionada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año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quince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anteriores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conclusión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dirigido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renunciar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obtener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o bien,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reanudar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original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hábil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889F0E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EEAAA4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Si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últimos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quince días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referida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anualidad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renuncia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entenderá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no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voluntad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continuar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confianza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vencimiento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B9324A8" w14:textId="6A87AF75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2631A15" w14:textId="77777777" w:rsidR="00C00928" w:rsidRPr="00E13133" w:rsidRDefault="00C00928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0FF0083" w14:textId="77777777" w:rsidR="00733FC4" w:rsidRPr="00760875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760875">
        <w:rPr>
          <w:rFonts w:ascii="Arial" w:eastAsia="Arial" w:hAnsi="Arial" w:cs="Arial"/>
          <w:b/>
          <w:spacing w:val="-1"/>
          <w:sz w:val="23"/>
          <w:szCs w:val="23"/>
        </w:rPr>
        <w:t>CAPÍTULO XIV. DE LOS RIESGOS DE TRABAJO</w:t>
      </w:r>
    </w:p>
    <w:p w14:paraId="41C366E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04F601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760875">
        <w:rPr>
          <w:rFonts w:ascii="Arial" w:eastAsia="Arial" w:hAnsi="Arial" w:cs="Arial"/>
          <w:b/>
          <w:spacing w:val="-1"/>
          <w:sz w:val="23"/>
          <w:szCs w:val="23"/>
        </w:rPr>
        <w:t>ARTÍCULO 67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objeto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garantizar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reducir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implantará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difundirá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dispone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72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IV, de la Ley del Instituto.</w:t>
      </w:r>
    </w:p>
    <w:p w14:paraId="0025563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368BD3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760875">
        <w:rPr>
          <w:rFonts w:ascii="Arial" w:eastAsia="Arial" w:hAnsi="Arial" w:cs="Arial"/>
          <w:b/>
          <w:spacing w:val="-1"/>
          <w:sz w:val="23"/>
          <w:szCs w:val="23"/>
        </w:rPr>
        <w:t>ARTÍCULO 68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considerados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expuestas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calificados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técnicamente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Instituto.</w:t>
      </w:r>
    </w:p>
    <w:p w14:paraId="542EE0C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571D3E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orgánica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perturbación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posterior,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muerte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desaparición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derivada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delincuencial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producida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repentinamente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ejercicio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aquellos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ocurran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trasladarse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directamente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domicilio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desempeña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viceversa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ADAF71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D472E8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Enfermedad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profesional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es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alteración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salud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trabajador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provocada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exposición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patógenos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contaminantes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medio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ambiente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Ley Federal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ED21D0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DB0AA2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60 de la Ley del Instituto,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avisar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Instituto,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hayan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ocurrido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Corte.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familiares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también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aviso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referencia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D7B6EE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359A51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760875">
        <w:rPr>
          <w:rFonts w:ascii="Arial" w:eastAsia="Arial" w:hAnsi="Arial" w:cs="Arial"/>
          <w:b/>
          <w:spacing w:val="-1"/>
          <w:sz w:val="23"/>
          <w:szCs w:val="23"/>
        </w:rPr>
        <w:t>ARTÍCULO 69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111F979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061CD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fijarán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avisos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claros,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precisos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llamativos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anunciándolos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peligro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798E5B4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550521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instalaciones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revisadas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periódicamente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urgentes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petición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56AF9A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76BE645" w14:textId="77777777" w:rsidR="00760875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jornada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instruidas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primeros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auxilios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maniobras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contra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incendios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sismos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4E550D02" w14:textId="77777777" w:rsidR="00760875" w:rsidRDefault="00760875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2D3E22D" w14:textId="616DDA1A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forma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permanente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botiquines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medicinas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útiles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urgencia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598AFC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D9CB14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someterse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profilácticas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sanitarias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exámenes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periodicidad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determine la Suprema Corte.</w:t>
      </w:r>
    </w:p>
    <w:p w14:paraId="3F48A80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164300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70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jefa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jefe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conozca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presunto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sufrido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órdenes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oficiales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particular.</w:t>
      </w:r>
    </w:p>
    <w:p w14:paraId="5B942C1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E6BCE6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levantará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acta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participación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tratándose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sindicalizadas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aviso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hechos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Ministerio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Público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igual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forma,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señalados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60 de la Ley del Instituto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citada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aviso al Instituto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acompañando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acta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certificado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atendió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producirse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sufridas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aquélla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8DB69F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47DFDC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mayores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perjuicio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constancias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dictámenes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Instituto,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normatividad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07E9B1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1046E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levantamiento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anterior,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titulares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datos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7F7CD05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250FA2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domicilio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ocupación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798DF7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EC1AE7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Lugar,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fecha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hora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circunstancias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especiales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declaración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posible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incluyendo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croquis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ocurrió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mismo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;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trayecto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estancia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infantil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ésta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74F346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49ACC4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Lugar al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trasladada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tratamiento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119ABC3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8338BA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C827C2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4E204B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proporcionar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4DDCAA6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5818F1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perfil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actividades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contenida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Catálogo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765BAAF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5B9B8D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Constancia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antigüedad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30F5E3E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8DBC832" w14:textId="77777777" w:rsidR="00FF65A5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certificada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reporte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sistema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registro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asistencia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horario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entrada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accidentada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siniestro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36FDC96C" w14:textId="77777777" w:rsidR="00FF65A5" w:rsidRDefault="00FF65A5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6A601C1" w14:textId="029C0879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Requisitar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formatos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RT-01 y RT-03, y</w:t>
      </w:r>
    </w:p>
    <w:p w14:paraId="699E323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4FA21E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Certificar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licencias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médicas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Instituto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acompañarlas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acta.</w:t>
      </w:r>
    </w:p>
    <w:p w14:paraId="3AF4842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17E73C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falleciera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derivado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importe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prestaciones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pendientes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cubrir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ayuda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gastos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defunción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beneficiarios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 Suprema Corte o,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resolución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les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reconozca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carácter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B2D830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C093BB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muerte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solicitará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deudos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certificado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defunción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nombres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domicilios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personas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quienes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anterior.</w:t>
      </w:r>
    </w:p>
    <w:p w14:paraId="1B846B6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21A4728" w14:textId="77777777" w:rsidR="00733FC4" w:rsidRPr="00A67B7C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CAPÍTULO XV. DE LAS MEDIDAS DISCIPLINARIAS</w:t>
      </w:r>
    </w:p>
    <w:p w14:paraId="0528AE7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4B9B20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88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III,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62F02D4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07DFE57" w14:textId="77777777" w:rsidR="00ED5549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Amonestación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verbal;</w:t>
      </w:r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</w:p>
    <w:p w14:paraId="71FACAFE" w14:textId="77777777" w:rsidR="00ED5549" w:rsidRDefault="00ED5549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3060277" w14:textId="3C93178A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Extrañamiento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  <w:proofErr w:type="gramEnd"/>
    </w:p>
    <w:p w14:paraId="6A253A83" w14:textId="77777777" w:rsidR="00ED5549" w:rsidRDefault="00ED5549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8996ADF" w14:textId="3D4A6583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Nota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desfavorable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y,</w:t>
      </w:r>
    </w:p>
    <w:p w14:paraId="00A5A61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DE2436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días.</w:t>
      </w:r>
    </w:p>
    <w:p w14:paraId="1C3FDDD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92D90C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sujetará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4418648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6D4A1D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informará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infracciones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atribuyen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otorgándole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plazo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hábiles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manifestar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también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lo que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derecho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convenga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anexando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pruebas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documentales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justifiquen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defensa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5652CF4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1E622D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Transcurrido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plazo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refiere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anterior,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estime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conducente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cuarenta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horas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34D47D3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6D43CE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comunicará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determinación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Humanos, a fin de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apliquen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disciplinarias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hubiere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hecho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acreedor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aquél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7327F2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743FAD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Lo anterior,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perjuicio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extrema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gravedad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irregularidad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cometida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reincidencia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dos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ocasiones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faltas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graves,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aplique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previsto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46 de la Ley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incluso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inicie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responsabilidad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5F9F7F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1ABC3D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entiende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amonestación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verbal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palabra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y 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privado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jefe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inmediato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infractora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efecto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omita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volver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incurrir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violación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584A62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4A0939B" w14:textId="60A2590E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entiende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extrañamiento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haga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infractora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aplique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que se</w:t>
      </w:r>
      <w:r w:rsidR="00FF65A5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F4B8E5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0A0116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entiende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desfavorable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manifestación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que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conducta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implica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incumplimiento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trascendente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levantarse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acta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7C72FB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F7E874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entiende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suspensión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interrupción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hasta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lapso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descuento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salario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previa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escrita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persona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encuentre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adscrita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Dirección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Recursos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Humanos,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ámbito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competencias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copia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personal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4178CB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03439E9" w14:textId="77777777" w:rsidR="00733FC4" w:rsidRPr="00A67B7C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CAPÍTULO XVI. DE LAS COMISIONES MIXTAS</w:t>
      </w:r>
    </w:p>
    <w:p w14:paraId="5E9E5EC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7171592" w14:textId="77777777" w:rsidR="00ED2DB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77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Suprema Corte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mixtas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: </w:t>
      </w:r>
    </w:p>
    <w:p w14:paraId="5894EF9E" w14:textId="77777777" w:rsidR="00ED2DB3" w:rsidRDefault="00ED2DB3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CA809C1" w14:textId="663EA0F0" w:rsidR="00733FC4" w:rsidRPr="00ED2DB3" w:rsidRDefault="00ED2DB3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D2DB3">
        <w:rPr>
          <w:rFonts w:ascii="Arial" w:eastAsia="Arial" w:hAnsi="Arial" w:cs="Arial"/>
          <w:bCs/>
          <w:spacing w:val="-1"/>
          <w:sz w:val="23"/>
          <w:szCs w:val="23"/>
        </w:rPr>
        <w:t>I.</w:t>
      </w:r>
      <w:r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="00733FC4" w:rsidRPr="00ED2DB3">
        <w:rPr>
          <w:rFonts w:ascii="Arial" w:eastAsia="Arial" w:hAnsi="Arial" w:cs="Arial"/>
          <w:bCs/>
          <w:spacing w:val="-1"/>
          <w:sz w:val="23"/>
          <w:szCs w:val="23"/>
        </w:rPr>
        <w:t xml:space="preserve">De </w:t>
      </w:r>
      <w:proofErr w:type="spellStart"/>
      <w:r w:rsidR="00733FC4" w:rsidRPr="00ED2DB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="00733FC4" w:rsidRPr="00ED2DB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371238F6" w14:textId="77777777" w:rsidR="00ED2DB3" w:rsidRPr="00ED2DB3" w:rsidRDefault="00ED2DB3" w:rsidP="00C4743B">
      <w:pPr>
        <w:jc w:val="both"/>
      </w:pPr>
    </w:p>
    <w:p w14:paraId="558B3A2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942F2E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86DC17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ubicarán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determine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atendiendo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disponibilidad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espacio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5A2DC0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3DEBEA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78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Para ser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Mixtas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requiere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ser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experiencia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vinculada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desarrollar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gozar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buena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reputación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haber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condenado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delito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intencional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sanción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privativa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libertad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344A73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BCEE85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79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Tanto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cualquier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tiempo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sin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lastRenderedPageBreak/>
        <w:t>expresión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causa, remover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libremente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notificándolo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oportunamente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969649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F7FAA26" w14:textId="1CC9708A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CAPÍTULO XVII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DE LAS ATRIBUCIONES DE LA COMISIÓN DE SEGURIDAD ARTÍCULO 80.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representantes</w:t>
      </w:r>
      <w:proofErr w:type="spellEnd"/>
      <w:r w:rsidR="00ED2DB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de la Suprema Corte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cinco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con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suplentes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FAF6E3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824EC8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empate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persona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árbitro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Si no hay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designación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no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excederá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días,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lista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cuatro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propuestas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comisionados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6B92029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FB6AB67" w14:textId="7E7867E2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A67B7C">
        <w:rPr>
          <w:rFonts w:ascii="Arial" w:eastAsia="Arial" w:hAnsi="Arial" w:cs="Arial"/>
          <w:b/>
          <w:spacing w:val="-1"/>
          <w:sz w:val="23"/>
          <w:szCs w:val="23"/>
        </w:rPr>
        <w:t>ARTÍCULO 81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gram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de 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proofErr w:type="gram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dispuesto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Ley</w:t>
      </w:r>
      <w:r w:rsidR="00ED2DB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atribuciones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:</w:t>
      </w:r>
    </w:p>
    <w:p w14:paraId="6DDA41A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B3728EC" w14:textId="77777777" w:rsidR="00733FC4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Vigilar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cumplimiento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normas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legales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sobre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prevención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riesgos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441E1455" w14:textId="77777777" w:rsidR="0008457E" w:rsidRDefault="0008457E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00C85C57" w14:textId="4C49BE80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Recabar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información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internas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procedimientos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ajustar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higiene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análisis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18B217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18EA97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III.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auxiliares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lugares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áreas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requieran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evaluar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09092A0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3F9DB89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IV.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Elaborar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programa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revisión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integral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periódica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instalaciones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proponer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adopción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procedan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;</w:t>
      </w:r>
    </w:p>
    <w:p w14:paraId="20BF4A3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58F76F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Promover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orientación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personas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Corte;</w:t>
      </w:r>
    </w:p>
    <w:p w14:paraId="4BD326F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7E8B822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Verificar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dentro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áreas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existan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botiquines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extintores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personal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capacitado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primeros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auxilios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buen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funcionamiento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mobiliario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equipo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, y</w:t>
      </w:r>
    </w:p>
    <w:p w14:paraId="490D5F5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10EB385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VII.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demás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le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confieran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disposiciones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jurídicas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aplicables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C09A9EA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9C8637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ARTÍCULO 82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contará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auxiliares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y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Sindicato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suplentes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bases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auxiliar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enviar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comentarios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para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análisis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supervisión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79D27A0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D3A3889" w14:textId="77777777" w:rsidR="00733FC4" w:rsidRPr="0008457E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CAPÍTULO XVIII. DE LAS SESIONES DE LAS COMISIONES</w:t>
      </w:r>
    </w:p>
    <w:p w14:paraId="1D97B66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03CD85E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ARTÍCULO 83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reunirá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semestralmente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auxiliares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forma trimestral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forma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cuando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estimen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necesario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9457747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8FD8C3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extraordinarias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desarrollarán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conforme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día que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establecerá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con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debida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anticipación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1F85D3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401CD4E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voz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voto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para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pueda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sesionar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requerirá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total de sus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integrantes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D209E8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76E5724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ARTÍCULO 84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Para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visitas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centros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no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requerirá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un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mínimo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miembros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caso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deberán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representadas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ambas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3F11DF7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BB69479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Los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Seguridad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tomarán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unanimidad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mayoría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obligatorios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para ambas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partes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66AC14C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8864433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sugerencias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recomendaciones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observaciones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surjan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conocimiento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titular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órgano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correspondiente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71F305D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3AE8EFE" w14:textId="77777777" w:rsidR="00733FC4" w:rsidRPr="0008457E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CAPÍTULO XIX. DE LA COMISIÓN DE ESCALAFÓN</w:t>
      </w:r>
    </w:p>
    <w:p w14:paraId="6AB08641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11B5F9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ARTÍCULO 85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tendrá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cargo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sistema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escalafonario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permutas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las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servidores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base de la Suprema Corte.</w:t>
      </w:r>
    </w:p>
    <w:p w14:paraId="622F77A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20F14C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08457E">
        <w:rPr>
          <w:rFonts w:ascii="Arial" w:eastAsia="Arial" w:hAnsi="Arial" w:cs="Arial"/>
          <w:b/>
          <w:spacing w:val="-1"/>
          <w:sz w:val="23"/>
          <w:szCs w:val="23"/>
        </w:rPr>
        <w:t>ARTÍCULO 86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funciones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específicas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Escalafón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precisarán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reglamento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respectivo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4303459" w14:textId="77777777" w:rsidR="00253D00" w:rsidRDefault="00253D00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24F4A2E" w14:textId="61B5BD68" w:rsidR="00733FC4" w:rsidRPr="00253D00" w:rsidRDefault="00733FC4" w:rsidP="00253D00">
      <w:pPr>
        <w:spacing w:before="2"/>
        <w:jc w:val="center"/>
        <w:rPr>
          <w:rFonts w:ascii="Arial" w:eastAsia="Arial" w:hAnsi="Arial" w:cs="Arial"/>
          <w:b/>
          <w:spacing w:val="-1"/>
          <w:sz w:val="23"/>
          <w:szCs w:val="23"/>
        </w:rPr>
      </w:pPr>
      <w:r w:rsidRPr="00253D00">
        <w:rPr>
          <w:rFonts w:ascii="Arial" w:eastAsia="Arial" w:hAnsi="Arial" w:cs="Arial"/>
          <w:b/>
          <w:spacing w:val="-1"/>
          <w:sz w:val="23"/>
          <w:szCs w:val="23"/>
        </w:rPr>
        <w:t>TRANSITORIOS:</w:t>
      </w:r>
    </w:p>
    <w:p w14:paraId="16DDA7B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079067B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253D00">
        <w:rPr>
          <w:rFonts w:ascii="Arial" w:eastAsia="Arial" w:hAnsi="Arial" w:cs="Arial"/>
          <w:b/>
          <w:spacing w:val="-1"/>
          <w:sz w:val="23"/>
          <w:szCs w:val="23"/>
        </w:rPr>
        <w:t>PRIMERO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presentes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entrarán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vigor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día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hábil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siguiente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depósito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4DFA6A16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1AC499D2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253D00">
        <w:rPr>
          <w:rFonts w:ascii="Arial" w:eastAsia="Arial" w:hAnsi="Arial" w:cs="Arial"/>
          <w:b/>
          <w:spacing w:val="-1"/>
          <w:sz w:val="23"/>
          <w:szCs w:val="23"/>
        </w:rPr>
        <w:t>SEGUNDO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abrogan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las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veintiséis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agosto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dos mil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diecinueve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034DE03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66F354D8" w14:textId="4ADCD384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253D00">
        <w:rPr>
          <w:rFonts w:ascii="Arial" w:eastAsia="Arial" w:hAnsi="Arial" w:cs="Arial"/>
          <w:b/>
          <w:spacing w:val="-1"/>
          <w:sz w:val="23"/>
          <w:szCs w:val="23"/>
        </w:rPr>
        <w:t>TERCERO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La Suprema Corte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lo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establecido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Acuerdo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General de</w:t>
      </w:r>
      <w:r w:rsidR="00C4743B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VI/2022,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definirá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lineamientos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materia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distancia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200ACB9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593159FD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  <w:r w:rsidRPr="00253D00">
        <w:rPr>
          <w:rFonts w:ascii="Arial" w:eastAsia="Arial" w:hAnsi="Arial" w:cs="Arial"/>
          <w:b/>
          <w:spacing w:val="-1"/>
          <w:sz w:val="23"/>
          <w:szCs w:val="23"/>
        </w:rPr>
        <w:t>CUARTO</w:t>
      </w:r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. Una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vez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que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se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depositen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ante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Conflictos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Laborales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Poder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publíquense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Semanario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Judicial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Federación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Gaceta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así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medios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electrónicos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consulta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términos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artículo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70,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I, de la Ley General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Transparencia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Información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71,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fracción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VI, de la Ley Federal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Transparencia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Acceso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a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Información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Pública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55561B98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Cs/>
          <w:spacing w:val="-1"/>
          <w:sz w:val="23"/>
          <w:szCs w:val="23"/>
        </w:rPr>
      </w:pPr>
    </w:p>
    <w:p w14:paraId="27C59F0F" w14:textId="77777777" w:rsidR="00733FC4" w:rsidRPr="00E13133" w:rsidRDefault="00733FC4" w:rsidP="00C4743B">
      <w:pPr>
        <w:spacing w:before="2"/>
        <w:jc w:val="both"/>
        <w:rPr>
          <w:rFonts w:ascii="Arial" w:eastAsia="Arial" w:hAnsi="Arial" w:cs="Arial"/>
          <w:b/>
          <w:spacing w:val="-1"/>
          <w:sz w:val="23"/>
          <w:szCs w:val="23"/>
        </w:rPr>
      </w:pP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Estas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Condiciones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Generales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Trabajo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la Suprema Corte de Justicia de la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Nación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fueron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autorizadas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por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el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Comité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Gobierno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y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Administración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en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su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sesión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ordinaria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doce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diciembre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 xml:space="preserve"> de dos mil </w:t>
      </w:r>
      <w:proofErr w:type="spellStart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veintidós</w:t>
      </w:r>
      <w:proofErr w:type="spellEnd"/>
      <w:r w:rsidRPr="00E13133">
        <w:rPr>
          <w:rFonts w:ascii="Arial" w:eastAsia="Arial" w:hAnsi="Arial" w:cs="Arial"/>
          <w:bCs/>
          <w:spacing w:val="-1"/>
          <w:sz w:val="23"/>
          <w:szCs w:val="23"/>
        </w:rPr>
        <w:t>.</w:t>
      </w:r>
    </w:p>
    <w:p w14:paraId="1F94C41F" w14:textId="77777777" w:rsidR="00BF4F6F" w:rsidRPr="00E13133" w:rsidRDefault="00BF4F6F">
      <w:pPr>
        <w:rPr>
          <w:rFonts w:ascii="Arial" w:eastAsia="Arial" w:hAnsi="Arial" w:cs="Arial"/>
          <w:sz w:val="23"/>
          <w:szCs w:val="23"/>
        </w:rPr>
      </w:pPr>
    </w:p>
    <w:p w14:paraId="1F94C420" w14:textId="77777777" w:rsidR="00BF4F6F" w:rsidRPr="00B257E4" w:rsidRDefault="00BF4F6F">
      <w:pPr>
        <w:rPr>
          <w:rFonts w:ascii="Arial" w:eastAsia="Arial" w:hAnsi="Arial" w:cs="Arial"/>
          <w:sz w:val="23"/>
          <w:szCs w:val="23"/>
        </w:rPr>
      </w:pPr>
    </w:p>
    <w:p w14:paraId="1F94C421" w14:textId="77777777" w:rsidR="00BF4F6F" w:rsidRPr="00B257E4" w:rsidRDefault="00BF4F6F">
      <w:pPr>
        <w:rPr>
          <w:rFonts w:ascii="Arial" w:eastAsia="Arial" w:hAnsi="Arial" w:cs="Arial"/>
          <w:sz w:val="23"/>
          <w:szCs w:val="23"/>
        </w:rPr>
        <w:sectPr w:rsidR="00BF4F6F" w:rsidRPr="00B257E4" w:rsidSect="0019224E">
          <w:headerReference w:type="default" r:id="rId7"/>
          <w:footerReference w:type="default" r:id="rId8"/>
          <w:pgSz w:w="12240" w:h="20160"/>
          <w:pgMar w:top="3402" w:right="1020" w:bottom="1260" w:left="1320" w:header="0" w:footer="1076" w:gutter="0"/>
          <w:cols w:space="720"/>
        </w:sectPr>
      </w:pPr>
    </w:p>
    <w:p w14:paraId="1F94C422" w14:textId="77777777" w:rsidR="00BF4F6F" w:rsidRPr="00B257E4" w:rsidRDefault="00BF4F6F">
      <w:pPr>
        <w:spacing w:before="1"/>
        <w:rPr>
          <w:rFonts w:ascii="Arial" w:eastAsia="Arial" w:hAnsi="Arial" w:cs="Arial"/>
          <w:sz w:val="23"/>
          <w:szCs w:val="23"/>
        </w:rPr>
      </w:pPr>
    </w:p>
    <w:p w14:paraId="1F94C423" w14:textId="77777777" w:rsidR="00BF4F6F" w:rsidRPr="00B257E4" w:rsidRDefault="0019224E">
      <w:pPr>
        <w:ind w:left="611" w:right="218"/>
        <w:jc w:val="center"/>
        <w:rPr>
          <w:rFonts w:ascii="Arial" w:eastAsia="Arial" w:hAnsi="Arial" w:cs="Arial"/>
          <w:sz w:val="23"/>
          <w:szCs w:val="23"/>
        </w:rPr>
      </w:pP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Presidente</w:t>
      </w:r>
      <w:proofErr w:type="spellEnd"/>
      <w:r w:rsidRPr="00B257E4">
        <w:rPr>
          <w:rFonts w:ascii="Arial" w:hAnsi="Arial" w:cs="Arial"/>
          <w:b/>
          <w:spacing w:val="4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la</w:t>
      </w:r>
      <w:r w:rsidRPr="00B257E4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Suprema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Corte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20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Justicia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la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Nación</w:t>
      </w:r>
      <w:proofErr w:type="spellEnd"/>
    </w:p>
    <w:p w14:paraId="1F94C424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5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6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7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8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9" w14:textId="77777777" w:rsidR="00BF4F6F" w:rsidRPr="00B257E4" w:rsidRDefault="00BF4F6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1F94C42A" w14:textId="77777777" w:rsidR="00BF4F6F" w:rsidRPr="00B257E4" w:rsidRDefault="0019224E">
      <w:pPr>
        <w:ind w:left="395"/>
        <w:jc w:val="center"/>
        <w:rPr>
          <w:rFonts w:ascii="Arial" w:eastAsia="Arial" w:hAnsi="Arial" w:cs="Arial"/>
          <w:sz w:val="23"/>
          <w:szCs w:val="23"/>
        </w:rPr>
      </w:pP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Ministro</w:t>
      </w:r>
      <w:proofErr w:type="spellEnd"/>
      <w:r w:rsidRPr="00B257E4">
        <w:rPr>
          <w:rFonts w:ascii="Arial" w:hAnsi="Arial" w:cs="Arial"/>
          <w:b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Arturo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Zaldívar</w:t>
      </w:r>
      <w:proofErr w:type="spellEnd"/>
      <w:r w:rsidRPr="00B257E4">
        <w:rPr>
          <w:rFonts w:ascii="Arial" w:hAnsi="Arial" w:cs="Arial"/>
          <w:b/>
          <w:spacing w:val="1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z w:val="23"/>
          <w:szCs w:val="23"/>
        </w:rPr>
        <w:t>Lelo</w:t>
      </w:r>
      <w:proofErr w:type="spellEnd"/>
      <w:r w:rsidRPr="00B257E4">
        <w:rPr>
          <w:rFonts w:ascii="Arial" w:hAnsi="Arial" w:cs="Arial"/>
          <w:b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2"/>
          <w:sz w:val="23"/>
          <w:szCs w:val="23"/>
        </w:rPr>
        <w:t>de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Larrea</w:t>
      </w:r>
    </w:p>
    <w:p w14:paraId="1F94C42B" w14:textId="77777777" w:rsidR="00BF4F6F" w:rsidRPr="00B257E4" w:rsidRDefault="0019224E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  <w:r w:rsidRPr="00B257E4">
        <w:rPr>
          <w:rFonts w:ascii="Arial" w:hAnsi="Arial" w:cs="Arial"/>
          <w:sz w:val="23"/>
          <w:szCs w:val="23"/>
        </w:rPr>
        <w:br w:type="column"/>
      </w:r>
    </w:p>
    <w:p w14:paraId="1F94C42C" w14:textId="77777777" w:rsidR="00BF4F6F" w:rsidRPr="00B257E4" w:rsidRDefault="0019224E">
      <w:pPr>
        <w:ind w:left="363" w:right="219"/>
        <w:jc w:val="both"/>
        <w:rPr>
          <w:rFonts w:ascii="Arial" w:eastAsia="Arial" w:hAnsi="Arial" w:cs="Arial"/>
          <w:sz w:val="23"/>
          <w:szCs w:val="23"/>
        </w:rPr>
      </w:pP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Secretario</w:t>
      </w:r>
      <w:proofErr w:type="spellEnd"/>
      <w:r w:rsidRPr="00B257E4">
        <w:rPr>
          <w:rFonts w:ascii="Arial" w:hAnsi="Arial" w:cs="Arial"/>
          <w:b/>
          <w:spacing w:val="61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General</w:t>
      </w:r>
      <w:r w:rsidRPr="00B257E4">
        <w:rPr>
          <w:rFonts w:ascii="Arial" w:hAnsi="Arial" w:cs="Arial"/>
          <w:b/>
          <w:spacing w:val="61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del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Comité</w:t>
      </w:r>
      <w:proofErr w:type="spellEnd"/>
      <w:r w:rsidRPr="00B257E4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Ejecutivo</w:t>
      </w:r>
      <w:proofErr w:type="spellEnd"/>
      <w:r w:rsidRPr="00B257E4">
        <w:rPr>
          <w:rFonts w:ascii="Arial" w:hAnsi="Arial" w:cs="Arial"/>
          <w:b/>
          <w:spacing w:val="46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Nacional</w:t>
      </w:r>
      <w:r w:rsidRPr="00B257E4">
        <w:rPr>
          <w:rFonts w:ascii="Arial" w:hAnsi="Arial" w:cs="Arial"/>
          <w:b/>
          <w:spacing w:val="-14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2"/>
          <w:sz w:val="23"/>
          <w:szCs w:val="23"/>
        </w:rPr>
        <w:t>del</w:t>
      </w:r>
      <w:r w:rsidRPr="00B257E4">
        <w:rPr>
          <w:rFonts w:ascii="Arial" w:hAnsi="Arial" w:cs="Arial"/>
          <w:b/>
          <w:spacing w:val="-14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Sindicato</w:t>
      </w:r>
      <w:proofErr w:type="spellEnd"/>
      <w:r w:rsidRPr="00B257E4">
        <w:rPr>
          <w:rFonts w:ascii="Arial" w:hAnsi="Arial" w:cs="Arial"/>
          <w:b/>
          <w:spacing w:val="-15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-18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Trabajadores</w:t>
      </w:r>
      <w:proofErr w:type="spellEnd"/>
      <w:r w:rsidRPr="00B257E4">
        <w:rPr>
          <w:rFonts w:ascii="Arial" w:hAnsi="Arial" w:cs="Arial"/>
          <w:b/>
          <w:spacing w:val="-1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2"/>
          <w:sz w:val="23"/>
          <w:szCs w:val="23"/>
        </w:rPr>
        <w:t>del</w:t>
      </w:r>
      <w:r w:rsidRPr="00B257E4">
        <w:rPr>
          <w:rFonts w:ascii="Arial" w:hAnsi="Arial" w:cs="Arial"/>
          <w:b/>
          <w:spacing w:val="42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z w:val="23"/>
          <w:szCs w:val="23"/>
        </w:rPr>
        <w:t>Poder</w:t>
      </w:r>
      <w:proofErr w:type="spellEnd"/>
      <w:r w:rsidRPr="00B257E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Judicial</w:t>
      </w:r>
      <w:r w:rsidRPr="00B257E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la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Federación</w:t>
      </w:r>
      <w:proofErr w:type="spellEnd"/>
    </w:p>
    <w:p w14:paraId="1F94C42D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E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2F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0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1" w14:textId="77777777" w:rsidR="00BF4F6F" w:rsidRPr="00B257E4" w:rsidRDefault="00BF4F6F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1F94C432" w14:textId="77777777" w:rsidR="00BF4F6F" w:rsidRPr="00B257E4" w:rsidRDefault="0019224E">
      <w:pPr>
        <w:ind w:left="598"/>
        <w:rPr>
          <w:rFonts w:ascii="Arial" w:eastAsia="Arial" w:hAnsi="Arial" w:cs="Arial"/>
          <w:sz w:val="23"/>
          <w:szCs w:val="23"/>
        </w:rPr>
      </w:pPr>
      <w:proofErr w:type="spellStart"/>
      <w:r w:rsidRPr="00B257E4">
        <w:rPr>
          <w:rFonts w:ascii="Arial" w:hAnsi="Arial" w:cs="Arial"/>
          <w:b/>
          <w:sz w:val="23"/>
          <w:szCs w:val="23"/>
        </w:rPr>
        <w:t>Lic</w:t>
      </w:r>
      <w:proofErr w:type="spellEnd"/>
      <w:r w:rsidRPr="00B257E4">
        <w:rPr>
          <w:rFonts w:ascii="Arial" w:hAnsi="Arial" w:cs="Arial"/>
          <w:b/>
          <w:sz w:val="23"/>
          <w:szCs w:val="23"/>
        </w:rPr>
        <w:t>.</w:t>
      </w:r>
      <w:r w:rsidRPr="00B257E4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2"/>
          <w:sz w:val="23"/>
          <w:szCs w:val="23"/>
        </w:rPr>
        <w:t>Jesús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Gilberto</w:t>
      </w:r>
      <w:r w:rsidRPr="00B257E4">
        <w:rPr>
          <w:rFonts w:ascii="Arial" w:hAnsi="Arial" w:cs="Arial"/>
          <w:b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González</w:t>
      </w:r>
      <w:r w:rsidRPr="00B257E4">
        <w:rPr>
          <w:rFonts w:ascii="Arial" w:hAnsi="Arial" w:cs="Arial"/>
          <w:b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Pimentel</w:t>
      </w:r>
    </w:p>
    <w:p w14:paraId="1F94C433" w14:textId="77777777" w:rsidR="00BF4F6F" w:rsidRPr="00B257E4" w:rsidRDefault="00BF4F6F">
      <w:pPr>
        <w:rPr>
          <w:rFonts w:ascii="Arial" w:eastAsia="Arial" w:hAnsi="Arial" w:cs="Arial"/>
          <w:sz w:val="23"/>
          <w:szCs w:val="23"/>
        </w:rPr>
        <w:sectPr w:rsidR="00BF4F6F" w:rsidRPr="00B257E4">
          <w:type w:val="continuous"/>
          <w:pgSz w:w="12240" w:h="20160"/>
          <w:pgMar w:top="1940" w:right="1020" w:bottom="1260" w:left="1320" w:header="720" w:footer="720" w:gutter="0"/>
          <w:cols w:num="2" w:space="720" w:equalWidth="0">
            <w:col w:w="4645" w:space="40"/>
            <w:col w:w="5215"/>
          </w:cols>
        </w:sectPr>
      </w:pPr>
    </w:p>
    <w:p w14:paraId="1F94C434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5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6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7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8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9" w14:textId="77777777" w:rsidR="00BF4F6F" w:rsidRPr="00B257E4" w:rsidRDefault="00BF4F6F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1F94C43A" w14:textId="77777777" w:rsidR="00BF4F6F" w:rsidRPr="00B257E4" w:rsidRDefault="0019224E">
      <w:pPr>
        <w:ind w:left="2896" w:right="2923"/>
        <w:jc w:val="center"/>
        <w:rPr>
          <w:rFonts w:ascii="Arial" w:eastAsia="Arial" w:hAnsi="Arial" w:cs="Arial"/>
          <w:sz w:val="23"/>
          <w:szCs w:val="23"/>
        </w:rPr>
      </w:pPr>
      <w:proofErr w:type="spellStart"/>
      <w:r w:rsidRPr="00B257E4">
        <w:rPr>
          <w:rFonts w:ascii="Arial" w:hAnsi="Arial" w:cs="Arial"/>
          <w:b/>
          <w:sz w:val="23"/>
          <w:szCs w:val="23"/>
        </w:rPr>
        <w:t>Oficial</w:t>
      </w:r>
      <w:proofErr w:type="spellEnd"/>
      <w:r w:rsidRPr="00B257E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Mayor</w:t>
      </w:r>
      <w:r w:rsidRPr="00B257E4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2"/>
          <w:sz w:val="23"/>
          <w:szCs w:val="23"/>
        </w:rPr>
        <w:t>la</w:t>
      </w:r>
      <w:r w:rsidRPr="00B257E4">
        <w:rPr>
          <w:rFonts w:ascii="Arial" w:hAnsi="Arial" w:cs="Arial"/>
          <w:b/>
          <w:spacing w:val="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Suprema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Corte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3"/>
          <w:sz w:val="23"/>
          <w:szCs w:val="23"/>
        </w:rPr>
        <w:t>de</w:t>
      </w:r>
      <w:r w:rsidRPr="00B257E4">
        <w:rPr>
          <w:rFonts w:ascii="Arial" w:hAnsi="Arial" w:cs="Arial"/>
          <w:b/>
          <w:spacing w:val="26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Justicia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de</w:t>
      </w:r>
      <w:r w:rsidRPr="00B257E4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z w:val="23"/>
          <w:szCs w:val="23"/>
        </w:rPr>
        <w:t>la</w:t>
      </w:r>
      <w:r w:rsidRPr="00B257E4">
        <w:rPr>
          <w:rFonts w:ascii="Arial" w:hAnsi="Arial" w:cs="Arial"/>
          <w:b/>
          <w:spacing w:val="2"/>
          <w:sz w:val="23"/>
          <w:szCs w:val="23"/>
        </w:rPr>
        <w:t xml:space="preserve"> </w:t>
      </w:r>
      <w:proofErr w:type="spellStart"/>
      <w:r w:rsidRPr="00B257E4">
        <w:rPr>
          <w:rFonts w:ascii="Arial" w:hAnsi="Arial" w:cs="Arial"/>
          <w:b/>
          <w:spacing w:val="-1"/>
          <w:sz w:val="23"/>
          <w:szCs w:val="23"/>
        </w:rPr>
        <w:t>Nación</w:t>
      </w:r>
      <w:proofErr w:type="spellEnd"/>
    </w:p>
    <w:p w14:paraId="1F94C43B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C" w14:textId="77777777" w:rsidR="00BF4F6F" w:rsidRPr="00B257E4" w:rsidRDefault="00BF4F6F">
      <w:pPr>
        <w:rPr>
          <w:rFonts w:ascii="Arial" w:eastAsia="Arial" w:hAnsi="Arial" w:cs="Arial"/>
          <w:b/>
          <w:bCs/>
          <w:sz w:val="23"/>
          <w:szCs w:val="23"/>
        </w:rPr>
      </w:pPr>
    </w:p>
    <w:p w14:paraId="1F94C43F" w14:textId="77777777" w:rsidR="00BF4F6F" w:rsidRPr="00B257E4" w:rsidRDefault="0019224E">
      <w:pPr>
        <w:spacing w:before="148"/>
        <w:ind w:right="25"/>
        <w:jc w:val="center"/>
        <w:rPr>
          <w:rFonts w:ascii="Arial" w:eastAsia="Arial" w:hAnsi="Arial" w:cs="Arial"/>
          <w:sz w:val="23"/>
          <w:szCs w:val="23"/>
        </w:rPr>
      </w:pPr>
      <w:r w:rsidRPr="00B257E4">
        <w:rPr>
          <w:rFonts w:ascii="Arial" w:hAnsi="Arial" w:cs="Arial"/>
          <w:b/>
          <w:spacing w:val="-1"/>
          <w:sz w:val="23"/>
          <w:szCs w:val="23"/>
        </w:rPr>
        <w:lastRenderedPageBreak/>
        <w:t>Doctor</w:t>
      </w:r>
      <w:r w:rsidRPr="00B257E4">
        <w:rPr>
          <w:rFonts w:ascii="Arial" w:hAnsi="Arial" w:cs="Arial"/>
          <w:b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Diego Gutiérrez</w:t>
      </w:r>
      <w:r w:rsidRPr="00B257E4">
        <w:rPr>
          <w:rFonts w:ascii="Arial" w:hAnsi="Arial" w:cs="Arial"/>
          <w:b/>
          <w:spacing w:val="-5"/>
          <w:sz w:val="23"/>
          <w:szCs w:val="23"/>
        </w:rPr>
        <w:t xml:space="preserve"> </w:t>
      </w:r>
      <w:r w:rsidRPr="00B257E4">
        <w:rPr>
          <w:rFonts w:ascii="Arial" w:hAnsi="Arial" w:cs="Arial"/>
          <w:b/>
          <w:spacing w:val="-1"/>
          <w:sz w:val="23"/>
          <w:szCs w:val="23"/>
        </w:rPr>
        <w:t>Morales</w:t>
      </w:r>
    </w:p>
    <w:sectPr w:rsidR="00BF4F6F" w:rsidRPr="00B257E4">
      <w:type w:val="continuous"/>
      <w:pgSz w:w="12240" w:h="20160"/>
      <w:pgMar w:top="1940" w:right="1020" w:bottom="126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C442" w14:textId="77777777" w:rsidR="003A282C" w:rsidRDefault="003A282C">
      <w:r>
        <w:separator/>
      </w:r>
    </w:p>
  </w:endnote>
  <w:endnote w:type="continuationSeparator" w:id="0">
    <w:p w14:paraId="1F94C443" w14:textId="77777777" w:rsidR="003A282C" w:rsidRDefault="003A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C445" w14:textId="77777777" w:rsidR="0019224E" w:rsidRDefault="003E1DCC">
    <w:pPr>
      <w:spacing w:line="14" w:lineRule="auto"/>
      <w:rPr>
        <w:sz w:val="20"/>
        <w:szCs w:val="20"/>
      </w:rPr>
    </w:pPr>
    <w:r>
      <w:pict w14:anchorId="1F94C4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7pt;margin-top:943.2pt;width:58.05pt;height:11pt;z-index:-251658240;mso-position-horizontal-relative:page;mso-position-vertical-relative:page" filled="f" stroked="f">
          <v:textbox style="mso-next-textbox:#_x0000_s2049" inset="0,0,0,0">
            <w:txbxContent>
              <w:p w14:paraId="1F94C449" w14:textId="77777777" w:rsidR="0019224E" w:rsidRDefault="0019224E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Hoja</w:t>
                </w:r>
                <w:r>
                  <w:rPr>
                    <w:rFonts w:ascii="Arial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52399">
                  <w:rPr>
                    <w:rFonts w:ascii="Arial"/>
                    <w:noProof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de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proofErr w:type="gramStart"/>
                <w:r>
                  <w:rPr>
                    <w:rFonts w:ascii="Arial"/>
                    <w:spacing w:val="-1"/>
                    <w:sz w:val="18"/>
                  </w:rPr>
                  <w:t>23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C440" w14:textId="77777777" w:rsidR="003A282C" w:rsidRDefault="003A282C">
      <w:r>
        <w:separator/>
      </w:r>
    </w:p>
  </w:footnote>
  <w:footnote w:type="continuationSeparator" w:id="0">
    <w:p w14:paraId="1F94C441" w14:textId="77777777" w:rsidR="003A282C" w:rsidRDefault="003A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C444" w14:textId="77777777" w:rsidR="0019224E" w:rsidRDefault="0019224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1F94C446" wp14:editId="1F94C447">
          <wp:simplePos x="0" y="0"/>
          <wp:positionH relativeFrom="column">
            <wp:posOffset>-848194</wp:posOffset>
          </wp:positionH>
          <wp:positionV relativeFrom="paragraph">
            <wp:posOffset>18002</wp:posOffset>
          </wp:positionV>
          <wp:extent cx="7787373" cy="195942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 nueva Doctos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73" cy="195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B23"/>
    <w:multiLevelType w:val="hybridMultilevel"/>
    <w:tmpl w:val="A00C6BD0"/>
    <w:lvl w:ilvl="0" w:tplc="9C087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6727"/>
    <w:multiLevelType w:val="hybridMultilevel"/>
    <w:tmpl w:val="FA7AC1C2"/>
    <w:lvl w:ilvl="0" w:tplc="D39EEA4E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7390EF94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BAD4FE18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6DC47A88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3B5CA6EC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3F226F1E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69020004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FB4AE312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D65289C2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2" w15:restartNumberingAfterBreak="0">
    <w:nsid w:val="1C343FB8"/>
    <w:multiLevelType w:val="hybridMultilevel"/>
    <w:tmpl w:val="82F09656"/>
    <w:lvl w:ilvl="0" w:tplc="E8189B58">
      <w:start w:val="1"/>
      <w:numFmt w:val="upperRoman"/>
      <w:lvlText w:val="%1."/>
      <w:lvlJc w:val="left"/>
      <w:pPr>
        <w:ind w:left="951" w:hanging="851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EE24A2A0">
      <w:start w:val="1"/>
      <w:numFmt w:val="bullet"/>
      <w:lvlText w:val="•"/>
      <w:lvlJc w:val="left"/>
      <w:pPr>
        <w:ind w:left="1845" w:hanging="851"/>
      </w:pPr>
      <w:rPr>
        <w:rFonts w:hint="default"/>
      </w:rPr>
    </w:lvl>
    <w:lvl w:ilvl="2" w:tplc="7916E1B4">
      <w:start w:val="1"/>
      <w:numFmt w:val="bullet"/>
      <w:lvlText w:val="•"/>
      <w:lvlJc w:val="left"/>
      <w:pPr>
        <w:ind w:left="2740" w:hanging="851"/>
      </w:pPr>
      <w:rPr>
        <w:rFonts w:hint="default"/>
      </w:rPr>
    </w:lvl>
    <w:lvl w:ilvl="3" w:tplc="535EBF4E">
      <w:start w:val="1"/>
      <w:numFmt w:val="bullet"/>
      <w:lvlText w:val="•"/>
      <w:lvlJc w:val="left"/>
      <w:pPr>
        <w:ind w:left="3635" w:hanging="851"/>
      </w:pPr>
      <w:rPr>
        <w:rFonts w:hint="default"/>
      </w:rPr>
    </w:lvl>
    <w:lvl w:ilvl="4" w:tplc="CF5EE1DE">
      <w:start w:val="1"/>
      <w:numFmt w:val="bullet"/>
      <w:lvlText w:val="•"/>
      <w:lvlJc w:val="left"/>
      <w:pPr>
        <w:ind w:left="4530" w:hanging="851"/>
      </w:pPr>
      <w:rPr>
        <w:rFonts w:hint="default"/>
      </w:rPr>
    </w:lvl>
    <w:lvl w:ilvl="5" w:tplc="AD40DE68">
      <w:start w:val="1"/>
      <w:numFmt w:val="bullet"/>
      <w:lvlText w:val="•"/>
      <w:lvlJc w:val="left"/>
      <w:pPr>
        <w:ind w:left="5425" w:hanging="851"/>
      </w:pPr>
      <w:rPr>
        <w:rFonts w:hint="default"/>
      </w:rPr>
    </w:lvl>
    <w:lvl w:ilvl="6" w:tplc="BF327F62">
      <w:start w:val="1"/>
      <w:numFmt w:val="bullet"/>
      <w:lvlText w:val="•"/>
      <w:lvlJc w:val="left"/>
      <w:pPr>
        <w:ind w:left="6320" w:hanging="851"/>
      </w:pPr>
      <w:rPr>
        <w:rFonts w:hint="default"/>
      </w:rPr>
    </w:lvl>
    <w:lvl w:ilvl="7" w:tplc="51521DF6">
      <w:start w:val="1"/>
      <w:numFmt w:val="bullet"/>
      <w:lvlText w:val="•"/>
      <w:lvlJc w:val="left"/>
      <w:pPr>
        <w:ind w:left="7215" w:hanging="851"/>
      </w:pPr>
      <w:rPr>
        <w:rFonts w:hint="default"/>
      </w:rPr>
    </w:lvl>
    <w:lvl w:ilvl="8" w:tplc="E9C01F42">
      <w:start w:val="1"/>
      <w:numFmt w:val="bullet"/>
      <w:lvlText w:val="•"/>
      <w:lvlJc w:val="left"/>
      <w:pPr>
        <w:ind w:left="8110" w:hanging="851"/>
      </w:pPr>
      <w:rPr>
        <w:rFonts w:hint="default"/>
      </w:rPr>
    </w:lvl>
  </w:abstractNum>
  <w:abstractNum w:abstractNumId="3" w15:restartNumberingAfterBreak="0">
    <w:nsid w:val="213A5A96"/>
    <w:multiLevelType w:val="hybridMultilevel"/>
    <w:tmpl w:val="019ACC60"/>
    <w:lvl w:ilvl="0" w:tplc="324E65D0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3E6887BC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B4A23EE6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804EB698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63C8873E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F9F4CE5E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7D0C98C2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D3249378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F5F20D74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4" w15:restartNumberingAfterBreak="0">
    <w:nsid w:val="2EB62A08"/>
    <w:multiLevelType w:val="hybridMultilevel"/>
    <w:tmpl w:val="64EE7FA8"/>
    <w:lvl w:ilvl="0" w:tplc="C7CA2F7E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801ADC2E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5F1C0F20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8696B466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3DDA6794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3358375E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70BA22D4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81D8D840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9A1A6998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5" w15:restartNumberingAfterBreak="0">
    <w:nsid w:val="309D2611"/>
    <w:multiLevelType w:val="hybridMultilevel"/>
    <w:tmpl w:val="1A5EFD12"/>
    <w:lvl w:ilvl="0" w:tplc="21D6715E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C4408840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7FDEE4BC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C422F7E6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BC3A7404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31866140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2FF66086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89F02066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4B789A3E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6" w15:restartNumberingAfterBreak="0">
    <w:nsid w:val="359B407A"/>
    <w:multiLevelType w:val="hybridMultilevel"/>
    <w:tmpl w:val="6DD4C80E"/>
    <w:lvl w:ilvl="0" w:tplc="46F6BD06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42B45BAC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3A04FE5A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624441BE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963269C4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0CFC6B4C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A2528F1C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B2B0BFDC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1380920C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7" w15:restartNumberingAfterBreak="0">
    <w:nsid w:val="37550354"/>
    <w:multiLevelType w:val="hybridMultilevel"/>
    <w:tmpl w:val="CF00CA12"/>
    <w:lvl w:ilvl="0" w:tplc="BF98A4D0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6C5A3338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77F6937A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59847C10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09B840D4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56906F0C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B5ECCB28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509CD2AA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6794F572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8" w15:restartNumberingAfterBreak="0">
    <w:nsid w:val="39192A55"/>
    <w:multiLevelType w:val="hybridMultilevel"/>
    <w:tmpl w:val="973C53B4"/>
    <w:lvl w:ilvl="0" w:tplc="AF10877C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4A1A257A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285A6C48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9626A050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8C74CD14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190EB45C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A60EDCA4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3122628C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F7E6CBF6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9" w15:restartNumberingAfterBreak="0">
    <w:nsid w:val="40F10D94"/>
    <w:multiLevelType w:val="hybridMultilevel"/>
    <w:tmpl w:val="279A8EA8"/>
    <w:lvl w:ilvl="0" w:tplc="36D6FBDE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064CF3D4">
      <w:start w:val="1"/>
      <w:numFmt w:val="lowerLetter"/>
      <w:lvlText w:val="%2)"/>
      <w:lvlJc w:val="left"/>
      <w:pPr>
        <w:ind w:left="1236" w:hanging="570"/>
      </w:pPr>
      <w:rPr>
        <w:rFonts w:ascii="Arial" w:eastAsia="Arial" w:hAnsi="Arial" w:hint="default"/>
        <w:spacing w:val="1"/>
        <w:sz w:val="24"/>
        <w:szCs w:val="24"/>
      </w:rPr>
    </w:lvl>
    <w:lvl w:ilvl="2" w:tplc="A07C3B46">
      <w:start w:val="1"/>
      <w:numFmt w:val="bullet"/>
      <w:lvlText w:val="•"/>
      <w:lvlJc w:val="left"/>
      <w:pPr>
        <w:ind w:left="2198" w:hanging="570"/>
      </w:pPr>
      <w:rPr>
        <w:rFonts w:hint="default"/>
      </w:rPr>
    </w:lvl>
    <w:lvl w:ilvl="3" w:tplc="47363D86">
      <w:start w:val="1"/>
      <w:numFmt w:val="bullet"/>
      <w:lvlText w:val="•"/>
      <w:lvlJc w:val="left"/>
      <w:pPr>
        <w:ind w:left="3161" w:hanging="570"/>
      </w:pPr>
      <w:rPr>
        <w:rFonts w:hint="default"/>
      </w:rPr>
    </w:lvl>
    <w:lvl w:ilvl="4" w:tplc="8F8A29AA">
      <w:start w:val="1"/>
      <w:numFmt w:val="bullet"/>
      <w:lvlText w:val="•"/>
      <w:lvlJc w:val="left"/>
      <w:pPr>
        <w:ind w:left="4124" w:hanging="570"/>
      </w:pPr>
      <w:rPr>
        <w:rFonts w:hint="default"/>
      </w:rPr>
    </w:lvl>
    <w:lvl w:ilvl="5" w:tplc="A210DCA6">
      <w:start w:val="1"/>
      <w:numFmt w:val="bullet"/>
      <w:lvlText w:val="•"/>
      <w:lvlJc w:val="left"/>
      <w:pPr>
        <w:ind w:left="5086" w:hanging="570"/>
      </w:pPr>
      <w:rPr>
        <w:rFonts w:hint="default"/>
      </w:rPr>
    </w:lvl>
    <w:lvl w:ilvl="6" w:tplc="4EB61032">
      <w:start w:val="1"/>
      <w:numFmt w:val="bullet"/>
      <w:lvlText w:val="•"/>
      <w:lvlJc w:val="left"/>
      <w:pPr>
        <w:ind w:left="6049" w:hanging="570"/>
      </w:pPr>
      <w:rPr>
        <w:rFonts w:hint="default"/>
      </w:rPr>
    </w:lvl>
    <w:lvl w:ilvl="7" w:tplc="C16E3BB2">
      <w:start w:val="1"/>
      <w:numFmt w:val="bullet"/>
      <w:lvlText w:val="•"/>
      <w:lvlJc w:val="left"/>
      <w:pPr>
        <w:ind w:left="7012" w:hanging="570"/>
      </w:pPr>
      <w:rPr>
        <w:rFonts w:hint="default"/>
      </w:rPr>
    </w:lvl>
    <w:lvl w:ilvl="8" w:tplc="765649D4">
      <w:start w:val="1"/>
      <w:numFmt w:val="bullet"/>
      <w:lvlText w:val="•"/>
      <w:lvlJc w:val="left"/>
      <w:pPr>
        <w:ind w:left="7974" w:hanging="570"/>
      </w:pPr>
      <w:rPr>
        <w:rFonts w:hint="default"/>
      </w:rPr>
    </w:lvl>
  </w:abstractNum>
  <w:abstractNum w:abstractNumId="10" w15:restartNumberingAfterBreak="0">
    <w:nsid w:val="457F6CCD"/>
    <w:multiLevelType w:val="hybridMultilevel"/>
    <w:tmpl w:val="89C6F2BA"/>
    <w:lvl w:ilvl="0" w:tplc="8CB0E6CA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spacing w:val="-2"/>
        <w:sz w:val="24"/>
        <w:szCs w:val="24"/>
      </w:rPr>
    </w:lvl>
    <w:lvl w:ilvl="1" w:tplc="87C079CC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12DA9AA4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20560B30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AD58B19C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2DDA7DBC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F822CB52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ABCAEDEE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867A9C92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11" w15:restartNumberingAfterBreak="0">
    <w:nsid w:val="45B73C2A"/>
    <w:multiLevelType w:val="hybridMultilevel"/>
    <w:tmpl w:val="DB062230"/>
    <w:lvl w:ilvl="0" w:tplc="5788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0ED2"/>
    <w:multiLevelType w:val="hybridMultilevel"/>
    <w:tmpl w:val="7D882A6C"/>
    <w:lvl w:ilvl="0" w:tplc="F1061B9C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92203D96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1458C600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70CCA4A6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E54080F8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519072AC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A8B016F8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84400A40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A13272CC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13" w15:restartNumberingAfterBreak="0">
    <w:nsid w:val="5F7A05F7"/>
    <w:multiLevelType w:val="hybridMultilevel"/>
    <w:tmpl w:val="EDE85B7E"/>
    <w:lvl w:ilvl="0" w:tplc="8208E630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3D845018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0C78D53A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C5D4F19A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60D68E2E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01E408D4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F06E2AA8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BC6E3966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62F48726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14" w15:restartNumberingAfterBreak="0">
    <w:nsid w:val="67A320BD"/>
    <w:multiLevelType w:val="hybridMultilevel"/>
    <w:tmpl w:val="70D874E0"/>
    <w:lvl w:ilvl="0" w:tplc="54743CA4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AD74C794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EF729FD8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9132CFC2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C35C52E6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BA642F26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4866D8E8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D9A426FC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064E622C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abstractNum w:abstractNumId="15" w15:restartNumberingAfterBreak="0">
    <w:nsid w:val="6FEF7496"/>
    <w:multiLevelType w:val="hybridMultilevel"/>
    <w:tmpl w:val="C18A5A6E"/>
    <w:lvl w:ilvl="0" w:tplc="83A4AAA0">
      <w:start w:val="1"/>
      <w:numFmt w:val="upperRoman"/>
      <w:lvlText w:val="%1."/>
      <w:lvlJc w:val="left"/>
      <w:pPr>
        <w:ind w:left="666" w:hanging="566"/>
      </w:pPr>
      <w:rPr>
        <w:rFonts w:ascii="Arial" w:eastAsia="Arial" w:hAnsi="Arial" w:hint="default"/>
        <w:b/>
        <w:bCs/>
        <w:spacing w:val="-2"/>
        <w:sz w:val="24"/>
        <w:szCs w:val="24"/>
      </w:rPr>
    </w:lvl>
    <w:lvl w:ilvl="1" w:tplc="338872BE">
      <w:start w:val="1"/>
      <w:numFmt w:val="bullet"/>
      <w:lvlText w:val="•"/>
      <w:lvlJc w:val="left"/>
      <w:pPr>
        <w:ind w:left="1589" w:hanging="566"/>
      </w:pPr>
      <w:rPr>
        <w:rFonts w:hint="default"/>
      </w:rPr>
    </w:lvl>
    <w:lvl w:ilvl="2" w:tplc="78DE6194">
      <w:start w:val="1"/>
      <w:numFmt w:val="bullet"/>
      <w:lvlText w:val="•"/>
      <w:lvlJc w:val="left"/>
      <w:pPr>
        <w:ind w:left="2512" w:hanging="566"/>
      </w:pPr>
      <w:rPr>
        <w:rFonts w:hint="default"/>
      </w:rPr>
    </w:lvl>
    <w:lvl w:ilvl="3" w:tplc="D21C0F48">
      <w:start w:val="1"/>
      <w:numFmt w:val="bullet"/>
      <w:lvlText w:val="•"/>
      <w:lvlJc w:val="left"/>
      <w:pPr>
        <w:ind w:left="3436" w:hanging="566"/>
      </w:pPr>
      <w:rPr>
        <w:rFonts w:hint="default"/>
      </w:rPr>
    </w:lvl>
    <w:lvl w:ilvl="4" w:tplc="8260236A">
      <w:start w:val="1"/>
      <w:numFmt w:val="bullet"/>
      <w:lvlText w:val="•"/>
      <w:lvlJc w:val="left"/>
      <w:pPr>
        <w:ind w:left="4359" w:hanging="566"/>
      </w:pPr>
      <w:rPr>
        <w:rFonts w:hint="default"/>
      </w:rPr>
    </w:lvl>
    <w:lvl w:ilvl="5" w:tplc="EC8EB57E">
      <w:start w:val="1"/>
      <w:numFmt w:val="bullet"/>
      <w:lvlText w:val="•"/>
      <w:lvlJc w:val="left"/>
      <w:pPr>
        <w:ind w:left="5283" w:hanging="566"/>
      </w:pPr>
      <w:rPr>
        <w:rFonts w:hint="default"/>
      </w:rPr>
    </w:lvl>
    <w:lvl w:ilvl="6" w:tplc="3056D9BA">
      <w:start w:val="1"/>
      <w:numFmt w:val="bullet"/>
      <w:lvlText w:val="•"/>
      <w:lvlJc w:val="left"/>
      <w:pPr>
        <w:ind w:left="6206" w:hanging="566"/>
      </w:pPr>
      <w:rPr>
        <w:rFonts w:hint="default"/>
      </w:rPr>
    </w:lvl>
    <w:lvl w:ilvl="7" w:tplc="3A3A1A58">
      <w:start w:val="1"/>
      <w:numFmt w:val="bullet"/>
      <w:lvlText w:val="•"/>
      <w:lvlJc w:val="left"/>
      <w:pPr>
        <w:ind w:left="7129" w:hanging="566"/>
      </w:pPr>
      <w:rPr>
        <w:rFonts w:hint="default"/>
      </w:rPr>
    </w:lvl>
    <w:lvl w:ilvl="8" w:tplc="02C6A1DE">
      <w:start w:val="1"/>
      <w:numFmt w:val="bullet"/>
      <w:lvlText w:val="•"/>
      <w:lvlJc w:val="left"/>
      <w:pPr>
        <w:ind w:left="8053" w:hanging="566"/>
      </w:pPr>
      <w:rPr>
        <w:rFonts w:hint="default"/>
      </w:rPr>
    </w:lvl>
  </w:abstractNum>
  <w:num w:numId="1" w16cid:durableId="511645566">
    <w:abstractNumId w:val="7"/>
  </w:num>
  <w:num w:numId="2" w16cid:durableId="1312950473">
    <w:abstractNumId w:val="13"/>
  </w:num>
  <w:num w:numId="3" w16cid:durableId="1659845238">
    <w:abstractNumId w:val="3"/>
  </w:num>
  <w:num w:numId="4" w16cid:durableId="1955744776">
    <w:abstractNumId w:val="6"/>
  </w:num>
  <w:num w:numId="5" w16cid:durableId="1369255917">
    <w:abstractNumId w:val="4"/>
  </w:num>
  <w:num w:numId="6" w16cid:durableId="2027713603">
    <w:abstractNumId w:val="5"/>
  </w:num>
  <w:num w:numId="7" w16cid:durableId="648942413">
    <w:abstractNumId w:val="14"/>
  </w:num>
  <w:num w:numId="8" w16cid:durableId="627971663">
    <w:abstractNumId w:val="12"/>
  </w:num>
  <w:num w:numId="9" w16cid:durableId="1922714317">
    <w:abstractNumId w:val="9"/>
  </w:num>
  <w:num w:numId="10" w16cid:durableId="1685202916">
    <w:abstractNumId w:val="15"/>
  </w:num>
  <w:num w:numId="11" w16cid:durableId="1158299766">
    <w:abstractNumId w:val="1"/>
  </w:num>
  <w:num w:numId="12" w16cid:durableId="1844926963">
    <w:abstractNumId w:val="8"/>
  </w:num>
  <w:num w:numId="13" w16cid:durableId="2137793472">
    <w:abstractNumId w:val="2"/>
  </w:num>
  <w:num w:numId="14" w16cid:durableId="1975527639">
    <w:abstractNumId w:val="10"/>
  </w:num>
  <w:num w:numId="15" w16cid:durableId="1720400404">
    <w:abstractNumId w:val="0"/>
  </w:num>
  <w:num w:numId="16" w16cid:durableId="583955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F6F"/>
    <w:rsid w:val="0008457E"/>
    <w:rsid w:val="000F2B0B"/>
    <w:rsid w:val="001508DB"/>
    <w:rsid w:val="00180AB4"/>
    <w:rsid w:val="0019224E"/>
    <w:rsid w:val="001C65D0"/>
    <w:rsid w:val="001D27CE"/>
    <w:rsid w:val="001E2858"/>
    <w:rsid w:val="00201749"/>
    <w:rsid w:val="00253D00"/>
    <w:rsid w:val="002A20BC"/>
    <w:rsid w:val="002A2511"/>
    <w:rsid w:val="002D5F66"/>
    <w:rsid w:val="002E3C9F"/>
    <w:rsid w:val="003A282C"/>
    <w:rsid w:val="003B122B"/>
    <w:rsid w:val="003E1DCC"/>
    <w:rsid w:val="004752C2"/>
    <w:rsid w:val="004A387D"/>
    <w:rsid w:val="00532689"/>
    <w:rsid w:val="00551288"/>
    <w:rsid w:val="005D1F92"/>
    <w:rsid w:val="005E4AAA"/>
    <w:rsid w:val="00691A75"/>
    <w:rsid w:val="00733FC4"/>
    <w:rsid w:val="00760875"/>
    <w:rsid w:val="007D2EF0"/>
    <w:rsid w:val="008403FB"/>
    <w:rsid w:val="00912AF4"/>
    <w:rsid w:val="00960574"/>
    <w:rsid w:val="00A168BE"/>
    <w:rsid w:val="00A67B7C"/>
    <w:rsid w:val="00A95E76"/>
    <w:rsid w:val="00B257E4"/>
    <w:rsid w:val="00B96607"/>
    <w:rsid w:val="00BF4F6F"/>
    <w:rsid w:val="00C00928"/>
    <w:rsid w:val="00C45A71"/>
    <w:rsid w:val="00C4743B"/>
    <w:rsid w:val="00C76FBF"/>
    <w:rsid w:val="00C91312"/>
    <w:rsid w:val="00C96F2C"/>
    <w:rsid w:val="00D07C28"/>
    <w:rsid w:val="00D27A5D"/>
    <w:rsid w:val="00D52399"/>
    <w:rsid w:val="00E13133"/>
    <w:rsid w:val="00ED2DB3"/>
    <w:rsid w:val="00ED5549"/>
    <w:rsid w:val="00F36141"/>
    <w:rsid w:val="00F71EAD"/>
    <w:rsid w:val="00F8226A"/>
    <w:rsid w:val="00F916E7"/>
    <w:rsid w:val="00FB45DE"/>
    <w:rsid w:val="00FE25AF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94C192"/>
  <w15:docId w15:val="{95A130AD-99DC-423F-B573-9F79EB2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922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24E"/>
  </w:style>
  <w:style w:type="paragraph" w:styleId="Piedepgina">
    <w:name w:val="footer"/>
    <w:basedOn w:val="Normal"/>
    <w:link w:val="PiedepginaCar"/>
    <w:uiPriority w:val="99"/>
    <w:unhideWhenUsed/>
    <w:rsid w:val="001922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10184</Words>
  <Characters>56014</Characters>
  <Application>Microsoft Office Word</Application>
  <DocSecurity>0</DocSecurity>
  <Lines>466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 Macias Pensado</dc:creator>
  <cp:lastModifiedBy>Gustavo Martínez Peña</cp:lastModifiedBy>
  <cp:revision>53</cp:revision>
  <cp:lastPrinted>2023-02-14T19:57:00Z</cp:lastPrinted>
  <dcterms:created xsi:type="dcterms:W3CDTF">2019-10-23T15:44:00Z</dcterms:created>
  <dcterms:modified xsi:type="dcterms:W3CDTF">2023-02-14T19:58:00Z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2019-10-23T00:00:00Z</vt:filetime>
  </property>
</Properties>
</file>