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DA5E4" w14:textId="0DCFF8D0" w:rsidR="008612D9" w:rsidRDefault="00522FF2" w:rsidP="008612D9">
      <w:pPr>
        <w:spacing w:after="0" w:line="240" w:lineRule="auto"/>
        <w:jc w:val="center"/>
        <w:rPr>
          <w:rFonts w:ascii="Arial" w:hAnsi="Arial" w:cs="Arial"/>
          <w:b/>
          <w:szCs w:val="20"/>
        </w:rPr>
      </w:pPr>
      <w:r>
        <w:rPr>
          <w:rFonts w:ascii="Arial" w:hAnsi="Arial" w:cs="Arial"/>
          <w:b/>
          <w:szCs w:val="20"/>
        </w:rPr>
        <w:t>PRINCPIO DE RETROACTIVIDAD DE LA LEY EN BENEFICIO</w:t>
      </w:r>
    </w:p>
    <w:p w14:paraId="79E7E949" w14:textId="77777777" w:rsidR="00522FF2" w:rsidRPr="00522FF2" w:rsidRDefault="00522FF2" w:rsidP="00522FF2">
      <w:pPr>
        <w:spacing w:after="0" w:line="240" w:lineRule="auto"/>
        <w:jc w:val="both"/>
        <w:rPr>
          <w:rFonts w:ascii="Arial" w:hAnsi="Arial" w:cs="Arial"/>
          <w:bCs/>
          <w:sz w:val="20"/>
          <w:szCs w:val="18"/>
        </w:rPr>
      </w:pPr>
    </w:p>
    <w:p w14:paraId="50ED8C5B"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162477</w:t>
      </w:r>
    </w:p>
    <w:p w14:paraId="442E5C32"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4193BB89"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5B8E5AA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Constitucional, Penal, Común</w:t>
      </w:r>
    </w:p>
    <w:p w14:paraId="7F38710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VII.1o.(IV Región) 12 P</w:t>
      </w:r>
    </w:p>
    <w:p w14:paraId="335470B5"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XXXIII, </w:t>
      </w:r>
      <w:proofErr w:type="gramStart"/>
      <w:r w:rsidRPr="00522FF2">
        <w:rPr>
          <w:rFonts w:ascii="Arial" w:hAnsi="Arial" w:cs="Arial"/>
          <w:bCs/>
          <w:sz w:val="20"/>
          <w:szCs w:val="18"/>
        </w:rPr>
        <w:t>Marzo</w:t>
      </w:r>
      <w:proofErr w:type="gramEnd"/>
      <w:r w:rsidRPr="00522FF2">
        <w:rPr>
          <w:rFonts w:ascii="Arial" w:hAnsi="Arial" w:cs="Arial"/>
          <w:bCs/>
          <w:sz w:val="20"/>
          <w:szCs w:val="18"/>
        </w:rPr>
        <w:t xml:space="preserve"> de 2011, página 2423</w:t>
      </w:r>
    </w:p>
    <w:p w14:paraId="4974A9E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1BA67D60"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RETROACTIVIDAD DE LA LEY PENAL. SI SURGE UNA LEY MÁS FAVORABLE AL REO DESPUÉS DEL DICTADO DE LA SENTENCIA DE SEGUNDA INSTANCIA IMPUGNADA, SOBREVIENE UN MOTIVO DE INCONSTITUCIONALIDAD REPARABLE EN AMPARO DIRECTO.</w:t>
      </w:r>
    </w:p>
    <w:p w14:paraId="5F6C8C61" w14:textId="6DC79E11"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Aun cuando en el juicio de amparo directo el acto debe apreciarse como aparece probado ante la autoridad responsable en términos del artículo 78 de la Ley de Amparo, tal estimación constituye una regla general que admite excepciones, como son los hechos o las pruebas supervenientes o los acontecimientos sobrevenidos que generan un cambio en la apreciación del acto, como ocurre con las causales de improcedencia. Otro ejemplo sui géneris de ello sucede cuando, no obstante que la sentencia reclamada se dicta conforme a la ley vigente, durante la sustanciación del juicio de amparo o después de pronunciado el fallo impugnado, pero antes de promover el juicio de garantías, se reforma la ley para beneficiar al sentenciado, no sólo porque reduce las penas, sino porque determina que la norma que contemplaba la conducta por la cual se le castigó dejó de ser considerada delito; así, sobreviene la inconstitucionalidad del acto, debido a que se infringe el artículo 14 de la Constitución Política de los Estados Unidos Mexicanos, particularmente, los principios de derecho penal que en él subyacen relativos a </w:t>
      </w:r>
      <w:proofErr w:type="spellStart"/>
      <w:r w:rsidRPr="00522FF2">
        <w:rPr>
          <w:rFonts w:ascii="Arial" w:hAnsi="Arial" w:cs="Arial"/>
          <w:bCs/>
          <w:sz w:val="20"/>
          <w:szCs w:val="18"/>
        </w:rPr>
        <w:t>nullum</w:t>
      </w:r>
      <w:proofErr w:type="spellEnd"/>
      <w:r w:rsidRPr="00522FF2">
        <w:rPr>
          <w:rFonts w:ascii="Arial" w:hAnsi="Arial" w:cs="Arial"/>
          <w:bCs/>
          <w:sz w:val="20"/>
          <w:szCs w:val="18"/>
        </w:rPr>
        <w:t xml:space="preserve"> crimen sine lege y </w:t>
      </w:r>
      <w:proofErr w:type="spellStart"/>
      <w:r w:rsidRPr="00522FF2">
        <w:rPr>
          <w:rFonts w:ascii="Arial" w:hAnsi="Arial" w:cs="Arial"/>
          <w:bCs/>
          <w:sz w:val="20"/>
          <w:szCs w:val="18"/>
        </w:rPr>
        <w:t>nulla</w:t>
      </w:r>
      <w:proofErr w:type="spellEnd"/>
      <w:r w:rsidRPr="00522FF2">
        <w:rPr>
          <w:rFonts w:ascii="Arial" w:hAnsi="Arial" w:cs="Arial"/>
          <w:bCs/>
          <w:sz w:val="20"/>
          <w:szCs w:val="18"/>
        </w:rPr>
        <w:t xml:space="preserve"> </w:t>
      </w:r>
      <w:proofErr w:type="spellStart"/>
      <w:r w:rsidRPr="00522FF2">
        <w:rPr>
          <w:rFonts w:ascii="Arial" w:hAnsi="Arial" w:cs="Arial"/>
          <w:bCs/>
          <w:sz w:val="20"/>
          <w:szCs w:val="18"/>
        </w:rPr>
        <w:t>poena</w:t>
      </w:r>
      <w:proofErr w:type="spellEnd"/>
      <w:r w:rsidRPr="00522FF2">
        <w:rPr>
          <w:rFonts w:ascii="Arial" w:hAnsi="Arial" w:cs="Arial"/>
          <w:bCs/>
          <w:sz w:val="20"/>
          <w:szCs w:val="18"/>
        </w:rPr>
        <w:t xml:space="preserve"> sine lege, consistentes en que sin ley no puede haber castigo penal legítimo, y el de aplicación retroactiva de la norma que otorga mayores beneficios al reo; de ahí que tal circunstancia, al ser una cuestión que importa derechos fundamentales del gobernado, no puede pasarse por alto por un órgano de control constitucional y, por tanto, resulta inconcuso que si surge una ley más favorable al reo después del dictado de la sentencia de segunda instancia impugnada, sobreviene un motivo de inconstitucionalidad del acto que puede ser reparado en el juicio de garantías, a través de la concesión del amparo y la protección de la Justicia Federal para efectos de que la responsable deje insubsistente la resolución reclamada y, con plenitud de jurisdicción, determine la adecuación y aplicación de las penas o situaciones más benéficas para el sentenciado; estimar lo contrario, sería tanto como convertir al tribunal de amparo en un simple espectador frente a una situación fáctica que, de permitirla, se traduciría en desconocer tales derechos pese a que, como responsable del juicio de garantías </w:t>
      </w:r>
      <w:proofErr w:type="spellStart"/>
      <w:r w:rsidRPr="00522FF2">
        <w:rPr>
          <w:rFonts w:ascii="Arial" w:hAnsi="Arial" w:cs="Arial"/>
          <w:bCs/>
          <w:sz w:val="20"/>
          <w:szCs w:val="18"/>
        </w:rPr>
        <w:t>uniinstancial</w:t>
      </w:r>
      <w:proofErr w:type="spellEnd"/>
      <w:r w:rsidRPr="00522FF2">
        <w:rPr>
          <w:rFonts w:ascii="Arial" w:hAnsi="Arial" w:cs="Arial"/>
          <w:bCs/>
          <w:sz w:val="20"/>
          <w:szCs w:val="18"/>
        </w:rPr>
        <w:t>, de alto contenido garantista, es y debe ser un operador jurídico activo como guardián de la Constitución y del derecho, por lo que, de no actuar en ese momento, permitirá que la aplicación de la nueva legislación favorable quede a expensas de una eventual petición y quizás, ya no en manos solamente de la discrecionalidad del Juez, sino de las autoridades administrativas penitenciarias; lo que se evita con la oportuna intervención del Poder Judicial de la Federación.</w:t>
      </w:r>
    </w:p>
    <w:p w14:paraId="6252494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PRIMER TRIBUNAL COLEGIADO DE CIRCUITO DEL CENTRO AUXILIAR DE LA CUARTA REGIÓN.</w:t>
      </w:r>
    </w:p>
    <w:p w14:paraId="4A4E18B5" w14:textId="325B25D8"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directo 100/2010. **********. 27 de mayo de 2010. Mayoría de votos. Disidente: Luis García Sedas. Ponente: Jorge Sebastián Martínez García. Secretario: Ismael Martínez Reyes.</w:t>
      </w:r>
    </w:p>
    <w:p w14:paraId="4ECD4435" w14:textId="63B503AE"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directo 196/2010. 8 de julio de 2010. Mayoría de votos. Disidente: Luis García Sedas. Ponente: Jorge Sebastián Martínez García. Secretario: José Vega Luna.</w:t>
      </w:r>
    </w:p>
    <w:p w14:paraId="33BE95CC" w14:textId="77777777" w:rsidR="00522FF2" w:rsidRPr="00522FF2" w:rsidRDefault="00522FF2" w:rsidP="00522FF2">
      <w:pPr>
        <w:spacing w:after="0" w:line="240" w:lineRule="auto"/>
        <w:jc w:val="both"/>
        <w:rPr>
          <w:rFonts w:ascii="Arial" w:hAnsi="Arial" w:cs="Arial"/>
          <w:bCs/>
          <w:sz w:val="20"/>
          <w:szCs w:val="18"/>
        </w:rPr>
      </w:pPr>
    </w:p>
    <w:p w14:paraId="31858635"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164812</w:t>
      </w:r>
    </w:p>
    <w:p w14:paraId="6A7A639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Primera Sala</w:t>
      </w:r>
    </w:p>
    <w:p w14:paraId="744B648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0B5BA21A"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Constitucional, Penal</w:t>
      </w:r>
    </w:p>
    <w:p w14:paraId="55666F0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1a./J. 42/2010</w:t>
      </w:r>
    </w:p>
    <w:p w14:paraId="55BE202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XXXI, </w:t>
      </w:r>
      <w:proofErr w:type="gramStart"/>
      <w:r w:rsidRPr="00522FF2">
        <w:rPr>
          <w:rFonts w:ascii="Arial" w:hAnsi="Arial" w:cs="Arial"/>
          <w:bCs/>
          <w:sz w:val="20"/>
          <w:szCs w:val="18"/>
        </w:rPr>
        <w:t>Abril</w:t>
      </w:r>
      <w:proofErr w:type="gramEnd"/>
      <w:r w:rsidRPr="00522FF2">
        <w:rPr>
          <w:rFonts w:ascii="Arial" w:hAnsi="Arial" w:cs="Arial"/>
          <w:bCs/>
          <w:sz w:val="20"/>
          <w:szCs w:val="18"/>
        </w:rPr>
        <w:t xml:space="preserve"> de 2010, página 149</w:t>
      </w:r>
    </w:p>
    <w:p w14:paraId="79E381DA"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Jurisprudencia</w:t>
      </w:r>
    </w:p>
    <w:p w14:paraId="27F98FAB"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DELITOS CONTRA LA SALUD. EL ARTÍCULO TERCERO TRANSITORIO DEL DECRETO POR EL QUE SE REFORMAN, ADICIONAN Y DEROGAN DIVERSAS DISPOSICIONES DE LA LEY GENERAL DE SALUD, PUBLICADO EN EL DIARIO OFICIAL DE LA FEDERACIÓN EL 20 DE AGOSTO DE 2009, VIOLA EL PRINCIPIO DE RETROACTIVIDAD DE LA LEY EN BENEFICIO DEL GOBERNADO.</w:t>
      </w:r>
    </w:p>
    <w:p w14:paraId="2C09562F"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El mencionado transitorio, al establecer que a las personas procesadas o sentenciadas que hayan cometido con anterioridad a la entrada en vigor del citado decreto uno de los delitos que contempla, les serán aplicables las disposiciones vigentes en el momento en que se haya cometido, viola el principio de retroactividad de la ley en beneficio del gobernado, contenido en el primer párrafo del artículo 14 de la Constitución Política de los Estados Unidos Mexicanos, pues con ello se impide aplicar a favor del procesado o sentenciado, la ley que le resulte más favorable. No es óbice para lo anterior, que las autoridades locales no hayan adecuado sus legislaciones para su intervención en la aplicación de las normas contenidas en ese Decreto, como lo previene su artículo primero transitorio, toda vez que </w:t>
      </w:r>
      <w:r w:rsidRPr="00522FF2">
        <w:rPr>
          <w:rFonts w:ascii="Arial" w:hAnsi="Arial" w:cs="Arial"/>
          <w:bCs/>
          <w:sz w:val="20"/>
          <w:szCs w:val="18"/>
        </w:rPr>
        <w:lastRenderedPageBreak/>
        <w:t>desde su entrada en vigor, que fue el día siguiente de su publicación, las autoridades federales conocerán de los delitos que establece el Capítulo VII de la Ley General de Salud, entre otros casos, cuando, independientemente de la cantidad del narcótico, el Ministerio Público de la Federación prevenga en el conocimiento del asunto, según se ordena en el también adicionado artículo 474 de dicho ordenamiento.</w:t>
      </w:r>
    </w:p>
    <w:p w14:paraId="0498F944" w14:textId="6B32ED40"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en revisión 2270/2009. 24 de febrero de 2010. Cinco votos. Ponente: Arturo Zaldívar Lelo de Larrea. Secretaria: Blanca Lobo Domínguez.</w:t>
      </w:r>
    </w:p>
    <w:p w14:paraId="29A05D3B" w14:textId="1D629D22"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Amparo en revisión 2247/2009. 10 de marzo de 2010. Cinco votos. Ponente: Olga Sánchez Cordero de García Villegas. Secretaria: Constanza </w:t>
      </w:r>
      <w:proofErr w:type="spellStart"/>
      <w:r w:rsidRPr="00522FF2">
        <w:rPr>
          <w:rFonts w:ascii="Arial" w:hAnsi="Arial" w:cs="Arial"/>
          <w:bCs/>
          <w:sz w:val="20"/>
          <w:szCs w:val="18"/>
        </w:rPr>
        <w:t>Tort</w:t>
      </w:r>
      <w:proofErr w:type="spellEnd"/>
      <w:r w:rsidRPr="00522FF2">
        <w:rPr>
          <w:rFonts w:ascii="Arial" w:hAnsi="Arial" w:cs="Arial"/>
          <w:bCs/>
          <w:sz w:val="20"/>
          <w:szCs w:val="18"/>
        </w:rPr>
        <w:t xml:space="preserve"> San Román.</w:t>
      </w:r>
    </w:p>
    <w:p w14:paraId="1FBCAD85" w14:textId="49C865E0"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Amparo en revisión 2265/2009. 10 de marzo de 2010. Cinco votos. Ponente: Arturo Zaldívar Lelo de Larrea. Secretaria: Amalia </w:t>
      </w:r>
      <w:proofErr w:type="spellStart"/>
      <w:r w:rsidRPr="00522FF2">
        <w:rPr>
          <w:rFonts w:ascii="Arial" w:hAnsi="Arial" w:cs="Arial"/>
          <w:bCs/>
          <w:sz w:val="20"/>
          <w:szCs w:val="18"/>
        </w:rPr>
        <w:t>Tecona</w:t>
      </w:r>
      <w:proofErr w:type="spellEnd"/>
      <w:r w:rsidRPr="00522FF2">
        <w:rPr>
          <w:rFonts w:ascii="Arial" w:hAnsi="Arial" w:cs="Arial"/>
          <w:bCs/>
          <w:sz w:val="20"/>
          <w:szCs w:val="18"/>
        </w:rPr>
        <w:t xml:space="preserve"> Silva.</w:t>
      </w:r>
    </w:p>
    <w:p w14:paraId="19833B81" w14:textId="27F92DE6"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Amparo en revisión 2269/2009. 10 de marzo de 2010. Cinco votos. Ponente: Arturo Zaldívar Lelo de Larrea. Secretaria: Amalia </w:t>
      </w:r>
      <w:proofErr w:type="spellStart"/>
      <w:r w:rsidRPr="00522FF2">
        <w:rPr>
          <w:rFonts w:ascii="Arial" w:hAnsi="Arial" w:cs="Arial"/>
          <w:bCs/>
          <w:sz w:val="20"/>
          <w:szCs w:val="18"/>
        </w:rPr>
        <w:t>Tecona</w:t>
      </w:r>
      <w:proofErr w:type="spellEnd"/>
      <w:r w:rsidRPr="00522FF2">
        <w:rPr>
          <w:rFonts w:ascii="Arial" w:hAnsi="Arial" w:cs="Arial"/>
          <w:bCs/>
          <w:sz w:val="20"/>
          <w:szCs w:val="18"/>
        </w:rPr>
        <w:t xml:space="preserve"> Silva.</w:t>
      </w:r>
    </w:p>
    <w:p w14:paraId="291478CB" w14:textId="03CF7BAE"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en revisión 32/2010. 10 de marzo de 2010. Cinco votos. Ponente: José de Jesús Gudiño Pelayo. Secretaria: Nínive Ileana Penagos Robles.</w:t>
      </w:r>
    </w:p>
    <w:p w14:paraId="48DDF688" w14:textId="645AA096"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de jurisprudencia 42/2010. Aprobada por la Primera Sala de este Alto Tribunal, en sesión de siete de abril de dos mil diez.</w:t>
      </w:r>
    </w:p>
    <w:p w14:paraId="06478DDC" w14:textId="77777777" w:rsidR="00522FF2" w:rsidRPr="00522FF2" w:rsidRDefault="00522FF2" w:rsidP="00522FF2">
      <w:pPr>
        <w:spacing w:after="0" w:line="240" w:lineRule="auto"/>
        <w:jc w:val="both"/>
        <w:rPr>
          <w:rFonts w:ascii="Arial" w:hAnsi="Arial" w:cs="Arial"/>
          <w:bCs/>
          <w:sz w:val="20"/>
          <w:szCs w:val="18"/>
        </w:rPr>
      </w:pPr>
    </w:p>
    <w:p w14:paraId="0219EB3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180260</w:t>
      </w:r>
    </w:p>
    <w:p w14:paraId="376182F5"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32E9D30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4F50FB0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Penal</w:t>
      </w:r>
    </w:p>
    <w:p w14:paraId="70BBD6D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Tesis: II.2o.P.146 P       </w:t>
      </w:r>
    </w:p>
    <w:p w14:paraId="712E145A"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XX, </w:t>
      </w:r>
      <w:proofErr w:type="gramStart"/>
      <w:r w:rsidRPr="00522FF2">
        <w:rPr>
          <w:rFonts w:ascii="Arial" w:hAnsi="Arial" w:cs="Arial"/>
          <w:bCs/>
          <w:sz w:val="20"/>
          <w:szCs w:val="18"/>
        </w:rPr>
        <w:t>Octubre</w:t>
      </w:r>
      <w:proofErr w:type="gramEnd"/>
      <w:r w:rsidRPr="00522FF2">
        <w:rPr>
          <w:rFonts w:ascii="Arial" w:hAnsi="Arial" w:cs="Arial"/>
          <w:bCs/>
          <w:sz w:val="20"/>
          <w:szCs w:val="18"/>
        </w:rPr>
        <w:t xml:space="preserve"> de 2004, página 2400</w:t>
      </w:r>
    </w:p>
    <w:p w14:paraId="0FCFB28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2E002222"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RETROACTIVIDAD DE LA LEY EN BENEFICIO DEL INCULPADO O SENTENCIADO. NO SE INFRINGE ESTE PRINCIPIO CUANDO SE ESTIMA CONFIGURADO EL DELITO DE DELINCUENCIA ORGANIZADA Y NO EL DE ASOCIACIÓN DELICTUOSA, A PESAR DE EXISTIR EVIDENCIA DE LA PERTENENCIA DEL ACUSADO A LA ORGANIZACIÓN DELICTIVA ANTES DE LA ENTRADA EN VIGOR DE LA LEY FEDERAL QUE LO PREVÉ, POR TRATARSE DE UN DELITO CONTINUO QUE SE PROLONGÓ HASTA LA VIGENCIA DE ESTA ÚLTIMA.</w:t>
      </w:r>
    </w:p>
    <w:p w14:paraId="2E8BF30E" w14:textId="0C69E6E0"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El artículo 56 del Código Penal Federal consagra el principio de la aplicación retroactiva de la ley en beneficio del inculpado o sentenciado, que relacionado con el tema denominado conflicto de sucesión de leyes en el tiempo presupone: 1. Que estando en vigor una norma penal se cometa una conducta que aquélla considera como delito; 2. Que antes de que el inculpado o sentenciado extinga la pena o medida de seguridad que le pudiera corresponder conforme a esa norma, entre en vigor otra nueva que le resulte más favorable, como podría ser: la que suprime el tipo penal o lo modifica agregándole elementos, la que admite la tentativa excluida en la disposición precedente, la que reconoce expresamente una nueva causa de licitud para el hecho, la que requiere la interposición para la querella, la que le agrega circunstancias atenuantes o la que describiendo la misma conducta típica que su antecesora, le asigne una punibilidad más benigna. Ahora bien, dichos presupuestos no se satisfacen en el caso de que la conducta atribuida al indiciado, considerada como constitutiva del delito de delincuencia organizada, hubiera iniciado antes del ocho de noviembre de mil novecientos noventa y seis, fecha en que entra en vigor la Ley Federal contra la Delincuencia Organizada, por las razones siguientes: 1) La conducta imputada no sólo se realiza antes del inicio de la vigencia de la nueva norma penal que prevé y sanciona el delito de delincuencia organizada, sino que siguió cometiéndose después de que entrara en vigor, dando lugar a un concurso aparente de normas a partir del ocho de noviembre de mil novecientos noventa y seis, porque esa continuada conducta, desde entonces, aparentemente fue susceptible de encuadrarse tanto en el tipo penal de asociación delictuosa, como en el diverso de delincuencia organizada, ambos contenidos en normas vigentes. 2) La nueva disposición jurídica que contiene el tipo penal de delincuencia organizada, no suprime el tipo penal de asociación delictuosa ni cambia su estructura. 3) La norma penal nueva o posterior (que prevé y sanciona el delito de delincuencia organizada) no tiene punibilidad menor a la norma anterior que prevé y sanciona la asociación delictuosa; por tanto, en el caso, no se infringe el principio de retroactividad de la ley en beneficio del inculpado o sentenciado, por tratarse de un delito continuo que se prolongó hasta la entrada en vigor de la nueva norma penal.</w:t>
      </w:r>
    </w:p>
    <w:p w14:paraId="49F81DD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SEGUNDO TRIBUNAL COLEGIADO EN MATERIA PENAL DEL SEGUNDO CIRCUITO.</w:t>
      </w:r>
    </w:p>
    <w:p w14:paraId="7C2BE3F4" w14:textId="7FAF8AB9"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en revisión 315/2003. 25 de marzo de 2004. Mayoría de votos. Disidente: Humberto Venancio Pineda. Ponente: Alejandro Sosa Ortiz. Secretario: Julio César Ramírez Carreón.</w:t>
      </w:r>
    </w:p>
    <w:p w14:paraId="3AD5093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en revisión 362/2003. 25 de marzo de 2004. Mayoría de votos. Disidente: Humberto Venancio Pineda. Ponente: Alejandro Sosa Ortiz. Secretario: Julio César Ramírez Carreón.</w:t>
      </w:r>
    </w:p>
    <w:p w14:paraId="21007F5F" w14:textId="77777777" w:rsidR="00522FF2" w:rsidRPr="00522FF2" w:rsidRDefault="00522FF2" w:rsidP="00522FF2">
      <w:pPr>
        <w:spacing w:after="0" w:line="240" w:lineRule="auto"/>
        <w:jc w:val="both"/>
        <w:rPr>
          <w:rFonts w:ascii="Arial" w:hAnsi="Arial" w:cs="Arial"/>
          <w:bCs/>
          <w:sz w:val="20"/>
          <w:szCs w:val="18"/>
        </w:rPr>
      </w:pPr>
    </w:p>
    <w:p w14:paraId="2B23305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181274</w:t>
      </w:r>
    </w:p>
    <w:p w14:paraId="000312E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10F863A9"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2414120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lastRenderedPageBreak/>
        <w:t>Materias(s): Penal</w:t>
      </w:r>
    </w:p>
    <w:p w14:paraId="310470B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Tesis: I.8o.P.12 P         </w:t>
      </w:r>
    </w:p>
    <w:p w14:paraId="126520B2"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XIX, </w:t>
      </w:r>
      <w:proofErr w:type="gramStart"/>
      <w:r w:rsidRPr="00522FF2">
        <w:rPr>
          <w:rFonts w:ascii="Arial" w:hAnsi="Arial" w:cs="Arial"/>
          <w:bCs/>
          <w:sz w:val="20"/>
          <w:szCs w:val="18"/>
        </w:rPr>
        <w:t>Junio</w:t>
      </w:r>
      <w:proofErr w:type="gramEnd"/>
      <w:r w:rsidRPr="00522FF2">
        <w:rPr>
          <w:rFonts w:ascii="Arial" w:hAnsi="Arial" w:cs="Arial"/>
          <w:bCs/>
          <w:sz w:val="20"/>
          <w:szCs w:val="18"/>
        </w:rPr>
        <w:t xml:space="preserve"> de 2004, página 1471</w:t>
      </w:r>
    </w:p>
    <w:p w14:paraId="4CA4005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4AAD666D"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RETROACTIVIDAD. LA APLICACIÓN DE LA LEY MÁS FAVORABLE AL SENTENCIADO QUE PROMUEVA UN INCIDENTE DE TRASLACIÓN DEL TIPO CUANDO LA SENTENCIA HA CAUSADO EJECUTORIA Y EL PROCESO SE ENCUENTRA EN LA ETAPA DE EJECUCIÓN, CORRESPONDE A LA DIRECCIÓN GENERAL DE PREVENCIÓN Y READAPTACIÓN SOCIAL Y NO AL JUEZ DE LA CAUSA (LEGISLACIÓN DEL DISTRITO FEDERAL).</w:t>
      </w:r>
    </w:p>
    <w:p w14:paraId="0B6994C0" w14:textId="4071264B"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De la interpretación armónica y sistemática de los artículos 14 de la Constitución Política de los Estados Unidos Mexicanos y 56 del Código Penal para el Distrito Federal abrogado, se colige que a ninguna ley se dará efecto retroactivo en perjuicio de persona alguna y que cuando determinada ley sea más benéfica procede invocar su aplicación, sin olvidar que las leyes son aplicables en un tiempo y espacio determinados, y que cada hecho delictivo se rige por la ley vigente en la época en que se cometió; ahora bien, el numeral 1o. del referido código penal abrogado, establece que esta legislación debe aplicarse en el Distrito Federal por delitos que sean de la competencia del fuero común cometidos en su territorio, y conforme al mencionado artículo 56, se prevé que cuando entre la comisión de un delito y la extinción de la pena o medida de seguridad entrare en vigor una nueva ley aplicable al caso, se estará a lo dispuesto en la más favorable al inculpado o sentenciado, de lo que se sigue que, en un primer supuesto, el legislador previno que fuese la autoridad judicial (Jueces y Magistrados de instancia) quien aplicaría, en su caso, la ley más favorable al reo y en una segunda hipótesis, correspondería a la autoridad ejecutora, esto es, a la Dirección General de Prevención y Readaptación Social, dependiente del Gobierno del Distrito Federal, conforme a lo previsto en el artículo 575 del Código de Procedimientos Penales para el Distrito Federal; por tanto, es claro que si el Juez de la causa resolvió un incidente no especificado de traslación del tipo solicitado por el inculpado, en virtud de la entrada en vigor del Nuevo Código Penal para el Distrito Federal, y lo hizo cuando ya se había emitido una sentencia ejecutoriada, es decir, cuando el proceso ya se encontraba en la etapa de ejecución, dicho juzgador carecía de competencia para resolver el mencionado incidente, ya que correspondía a la autoridad ejecutora aplicar la ley más favorable en respeto a la garantía consagrada en el párrafo primero del artículo 14 constitucional.</w:t>
      </w:r>
    </w:p>
    <w:p w14:paraId="6C7C3787"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OCTAVO TRIBUNAL COLEGIADO EN MATERIA PENAL DEL PRIMER CIRCUITO.</w:t>
      </w:r>
    </w:p>
    <w:p w14:paraId="4FF301DF" w14:textId="573FAA32"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Amparo en revisión 1708/2003. 6 de noviembre de 2003. Unanimidad de votos. Ponente: Manuel </w:t>
      </w:r>
      <w:proofErr w:type="spellStart"/>
      <w:r w:rsidRPr="00522FF2">
        <w:rPr>
          <w:rFonts w:ascii="Arial" w:hAnsi="Arial" w:cs="Arial"/>
          <w:bCs/>
          <w:sz w:val="20"/>
          <w:szCs w:val="18"/>
        </w:rPr>
        <w:t>Baráibar</w:t>
      </w:r>
      <w:proofErr w:type="spellEnd"/>
      <w:r w:rsidRPr="00522FF2">
        <w:rPr>
          <w:rFonts w:ascii="Arial" w:hAnsi="Arial" w:cs="Arial"/>
          <w:bCs/>
          <w:sz w:val="20"/>
          <w:szCs w:val="18"/>
        </w:rPr>
        <w:t xml:space="preserve"> Constantino. Secretaria: Blanca Isabel González Medrano.</w:t>
      </w:r>
    </w:p>
    <w:p w14:paraId="477464A8" w14:textId="780AF400"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Véase: Apéndice al Semanario Judicial de la Federación 1917-2000, Tomo II, Materia Penal, página 328, tesis 441, de rubro: "ARTÍCULO 56 DEL CÓDIGO PENAL PARA EL DISTRITO FEDERAL EN MATERIA DE FUERO COMÚN, Y PARA TODA LA REPÚBLICA EN MATERIA DE FUERO FEDERAL. A QUIÉN CORRESPONDE APLICARLO, DE ACUERDO CON EL ESTADO QUE GUARDE LA CAUSA PENAL RESPECTIVA."</w:t>
      </w:r>
    </w:p>
    <w:p w14:paraId="4CCC2030" w14:textId="2F46C34E"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Notas:</w:t>
      </w:r>
      <w:r>
        <w:rPr>
          <w:rFonts w:ascii="Arial" w:hAnsi="Arial" w:cs="Arial"/>
          <w:bCs/>
          <w:sz w:val="20"/>
          <w:szCs w:val="18"/>
        </w:rPr>
        <w:t xml:space="preserve"> </w:t>
      </w:r>
      <w:r w:rsidRPr="00522FF2">
        <w:rPr>
          <w:rFonts w:ascii="Arial" w:hAnsi="Arial" w:cs="Arial"/>
          <w:bCs/>
          <w:sz w:val="20"/>
          <w:szCs w:val="18"/>
        </w:rPr>
        <w:t>Por ejecutoria de fecha 20 de octubre de 2004, la Primera Sala declaró inexistente la contradicción de tesis 113/2004-PS en que participó el presente criterio.</w:t>
      </w:r>
    </w:p>
    <w:p w14:paraId="4DFBC07B" w14:textId="77777777" w:rsidR="00522FF2" w:rsidRPr="00522FF2" w:rsidRDefault="00522FF2" w:rsidP="00522FF2">
      <w:pPr>
        <w:spacing w:after="0" w:line="240" w:lineRule="auto"/>
        <w:jc w:val="both"/>
        <w:rPr>
          <w:rFonts w:ascii="Arial" w:hAnsi="Arial" w:cs="Arial"/>
          <w:bCs/>
          <w:sz w:val="20"/>
          <w:szCs w:val="18"/>
        </w:rPr>
      </w:pPr>
    </w:p>
    <w:p w14:paraId="72B181AD" w14:textId="56860622"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Esta tesis contendió en la contradicción 157/2005-PS resuelta por la Primera Sala, de la que derivó la tesis 1a./J. 187/2005, que aparece publicada en el Semanario Judicial de la Federación y su Gaceta, Novena Época, Tomo XXIII, febrero de 2006, página 576, con el rubro: "TRASLACIÓN DEL TIPO. COMPETE A LA AUTORIDAD JUDICIAL RESOLVER EL INCIDENTE RELATIVO CUANDO SE PROMUEVE EN LA ETAPA DE EJECUCIÓN DE LA SENTENCIA, AUN CUANDO ÉSTA SE DICTÓ CON APOYO EN UN TIPO PREVISTO EN EL CÓDIGO PENAL PARA EL DISTRITO FEDERAL EN MATERIA DE FUERO COMÚN Y PARA TODA LA REPÚBLICA EN MATERIA DE FUERO FEDERAL, ABROGADO MEDIANTE DECRETO PUBLICADO EN LA GACETA OFICIAL DEL DISTRITO FEDERAL EL 16 DE JULIO DE 2002."</w:t>
      </w:r>
    </w:p>
    <w:p w14:paraId="14E2CA2B" w14:textId="0B2CF37F"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Esta tesis contendió en la contradicción 12/2006-PS que fue declarada improcedente por la Primera Sala, toda vez que sobre el tema tratado existe la tesis 1a./J. 187/2005.</w:t>
      </w:r>
    </w:p>
    <w:p w14:paraId="5B72802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Por ejecutoria de fecha 9 de noviembre de 2005, la Primera Sala declaró inexistente la contradicción de tesis 106/2005-PS en que participó el presente criterio.</w:t>
      </w:r>
    </w:p>
    <w:p w14:paraId="3C616BCB" w14:textId="23338974" w:rsidR="00522FF2" w:rsidRPr="00522FF2" w:rsidRDefault="00522FF2" w:rsidP="00522FF2">
      <w:pPr>
        <w:spacing w:after="0" w:line="240" w:lineRule="auto"/>
        <w:jc w:val="both"/>
        <w:rPr>
          <w:rFonts w:ascii="Arial" w:hAnsi="Arial" w:cs="Arial"/>
          <w:bCs/>
          <w:sz w:val="20"/>
          <w:szCs w:val="18"/>
        </w:rPr>
      </w:pPr>
    </w:p>
    <w:p w14:paraId="0071150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190801</w:t>
      </w:r>
    </w:p>
    <w:p w14:paraId="0D3F7B1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5760FB6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3E9903DB"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Penal</w:t>
      </w:r>
    </w:p>
    <w:p w14:paraId="0F35C68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Tesis: I.1o.P.67 P         </w:t>
      </w:r>
    </w:p>
    <w:p w14:paraId="1D0DAD9E"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XII, </w:t>
      </w:r>
      <w:proofErr w:type="gramStart"/>
      <w:r w:rsidRPr="00522FF2">
        <w:rPr>
          <w:rFonts w:ascii="Arial" w:hAnsi="Arial" w:cs="Arial"/>
          <w:bCs/>
          <w:sz w:val="20"/>
          <w:szCs w:val="18"/>
        </w:rPr>
        <w:t>Diciembre</w:t>
      </w:r>
      <w:proofErr w:type="gramEnd"/>
      <w:r w:rsidRPr="00522FF2">
        <w:rPr>
          <w:rFonts w:ascii="Arial" w:hAnsi="Arial" w:cs="Arial"/>
          <w:bCs/>
          <w:sz w:val="20"/>
          <w:szCs w:val="18"/>
        </w:rPr>
        <w:t xml:space="preserve"> de 2000, página 1401</w:t>
      </w:r>
    </w:p>
    <w:p w14:paraId="30CA3CF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5990F2BE"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LIBERTAD PROVISIONAL BAJO CAUCIÓN. DEBE APLICARSE LA LEY MÁS FAVORABLE AL PROCESADO.</w:t>
      </w:r>
    </w:p>
    <w:p w14:paraId="0230354B" w14:textId="4345E67B"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La Suprema Corte de Justicia de la Nación ha establecido diversos criterios en el sentido de que tratándose de leyes procesales no opera el principio de retroactividad en favor del reo; sin embargo, si el procesado solicita el beneficio constitucional de libertad provisional bajo caución, el juzgador no sólo debe tomar en cuenta la norma adjetiva que indica </w:t>
      </w:r>
      <w:r w:rsidRPr="00522FF2">
        <w:rPr>
          <w:rFonts w:ascii="Arial" w:hAnsi="Arial" w:cs="Arial"/>
          <w:bCs/>
          <w:sz w:val="20"/>
          <w:szCs w:val="18"/>
        </w:rPr>
        <w:lastRenderedPageBreak/>
        <w:t xml:space="preserve">el procedimiento y requisitos de procedencia, sino también la norma sustantiva que contiene la conducta típica y la penalidad correspondiente, siendo que dicha norma será determinante para la concesión del beneficio; por tanto, si la norma adjetiva relativa a ese derecho, vigente al momento de los hechos le beneficia al solicitante y con motivo de una reforma le perjudica, debe aplicarse la ley sustantiva en beneficio del gobernado conforme a lo establecido en el artículo 14 constitucional y concederse el beneficio de la libertad provisional bajo caución. En tales condiciones, si el delito de abuso de autoridad, previsto y sancionado (con penalidad que en su término medio aritmético rebasa los cinco años de prisión) en el artículo 215, fracción II, del Código Penal para el Distrito Federal, fue cometido antes de la reforma del artículo 268 del Código de Procedimientos Penales para el Distrito Federal de 15 de septiembre de 1999, tiempo en que dicho ilícito no estaba conceptuado como grave, debe concederse dicho beneficio, y no negarse, por la circunstancia de que con motivo de esa reforma, el citado numeral 268 estableció que son delitos graves aquellos cuya penalidad en su término medio aritmético exceden de cinco años de prisión. Además, el régimen de libertad provisional, no </w:t>
      </w:r>
      <w:proofErr w:type="gramStart"/>
      <w:r w:rsidRPr="00522FF2">
        <w:rPr>
          <w:rFonts w:ascii="Arial" w:hAnsi="Arial" w:cs="Arial"/>
          <w:bCs/>
          <w:sz w:val="20"/>
          <w:szCs w:val="18"/>
        </w:rPr>
        <w:t>obstante</w:t>
      </w:r>
      <w:proofErr w:type="gramEnd"/>
      <w:r w:rsidRPr="00522FF2">
        <w:rPr>
          <w:rFonts w:ascii="Arial" w:hAnsi="Arial" w:cs="Arial"/>
          <w:bCs/>
          <w:sz w:val="20"/>
          <w:szCs w:val="18"/>
        </w:rPr>
        <w:t xml:space="preserve"> su regulación en una ley adjetiva, no debe considerarse como parte del procedimiento penal mismo, caso en el que sería aplicable el criterio de la Suprema Corte de Justicia de la Nación, sino atendiendo a su naturaleza jurídica, de medida de carácter cautelar vinculada necesariamente con el delito objeto del proceso. En </w:t>
      </w:r>
      <w:proofErr w:type="gramStart"/>
      <w:r w:rsidRPr="00522FF2">
        <w:rPr>
          <w:rFonts w:ascii="Arial" w:hAnsi="Arial" w:cs="Arial"/>
          <w:bCs/>
          <w:sz w:val="20"/>
          <w:szCs w:val="18"/>
        </w:rPr>
        <w:t>conclusión</w:t>
      </w:r>
      <w:proofErr w:type="gramEnd"/>
      <w:r w:rsidRPr="00522FF2">
        <w:rPr>
          <w:rFonts w:ascii="Arial" w:hAnsi="Arial" w:cs="Arial"/>
          <w:bCs/>
          <w:sz w:val="20"/>
          <w:szCs w:val="18"/>
        </w:rPr>
        <w:t xml:space="preserve"> no se trata de normas procesales en estricto sentido las que rigen ese derecho a la libertad provisional sino que además se encuentran dotadas de cierto contenido restrictivo de una garantía fundamental, como es la libertad del individuo. De seguir el criterio contrario, se podría caer en el absurdo de que en una misma causa penal y en igualdad de circunstancias en cuanto al delito y a la fecha de comisión, existan procesados, algunos con derecho a libertad provisional y otros que no la obtuvieron por la aplicación del nuevo precepto.</w:t>
      </w:r>
    </w:p>
    <w:p w14:paraId="0E792CB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PRIMER TRIBUNAL COLEGIADO EN MATERIA PENAL DEL PRIMER CIRCUITO.</w:t>
      </w:r>
    </w:p>
    <w:p w14:paraId="064B8C76" w14:textId="6E6C13F1"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en revisión 1461/99. 14 de junio de 2000. Unanimidad de votos. Ponente: Ricardo Ojeda Bohórquez. Secretario: Felipe Álvarez Medellín.</w:t>
      </w:r>
    </w:p>
    <w:p w14:paraId="223FF472" w14:textId="4CB24774"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Nota: Esta tesis contendió en la contradicción 31/2001-PS que fue declarada sin materia por la Primera Sala, toda vez que sobre el tema tratado existe la tesis 1a./J. 10/2001, que aparece publicada en el Semanario Judicial de la Federación y su Gaceta, Novena Época, Tomo XIII, abril de 2001, página 333, con el rubro: "LIBERTAD PROVISIONAL BAJO CAUCIÓN. ES UN DERECHO SUSTANTIVO RESPECTO DEL CUAL RIGE LA EXCEPCIÓN CONTENIDA EN EL ARTÍCULO 14 CONSTITUCIONAL, CONSISTENTE EN LA APLICACIÓN RETROACTIVA DE LA LEY EN BENEFICIO DEL REO."</w:t>
      </w:r>
    </w:p>
    <w:p w14:paraId="0A9184CC" w14:textId="77777777" w:rsidR="00522FF2" w:rsidRPr="00522FF2" w:rsidRDefault="00522FF2" w:rsidP="00522FF2">
      <w:pPr>
        <w:spacing w:after="0" w:line="240" w:lineRule="auto"/>
        <w:jc w:val="both"/>
        <w:rPr>
          <w:rFonts w:ascii="Arial" w:hAnsi="Arial" w:cs="Arial"/>
          <w:bCs/>
          <w:sz w:val="20"/>
          <w:szCs w:val="18"/>
        </w:rPr>
      </w:pPr>
    </w:p>
    <w:p w14:paraId="0BA02F40"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200487</w:t>
      </w:r>
    </w:p>
    <w:p w14:paraId="1B41530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Primera Sala</w:t>
      </w:r>
    </w:p>
    <w:p w14:paraId="341A6CBD"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74CA4F8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Penal, Común</w:t>
      </w:r>
    </w:p>
    <w:p w14:paraId="105A933E"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1a./J. 7/95</w:t>
      </w:r>
    </w:p>
    <w:p w14:paraId="7DCF5BDB"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I, </w:t>
      </w:r>
      <w:proofErr w:type="gramStart"/>
      <w:r w:rsidRPr="00522FF2">
        <w:rPr>
          <w:rFonts w:ascii="Arial" w:hAnsi="Arial" w:cs="Arial"/>
          <w:bCs/>
          <w:sz w:val="20"/>
          <w:szCs w:val="18"/>
        </w:rPr>
        <w:t>Mayo</w:t>
      </w:r>
      <w:proofErr w:type="gramEnd"/>
      <w:r w:rsidRPr="00522FF2">
        <w:rPr>
          <w:rFonts w:ascii="Arial" w:hAnsi="Arial" w:cs="Arial"/>
          <w:bCs/>
          <w:sz w:val="20"/>
          <w:szCs w:val="18"/>
        </w:rPr>
        <w:t xml:space="preserve"> de 1995, página 124</w:t>
      </w:r>
    </w:p>
    <w:p w14:paraId="1703D27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Jurisprudencia</w:t>
      </w:r>
    </w:p>
    <w:p w14:paraId="08AD6337"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RETROACTIVIDAD. APLICACION DE LA LEY PENAL MAS FAVORABLE. DEBE HACERSE EN EL PROCESO PENAL POR LA AUTORIDAD JURISDICCIONAL ORDINARIA COMPETENTE Y NO EN EL JUICIO DE GARANTIAS.</w:t>
      </w:r>
    </w:p>
    <w:p w14:paraId="7EC3FBD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El juicio de amparo es un medio de protección del orden constitucional contra todo acto de autoridad que agravie a cualquier gobernado; la teleología que persigue es la de proteger y preservar el régimen constitucional. Jurídicamente la acción constitucional de amparo no es un derecho de acción procesal ordinaria penal, civil, laboral o administrativa, sino que es puramente constitucional, nace directamente de la Constitución (artículos 103 y 107); va encaminada a controlar el acto de autoridad que se estima violatorio de garantías y no la ley común; no tutela los intereses que en el acto jurisdiccional ordinario se han dejado a los tribunales comunes, sino que va dirigida a hacer respetar la Ley Suprema cuando la autoridad ha rebasado sus límites. Con el amparo judicial los tribunales de la Federación, al conocer de los respectivos juicios, amplían su esfera de competencia hasta el grado de convertirse en revisores de los actos de todas las autoridades ordinarias judiciales, sin que ello implique que pueden sustituirse en funciones propias de estas últimas sino sólo hasta el límite de analizar las violaciones de procedimiento o de fondo que en su caso ellas hubieran cometido, por lo que propiamente deben estudiar el problema jurídico planteado ante este tipo de autoridades de acuerdo con las normas que rijan la materia y resulten ser las aplicables en el tiempo y en el espacio, estableciendo así el consiguiente control constitucional previsto en los artículos 14 y 16 constitucionales; por ende, el juicio de amparo, además de ser un medio de impugnación constitucional (lato sensu), es también un medio de control de legalidad. Así las cosas, atendiendo a su naturaleza, las sentencias de amparo sólo deben decidir sobre la constitucionalidad del acto que se reclama y nunca sobre cuestiones cuya decisión compete a los tribunales ordinarios, sean del fuero común o del fuero federal. Así, cuando un órgano jurisdiccional de amparo conoce de un acto reclamado que proviene de un proceso penal, no puede sustituirse en funciones propias de la autoridad responsable, a saber: en determinar de manera directa si una conducta es constitutiva de delito o no, declarar sobre la responsabilidad o irresponsabilidad del acusado o imponer las penas y medidas de seguridad establecidas en las leyes respectivas, pues lo único que debe de analizar es la legalidad y consecuente constitucionalidad del acto reclamado en cuanto a la aplicación exacta y puntual de las leyes adjetiva y sustantiva correspondientes por razones de materia, ámbito territorial y tiempo, en relación con las </w:t>
      </w:r>
      <w:r w:rsidRPr="00522FF2">
        <w:rPr>
          <w:rFonts w:ascii="Arial" w:hAnsi="Arial" w:cs="Arial"/>
          <w:bCs/>
          <w:sz w:val="20"/>
          <w:szCs w:val="18"/>
        </w:rPr>
        <w:lastRenderedPageBreak/>
        <w:t>garantías de seguridad jurídica y legalidad previstas en los artículos 14, 16, 19 y 20 de la Carta Magna. Luego, como el juicio de garantías no es una instancia más en el proceso penal y como al juzgador constitucional de amparo no corresponde calificar ni sancionar en su caso la conducta del acusado, procesado o sentenciado, él no debe, al estudiar la constitucionalidad del acto reclamado, aplicar una ley diferente a la que estuvo en vigor al emitir dicho acto, pues de esta manera ya no estaría juzgando la conducta de la autoridad responsable, que se estima violatoria de garantías, sino sustituyéndose en funciones específicas de ésta y, por ende, creando una instancia más dentro del proceso penal, con el consecuente quebrantamiento del orden jurídico y la tergiversación de la esencia y los fines del juicio de amparo. No obsta a lo anterior, el que, en términos del artículo 14 constitucional y de diversas leyes sustantivas, esté permitida la aplicación retroactiva de la ley penal cuando ésta beneficie al quejoso y no se lesionen derechos de tercero, pues la aplicación de tal ley debe hacerse siempre por autoridad competente y dentro del proceso penal, o el procedimiento de ejecución, según corresponda, pero nunca en el juicio de garantías; lo cual no implica dejar en estado de indefensión al interesado, porque en caso de que hubiera concluido la segunda instancia, la autoridad competente de la ejecución de las penas y medidas de seguridad, aun de oficio, deberá aplicar la ley más favorable al sentenciado.</w:t>
      </w:r>
    </w:p>
    <w:p w14:paraId="49CC937E" w14:textId="5562DF71"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Contradicción de tesis 13/94. Entre las sustentadas por los Tribunales Colegiados Primero y Segundo del Noveno Circuito. 28 de abril de 1995. Unanimidad de cinco votos. Ponente: Humberto Román Palacios. Secretario: Manuel Rojas Fonseca.</w:t>
      </w:r>
    </w:p>
    <w:p w14:paraId="4843324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Tesis de Jurisprudencia 7/95. Aprobada por la Primera Sala de este alto Tribunal, en sesión privada celebrada el doce de mayo de mil novecientos noventa y cinco, por unanimidad de votos de los señores </w:t>
      </w:r>
      <w:proofErr w:type="gramStart"/>
      <w:r w:rsidRPr="00522FF2">
        <w:rPr>
          <w:rFonts w:ascii="Arial" w:hAnsi="Arial" w:cs="Arial"/>
          <w:bCs/>
          <w:sz w:val="20"/>
          <w:szCs w:val="18"/>
        </w:rPr>
        <w:t>Ministros</w:t>
      </w:r>
      <w:proofErr w:type="gramEnd"/>
      <w:r w:rsidRPr="00522FF2">
        <w:rPr>
          <w:rFonts w:ascii="Arial" w:hAnsi="Arial" w:cs="Arial"/>
          <w:bCs/>
          <w:sz w:val="20"/>
          <w:szCs w:val="18"/>
        </w:rPr>
        <w:t>: Presidente Juventino V. Castro y Castro, Humberto Román Palacios, José de Jesús Gudiño Pelayo, Juan N. Silva Meza y Olga María del Carmen Sánchez Cordero.</w:t>
      </w:r>
    </w:p>
    <w:p w14:paraId="0EB8164C" w14:textId="34C3C4D5" w:rsidR="00522FF2" w:rsidRPr="00522FF2" w:rsidRDefault="00522FF2" w:rsidP="00522FF2">
      <w:pPr>
        <w:spacing w:after="0" w:line="240" w:lineRule="auto"/>
        <w:jc w:val="both"/>
        <w:rPr>
          <w:rFonts w:ascii="Arial" w:hAnsi="Arial" w:cs="Arial"/>
          <w:bCs/>
          <w:sz w:val="20"/>
          <w:szCs w:val="18"/>
        </w:rPr>
      </w:pPr>
    </w:p>
    <w:p w14:paraId="473C0B0B"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204832</w:t>
      </w:r>
    </w:p>
    <w:p w14:paraId="65808FFE"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1020EBCD"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5A02D9D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Penal</w:t>
      </w:r>
    </w:p>
    <w:p w14:paraId="3A6CA437"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III.2o.P.3 P</w:t>
      </w:r>
    </w:p>
    <w:p w14:paraId="74E49CE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Fuente: Semanario Judicial de la Federación y su Gaceta. Tomo II, Julio de 1995, página 272</w:t>
      </w:r>
    </w:p>
    <w:p w14:paraId="016462B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032B2E9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RETROACTIVIDAD DE LA LEY. PARA SU APLICACION, LA DIRECCION GENERAL DE PREVENCION Y READAPTACION SOCIAL NO PUEDE HACER CONSIDERACIONES DIVERSAS A LAS PLANTEADAS POR EL ORGANO JURISDICCIONAL.</w:t>
      </w:r>
    </w:p>
    <w:p w14:paraId="6AA51E1A" w14:textId="6EA6510B"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El artículo 56 del Código Penal Federal, textualmente establece: "Cuando entre la comisión de un delito y la extinción de la pena o medida de seguridad entrare en vigor una nueva ley, se estará a lo dispuesto en la más favorable al inculpado o sentenciado. La autoridad que esté conociendo del asunto o ejecutando la sanción, aplicará de oficio la ley más favorable. Cuando el reo hubiese sido sentenciado al término mínimo o al término máximo de la pena prevista y la reforma disminuya dicho término, se estará a la ley más favorable. Cuando el sujeto hubiese sido sentenciado a una pena entre el término mínimo y el término máximo, se estará a la reducción que resulte en el término medio aritmético conforme a la nueva norma." De lo anterior se desprende, que para aplicar de oficio la ley más favorable, no es dable que la autoridad condigna haga consideraciones diversas a las apreciadas en la sentencia dictada por el órgano jurisdiccional, ni tomar en cuenta si el reo está observando una efectiva readaptación social en base al trabajo, capacitación y educación, durante el tiempo en que ha estado recluido, conforme a los estudios practicados por la comisión dictaminadora de la Dirección General de Prevención y Readaptación Social dependiente de la Secretaría de Gobernación, ya que tales exigencias no están establecidas en el numeral citado.</w:t>
      </w:r>
    </w:p>
    <w:p w14:paraId="5B80B162"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SEGUNDO TRIBUNAL COLEGIADO EN MATERIA PENAL DEL TERCER CIRCUITO.</w:t>
      </w:r>
    </w:p>
    <w:p w14:paraId="77C17577" w14:textId="508DE566"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Queja 12/95. Director de Ejecución de Sentencias, dependiente de la Dirección General de Prevención y Readaptación Social de la Secretaría de Gobernación, en ausencia del titular de esa Dirección. 17 de mayo de 1995. Unanimidad de votos. Ponente: Homero Ruiz Velázquez. Secretario: José Guadalupe Hernández Torres.</w:t>
      </w:r>
    </w:p>
    <w:p w14:paraId="2C9C8470" w14:textId="61CB5522"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Queja 11/95. Subsecretario de Protección Civil y de Prevención y Readaptación Social de la Secretaría de Gobernación. 17 de mayo de 1995. Unanimidad de votos. Ponente: Homero Ruiz Velázquez. Secretario: José Guadalupe Hernández Torres.</w:t>
      </w:r>
    </w:p>
    <w:p w14:paraId="67F890DD" w14:textId="2C520660"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Queja 10/95. Director General de Asuntos Jurídicos de la Secretaría de Gobernación en ausencia del titular de esa dependencia. 17 de mayo de 1995. Unanimidad de votos. Ponente: Homero Ruiz Velázquez. Secretario: José Guadalupe Hernández Torres.</w:t>
      </w:r>
    </w:p>
    <w:p w14:paraId="65F3386B" w14:textId="71678B25"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Queja 9/95. Director de Ejecución de Sentencias, dependiente de la Dirección General de Prevención y Readaptación Social de la Secretaría de Gobernación. 17 de mayo de 1995. Unanimidad de votos. Ponente: Homero Ruiz Velázquez. Secretario: José Guadalupe Hernández Torres.</w:t>
      </w:r>
    </w:p>
    <w:p w14:paraId="3EC8560F" w14:textId="77777777" w:rsidR="00522FF2" w:rsidRPr="00522FF2" w:rsidRDefault="00522FF2" w:rsidP="00522FF2">
      <w:pPr>
        <w:spacing w:after="0" w:line="240" w:lineRule="auto"/>
        <w:jc w:val="both"/>
        <w:rPr>
          <w:rFonts w:ascii="Arial" w:hAnsi="Arial" w:cs="Arial"/>
          <w:bCs/>
          <w:sz w:val="20"/>
          <w:szCs w:val="18"/>
        </w:rPr>
      </w:pPr>
    </w:p>
    <w:p w14:paraId="269A5A9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205100</w:t>
      </w:r>
    </w:p>
    <w:p w14:paraId="0A91FDDE"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1DC4EB2B"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Novena Época</w:t>
      </w:r>
    </w:p>
    <w:p w14:paraId="267E88F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lastRenderedPageBreak/>
        <w:t>Materias(s): Penal</w:t>
      </w:r>
    </w:p>
    <w:p w14:paraId="5F595C59"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V.2o.4 P</w:t>
      </w:r>
    </w:p>
    <w:p w14:paraId="02389C6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Semanario Judicial de la Federación y su Gaceta. Tomo I, </w:t>
      </w:r>
      <w:proofErr w:type="gramStart"/>
      <w:r w:rsidRPr="00522FF2">
        <w:rPr>
          <w:rFonts w:ascii="Arial" w:hAnsi="Arial" w:cs="Arial"/>
          <w:bCs/>
          <w:sz w:val="20"/>
          <w:szCs w:val="18"/>
        </w:rPr>
        <w:t>Junio</w:t>
      </w:r>
      <w:proofErr w:type="gramEnd"/>
      <w:r w:rsidRPr="00522FF2">
        <w:rPr>
          <w:rFonts w:ascii="Arial" w:hAnsi="Arial" w:cs="Arial"/>
          <w:bCs/>
          <w:sz w:val="20"/>
          <w:szCs w:val="18"/>
        </w:rPr>
        <w:t xml:space="preserve"> de 1995, página 533</w:t>
      </w:r>
    </w:p>
    <w:p w14:paraId="50D4B54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0B3AE519"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RETROACTIVIDAD DE LA LEGISLACION PENAL. DEBE APLICARSE LA LEY QUE RESULTE MAS BENEFICA AL REO.</w:t>
      </w:r>
    </w:p>
    <w:p w14:paraId="0A368107" w14:textId="7AF0ED69"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Si en el lapso comprendido desde la comisión del ilícito a la fecha de la sentencia reclamada, ocurren diversas reformas al Código Penal aplicable, al encontrarse </w:t>
      </w:r>
      <w:proofErr w:type="spellStart"/>
      <w:r w:rsidRPr="00522FF2">
        <w:rPr>
          <w:rFonts w:ascii="Arial" w:hAnsi="Arial" w:cs="Arial"/>
          <w:bCs/>
          <w:sz w:val="20"/>
          <w:szCs w:val="18"/>
        </w:rPr>
        <w:t>subjúdice</w:t>
      </w:r>
      <w:proofErr w:type="spellEnd"/>
      <w:r w:rsidRPr="00522FF2">
        <w:rPr>
          <w:rFonts w:ascii="Arial" w:hAnsi="Arial" w:cs="Arial"/>
          <w:bCs/>
          <w:sz w:val="20"/>
          <w:szCs w:val="18"/>
        </w:rPr>
        <w:t xml:space="preserve"> la sentencia que se dictó en el proceso penal materia de juicio de amparo, deben tomarse en consideración, en beneficio del sentenciado quejoso, las prerrogativas previstas en el artículo 14, primer párrafo, constitucional, a contrario sensu, esto es, que a ninguna ley se le dará efecto retroactivo en perjuicio de persona alguna, lo que implica que si es en beneficio del reo, en materia penal, se debe aplicar la legislación más benigna.</w:t>
      </w:r>
    </w:p>
    <w:p w14:paraId="68009EF7"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SEGUNDO TRIBUNAL COLEGIADO DEL QUINTO CIRCUITO.</w:t>
      </w:r>
    </w:p>
    <w:p w14:paraId="651E47F4" w14:textId="4D9C2980"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Amparo directo 46/95. María Gloria Pérez Romero. 9 de marzo de 1995. Unanimidad de votos. Ponente: Alicia Rodríguez Cruz. Secretaria: María de los </w:t>
      </w:r>
      <w:proofErr w:type="spellStart"/>
      <w:r w:rsidRPr="00522FF2">
        <w:rPr>
          <w:rFonts w:ascii="Arial" w:hAnsi="Arial" w:cs="Arial"/>
          <w:bCs/>
          <w:sz w:val="20"/>
          <w:szCs w:val="18"/>
        </w:rPr>
        <w:t>Angeles</w:t>
      </w:r>
      <w:proofErr w:type="spellEnd"/>
      <w:r w:rsidRPr="00522FF2">
        <w:rPr>
          <w:rFonts w:ascii="Arial" w:hAnsi="Arial" w:cs="Arial"/>
          <w:bCs/>
          <w:sz w:val="20"/>
          <w:szCs w:val="18"/>
        </w:rPr>
        <w:t xml:space="preserve"> Peregrino Uriarte.</w:t>
      </w:r>
    </w:p>
    <w:p w14:paraId="55BB5A0B" w14:textId="77777777" w:rsidR="00522FF2" w:rsidRPr="00522FF2" w:rsidRDefault="00522FF2" w:rsidP="00522FF2">
      <w:pPr>
        <w:spacing w:after="0" w:line="240" w:lineRule="auto"/>
        <w:jc w:val="both"/>
        <w:rPr>
          <w:rFonts w:ascii="Arial" w:hAnsi="Arial" w:cs="Arial"/>
          <w:bCs/>
          <w:sz w:val="20"/>
          <w:szCs w:val="18"/>
        </w:rPr>
      </w:pPr>
    </w:p>
    <w:p w14:paraId="0F7A423F"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2006447</w:t>
      </w:r>
    </w:p>
    <w:p w14:paraId="604C3417"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667741F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Décima Época</w:t>
      </w:r>
    </w:p>
    <w:p w14:paraId="082A0130"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Constitucional, Penal</w:t>
      </w:r>
    </w:p>
    <w:p w14:paraId="4E7C563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I.5o.P.11 P (10a.)</w:t>
      </w:r>
    </w:p>
    <w:p w14:paraId="13047CA3"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Gaceta del Semanario Judicial de la Federación. Libro 6, </w:t>
      </w:r>
      <w:proofErr w:type="gramStart"/>
      <w:r w:rsidRPr="00522FF2">
        <w:rPr>
          <w:rFonts w:ascii="Arial" w:hAnsi="Arial" w:cs="Arial"/>
          <w:bCs/>
          <w:sz w:val="20"/>
          <w:szCs w:val="18"/>
        </w:rPr>
        <w:t>Mayo</w:t>
      </w:r>
      <w:proofErr w:type="gramEnd"/>
      <w:r w:rsidRPr="00522FF2">
        <w:rPr>
          <w:rFonts w:ascii="Arial" w:hAnsi="Arial" w:cs="Arial"/>
          <w:bCs/>
          <w:sz w:val="20"/>
          <w:szCs w:val="18"/>
        </w:rPr>
        <w:t xml:space="preserve"> de 2014, Tomo III, página 1978</w:t>
      </w:r>
    </w:p>
    <w:p w14:paraId="2E2E27F9"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3BC03C1F"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DEFRAUDACIÓN FISCAL. LA ACTUALIZACIÓN DE SU MONTO SEÑALADO EN LAS FRACCIONES DEL ARTÍCULO 108 DEL CÓDIGO FISCAL DE LA FEDERACIÓN, CONFORME AL PROCEDIMIENTO ESTABLECIDO EN SU DIVERSO PRECEPTO 17-A, CONSTITUYE UNA MODIFICACIÓN A AQUELLA DISPOSICIÓN, QUE ES APLICABLE RETROACTIVAMENTE A FAVOR DEL INCULPADO PARA ADECUAR LA PENA, EN RESPETO Y PROTECCIÓN A SU DERECHO HUMANO DE RETROACTIVIDAD DE LA LEY EN SU BENEFICIO.</w:t>
      </w:r>
    </w:p>
    <w:p w14:paraId="2219A649" w14:textId="46A6BBAD"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Los artículos 14, párrafo primero, de la Constitución Federal, 9 de la Convención Americana sobre Derechos Humanos, 56 del Código Penal Federal y 553 del Código Federal de Procedimientos Penales contienen, el primero, el principio de retroactividad de la ley en beneficio del gobernado y, los restantes, el diverso de aplicación de la ley más favorable al inculpado o sentenciado, aun en extinción de la pena, al prever en cuanto al tema de las sanciones que, si con posterioridad a la comisión del delito e inclusive durante la extinción de la pena la ley dispone la imposición de una más leve o entrare en vigor una nueva legislación o reforma, se estará a lo previsto en la más benigna al imputado, ya sea de oficio o a solicitud de éste. En este sentido, debe interpretarse que puede existir tal modificación de la ley que redunde en beneficio del enjuiciado, derivado de la actualización a que alude el artículo 17-A del Código Fiscal de la Federación, respecto de las cantidades señaladas en las fracciones de su diverso numeral 108, que sirven de referente para determinar las penas a imponer al sujeto activo del delito de defraudación fiscal, dado que si bien ese reajuste de montos no lo realiza el legislador periódicamente, sino el jefe del Servicio de Administración Tributaria de acuerdo a la situación económica del país, ello no conduce a estimar que no exista un cambio en la ley fiscal, porque aun cuando las penas establecidas en el citado numeral 108 no han sido modificadas, sí se actualizan los montos mínimo y máximo de las cantidades de lo defraudado, los cuales dicha autoridad administrativa informa en misceláneas fiscales (anexos) del ejercicio respectivo, que se publican en el Diario Oficial de la Federación; por lo que al integrarse o incorporarse las actualizaciones de esas cantidades al citado código, pasan a formar parte de dicho ordenamiento para su operatividad, sirviendo de parámetro para determinar las penas a imponer a los sujetos activos de delitos fiscales, lo cual implica, por extensión, que su aplicación retroactiva pueda incidir favorablemente en casos de adecuación de las penas; con lo cual se adopta la interpretación más favorable, en respeto y protección al derecho humano de retroactividad de la ley en beneficio del inculpado.</w:t>
      </w:r>
    </w:p>
    <w:p w14:paraId="4D0D01F4"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QUINTO TRIBUNAL COLEGIADO EN MATERIA PENAL DEL PRIMER CIRCUITO.</w:t>
      </w:r>
    </w:p>
    <w:p w14:paraId="2C7EEBCD" w14:textId="1A2CE054"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Amparo en revisión 68/2012. 25 de octubre de 2012. Mayoría de votos. Disidente: Enrique Escobar Ángeles. Ponente: María Eugenia Estela Martínez Cardiel. Secretaria: Mayra León Colín.</w:t>
      </w:r>
    </w:p>
    <w:p w14:paraId="1C28E8C6"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Nota: Esta tesis fue objeto de la denuncia relativa a la contradicción de tesis 5/2013, de la que derivó la tesis jurisprudencial 1a./J. 56/2014 (10a.) de título y subtítulo: "DEFRAUDACIÓN FISCAL. LA ACTUALIZACIÓN DE LAS CANTIDADES RELATIVAS AL MONTO DEL PERJUICIO A LA HACIENDA PÚBLICA SEÑALADAS EN LAS FRACCIONES I A III DEL ARTÍCULO 108 DEL CÓDIGO FISCAL DE LA FEDERACIÓN, DE CONFORMIDAD CON EL PROCEDIMIENTO ESTABLECIDO EN EL PRECEPTO 17-A -RESOLUCIÓN DE MISCELÁNEA FISCAL- NO SE TRADUCE EN UNA REFORMA A LA NORMA PENAL QUE PERMITA LA APLICACIÓN DEL PRINCIPIO DE RETROACTIVIDAD PARA LA OBTENCIÓN DE LA SUSTITUCIÓN Y CONMUTACIÓN DE SANCIONES O CUALQUIER OTRO BENEFICIO PREVISTO EN LA LEY."</w:t>
      </w:r>
    </w:p>
    <w:p w14:paraId="6876AA7A"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Esta tesis se publicó el viernes 16 de mayo de 2014 a las 11:00 horas en el Semanario Judicial de la Federación.</w:t>
      </w:r>
    </w:p>
    <w:p w14:paraId="2B76ED27" w14:textId="77777777" w:rsidR="00522FF2" w:rsidRPr="00522FF2" w:rsidRDefault="00522FF2" w:rsidP="00522FF2">
      <w:pPr>
        <w:spacing w:after="0" w:line="240" w:lineRule="auto"/>
        <w:jc w:val="both"/>
        <w:rPr>
          <w:rFonts w:ascii="Arial" w:hAnsi="Arial" w:cs="Arial"/>
          <w:bCs/>
          <w:sz w:val="20"/>
          <w:szCs w:val="18"/>
        </w:rPr>
      </w:pPr>
    </w:p>
    <w:p w14:paraId="0C74BB0D"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Registro digital: 2015675</w:t>
      </w:r>
    </w:p>
    <w:p w14:paraId="753898F1"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Instancia: Tribunales Colegiados de Circuito</w:t>
      </w:r>
    </w:p>
    <w:p w14:paraId="175050B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Décima Época</w:t>
      </w:r>
    </w:p>
    <w:p w14:paraId="7F360772"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Materias(s): Penal</w:t>
      </w:r>
    </w:p>
    <w:p w14:paraId="56C8A7B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Tesis: XVII.1o.P.A.51 P (10a.)</w:t>
      </w:r>
    </w:p>
    <w:p w14:paraId="6AD7B2EF"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Fuente: Gaceta del Semanario Judicial de la Federación. Libro 48, </w:t>
      </w:r>
      <w:proofErr w:type="gramStart"/>
      <w:r w:rsidRPr="00522FF2">
        <w:rPr>
          <w:rFonts w:ascii="Arial" w:hAnsi="Arial" w:cs="Arial"/>
          <w:bCs/>
          <w:sz w:val="20"/>
          <w:szCs w:val="18"/>
        </w:rPr>
        <w:t>Noviembre</w:t>
      </w:r>
      <w:proofErr w:type="gramEnd"/>
      <w:r w:rsidRPr="00522FF2">
        <w:rPr>
          <w:rFonts w:ascii="Arial" w:hAnsi="Arial" w:cs="Arial"/>
          <w:bCs/>
          <w:sz w:val="20"/>
          <w:szCs w:val="18"/>
        </w:rPr>
        <w:t xml:space="preserve"> de 2017, Tomo III, página 2204</w:t>
      </w:r>
    </w:p>
    <w:p w14:paraId="6FF85A48"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Tipo: Aislada</w:t>
      </w:r>
    </w:p>
    <w:p w14:paraId="25AC65E2"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TRASLACIÓN DEL TIPO Y ADECUACIÓN DE LA PENA EN EL DELITO DE EXTORSIÓN. ES LEGAL QUE SE REALICE ENTRE LAS HIPÓTESIS PREVISTAS EN LOS ARTÍCULOS 231, FRACCIÓN V, VIGENTE EN LOS MESES DE MARZO A MAYO DE 2013, Y 204 BIS, PÁRRAFO SEGUNDO, FRACCIÓN I, VIGENTE A PARTIR DEL 16 DE NOVIEMBRE DE 2014, AMBOS DEL CÓDIGO PENAL DEL ESTADO DE CHIHUAHUA, AL PREVER ÉSTE UNA PENA MÁS BENÉFICA PARA EL REO.</w:t>
      </w:r>
    </w:p>
    <w:p w14:paraId="1C34E5C8" w14:textId="769701CC"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En el Estado de Chihuahua, el delito de extorsión, en los meses de marzo a mayo de dos mil trece, se encontraba previsto en el artículo 231 del Código Penal de la entidad, que en sus párrafos primero y segundo, fracción V, disponía: "A quien por cualquier conducto, con ánimo de lucro, obligare a otro, con violencia o intimidación, a realizar, omitir o tolerar un acto, en su perjuicio o de algún tercero, se le impondrán de cuatro a quince años de prisión y de cien a ochocientos días multa.-Se impondrá prisión vitalicia, cuando en la comisión del delito se dé alguna de las siguientes modalidades: ...V. Cuando se logre que la víctima o un tercero, entregue alguna cantidad de dinero para evitar el daño con que se amenaza.". Posteriormente, por decreto publicado en el Periódico Oficial local el 15 de noviembre de 2014, vigente al día siguiente, dicho código fue reformado y el delito mencionado quedó contenido en el artículo 204 Bis, primero y segundo párrafos, fracción I, que refiere: "A quien por cualquier conducto, con ánimo de lucro, obligare a otro, con violencia moral o intimidación, a realizar, omitir o tolerar un acto, en su perjuicio o de algún tercero, se le impondrán de cinco a treinta años de prisión y de cien a ochocientos días multa.-Se impondrá prisión de treinta a setenta años, cuando en la comisión del delito se dé alguna de las siguientes modalidades: I. Se logre que la víctima o un tercero, entregue alguna cantidad de dinero o algún bien u objeto para evitar el daño con que se amenaza.". De lo que se advierte que en la nueva legislación penal local se mantuvieron los elementos que configuran el delito, en tanto que la pena a imponer disminuyó de prisión vitalicia a un mínimo de treinta, y un máximo de setenta años. Por tanto, atento al principio de retroactividad benigna que establecen los artículos 14 de la Constitución Política de los Estados Unidos Mexicanos y 9 de la Convención Americana sobre Derechos Humanos, es legal que al dictarse la sentencia, se lleve a cabo la traslación del tipo y la adecuación de la pena entre las hipótesis previstas en dichos preceptos, al prever este último una pena más benéfica para el reo, pues ello tiene como finalidad primordial garantizar el principio de exacta aplicación de la ley en materia penal, que constituye un derecho fundamental para todo gobernado en los juicios del orden criminal.</w:t>
      </w:r>
    </w:p>
    <w:p w14:paraId="345FF675"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PRIMER TRIBUNAL COLEGIADO EN MATERIAS PENAL Y ADMINISTRATIVA DEL DÉCIMO SÉPTIMO CIRCUITO.</w:t>
      </w:r>
    </w:p>
    <w:p w14:paraId="607EC74F"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 xml:space="preserve">Amparo directo 20/2017. 1 de septiembre de 2017. Unanimidad de votos. Ponente: Marta Olivia Tello Acuña. Secretario: Jorge Erik Montes Gutiérrez. </w:t>
      </w:r>
    </w:p>
    <w:p w14:paraId="7AB1159C" w14:textId="77777777" w:rsidR="00522FF2" w:rsidRPr="00522FF2" w:rsidRDefault="00522FF2" w:rsidP="00522FF2">
      <w:pPr>
        <w:spacing w:after="0" w:line="240" w:lineRule="auto"/>
        <w:jc w:val="both"/>
        <w:rPr>
          <w:rFonts w:ascii="Arial" w:hAnsi="Arial" w:cs="Arial"/>
          <w:bCs/>
          <w:sz w:val="20"/>
          <w:szCs w:val="18"/>
        </w:rPr>
      </w:pPr>
      <w:r w:rsidRPr="00522FF2">
        <w:rPr>
          <w:rFonts w:ascii="Arial" w:hAnsi="Arial" w:cs="Arial"/>
          <w:bCs/>
          <w:sz w:val="20"/>
          <w:szCs w:val="18"/>
        </w:rPr>
        <w:t>Esta tesis se publicó el viernes 24 de noviembre de 2017 a las 10:35 horas en el Semanario Judicial de la Federación.</w:t>
      </w:r>
    </w:p>
    <w:p w14:paraId="2A3EA448" w14:textId="1A38ACE2" w:rsidR="008612D9" w:rsidRPr="008612D9" w:rsidRDefault="008612D9" w:rsidP="008612D9">
      <w:pPr>
        <w:spacing w:after="0" w:line="240" w:lineRule="auto"/>
        <w:jc w:val="both"/>
        <w:rPr>
          <w:rFonts w:ascii="Arial" w:hAnsi="Arial" w:cs="Arial"/>
          <w:bCs/>
          <w:sz w:val="20"/>
          <w:szCs w:val="18"/>
        </w:rPr>
      </w:pPr>
    </w:p>
    <w:sectPr w:rsidR="008612D9" w:rsidRPr="008612D9" w:rsidSect="00824C25">
      <w:headerReference w:type="default" r:id="rId6"/>
      <w:pgSz w:w="12240" w:h="15840"/>
      <w:pgMar w:top="958"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8C0F4" w14:textId="77777777" w:rsidR="00D97333" w:rsidRDefault="00D97333" w:rsidP="00FF61CF">
      <w:pPr>
        <w:spacing w:after="0" w:line="240" w:lineRule="auto"/>
      </w:pPr>
      <w:r>
        <w:separator/>
      </w:r>
    </w:p>
  </w:endnote>
  <w:endnote w:type="continuationSeparator" w:id="0">
    <w:p w14:paraId="482E1FD7" w14:textId="77777777" w:rsidR="00D97333" w:rsidRDefault="00D97333" w:rsidP="00FF6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DA81F" w14:textId="77777777" w:rsidR="00D97333" w:rsidRDefault="00D97333" w:rsidP="00FF61CF">
      <w:pPr>
        <w:spacing w:after="0" w:line="240" w:lineRule="auto"/>
      </w:pPr>
      <w:r>
        <w:separator/>
      </w:r>
    </w:p>
  </w:footnote>
  <w:footnote w:type="continuationSeparator" w:id="0">
    <w:p w14:paraId="4FA3B6BC" w14:textId="77777777" w:rsidR="00D97333" w:rsidRDefault="00D97333" w:rsidP="00FF6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151048"/>
      <w:docPartObj>
        <w:docPartGallery w:val="Page Numbers (Top of Page)"/>
        <w:docPartUnique/>
      </w:docPartObj>
    </w:sdtPr>
    <w:sdtEndPr/>
    <w:sdtContent>
      <w:p w14:paraId="3317659B" w14:textId="77777777" w:rsidR="00FF61CF" w:rsidRDefault="0062376B" w:rsidP="00FF61CF">
        <w:pPr>
          <w:pStyle w:val="Encabezado"/>
          <w:jc w:val="right"/>
        </w:pPr>
        <w:r>
          <w:fldChar w:fldCharType="begin"/>
        </w:r>
        <w:r>
          <w:instrText xml:space="preserve"> PAGE   \* MERGEFORMAT </w:instrText>
        </w:r>
        <w:r>
          <w:fldChar w:fldCharType="separate"/>
        </w:r>
        <w:r w:rsidR="00824C25">
          <w:rPr>
            <w:noProof/>
          </w:rPr>
          <w:t>17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1CF"/>
    <w:rsid w:val="001645FE"/>
    <w:rsid w:val="00421C66"/>
    <w:rsid w:val="00522FF2"/>
    <w:rsid w:val="005572E5"/>
    <w:rsid w:val="0062376B"/>
    <w:rsid w:val="00824C25"/>
    <w:rsid w:val="008612D9"/>
    <w:rsid w:val="00AE7CBA"/>
    <w:rsid w:val="00D05DCF"/>
    <w:rsid w:val="00D97333"/>
    <w:rsid w:val="00FF61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7F91A"/>
  <w15:docId w15:val="{60D8A246-C621-4999-8B64-B2E53669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CB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61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61CF"/>
  </w:style>
  <w:style w:type="paragraph" w:styleId="Piedepgina">
    <w:name w:val="footer"/>
    <w:basedOn w:val="Normal"/>
    <w:link w:val="PiedepginaCar"/>
    <w:uiPriority w:val="99"/>
    <w:semiHidden/>
    <w:unhideWhenUsed/>
    <w:rsid w:val="00FF61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F6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5298</Words>
  <Characters>29144</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consulta1</dc:creator>
  <cp:lastModifiedBy>ELIZABETH LOPEZ GARCIA</cp:lastModifiedBy>
  <cp:revision>2</cp:revision>
  <cp:lastPrinted>2011-04-13T20:21:00Z</cp:lastPrinted>
  <dcterms:created xsi:type="dcterms:W3CDTF">2021-07-14T12:44:00Z</dcterms:created>
  <dcterms:modified xsi:type="dcterms:W3CDTF">2021-07-14T12:44:00Z</dcterms:modified>
</cp:coreProperties>
</file>