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5AA" w:rsidRPr="00FD1CDE" w:rsidRDefault="00B165AA" w:rsidP="00701D77">
      <w:pPr>
        <w:spacing w:after="0" w:line="240" w:lineRule="auto"/>
        <w:jc w:val="center"/>
        <w:rPr>
          <w:rFonts w:ascii="Arial" w:hAnsi="Arial" w:cs="Arial"/>
          <w:b/>
          <w:sz w:val="20"/>
          <w:szCs w:val="20"/>
        </w:rPr>
      </w:pPr>
      <w:bookmarkStart w:id="0" w:name="_GoBack"/>
      <w:bookmarkEnd w:id="0"/>
      <w:r w:rsidRPr="00FD1CDE">
        <w:rPr>
          <w:rFonts w:ascii="Arial" w:hAnsi="Arial" w:cs="Arial"/>
          <w:b/>
          <w:sz w:val="20"/>
          <w:szCs w:val="20"/>
        </w:rPr>
        <w:t>TRASLACIÓN DEL TIPO</w:t>
      </w:r>
      <w:r w:rsidR="001932DE" w:rsidRPr="00FD1CDE">
        <w:rPr>
          <w:rFonts w:ascii="Arial" w:hAnsi="Arial" w:cs="Arial"/>
          <w:b/>
          <w:sz w:val="20"/>
          <w:szCs w:val="20"/>
        </w:rPr>
        <w:t xml:space="preserve"> Y </w:t>
      </w:r>
      <w:r w:rsidR="001A717E" w:rsidRPr="00FD1CDE">
        <w:rPr>
          <w:rFonts w:ascii="Arial" w:hAnsi="Arial" w:cs="Arial"/>
          <w:b/>
          <w:sz w:val="20"/>
          <w:szCs w:val="20"/>
        </w:rPr>
        <w:t>ADECUACIÓN DE LA PENA</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Época: Décima Época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Registro: 2015967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Instancia: Tribunales Colegiados de Circuito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Tipo de Tesis: Aislada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Fuente: Gaceta del Semanario Judicial de la Federación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Libro 50, Enero de 2018, Tomo IV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Materia(s): Común, Penal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Tesis: I.6o.P.100 P (10a.)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Página: 2176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INCIDENTE DE TRASLACIÓN DEL TIPO Y ADECUACIÓN DE LAS PENAS. CUANDO LA AUTORIDAD JUDICIAL NO MODIFICA LA PENA DE PRISIÓN, LA INTERLOCUTORIA RELATIVA ADQUIERE CARÁCTER MERAMENTE DECLARATIVO Y, POR TANTO, CARECE DE EJECUCIÓN PARA EFECTOS DEL JUICIO DE AMPARO.</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La interlocutoria mediante la que el Juez de ejecución resuelve la traslación de tipo y, consecuente, adecuación de la pena, es un acto que afecta la libertad personal del sentenciado; sin embargo, cuando la resolución no modifica la pena de prisión adquiere carácter meramente declarativo y, por tanto, carece de ejecución para efectos del juicio de amparo; de ahí que no pueda reputarse que el director del reclusorio donde el reo se encuentra privado de la libertad, tenga el carácter de autoridad ejecutora. Situación distinta ocurre cuando la resolución modifica la sanción privativa de libertad, porque en tal caso se materializan sus efectos y, entonces, se puede establecer que el director del centro de reclusión ejecuta la interlocutoria dictada por la autoridad judicial. Por esta razón, cuando el sentenciado reclama en la vía constitucional la resolución dictada en el incidente de traslación del tipo, que no hizo modificación alguna en la pena de prisión, y atribuye su ejecución al director del reclusorio donde compurga la sanción privativa de libertad, deberá considerarse que el acto no existe y, en consecuencia, decretar el sobreseimiento en el juicio por lo que a ese acto se refiere, con fundamento en el artículo 63, fracción IV, de la Ley de Amparo.</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SEXTO TRIBUNAL COLEGIADO EN MATERIA PENAL DEL PRIMER CIRCUITO.</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Amparo en revisión 217/2017. 5 de octubre de 2017. Unanimidad de votos. Ponente: María Elena Leguízamo Ferrer. Secretario: Felipe Gilberto Vázquez Pedraza.</w:t>
      </w:r>
    </w:p>
    <w:p w:rsidR="00701D77" w:rsidRPr="00FD1CDE" w:rsidRDefault="00701D77" w:rsidP="00701D77">
      <w:pPr>
        <w:spacing w:after="0" w:line="240" w:lineRule="auto"/>
        <w:jc w:val="both"/>
        <w:rPr>
          <w:rFonts w:ascii="Arial" w:hAnsi="Arial" w:cs="Arial"/>
          <w:sz w:val="20"/>
          <w:szCs w:val="20"/>
        </w:rPr>
      </w:pP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Época: Décima Época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Registro: 2015675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Instancia: Tribunales Colegiados de Circuito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Tipo de Tesis: Aislada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Fuente: Gaceta del Semanario Judicial de la Federación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Libro 48, Noviembre de 2017, Tomo III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Materia(s): Penal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Tesis: XVII.1o.P.A.51 P (10a.)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Página: 2204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TRASLACIÓN DEL TIPO Y ADECUACIÓN DE LA PENA EN EL DELITO DE EXTORSIÓN. ES LEGAL QUE SE REALICE ENTRE LAS HIPÓTESIS PREVISTAS EN LOS ARTÍCULOS 231, FRACCIÓN V, VIGENTE EN LOS MESES DE MARZO A MAYO DE 2013, Y 204 BIS, PÁRRAFO SEGUNDO, FRACCIÓN I, VIGENTE A PARTIR DEL 16 DE NOVIEMBRE DE 2014, AMBOS DEL CÓDIGO PENAL DEL ESTADO DE CHIHUAHUA, AL PREVER ÉSTE UNA PENA MÁS BENÉFICA PARA EL REO.</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En el Estado de Chihuahua, el delito de extorsión, en los meses de marzo a mayo de dos mil trece, se encontraba previsto en el artículo 231 del Código Penal de la entidad, que en sus párrafos primero y segundo, fracción V, disponía: "A quien por cualquier conducto, con ánimo de lucro, obligare a otro, con violencia o intimidación, a realizar, omitir o tolerar un acto, en su perjuicio o de algún tercero, se le impondrán de cuatro a quince años de prisión y de cien a ochocientos días multa.-Se impondrá prisión vitalicia, cuando en la comisión del delito se dé alguna de las siguientes modalidades: ...V. Cuando se logre que la víctima o un tercero, entregue alguna cantidad de dinero para evitar el daño con que se amenaza.". Posteriormente, por decreto publicado en el Periódico Oficial local el 15 de noviembre de 2014, vigente al día siguiente, dicho código fue reformado y el delito mencionado quedó contenido en el artículo 204 Bis, primero y segundo párrafos, fracción I, que refiere: "A quien por cualquier conducto, con ánimo de lucro, obligare a otro, con violencia moral o intimidación, a realizar, omitir o tolerar un acto, en su perjuicio o de algún tercero, se le impondrán de cinco a treinta años de prisión y de cien a ochocientos días multa.-Se impondrá prisión de treinta a setenta años, cuando en la comisión del delito se dé alguna de las siguientes modalidades: I. Se logre que la víctima o un tercero, entregue alguna cantidad de dinero o algún bien u objeto para evitar el daño con que se amenaza.". De lo que se advierte que en la nueva legislación penal local se mantuvieron los elementos que configuran el delito, en tanto que la pena a imponer disminuyó de prisión vitalicia a un mínimo de treinta, y un máximo de setenta años. Por tanto, atento al principio de retroactividad benigna que establecen los artículos 14 de la Constitución Política de los Estados Unidos Mexicanos y 9 de la Convención Americana sobre Derechos Humanos, es legal que al dictarse la sentencia, se lleve a cabo la traslación del tipo y la adecuación de la pena entre las hipótesis previstas en dichos preceptos, al prever este último una pena más benéfica para el reo, pues ello tiene como finalidad primordial garantizar el principio de exacta aplicación de la ley en materia penal, que constituye un derecho fundamental para todo gobernado en los juicios del orden criminal.</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lastRenderedPageBreak/>
        <w:t>PRIMER TRIBUNAL COLEGIADO EN MATERIAS PENAL Y ADMINISTRATIVA DEL DÉCIMO SÉPTIMO CIRCUITO.</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Amparo directo 20/2017. 1 de septiembre de 2017. Unanimidad de votos. Ponente: Marta Olivia Tello Acuña. Secretario: Jorge Erik Montes Gutiérrez. </w:t>
      </w:r>
    </w:p>
    <w:p w:rsidR="00701D77" w:rsidRPr="00FD1CDE" w:rsidRDefault="00701D77" w:rsidP="00701D77">
      <w:pPr>
        <w:spacing w:after="0" w:line="240" w:lineRule="auto"/>
        <w:jc w:val="both"/>
        <w:rPr>
          <w:rFonts w:ascii="Arial" w:hAnsi="Arial" w:cs="Arial"/>
          <w:sz w:val="20"/>
          <w:szCs w:val="20"/>
        </w:rPr>
      </w:pP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Época: Décima Época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Registro: 2004129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Instancia: Tribunales Colegiados de Circuito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Tipo de Tesis: Aislada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Fuente: Semanario Judicial de la Federación y su Gaceta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Libro XXII, Julio de 2013, Tomo 2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Materia(s): Penal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Tesis: II.2o.P.28 P (10a.)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Página: 1603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TRASLACIÓN DEL TIPO Y ADECUACIÓN DE LA PENA. PARA DETERMINAR SI PROCEDE Y EN ACATAMIENTO AL PRINCIPIO DE EXACTA APLICACIÓN DE LA LEY PENAL, LA AUTORIDAD DEBE LIMITARSE A VERIFICAR SI LOS ELEMENTOS DEL DELITO POR EL QUE SE CONDENÓ AL SENTENCIADO, CONFORME A SU TIPIFICACIÓN ABROGADA, CONTINÚAN SIENDO LOS MISMOS EN LA LEGISLACIÓN ACTUAL, SIN ANALIZAR NUEVAMENTE LOS HECHOS PARA ACREDITAR UNA MODIFICATIVA AGRAVANTE NO CONSIDERADA EN LA SENTENCIA DEFINITIVA.</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En la jurisprudencia 1a./J. 4/2013 (9a.) de la Primera Sala de la Suprema Corte de Justicia de la Nación, publicada en el Semanario Judicial de la Federación y su Gaceta, Décima Época, Libro XVIII, Tomo 1, marzo de 2013, página 413, de rubro: "TRASLACIÓN DEL TIPO Y ADECUACIÓN DE LA PENA. CONSTITUYEN UN DERECHO DEL GOBERNADO PROTEGIDO CONSTITUCIONALMENTE.", se consideró que para determinar si procede efectuar la traslación del tipo y la adecuación de la pena, es necesario que la autoridad precise si la conducta estimada como delictiva, conforme a la legislación punitiva vigente en la fecha de su comisión, continúa siéndolo en términos del nuevo ordenamiento, esto es, deberán analizarse los elementos que se tomarán en cuenta para la configuración del ilícito conforme a su tipificación abrogada frente a la nueva legislación para concluir si se mantienen los elementos de la descripción típica del delito y, en su caso, aplicar la sanción más favorable al sentenciado. De esta manera, en acatamiento al principio de exacta aplicación de la ley penal, al resolver sobre tal petición, la autoridad no debe analizar nuevamente los hechos y sostener la acreditación de modificativas agravantes no consideradas en la sentencia definitiva, sino que debe limitarse a verificar si los elementos del delito por el que se condenó al sentenciado, conforme a su tipificación abrogada, continúan siendo los mismos en la legislación actual; y, si lo son, aplicarle la sanción más favorable absteniéndose de calificar nuevamente los hechos, ya que no sería razonable que se realizara una diversa valoración de pruebas para demostrar si se acreditó o no una modificativa agravante, y si éstas formaron parte del pliego de acusación, pues sería ilegal que la autoridad jurisdiccional las tuviera por demostradas, cuando ni siquiera existió pedimento ministerial.</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SEGUNDO TRIBUNAL COLEGIADO EN MATERIA PENAL DEL SEGUNDO CIRCUITO.</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Amparo en revisión 48/2013. 3 de mayo de 2013. Unanimidad de votos. Ponente: Óscar Espinosa Durán. Secretaria: Arely Yamel Bolaños Domínguez.</w:t>
      </w:r>
    </w:p>
    <w:p w:rsidR="00701D77" w:rsidRPr="00FD1CDE" w:rsidRDefault="00701D77" w:rsidP="00701D77">
      <w:pPr>
        <w:spacing w:after="0" w:line="240" w:lineRule="auto"/>
        <w:jc w:val="both"/>
        <w:rPr>
          <w:rFonts w:ascii="Arial" w:hAnsi="Arial" w:cs="Arial"/>
          <w:sz w:val="20"/>
          <w:szCs w:val="20"/>
        </w:rPr>
      </w:pP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Época: Novena Época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Registro: 159862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Instancia: Primera Sala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Tipo de Tesis: Jurisprudencia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Fuente: Semanario Judicial de la Federación y su Gaceta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Libro XVIII, Marzo de 2013, Tomo 1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Materia(s): Constitucional, Penal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Tesis: 1a./J. 4/2013 (9a.)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Página: 413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TRASLACIÓN DEL TIPO Y ADECUACIÓN DE LA PENA. CONSTITUYEN UN DERECHO DEL GOBERNADO PROTEGIDO CONSTITUCIONALMENTE.</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El primer párrafo del artículo 14 de la Constitución Política de los Estados Unidos Mexicanos prohíbe la aplicación retroactiva de la ley en perjuicio de persona alguna. Ahora bien, de la interpretación a contrario sensu de tal precepto, se advierte que otorga el derecho al gobernado de que se le aplique retroactivamente la ley penal cuando sea en su beneficio, por lo que si cometió un delito bajo la vigencia de una ley sustantiva con base en la cual se le sentenció y, posteriormente se promulga una nueva que prevé una pena menor para el mismo delito, o el acto considerado por la ley anterior como delito deja de tener tal carácter o se modifican las circunstancias para su persecución, aquél tiene el derecho protegido constitucionalmente a que se le aplique retroactivamente la nueva ley y, por ende, a que se le reduzca la pena o se le ponga en libertad. Esto es así, porque si el legislador en un nuevo ordenamiento legal dispone que un determinado hecho ilícito merece sancionarse con una pena menor o que no hay motivos para suponer que, a partir de ese momento, el orden social pueda alterarse con un acto anteriormente considerado como delictivo, es inválido que el poder público insista en exigir la ejecución de la sanción como se había impuesto por un hecho que ya no la amerita o que no la merece en tal proporción. Consecuentemente, la traslación del tipo y la adecuación de la pena constituyen un derecho de todo gobernado, que puede ejercer ante la autoridad correspondiente en vía incidental, para que ésta </w:t>
      </w:r>
      <w:r w:rsidRPr="00FD1CDE">
        <w:rPr>
          <w:rFonts w:ascii="Arial" w:hAnsi="Arial" w:cs="Arial"/>
          <w:sz w:val="20"/>
          <w:szCs w:val="20"/>
        </w:rPr>
        <w:lastRenderedPageBreak/>
        <w:t>determine si la conducta estimada como delictiva conforme a la legislación punitiva vigente en la fecha de su comisión continúa siéndolo en términos del nuevo ordenamiento, esto es, para que analice los elementos que determinaron la configuración del ilícito de acuerdo a su tipificación abrogada frente a la legislación vigente y decida si éstos se mantienen o no y, en su caso, aplicarle la sanción más favorable.</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Contradicción de tesis 28/2004-PS. Entre las sustentadas por el Segundo y el Décimo Tribunales Colegiados, ambos en Materia Penal del Primer Circuito. 18 de agosto de 2004. Unanimidad de cuatro votos. Ponente: José Ramón Cossío Díaz. Secretario: Miguel Enrique Sánchez Frías.</w:t>
      </w:r>
    </w:p>
    <w:p w:rsidR="00701D77" w:rsidRPr="00FD1CDE" w:rsidRDefault="00701D77" w:rsidP="00701D77">
      <w:pPr>
        <w:spacing w:after="0" w:line="240" w:lineRule="auto"/>
        <w:jc w:val="both"/>
        <w:rPr>
          <w:rFonts w:ascii="Arial" w:hAnsi="Arial" w:cs="Arial"/>
          <w:sz w:val="20"/>
          <w:szCs w:val="20"/>
        </w:rPr>
      </w:pP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Época: Novena Época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Registro: 160742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Instancia: Primera Sala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Tipo de Tesis: Jurisprudencia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Fuente: Semanario Judicial de la Federación y su Gaceta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Libro I, Octubre de 2011, Tomo 2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Materia(s): Penal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Tesis: 1a./J. 86/2011 (9a.)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 xml:space="preserve">Página: 1027 </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SOLICITUD DE TRASLACIÓN DEL TIPO PENAL Y ADECUACIÓN DE LA PENA. DEBE TRAMITARSE COMO INCIDENTE NO ESPECIFICADO Y, POR TANTO, LA INTERLOCUTORIA QUE LO RESUELVE ES APELABLE EN TÉRMINOS DEL ARTÍCULO 367, FRACCIÓN V, DEL CÓDIGO FEDERAL DE PROCEDIMIENTOS PENALES.</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Los artículos 553 y 554 del Código Federal de Procedimientos Penales, establecen que quien haya sido condenado por sentencia irrevocable y se encuentre en el caso de aplicación de la ley más favorable, puede solicitar a la autoridad jurisdiccional la reducción de la pena o el sobreseimiento, sin perjuicio de que ello pueda hacerse de oficio y sin detrimento de la obligación de reparar los daños y perjuicios legalmente exigibles, y que recibida la solicitud, debe resolverse sin más trámite lo procedente. Por otra parte, el artículo 494 del mismo ordenamiento, en lo conducente, dispone que: "Los incidentes cuya tramitación no se detalle en este Código y que, a juicio del tribunal, no puedan resolverse de plano y sean de aquellos que no deban suspender el curso del procedimiento, se substanciarán por separado ...", con las formalidades de ley. En ese sentido, la solicitud prevista en los citados artículos 553 y 554, tratándose de traslación del tipo penal y adecuación de la pena, debe tramitarse como incidente no especificado, ya que su ejercicio impone al juzgador la obligación de analizar la conducta por la que fue sentenciado el promovente para adecuarla a un tipo penal diferente, es decir, se trata de una cuestión técnica y especializada que no puede resolverse de plano, sino previa audiencia de las partes en el procedimiento formal indicado y, por tanto, la interlocutoria que lo resuelva es apelable en términos del artículo 367, fracción V, del Código Federal de Procedimientos Penales.</w:t>
      </w:r>
    </w:p>
    <w:p w:rsidR="00701D77" w:rsidRPr="00FD1CDE" w:rsidRDefault="00701D77" w:rsidP="00701D77">
      <w:pPr>
        <w:spacing w:after="0" w:line="240" w:lineRule="auto"/>
        <w:jc w:val="both"/>
        <w:rPr>
          <w:rFonts w:ascii="Arial" w:hAnsi="Arial" w:cs="Arial"/>
          <w:sz w:val="20"/>
          <w:szCs w:val="20"/>
        </w:rPr>
      </w:pPr>
      <w:r w:rsidRPr="00FD1CDE">
        <w:rPr>
          <w:rFonts w:ascii="Arial" w:hAnsi="Arial" w:cs="Arial"/>
          <w:sz w:val="20"/>
          <w:szCs w:val="20"/>
        </w:rPr>
        <w:t>Contradicción de tesis 341/2010. Entre las sustentadas por los Tribunales Colegiados Segundo, Tercero y Cuarto, todos del Décimo Segundo Circuito. 22 de junio de 2011. Mayoría de tres votos. Disidentes: Olga Sánchez Cordero de García Villegas y José Ramón Cossío Díaz. Ponente: Guillermo I. Ortiz Mayagoitia. Secretario: Jorge Antonio Medina Gaona.</w:t>
      </w:r>
    </w:p>
    <w:p w:rsidR="00701D77" w:rsidRPr="00FD1CDE" w:rsidRDefault="00701D77" w:rsidP="00701D77">
      <w:pPr>
        <w:spacing w:after="0" w:line="240" w:lineRule="auto"/>
        <w:jc w:val="both"/>
        <w:rPr>
          <w:rFonts w:ascii="Arial" w:hAnsi="Arial" w:cs="Arial"/>
          <w:sz w:val="20"/>
          <w:szCs w:val="20"/>
        </w:rPr>
      </w:pP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No. Registro: 163,912</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Jurisprudencia</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Materia(s): Penal</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Novena Época</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Instancia: Tribunales Colegiados de Circuito</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Fuente: Semanario Judicial de la Federación y su Gaceta</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XXXII, Agosto de 2010</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Tesis: XV.4o. J/11</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Página: 2138</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TRASLACIÓN DEL TIPO Y ADECUACIÓN DE LA PENA. EFECTOS DE LA CONCESIÓN DEL AMPARO CUANDO LA AUTORIDAD RESPONSABLE, CON POSTERIORIDAD A LA COMISIÓN DEL DELITO POR EL QUE SE DICTÓ LA RESOLUCIÓN IMPUGNADA, OMITE EL ESTUDIO SOBRE LA APLICACIÓN DE UNA PENA MÁS BENÉFICA PARA EL SENTENCIADO.</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 xml:space="preserve">Del análisis del artículo 14, primer párrafo, de la Constitución Política de los Estados Unidos Mexicanos, interpretado a contrario sensu, así como de la Convención Americana sobre Derechos Humanos adoptada en San José de Costa Rica el 22 de noviembre de 1969 y aprobada por el Senado el 18 de diciembre de 1980, se infiere el beneficio del delincuente a recibir una pena más breve si, con posterioridad a la comisión del delito, la ley así lo dispone; luego, si el tribunal responsable que pronunció la sentencia que se reclama omitió el estudio sobre la aplicación de una pena señalada como más leve (por ejemplo las previstas en los artículos 476 y 477 de la Ley General de Salud) bajo el argumento de que los artículos transitorios segundo y tercero del Decreto por el que se reforman, adicionan y derogan diversas disposiciones de la Ley General de Salud, del Código Penal Federal y del Código Federal de Procedimientos Penales, publicado en el Diario Oficial de la Federación el 20 de agosto de 2009, en vigor a partir del día siguiente de su publicación, prohíben su observación al establecer que serán aplicables las disposiciones vigentes en el momento en que se haya cometido el ilícito (artículos 195 y 195 bis del Código Penal Federal), ello resulta desacertado, porque nuestra Constitución protege las garantías individuales; así, se exige al órgano jurisdiccional de conformidad con el artículo 133 de la Carta Magna, como </w:t>
      </w:r>
      <w:r w:rsidRPr="00FD1CDE">
        <w:rPr>
          <w:rFonts w:ascii="Arial" w:hAnsi="Arial" w:cs="Arial"/>
          <w:sz w:val="20"/>
          <w:szCs w:val="20"/>
        </w:rPr>
        <w:lastRenderedPageBreak/>
        <w:t>ley máxima en toda la Unión, optar por un tratado o normatividad que sea aplicable y que derive de un resultado que sea acorde al Texto Supremo. En congruencia con lo anterior, los efectos de la concesión del amparo que en su caso se promueva contra aquella determinación, serán que el tribunal responsable emita una nueva resolución en donde analice si procede o no la aplicación de la nueva disposición, es decir, si esencialmente son los mismos elementos que integran el cuerpo del delito vigente en el momento en que se cometió el ilícito y si, en el caso, le resulta más benéfica la pena reformada.</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CUARTO TRIBUNAL COLEGIADO DEL DÉCIMO QUINTO CIRCUITO.</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Amparo directo 715/2009. 28 de enero de 2010. Unanimidad de votos. Ponente: Rubén David Aguilar Santibáñez. Secretaria: Ana Luisa Araceli Pozo Meza.</w:t>
      </w:r>
    </w:p>
    <w:p w:rsidR="00701D77" w:rsidRPr="00FD1CDE" w:rsidRDefault="00701D77" w:rsidP="00701D77">
      <w:pPr>
        <w:spacing w:after="0" w:line="240" w:lineRule="auto"/>
        <w:jc w:val="both"/>
        <w:rPr>
          <w:rFonts w:ascii="Arial" w:hAnsi="Arial" w:cs="Arial"/>
          <w:sz w:val="20"/>
          <w:szCs w:val="20"/>
        </w:rPr>
      </w:pP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No. Registro: 170,504</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Jurisprudencia</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Materia(s): Penal</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Novena Época</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Instancia: Primera Sala</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Fuente: Semanario Judicial de la Federación y su Gaceta</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XXVII, Enero de 2008</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Tesis: 1a./J. 164/2007</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Página: 196</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INCIDENTE DE TRASLACIÓN DEL TIPO Y ADECUACIÓN DE LAS PENAS. LA INTERLOCUTORIA QUE LO RESUELVE CONSTITUYE UN ACTO QUE AFECTA LA LIBERTAD PERSONAL, POR LO QUE PUEDE IMPUGNARSE A TRAVÉS DEL JUICIO DE AMPARO INDIRECTO, SIN NECESIDAD DE AGOTAR PREVIAMENTE LOS RECURSOS ORDINARIOS PREVISTOS EN LA LEY.</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La interlocutoria que resuelve el incidente de traslación del tipo y adecuación de las penas constituye un acto que afecta la libertad personal del individuo, pues aun cuando la privación de su libertad es a causa de la sentencia condenatoria dictada en el proceso penal, continuará privado de su libertad como consecuencia positiva de dicha resolución. En ese tenor, se concluye que al afectarse la libertad personal del individuo, la determinación que resuelve el mencionado incidente es impugnable a través del juicio de amparo indirecto sin necesidad de agotar previamente los recursos ordinarios establecidos en la ley, en virtud de que se actualiza la excepción al principio de definitividad, contenida en la fracción XII del artículo 107 de la Constitución Política de los Estados Unidos Mexicanos y en el numeral 37 de la Ley de Amparo.</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Contradicción de tesis 101/2007-PS. Entre las sustentadas por los Tribunales Colegiados Segundo y Cuarto, ambos en Materia Penal del Primer Circuito. 31 de octubre de 2007. Cinco votos. Ponente: Juan N. Silva Meza. Secretario: Jaime Flores Cruz.</w:t>
      </w:r>
    </w:p>
    <w:p w:rsidR="001932DE" w:rsidRPr="00FD1CDE" w:rsidRDefault="001932DE" w:rsidP="00701D77">
      <w:pPr>
        <w:spacing w:after="0" w:line="240" w:lineRule="auto"/>
        <w:jc w:val="both"/>
        <w:rPr>
          <w:rFonts w:ascii="Arial" w:hAnsi="Arial" w:cs="Arial"/>
          <w:sz w:val="20"/>
          <w:szCs w:val="20"/>
        </w:rPr>
      </w:pP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No. Registro: 173,563</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Tesis aislada</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Materia(s): Penal</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Novena Época</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Instancia: Tribunales Colegiados de Circuito</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Fuente: Semanario Judicial de la Federación y su Gaceta</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XXV, Enero de 2007</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Tesis: I.4o.P.37 P</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Página: 2255</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INCIDENTE DE TRASLACIÓN DEL TIPO Y ADECUACIÓN DE LA PENA DE PRISIÓN. SU RESOLUCIÓN CONSTITUYE UN ACTO QUE AFECTA LA LIBERTAD PERSONAL POR LO QUE PUEDE IMPUGNARSE A TRAVÉS DEL AMPARO INDIRECTO AL ACTUALIZARSE UNA EXCEPCIÓN AL PRINCIPIO DE DEFINITIVIDAD.</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La Primera Sala de la Suprema Corte de Justicia de la Nación, en la jurisprudencia 1a./J. 74/2004, visible en la página 137, Tomo XX, diciembre de 2004, Novena Época del Semanario Judicial de la Federación y su Gaceta, de rubro: "INCIDENTE DE TRASLACIÓN DEL TIPO Y ADECUACIÓN DE LA PENA DE PRISIÓN. CONTRA LA RESOLUCIÓN DICTADA EN ÉL, PUEDE PRESENTARSE LA DEMANDA DE AMPARO EN CUALQUIER TIEMPO, POR TRATARSE DE UN ACTO QUE AFECTA LA LIBERTAD PERSONAL DEL QUEJOSO.", sostuvo que la resolución dictada en el incidente citado constituye un acto que afecta la libertad personal del individuo, pues a partir de ese momento se encontrará restringida no sólo por virtud de la sentencia que lo condenó, sino también por la resolución incidental; por tanto, si se impugna la resolución dictada en el incidente de traslación del tipo y adecuación de la pena de prisión a través del juicio de amparo indirecto se actualiza un caso de excepción al principio de definitividad consagrado en los artículos 107, fracción XII, de la Constitución Política de los Estados Unidos Mexicanos y 37 de la Ley de Amparo, por lo que es innecesario agotar, previamente, los recursos ordinarios previstos en la ley, por tratarse de un acto de imposible reparación.</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CUARTO TRIBUNAL COLEGIADO EN MATERIA PENAL DEL PRIMER CIRCUITO.</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Amparo en revisión (improcedencia) 314/2006. 28 de febrero de 2006. Unanimidad de votos. Ponente: Fernando Andrés Ortiz Cruz. Secretaria: Rosa Lilia Villalobos Gómez.</w:t>
      </w:r>
    </w:p>
    <w:p w:rsidR="00701D77" w:rsidRPr="00FD1CDE" w:rsidRDefault="00701D77" w:rsidP="00701D77">
      <w:pPr>
        <w:spacing w:after="0" w:line="240" w:lineRule="auto"/>
        <w:jc w:val="both"/>
        <w:rPr>
          <w:rFonts w:ascii="Arial" w:hAnsi="Arial" w:cs="Arial"/>
          <w:sz w:val="20"/>
          <w:szCs w:val="20"/>
        </w:rPr>
      </w:pP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No. Registro: 175,948</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Tesis aislada</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Materia(s): Penal</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Novena Época</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Instancia: Primera Sala</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Fuente: Semanario Judicial de la Federación y su Gaceta</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XXIII, Febrero de 2006</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Tesis: 1a. V/2006</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Página: 628</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ELEMENTOS NORMATIVOS DEL TIPO. EN SU PRECISIÓN EL JUEZ NO DEBE RECURRIR AL USO DE FACULTADES DISCRECIONALES, SINO APRECIARLOS CON UN CRITERIO OBJETIVO, DE ACUERDO CON LA NORMATIVA CORRESPONDIENTE.</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Los citados elementos fueron establecidos por el legislador para tipificar una determinada conducta, en la que se requiere no sólo describir la acción punible, sino también un juicio de valor por parte del Juez sobre ciertos  hechos, cuya acreditación se reduce a constatar la adecuación entre la situación fáctica, que se invoca como la que satisface el requisito contenido en dichos elementos, y el marco jurídico específico correspondiente. En tal sentido, cada vez que el tipo penal contenga una especial alusión a la antijuridicidad de la conducta descrita en él, implicará una específica referencia al mundo normativo, en el que se basa la juridicidad y antijuridicidad.  En ese caso, la actividad del Juez no es, como en los elementos descriptivos u objetivos, meramente cognoscitiva, pues no se limita a establecer las pruebas del hecho que acrediten el mecanismo de subsunción en el tipo legal, sino que debe realizar una actividad valorativa a fin de comprobar la antijuridicidad de la conducta del sujeto activo del delito; sin embargo, esta actividad no debe realizarse desde el punto de vista subjetivo del Juez, sino con un criterio objetivo acorde con la normativa correspondiente y, por tanto, al hacer aquella valoración y apreciar los elementos normativos como presupuestos del injusto típico, el Juez no debe recurrir al uso de facultades discrecionales.</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Amparo en revisión 534/2005. 22 de junio de 2005. Cinco votos. Ponente: Juan N. Silva Meza. Secretario: Manuel González Díaz.</w:t>
      </w:r>
    </w:p>
    <w:p w:rsidR="001932DE" w:rsidRPr="00FD1CDE" w:rsidRDefault="001932DE" w:rsidP="00701D77">
      <w:pPr>
        <w:spacing w:after="0" w:line="240" w:lineRule="auto"/>
        <w:jc w:val="both"/>
        <w:rPr>
          <w:rFonts w:ascii="Arial" w:hAnsi="Arial" w:cs="Arial"/>
          <w:sz w:val="20"/>
          <w:szCs w:val="20"/>
        </w:rPr>
      </w:pP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No. Registro: 177,755</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Tesis aislada</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Materia(s): Penal</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Novena Época</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Instancia: Tribunales Colegiados de Circuito</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Fuente: Semanario Judicial de la Federación y su Gaceta</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XXII, Julio de 2005</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Tesis: I.6o.P.88 P</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Página: 1563</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TRASLACIÓN DEL TIPO PENAL. LA REALIZADA ENTRE LAS HIPÓTESIS NORMATIVAS PREVISTAS EN LOS ARTÍCULOS 247, FRACCIÓN II, DEL CÓDIGO PENAL PARA EL DISTRITO FEDERAL ABROGADO Y 311 DEL NUEVO CÓDIGO PENAL, AL NO PREVER LOS MISMOS ELEMENTOS DESCRIPTIVOS VIOLA LAS GARANTÍAS DE EXACTA APLICACIÓN DE LA LEY PENAL Y RETROACTIVIDAD CONTENIDAS EN EL ARTÍCULO 14 DE LA CONSTITUCIÓN FEDERAL.</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De la confrontación de los elementos descriptivos del delito de falsedad de declaraciones judiciales previsto en la fracción II del artículo 247 del Código Penal Local, vigente hasta el veintiocho de noviembre de dos mil, con los configurativos del de falsedad de declaraciones ante autoridades contemplado en el numeral 311 del Nuevo Código Penal para el Distrito Federal, se advierte que no son equivalentes, pues los de la norma anterior eran: a) Que el activo fuere examinado por una autoridad judicial; b) Que tal examen se le hiciere en su carácter de testigo o perito; y, c) Que faltare a la verdad sobre el hecho que se tratare de averiguar; mientras que los de la norma actual son: a) Que el activo declare ante una autoridad en ejercicio de sus funciones o con motivo de ellas; y, b) Que falte a la verdad en relación con los hechos que motivan la intervención de dicha autoridad. Por tanto, resulta que ambas normas sólo tienen en común los elementos relativos a que la falsedad en declaraciones se realice ante una autoridad; sin embargo, la norma anterior exigía calidades especiales en cuanto a la autoridad ante quien se realizaran las declaraciones falsas y al sujeto activo, en virtud de que con relación a la primera tenía que ser precisamente de carácter judicial y en cuanto al segundo, que fuera específicamente un testigo o un perito, mientras que la norma actual no requiere esas calidades específicas, pues se refiere a cualquier autoridad y persona física imputable, lo que se traduce en que la hipótesis establecida en la norma anterior no encuentra adecuación exacta en el actual precepto legal, por lo que la traslación del tipo realizada viola las garantías de exacta aplicación de la ley penal y retroactividad en perjuicio del gobernado, previstas en el artículo 14 de la Constitución Federal.</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SEXTO TRIBUNAL COLEGIADO EN MATERIA PENAL DEL PRIMER CIRCUITO.</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Amparo directo 496/2005. 15 de abril de 2005. Unanimidad de votos. Ponente: Tereso Ramos Hernández. Secretaria: Miriam Sonia Saucedo Estrella.</w:t>
      </w:r>
    </w:p>
    <w:p w:rsidR="001932DE" w:rsidRPr="00FD1CDE" w:rsidRDefault="001932DE" w:rsidP="00701D77">
      <w:pPr>
        <w:spacing w:after="0" w:line="240" w:lineRule="auto"/>
        <w:jc w:val="both"/>
        <w:rPr>
          <w:rFonts w:ascii="Arial" w:hAnsi="Arial" w:cs="Arial"/>
          <w:sz w:val="20"/>
          <w:szCs w:val="20"/>
        </w:rPr>
      </w:pP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No. Registro: 179,889</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lastRenderedPageBreak/>
        <w:t>Jurisprudencia</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Materia(s): Penal</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Novena Época</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Instancia: Primera Sala</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Fuente: Semanario Judicial de la Federación y su Gaceta</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XX, Diciembre de 2004</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Tesis: 1a./J. 74/2004</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Página: 137</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INCIDENTE DE TRASLACIÓN DEL TIPO Y ADECUACIÓN DE LA PENA DE PRISIÓN. CONTRA LA RESOLUCIÓN DICTADA EN ÉL, PUEDE PRESENTARSE LA DEMANDA DE AMPARO EN CUALQUIER TIEMPO, POR TRATARSE DE UN ACTO QUE AFECTA LA LIBERTAD PERSONAL DEL QUEJOSO.</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El Tribunal en Pleno y la Primera Sala de la Suprema Corte de Justicia de la Nación han sostenido el criterio de que la libertad personal de los individuos no sólo se afecta a través de actos de autoridad que tengan como consecuencia material privarlos de la que disfrutan en ese momento, sino también mediante actos que determinen, de alguna manera, la permanencia del gobernado en dicha situación o que modifiquen las condiciones en que tal privación deba ejecutarse. En estas condiciones, cuando el reo promueve el incidente en el que solicita la traslación del tipo y la adecuación de la pena de prisión, por considerar que un nuevo ordenamiento en vigor prevé el mismo tipo penal pero con una pena más benéfica, la resolución que al efecto emita la autoridad correspondiente constituye una posibilidad de que el sentenciado no continúe compurgando la pena de prisión que se le había impuesto, de manera que dicha determinación es un acto que afecta su libertad personal, pues a partir de ese momento se encontrará restringida no sólo por virtud de la sentencia que lo condenó, sino también por la resolución incidental; en consecuencia, esta resolución puede ser impugnada en cualquier tiempo a través del juicio de garantías, por quedar comprendida en la fracción II del artículo 22 de la Ley de Amparo, que prevé los supuestos de excepción al término genérico de quince días para su interposición, establecido por el diverso artículo 21 de la propia ley.</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Contradicción de tesis 28/2004-PS. Entre las sustentadas por los Tribunales Colegiados Segundo y Décimo, ambos en Materia Penal del Primer Circuito. 18 de agosto de 2004. Unanimidad de cuatro votos. Ponente: José Ramón Cossío Díaz. Secretario: Miguel Enrique Sánchez Frías.</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Tesis de jurisprudencia 74/2004. Aprobada por la Primera Sala de este Alto Tribunal, en sesión de fecha dieciocho de agosto de dos mil cuatro.</w:t>
      </w:r>
    </w:p>
    <w:p w:rsidR="001932DE" w:rsidRPr="00FD1CDE" w:rsidRDefault="001932DE" w:rsidP="00701D77">
      <w:pPr>
        <w:spacing w:after="0" w:line="240" w:lineRule="auto"/>
        <w:jc w:val="both"/>
        <w:rPr>
          <w:rFonts w:ascii="Arial" w:hAnsi="Arial" w:cs="Arial"/>
          <w:sz w:val="20"/>
          <w:szCs w:val="20"/>
        </w:rPr>
      </w:pP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No. Registro: 179,890</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Tesis aislada</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Materia(s): Penal</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Novena Época</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Instancia: Primera Sala</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Fuente: Semanario Judicial de la Federación y su Gaceta</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XX, Diciembre de 2004</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Tesis: 1a. CI/2004</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Página: 366</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INCIDENTE DE TRASLACIÓN DEL TIPO Y ADECUACIÓN DE LA PENA. CONSTITUYE UN DERECHO PROTEGIDO CONSTITUCIONALMENTE.</w:t>
      </w:r>
    </w:p>
    <w:p w:rsidR="001932DE"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El primer párrafo del artículo 14 de la Constitución Política de los Estados Unidos Mexicanos prohíbe la aplicación retroactiva de la ley en perjuicio de persona alguna. Ahora bien, de la interpretación a contrario sensu de tal precepto, se advierte que otorga un derecho al gobernado consistente en que se le aplique retroactivamente la ley penal, cuando ello sea en su beneficio, de manera que si un individuo cometió un delito bajo la vigencia de una ley sustantiva con base en la cual se le sentenció, y con posterioridad se promulga una nueva que prevé una pena menor para el mismo delito, o según la cual el acto considerado por la ley antigua como delito deja de tener tal carácter, el individuo tiene el derecho, constitucionalmente protegido, a que se le aplique retroactivamente la nueva ley y, por ende, a que se le reduzca la pena o se le ponga en libertad. Esto es así, porque si el legislador en un nuevo ordenamiento legal dispone que un determinado hecho ilícito merece ser sancionado con una pena menor o que no hay motivos para suponer que a partir de ese momento el orden social pueda ser alterado con un acto que anteriormente se consideró como delictivo, no es válido que el poder público insista en exigir la ejecución de la sanción tal como había sido impuesta, por un hecho que ya no la amerita o que no la merece en tal proporción. De lo que se sigue que la naturaleza jurídica de la traslación del tipo y adecuación de la pena consiste en un derecho que tiene todo aquel que está cumpliendo con una sentencia, el cual puede ejercer ante la autoridad correspondiente en vía incidental, para que ésta determine si la conducta que fue estimada como delictiva conforme a la legislación punitiva vigente en la fecha de su comisión, continúa siéndolo en términos del nuevo ordenamiento, esto es, analice los elementos que determinaron la configuración del ilícito conforme a su tipificación abrogada frente a la nueva legislación para poder concluir si se mantienen los elementos de la descripción típica del delito y, en su caso, aplicar la sanción más favorable al sentenciado.</w:t>
      </w:r>
    </w:p>
    <w:p w:rsidR="00701D77" w:rsidRPr="00FD1CDE" w:rsidRDefault="001932DE" w:rsidP="00701D77">
      <w:pPr>
        <w:spacing w:after="0" w:line="240" w:lineRule="auto"/>
        <w:jc w:val="both"/>
        <w:rPr>
          <w:rFonts w:ascii="Arial" w:hAnsi="Arial" w:cs="Arial"/>
          <w:sz w:val="20"/>
          <w:szCs w:val="20"/>
        </w:rPr>
      </w:pPr>
      <w:r w:rsidRPr="00FD1CDE">
        <w:rPr>
          <w:rFonts w:ascii="Arial" w:hAnsi="Arial" w:cs="Arial"/>
          <w:sz w:val="20"/>
          <w:szCs w:val="20"/>
        </w:rPr>
        <w:t>Contradicción de tesis 28/2004-PS. Entre las sustentadas por los Tribunales Colegiados Segundo y Décimo, ambos en Materia Penal del Primer Circuito. 18 de agosto de 2004. Unanimidad de cuatro votos. Ponente: José Ramón Cossío Díaz. Secretario: Miguel Enrique Sánchez Frías.</w:t>
      </w:r>
    </w:p>
    <w:sectPr w:rsidR="00701D77" w:rsidRPr="00FD1CDE" w:rsidSect="00FD1CDE">
      <w:headerReference w:type="default" r:id="rId6"/>
      <w:pgSz w:w="12240" w:h="15840" w:code="1"/>
      <w:pgMar w:top="720" w:right="618" w:bottom="426"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B0E" w:rsidRDefault="00AF6B0E" w:rsidP="00B165AA">
      <w:pPr>
        <w:spacing w:after="0" w:line="240" w:lineRule="auto"/>
      </w:pPr>
      <w:r>
        <w:separator/>
      </w:r>
    </w:p>
  </w:endnote>
  <w:endnote w:type="continuationSeparator" w:id="0">
    <w:p w:rsidR="00AF6B0E" w:rsidRDefault="00AF6B0E" w:rsidP="00B16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B0E" w:rsidRDefault="00AF6B0E" w:rsidP="00B165AA">
      <w:pPr>
        <w:spacing w:after="0" w:line="240" w:lineRule="auto"/>
      </w:pPr>
      <w:r>
        <w:separator/>
      </w:r>
    </w:p>
  </w:footnote>
  <w:footnote w:type="continuationSeparator" w:id="0">
    <w:p w:rsidR="00AF6B0E" w:rsidRDefault="00AF6B0E" w:rsidP="00B165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50135"/>
      <w:docPartObj>
        <w:docPartGallery w:val="Page Numbers (Top of Page)"/>
        <w:docPartUnique/>
      </w:docPartObj>
    </w:sdtPr>
    <w:sdtEndPr/>
    <w:sdtContent>
      <w:p w:rsidR="00B165AA" w:rsidRDefault="005B660A" w:rsidP="00872A40">
        <w:pPr>
          <w:pStyle w:val="Encabezado"/>
          <w:jc w:val="right"/>
        </w:pPr>
        <w:r>
          <w:rPr>
            <w:noProof/>
          </w:rPr>
          <w:fldChar w:fldCharType="begin"/>
        </w:r>
        <w:r>
          <w:rPr>
            <w:noProof/>
          </w:rPr>
          <w:instrText xml:space="preserve"> PAGE   \* MERGEFORMAT </w:instrText>
        </w:r>
        <w:r>
          <w:rPr>
            <w:noProof/>
          </w:rPr>
          <w:fldChar w:fldCharType="separate"/>
        </w:r>
        <w:r w:rsidR="0074741C">
          <w:rPr>
            <w:noProof/>
          </w:rPr>
          <w:t>6</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90F"/>
    <w:rsid w:val="000546D7"/>
    <w:rsid w:val="00192FCC"/>
    <w:rsid w:val="001932DE"/>
    <w:rsid w:val="001A717E"/>
    <w:rsid w:val="00302BE3"/>
    <w:rsid w:val="00356D8B"/>
    <w:rsid w:val="004D3505"/>
    <w:rsid w:val="00575FD7"/>
    <w:rsid w:val="005B660A"/>
    <w:rsid w:val="00701D77"/>
    <w:rsid w:val="00733A79"/>
    <w:rsid w:val="0074741C"/>
    <w:rsid w:val="00791586"/>
    <w:rsid w:val="008349BE"/>
    <w:rsid w:val="00872A40"/>
    <w:rsid w:val="0091690F"/>
    <w:rsid w:val="00A81253"/>
    <w:rsid w:val="00AF6B0E"/>
    <w:rsid w:val="00B165AA"/>
    <w:rsid w:val="00C53D21"/>
    <w:rsid w:val="00CA3386"/>
    <w:rsid w:val="00D3482D"/>
    <w:rsid w:val="00DB752D"/>
    <w:rsid w:val="00EF35F3"/>
    <w:rsid w:val="00F97921"/>
    <w:rsid w:val="00FD1CD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D77A3F-0928-4E2C-96AD-1ACF24176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2FC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165A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165AA"/>
  </w:style>
  <w:style w:type="paragraph" w:styleId="Piedepgina">
    <w:name w:val="footer"/>
    <w:basedOn w:val="Normal"/>
    <w:link w:val="PiedepginaCar"/>
    <w:uiPriority w:val="99"/>
    <w:semiHidden/>
    <w:unhideWhenUsed/>
    <w:rsid w:val="00B165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B165AA"/>
  </w:style>
  <w:style w:type="paragraph" w:styleId="Textodeglobo">
    <w:name w:val="Balloon Text"/>
    <w:basedOn w:val="Normal"/>
    <w:link w:val="TextodegloboCar"/>
    <w:uiPriority w:val="99"/>
    <w:semiHidden/>
    <w:unhideWhenUsed/>
    <w:rsid w:val="001A717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A71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4447</Words>
  <Characters>24463</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ralopez</dc:creator>
  <cp:lastModifiedBy>LENOVO</cp:lastModifiedBy>
  <cp:revision>2</cp:revision>
  <cp:lastPrinted>2020-01-02T16:00:00Z</cp:lastPrinted>
  <dcterms:created xsi:type="dcterms:W3CDTF">2021-04-10T00:07:00Z</dcterms:created>
  <dcterms:modified xsi:type="dcterms:W3CDTF">2021-04-10T00:07:00Z</dcterms:modified>
</cp:coreProperties>
</file>