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73A417" w14:textId="33597C40" w:rsidR="00897606" w:rsidRPr="00BA7FF1" w:rsidRDefault="00646677" w:rsidP="00897606">
      <w:pPr>
        <w:pStyle w:val="Normal0"/>
        <w:ind w:right="-64"/>
        <w:jc w:val="center"/>
        <w:rPr>
          <w:b/>
          <w:sz w:val="20"/>
          <w:szCs w:val="20"/>
        </w:rPr>
      </w:pPr>
      <w:bookmarkStart w:id="0" w:name="_Hlk74870074"/>
      <w:r>
        <w:rPr>
          <w:b/>
          <w:sz w:val="20"/>
          <w:szCs w:val="20"/>
        </w:rPr>
        <w:t xml:space="preserve">RECURSO DE REVISIÓN AMPARO INDIRECTO </w:t>
      </w:r>
    </w:p>
    <w:p w14:paraId="1BF63578" w14:textId="77777777" w:rsidR="00897606" w:rsidRPr="00897606" w:rsidRDefault="00897606" w:rsidP="00897606">
      <w:pPr>
        <w:spacing w:after="0" w:line="240" w:lineRule="auto"/>
        <w:ind w:right="-64"/>
        <w:jc w:val="both"/>
        <w:rPr>
          <w:rFonts w:ascii="Arial" w:hAnsi="Arial" w:cs="Arial"/>
          <w:bCs/>
          <w:sz w:val="20"/>
          <w:szCs w:val="20"/>
        </w:rPr>
      </w:pPr>
    </w:p>
    <w:p w14:paraId="28A6192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2022687</w:t>
      </w:r>
    </w:p>
    <w:p w14:paraId="071F250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50DBC10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1987FFD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116E5843" w14:textId="77777777" w:rsidR="00646677" w:rsidRPr="00646677" w:rsidRDefault="00646677" w:rsidP="00646677">
      <w:pPr>
        <w:spacing w:after="0" w:line="240" w:lineRule="auto"/>
        <w:ind w:right="-64"/>
        <w:jc w:val="both"/>
        <w:rPr>
          <w:rFonts w:ascii="Arial" w:hAnsi="Arial" w:cs="Arial"/>
          <w:bCs/>
          <w:sz w:val="20"/>
          <w:szCs w:val="20"/>
          <w:lang w:val="en-US"/>
        </w:rPr>
      </w:pPr>
      <w:r w:rsidRPr="00646677">
        <w:rPr>
          <w:rFonts w:ascii="Arial" w:hAnsi="Arial" w:cs="Arial"/>
          <w:bCs/>
          <w:sz w:val="20"/>
          <w:szCs w:val="20"/>
          <w:lang w:val="en-US"/>
        </w:rPr>
        <w:t>Tesis: II.2o.P.101 P (10a.)</w:t>
      </w:r>
    </w:p>
    <w:p w14:paraId="513CB99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83, Febrero de 2021, Tomo III, página 2898</w:t>
      </w:r>
    </w:p>
    <w:p w14:paraId="21A79E2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366A498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PRINCIPIOS DE MAYOR BENEFICIO Y NON REFORMATIO IN PEIUS EN EL RECURSO DE REVISIÓN EN AMPARO INDIRECTO. LA OBLIGACIÓN DEL ÓRGANO DE AMPARO DE OBSERVAR EL SEGUNDO DE AQUÉLLOS CONSTITUYE UNA REGLA GENERAL, POR LO QUE LA DECISIÓN DE MODIFICAR UNA CONCESIÓN DE AMPARO PREVIA Y HACERLO DE FONDO APLICANDO EL PRIMERO, ES UNA EXCEPCIÓN QUE DEPENDERÁ DEL EJERCICIO PONDERADO RESPECTO DE LO EVIDENTE, NOTORIO O MANIFIESTO DE ESE MAYOR BENEFICIO ADVERTIDO DE LAS CIRCUNSTANCIAS QUE REVELEN DE MANERA PALPABLE LA AUSENCIA DE RIESGO DE QUE LA MODIFICACIÓN TRASCIENDA EN PERJUICIO DEL QUEJOSO.</w:t>
      </w:r>
    </w:p>
    <w:p w14:paraId="2692BAD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Hechos: El quejoso promovió amparo indirecto contra el auto de vinculación a proceso dictado en su contra por un Juez de Control y su confirmación por el tribunal de alzada; el Juez de Distrito sobreseyó en el juicio en relación con el primer acto reclamado y concedió la protección constitucional para efectos respecto del segundo. En contra de esta determinación interpuso el recurso de revisión, en el que planteó la modificación de la concesión de amparo previa y hacerlo de fondo bajo e</w:t>
      </w:r>
      <w:r>
        <w:rPr>
          <w:rFonts w:ascii="Arial" w:hAnsi="Arial" w:cs="Arial"/>
          <w:bCs/>
          <w:sz w:val="20"/>
          <w:szCs w:val="20"/>
        </w:rPr>
        <w:t>l principio de mayor beneficio.</w:t>
      </w:r>
    </w:p>
    <w:p w14:paraId="6615E5C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Criterio jurídico: Este Tribunal Colegiado de Circuito determina que la obligación de observar el principio non </w:t>
      </w:r>
      <w:proofErr w:type="spellStart"/>
      <w:r w:rsidRPr="00646677">
        <w:rPr>
          <w:rFonts w:ascii="Arial" w:hAnsi="Arial" w:cs="Arial"/>
          <w:bCs/>
          <w:sz w:val="20"/>
          <w:szCs w:val="20"/>
        </w:rPr>
        <w:t>reformatio</w:t>
      </w:r>
      <w:proofErr w:type="spellEnd"/>
      <w:r w:rsidRPr="00646677">
        <w:rPr>
          <w:rFonts w:ascii="Arial" w:hAnsi="Arial" w:cs="Arial"/>
          <w:bCs/>
          <w:sz w:val="20"/>
          <w:szCs w:val="20"/>
        </w:rPr>
        <w:t xml:space="preserve"> in </w:t>
      </w:r>
      <w:proofErr w:type="spellStart"/>
      <w:r w:rsidRPr="00646677">
        <w:rPr>
          <w:rFonts w:ascii="Arial" w:hAnsi="Arial" w:cs="Arial"/>
          <w:bCs/>
          <w:sz w:val="20"/>
          <w:szCs w:val="20"/>
        </w:rPr>
        <w:t>peius</w:t>
      </w:r>
      <w:proofErr w:type="spellEnd"/>
      <w:r w:rsidRPr="00646677">
        <w:rPr>
          <w:rFonts w:ascii="Arial" w:hAnsi="Arial" w:cs="Arial"/>
          <w:bCs/>
          <w:sz w:val="20"/>
          <w:szCs w:val="20"/>
        </w:rPr>
        <w:t xml:space="preserve"> en el recurso de revisión constituye una regla general, por lo que la decisión de modificar una concesión de amparo previa y hacerlo de fondo bajo el principio de mayor beneficio, es una excepción que dependerá del ejercicio ponderado respecto de lo evidente, notorio o manifiesto de ese mayor beneficio advertido de las circunstancias que revelen de manera palpable la ausencia de riesgo de que la modificación trasc</w:t>
      </w:r>
      <w:r>
        <w:rPr>
          <w:rFonts w:ascii="Arial" w:hAnsi="Arial" w:cs="Arial"/>
          <w:bCs/>
          <w:sz w:val="20"/>
          <w:szCs w:val="20"/>
        </w:rPr>
        <w:t>ienda en perjuicio del quejoso.</w:t>
      </w:r>
    </w:p>
    <w:p w14:paraId="711CD4D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Justificación: El juicio de amparo ha evolucionado en los últimos años y, en especial, a partir de las reformas constitucionales de dos mil once y de la emisión de la Ley de Amparo de dos mil trece; evolución que efectivamente ha incorporado el principio de mayor beneficio y, por ende, la institución preponderante de dar preferencia a las cuestiones de fondo que impliquen violaciones graves y cuya decisión redunde en mayor beneficio para el quejoso; siendo preferible atender esos aspectos de manera prioritaria en comparación con las cuestiones meramente procesales o de forma, lo que se advierte de los artículos 79, último párrafo, y 189 de la Ley de Amparo. Sin embargo, ello conlleva a replantearse también aspectos como los siguientes: ¿El principio de mayor beneficio y su reconocimiento en el juicio de amparo, produce la exclusión de posible observancia al diverso principio non </w:t>
      </w:r>
      <w:proofErr w:type="spellStart"/>
      <w:r w:rsidRPr="00646677">
        <w:rPr>
          <w:rFonts w:ascii="Arial" w:hAnsi="Arial" w:cs="Arial"/>
          <w:bCs/>
          <w:sz w:val="20"/>
          <w:szCs w:val="20"/>
        </w:rPr>
        <w:t>reformatio</w:t>
      </w:r>
      <w:proofErr w:type="spellEnd"/>
      <w:r w:rsidRPr="00646677">
        <w:rPr>
          <w:rFonts w:ascii="Arial" w:hAnsi="Arial" w:cs="Arial"/>
          <w:bCs/>
          <w:sz w:val="20"/>
          <w:szCs w:val="20"/>
        </w:rPr>
        <w:t xml:space="preserve"> in </w:t>
      </w:r>
      <w:proofErr w:type="spellStart"/>
      <w:r w:rsidRPr="00646677">
        <w:rPr>
          <w:rFonts w:ascii="Arial" w:hAnsi="Arial" w:cs="Arial"/>
          <w:bCs/>
          <w:sz w:val="20"/>
          <w:szCs w:val="20"/>
        </w:rPr>
        <w:t>peius</w:t>
      </w:r>
      <w:proofErr w:type="spellEnd"/>
      <w:r w:rsidRPr="00646677">
        <w:rPr>
          <w:rFonts w:ascii="Arial" w:hAnsi="Arial" w:cs="Arial"/>
          <w:bCs/>
          <w:sz w:val="20"/>
          <w:szCs w:val="20"/>
        </w:rPr>
        <w:t xml:space="preserve">, reconocido por la jurisprudencia del Máximo Tribunal del País, e igualmente exigible para los tribunales de revisión en el amparo? La respuesta es en sentido negativo, es decir, dichos principios no se excluyen, sino que son de observancia obligatoria y, en su caso, concurrentes; de manera que lo que ahora sucede es que el órgano de amparo debe ponderar en cada caso concreto y de acuerdo con las circunstancias, la forma adecuada y pertinente en la que dichos principios pueden operar. Así, la obligación de atender al principio de mayor beneficio compete, como regla general, al órgano que tiene la facultad y competencia para decidir el eventual sentido de la sentencia que se dicte; en tanto que el diverso non </w:t>
      </w:r>
      <w:proofErr w:type="spellStart"/>
      <w:r w:rsidRPr="00646677">
        <w:rPr>
          <w:rFonts w:ascii="Arial" w:hAnsi="Arial" w:cs="Arial"/>
          <w:bCs/>
          <w:sz w:val="20"/>
          <w:szCs w:val="20"/>
        </w:rPr>
        <w:t>reformatio</w:t>
      </w:r>
      <w:proofErr w:type="spellEnd"/>
      <w:r w:rsidRPr="00646677">
        <w:rPr>
          <w:rFonts w:ascii="Arial" w:hAnsi="Arial" w:cs="Arial"/>
          <w:bCs/>
          <w:sz w:val="20"/>
          <w:szCs w:val="20"/>
        </w:rPr>
        <w:t xml:space="preserve"> in </w:t>
      </w:r>
      <w:proofErr w:type="spellStart"/>
      <w:r w:rsidRPr="00646677">
        <w:rPr>
          <w:rFonts w:ascii="Arial" w:hAnsi="Arial" w:cs="Arial"/>
          <w:bCs/>
          <w:sz w:val="20"/>
          <w:szCs w:val="20"/>
        </w:rPr>
        <w:t>peius</w:t>
      </w:r>
      <w:proofErr w:type="spellEnd"/>
      <w:r w:rsidRPr="00646677">
        <w:rPr>
          <w:rFonts w:ascii="Arial" w:hAnsi="Arial" w:cs="Arial"/>
          <w:bCs/>
          <w:sz w:val="20"/>
          <w:szCs w:val="20"/>
        </w:rPr>
        <w:t xml:space="preserve">, por su naturaleza esencial, compete exclusivamente al órgano que asume la función de revisor del fallo inicial que ya otorgó el amparo al quejoso, y aun cuando esto no significa que el tribunal revisor estuviere impedido para eventualmente atender preponderantemente al principio de mayor beneficio, ello estaría supeditado al carácter notorio, indiscutible y evidente de la violación de fondo que por su gravedad y tipo de consecuencias derivadas, permitiese realmente al tribunal revisor atender a ese mayor beneficio sin riesgo de trastocar el principio non </w:t>
      </w:r>
      <w:proofErr w:type="spellStart"/>
      <w:r w:rsidRPr="00646677">
        <w:rPr>
          <w:rFonts w:ascii="Arial" w:hAnsi="Arial" w:cs="Arial"/>
          <w:bCs/>
          <w:sz w:val="20"/>
          <w:szCs w:val="20"/>
        </w:rPr>
        <w:t>reformatio</w:t>
      </w:r>
      <w:proofErr w:type="spellEnd"/>
      <w:r w:rsidRPr="00646677">
        <w:rPr>
          <w:rFonts w:ascii="Arial" w:hAnsi="Arial" w:cs="Arial"/>
          <w:bCs/>
          <w:sz w:val="20"/>
          <w:szCs w:val="20"/>
        </w:rPr>
        <w:t xml:space="preserve"> in </w:t>
      </w:r>
      <w:proofErr w:type="spellStart"/>
      <w:r w:rsidRPr="00646677">
        <w:rPr>
          <w:rFonts w:ascii="Arial" w:hAnsi="Arial" w:cs="Arial"/>
          <w:bCs/>
          <w:sz w:val="20"/>
          <w:szCs w:val="20"/>
        </w:rPr>
        <w:t>peius</w:t>
      </w:r>
      <w:proofErr w:type="spellEnd"/>
      <w:r w:rsidRPr="00646677">
        <w:rPr>
          <w:rFonts w:ascii="Arial" w:hAnsi="Arial" w:cs="Arial"/>
          <w:bCs/>
          <w:sz w:val="20"/>
          <w:szCs w:val="20"/>
        </w:rPr>
        <w:t xml:space="preserve">, emitiendo un fallo que resultare perjudicial a quien ya había obtenido el amparo ante el Juez Federal. Por tanto, se puede afirmar que para los tribunales revisores, la obligación de observar el principio non </w:t>
      </w:r>
      <w:proofErr w:type="spellStart"/>
      <w:r w:rsidRPr="00646677">
        <w:rPr>
          <w:rFonts w:ascii="Arial" w:hAnsi="Arial" w:cs="Arial"/>
          <w:bCs/>
          <w:sz w:val="20"/>
          <w:szCs w:val="20"/>
        </w:rPr>
        <w:t>reformatio</w:t>
      </w:r>
      <w:proofErr w:type="spellEnd"/>
      <w:r w:rsidRPr="00646677">
        <w:rPr>
          <w:rFonts w:ascii="Arial" w:hAnsi="Arial" w:cs="Arial"/>
          <w:bCs/>
          <w:sz w:val="20"/>
          <w:szCs w:val="20"/>
        </w:rPr>
        <w:t xml:space="preserve"> in </w:t>
      </w:r>
      <w:proofErr w:type="spellStart"/>
      <w:r w:rsidRPr="00646677">
        <w:rPr>
          <w:rFonts w:ascii="Arial" w:hAnsi="Arial" w:cs="Arial"/>
          <w:bCs/>
          <w:sz w:val="20"/>
          <w:szCs w:val="20"/>
        </w:rPr>
        <w:t>peius</w:t>
      </w:r>
      <w:proofErr w:type="spellEnd"/>
      <w:r w:rsidRPr="00646677">
        <w:rPr>
          <w:rFonts w:ascii="Arial" w:hAnsi="Arial" w:cs="Arial"/>
          <w:bCs/>
          <w:sz w:val="20"/>
          <w:szCs w:val="20"/>
        </w:rPr>
        <w:t xml:space="preserve"> es inexorable y constituye una regla general, de manera que la decisión de modificar una concesión de amparo previa y hacerlo de fondo bajo el principio de mayor beneficio establecido en el artículo 189 referido, constituye una excepción que dependerá, precisamente, del ejercicio ponderado respecto de lo evidente, notorio o manifiesto de ese mayor beneficio advertido de las circunstancias del caso concreto que revelen de manera palpable la ausencia de riesgo de que la modificación trascienda en perjuicio del quejoso, privándolo de una concesión de amparo que ya había alcanzado y que apriorísticamente no pueda descalificarse la potencialidad de los efectos restitutorios determinados. Por esa razón, al no contarse con esas condiciones que permitan advertir con tal grado de evidencia el mayor beneficio, debe prevalecer por razón lógica y técnicamente jurídica el principio non </w:t>
      </w:r>
      <w:proofErr w:type="spellStart"/>
      <w:r w:rsidRPr="00646677">
        <w:rPr>
          <w:rFonts w:ascii="Arial" w:hAnsi="Arial" w:cs="Arial"/>
          <w:bCs/>
          <w:sz w:val="20"/>
          <w:szCs w:val="20"/>
        </w:rPr>
        <w:t>reformatio</w:t>
      </w:r>
      <w:proofErr w:type="spellEnd"/>
      <w:r w:rsidRPr="00646677">
        <w:rPr>
          <w:rFonts w:ascii="Arial" w:hAnsi="Arial" w:cs="Arial"/>
          <w:bCs/>
          <w:sz w:val="20"/>
          <w:szCs w:val="20"/>
        </w:rPr>
        <w:t xml:space="preserve"> in </w:t>
      </w:r>
      <w:proofErr w:type="spellStart"/>
      <w:r w:rsidRPr="00646677">
        <w:rPr>
          <w:rFonts w:ascii="Arial" w:hAnsi="Arial" w:cs="Arial"/>
          <w:bCs/>
          <w:sz w:val="20"/>
          <w:szCs w:val="20"/>
        </w:rPr>
        <w:t>peius</w:t>
      </w:r>
      <w:proofErr w:type="spellEnd"/>
      <w:r w:rsidRPr="00646677">
        <w:rPr>
          <w:rFonts w:ascii="Arial" w:hAnsi="Arial" w:cs="Arial"/>
          <w:bCs/>
          <w:sz w:val="20"/>
          <w:szCs w:val="20"/>
        </w:rPr>
        <w:t>, que sigue rigie</w:t>
      </w:r>
      <w:r>
        <w:rPr>
          <w:rFonts w:ascii="Arial" w:hAnsi="Arial" w:cs="Arial"/>
          <w:bCs/>
          <w:sz w:val="20"/>
          <w:szCs w:val="20"/>
        </w:rPr>
        <w:t>ndo las sentencias de revisión.</w:t>
      </w:r>
    </w:p>
    <w:p w14:paraId="7A1D216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SEGUNDO TRIBUNAL COLEGIADO EN MATERIA PENAL DEL SEGUNDO CIRCUITO.</w:t>
      </w:r>
    </w:p>
    <w:p w14:paraId="4A965CC8"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Amparo en revisión 343/2019. 27 de febrero de 2020. Unanimidad de votos. Ponente: José Nieves Luna Castro. Secretaria: Alma </w:t>
      </w:r>
      <w:proofErr w:type="spellStart"/>
      <w:r w:rsidRPr="00646677">
        <w:rPr>
          <w:rFonts w:ascii="Arial" w:hAnsi="Arial" w:cs="Arial"/>
          <w:bCs/>
          <w:sz w:val="20"/>
          <w:szCs w:val="20"/>
        </w:rPr>
        <w:t>Jeanina</w:t>
      </w:r>
      <w:proofErr w:type="spellEnd"/>
      <w:r w:rsidRPr="00646677">
        <w:rPr>
          <w:rFonts w:ascii="Arial" w:hAnsi="Arial" w:cs="Arial"/>
          <w:bCs/>
          <w:sz w:val="20"/>
          <w:szCs w:val="20"/>
        </w:rPr>
        <w:t xml:space="preserve"> Córdoba Díaz.</w:t>
      </w:r>
    </w:p>
    <w:p w14:paraId="057236B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12 de febrero de 2021 a las 10:14 horas en el Semanario Judicial de la Federación.</w:t>
      </w:r>
    </w:p>
    <w:p w14:paraId="09A96D43" w14:textId="77777777" w:rsidR="00646677" w:rsidRDefault="00646677" w:rsidP="00646677">
      <w:pPr>
        <w:spacing w:after="0" w:line="240" w:lineRule="auto"/>
        <w:ind w:right="-64"/>
        <w:jc w:val="both"/>
        <w:rPr>
          <w:rFonts w:ascii="Arial" w:hAnsi="Arial" w:cs="Arial"/>
          <w:bCs/>
          <w:sz w:val="20"/>
          <w:szCs w:val="20"/>
        </w:rPr>
      </w:pPr>
    </w:p>
    <w:p w14:paraId="21ED3C0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2022406</w:t>
      </w:r>
    </w:p>
    <w:p w14:paraId="25241F7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75D748E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lastRenderedPageBreak/>
        <w:t>Décima Época</w:t>
      </w:r>
    </w:p>
    <w:p w14:paraId="5F13D23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1674E9E4" w14:textId="77777777" w:rsidR="00646677" w:rsidRPr="00646677" w:rsidRDefault="00646677" w:rsidP="00646677">
      <w:pPr>
        <w:spacing w:after="0" w:line="240" w:lineRule="auto"/>
        <w:ind w:right="-64"/>
        <w:jc w:val="both"/>
        <w:rPr>
          <w:rFonts w:ascii="Arial" w:hAnsi="Arial" w:cs="Arial"/>
          <w:bCs/>
          <w:sz w:val="20"/>
          <w:szCs w:val="20"/>
          <w:lang w:val="en-US"/>
        </w:rPr>
      </w:pPr>
      <w:r w:rsidRPr="00646677">
        <w:rPr>
          <w:rFonts w:ascii="Arial" w:hAnsi="Arial" w:cs="Arial"/>
          <w:bCs/>
          <w:sz w:val="20"/>
          <w:szCs w:val="20"/>
          <w:lang w:val="en-US"/>
        </w:rPr>
        <w:t>Tesis: II.2o.P.96 P (10a.)</w:t>
      </w:r>
    </w:p>
    <w:p w14:paraId="1E3D9C1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80, Noviembre de 2020, Tomo III, página 2012</w:t>
      </w:r>
    </w:p>
    <w:p w14:paraId="3C9A8E3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104E24E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LEGITIMACIÓN PARA INTERPONER EL RECURSO DE REVISIÓN EN AMPARO INDIRECTO. CARECE DE ELLA LA VÍCTIMA U OFENDIDO DEL DELITO, CUANDO NO SE LE RECONOCIÓ LA CALIDAD DE TERCERO INTERESADO Y NO SE ACTUALIZA UN AGRAVIO PERSONAL Y DIRECTO, POR LA NATURALEZA DE LA SENTENCIA RECURRIDA.</w:t>
      </w:r>
    </w:p>
    <w:p w14:paraId="20EB6F3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El recurso de revisión puede promoverlo cualquiera de las partes a que se refiere el artículo 5o. de la Ley de Amparo cuando considere que la sentencia dictada por el Juez de Distrito o el Tribunal Unitario de Circuito erigido como autoridad de amparo, le causa un agravio personal y directo. Por ende, al tener la víctima u ofendido del delito el carácter de parte activa procesal penal, goza de la legitimación para impugnar la sentencia dictada en el juicio de amparo, siempre que con ella se afecte de forma real y actual su esfera jurídica, pues el principio de agravio personal y directo rige al juicio constitucional en todas sus etapas y, consecuentemente, reserva este recurso en forma exclusiva a quien se ve afectado por la sentencia recurrida. En ese tenor, en materia de amparo, la falta de legitimación para interponer el recurso de revisión deriva de que: 1. Durante la tramitación del juicio de amparo indirecto no se hubiese reconocido al recurrente la calidad de tercero interesado, por asistirle el carácter de víctima u ofendido, y éste no se haya inconformado con dicho actuar, es decir, por no haber recurrido esa determinación, consintió el no ser considerado como parte procesal; y, 2. Por la naturaleza de la sentencia de amparo impugnada, no se hubiesen analizado aspectos que incidan en la demostración del delito del que pudiese derivar el derecho al pago de la reparación del daño a favor de la víctima u ofendido, ni la probable responsabilidad penal del inculpado en su comisión, pues ello trae como consecuencia que no le causa un agravio personal y directo a dicha parte procesal, ya que no genera una afectación en forma real y actual en su esfera jurídica ni impacta en su derecho de acceso a la justicia, conocimiento de la verdad histórica y expectativa a la reparación del daño, esto es, a una tutela judicial efectiva ante los tribunales. Por tanto, si el Juez de Distrito o el Tribunal Unitario de Circuito erigido como autoridad de amparo no le reconoció al inconforme el carácter de parte procesal y, además, en la sentencia de amparo recurrida no se analizó algún delito del que pudiese derivar el derecho al pago de la reparación del daño a favor de aquél, y la probable responsabilidad penal del inculpado en su comisión, lo que sí generaría un agravio personal y directo a esa parte procesal, deviene inconcuso que carece de legitimación para interponer el recurso de revisión contra la sentencia dictada en el juicio de derechos fundamentales, por lo que es correcto que se declare improcedente </w:t>
      </w:r>
      <w:r>
        <w:rPr>
          <w:rFonts w:ascii="Arial" w:hAnsi="Arial" w:cs="Arial"/>
          <w:bCs/>
          <w:sz w:val="20"/>
          <w:szCs w:val="20"/>
        </w:rPr>
        <w:t>el citado medio de impugnación.</w:t>
      </w:r>
    </w:p>
    <w:p w14:paraId="03175A8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SEGUNDO TRIBUNAL COLEGIADO EN MATERIA PENAL DEL SEGUNDO CIRCUITO.</w:t>
      </w:r>
    </w:p>
    <w:p w14:paraId="31F84E4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375/2019. 4 de junio de 2020. Unanimidad de votos. Ponente: Juan Gabriel Sánchez Iriarte. Secretario: Óscar Jesús Segundo Suárez.</w:t>
      </w:r>
    </w:p>
    <w:p w14:paraId="1DDEADF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13 de noviembre de 2020 a las 10:24 horas en el Semanario Judicial de la Federación.</w:t>
      </w:r>
    </w:p>
    <w:p w14:paraId="02C5B15C" w14:textId="77777777" w:rsidR="00646677" w:rsidRPr="00646677" w:rsidRDefault="00646677" w:rsidP="00646677">
      <w:pPr>
        <w:spacing w:after="0" w:line="240" w:lineRule="auto"/>
        <w:ind w:right="-64"/>
        <w:jc w:val="both"/>
        <w:rPr>
          <w:rFonts w:ascii="Arial" w:hAnsi="Arial" w:cs="Arial"/>
          <w:bCs/>
          <w:sz w:val="20"/>
          <w:szCs w:val="20"/>
        </w:rPr>
      </w:pPr>
    </w:p>
    <w:p w14:paraId="4304CC7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2018726</w:t>
      </w:r>
    </w:p>
    <w:p w14:paraId="2A25036B"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6900E1F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61E955C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Constitucional, Penal, Común</w:t>
      </w:r>
    </w:p>
    <w:p w14:paraId="4F8CDB6E" w14:textId="77777777" w:rsidR="00646677" w:rsidRPr="00646677" w:rsidRDefault="00646677" w:rsidP="00646677">
      <w:pPr>
        <w:spacing w:after="0" w:line="240" w:lineRule="auto"/>
        <w:ind w:right="-64"/>
        <w:jc w:val="both"/>
        <w:rPr>
          <w:rFonts w:ascii="Arial" w:hAnsi="Arial" w:cs="Arial"/>
          <w:bCs/>
          <w:sz w:val="20"/>
          <w:szCs w:val="20"/>
          <w:lang w:val="en-US"/>
        </w:rPr>
      </w:pPr>
      <w:r w:rsidRPr="00646677">
        <w:rPr>
          <w:rFonts w:ascii="Arial" w:hAnsi="Arial" w:cs="Arial"/>
          <w:bCs/>
          <w:sz w:val="20"/>
          <w:szCs w:val="20"/>
          <w:lang w:val="en-US"/>
        </w:rPr>
        <w:t>Tesis: I.6o.P.136 P (10a.)</w:t>
      </w:r>
    </w:p>
    <w:p w14:paraId="69CAFBE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61, Diciembre de 2018, Tomo II, página 1111</w:t>
      </w:r>
    </w:p>
    <w:p w14:paraId="2B2DB65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13B7F128"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MINISTERIO PÚBLICO MILITAR ADSCRITO AL JUZGADO MILITAR DE EJECUCIÓN. CARECE DE LEGITIMACIÓN PARA INTERPONER EL RECURSO DE REVISIÓN EN EL AMPARO INDIRECTO, SI LA FORMA EN QUE EL JUEZ DE DISTRITO RESOLVIÓ NO LE IRROGA AGRAVIO ALGUNO, NI DICHA DETERMINACIÓN ESTÁ SUJETA AL ESCRUTINIO DE AQUÉL EN FUNCIÓN DE SU FACULTAD DE VIGILAR QUE LOS JUICIOS SE SIGAN CON TODA REGULARIDAD, AJUSTADOS A LOS PRINCIPIOS CONSTITUCIONALES Y DE LEGALIDAD, PARA QUE LA IMPARTICIÓN DE JUSTICIA SEA PRONTA Y EXPEDITA. </w:t>
      </w:r>
    </w:p>
    <w:p w14:paraId="12AB5A0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En la jurisprudencia 1a</w:t>
      </w:r>
      <w:proofErr w:type="gramStart"/>
      <w:r w:rsidRPr="00646677">
        <w:rPr>
          <w:rFonts w:ascii="Arial" w:hAnsi="Arial" w:cs="Arial"/>
          <w:bCs/>
          <w:sz w:val="20"/>
          <w:szCs w:val="20"/>
        </w:rPr>
        <w:t>./</w:t>
      </w:r>
      <w:proofErr w:type="gramEnd"/>
      <w:r w:rsidRPr="00646677">
        <w:rPr>
          <w:rFonts w:ascii="Arial" w:hAnsi="Arial" w:cs="Arial"/>
          <w:bCs/>
          <w:sz w:val="20"/>
          <w:szCs w:val="20"/>
        </w:rPr>
        <w:t xml:space="preserve">J. 17/2017 (10a.), de título y subtítulo: "MINISTERIO PÚBLICO FEDERAL. TIENE LEGITIMACIÓN PARA INTERPONER EL RECURSO DE REVISIÓN CONTRA LA SENTENCIA QUE CONCEDE EL AMPARO CONTRA UNA ORDEN DE APREHENSIÓN O UN AUTO DE FORMAL PRISIÓN POR FALTA DE FUNDAMENTACIÓN Y MOTIVACIÓN.", la Primera Sala de la Suprema Corte de Justicia de la Nación, en términos del artículo 5o., fracción IV, de la Ley de Amparo, estableció que la facultad del Ministerio Público Federal para interponer los recursos establecidos en la propia ley y los existentes en amparos penales cuando se reclamen resoluciones de tribunales locales no es ilimitada, porque su actuación en el recurso debe relacionarse con la defensa del interés general encomendado por la Constitución Política de los Estados Unidos Mexicanos. Por tanto, si en el juicio de amparo indirecto se reclama la determinación del Juez Militar de Ejecución de requerir al quejoso para que, voluntariamente se interne en la prisión militar, a fin de dar cumplimiento a la pena de prisión impuesta en la sentencia definitiva, con el apercibimiento que, de no hacerlo, se ordenará su reaprehensión, y se concede la protección federal porque el acto reclamado carece de fundamentación y motivación, esa circunstancia no irroga agravio alguno al agente del Ministerio Público Militar adscrito al Juzgado Militar de Ejecución (tercero interesado), ya que para ello se requiere que la sentencia de amparo recurrida le afecte y genere un agravio, lo que no sucede en la especie, en virtud de que los efectos de la sentencia protectora recaen exclusivamente sobre la autoridad </w:t>
      </w:r>
      <w:r w:rsidRPr="00646677">
        <w:rPr>
          <w:rFonts w:ascii="Arial" w:hAnsi="Arial" w:cs="Arial"/>
          <w:bCs/>
          <w:sz w:val="20"/>
          <w:szCs w:val="20"/>
        </w:rPr>
        <w:lastRenderedPageBreak/>
        <w:t>responsable, quien es la única obligada a respetar la Constitución Federal, en los términos expresados por el Juez de Distrito; además, la forma en que el Juez de amparo resolvió, no está sujeta a escrutinio de la Representación Social militar, en función de su facultad de vigilar que los juicios se sigan con toda regularidad, ajustados a los principios constitucionales y de legalidad, para que la administración de justicia sea pronta y expedita pues, de impugnar por simple norma una sentencia o resolución que no le depare perjuicio alguno, riñe con el cumplimiento de dichos principios. Por tanto, su potestad para interponer los recursos previstos en la ley, no debe entenderse tan amplia, con la finalidad de impugnar la legalidad de los procedimientos bajo su facultad constitucional, en virtud de que ésta debe atender, se itera, entre otros aspectos, a vigilar que los juicios se tramiten con toda regularidad, bajo el principio de que la impartición de justicia sea pronta y expedita, aspectos en los que no cabe debatir las decisiones de los órganos de amparo, en las que está ínsito, que las resoluciones de los actos reclamados a las autoridades responsables se ajusten a las exigencias c</w:t>
      </w:r>
      <w:r>
        <w:rPr>
          <w:rFonts w:ascii="Arial" w:hAnsi="Arial" w:cs="Arial"/>
          <w:bCs/>
          <w:sz w:val="20"/>
          <w:szCs w:val="20"/>
        </w:rPr>
        <w:t>onstitucionales y de legalidad.</w:t>
      </w:r>
    </w:p>
    <w:p w14:paraId="52AAB2B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SEXTO TRIBUNAL COLEGIADO EN MATERIA PENAL DEL PRIMER CIRCUITO.</w:t>
      </w:r>
    </w:p>
    <w:p w14:paraId="2A021FD7" w14:textId="3039F938"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202/2018. 13 de septiembre de 2018. Unanimidad de votos. Ponente: Roberto Lara Hernández. Secretario: F</w:t>
      </w:r>
      <w:r>
        <w:rPr>
          <w:rFonts w:ascii="Arial" w:hAnsi="Arial" w:cs="Arial"/>
          <w:bCs/>
          <w:sz w:val="20"/>
          <w:szCs w:val="20"/>
        </w:rPr>
        <w:t>elipe Gilberto Vázquez Pedraza.</w:t>
      </w:r>
    </w:p>
    <w:p w14:paraId="2E8C419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Nota: La tesis de jurisprudencia 1a./J. 17/2017 (10a.) citada, aparece publicada en el Semanario Judicial de la Federación del viernes 26 de mayo de 2017 a las 10:31 horas y en la Gaceta del Semanario Judicial de la Federación, Décima Época, Libro 42, Tomo I, mayo de 2017, página 341.</w:t>
      </w:r>
    </w:p>
    <w:p w14:paraId="55BDFAF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07 de diciembre de 2018 a las 10:19  horas  en el Semanario Judicial de la Federación.</w:t>
      </w:r>
    </w:p>
    <w:p w14:paraId="74513116" w14:textId="77777777" w:rsidR="00646677" w:rsidRPr="00646677" w:rsidRDefault="00646677" w:rsidP="00646677">
      <w:pPr>
        <w:spacing w:after="0" w:line="240" w:lineRule="auto"/>
        <w:ind w:right="-64"/>
        <w:jc w:val="both"/>
        <w:rPr>
          <w:rFonts w:ascii="Arial" w:hAnsi="Arial" w:cs="Arial"/>
          <w:bCs/>
          <w:sz w:val="20"/>
          <w:szCs w:val="20"/>
        </w:rPr>
      </w:pPr>
    </w:p>
    <w:p w14:paraId="05B460E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2017467</w:t>
      </w:r>
    </w:p>
    <w:p w14:paraId="73F591B8"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2EE434F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03D0714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6E955A5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Tesis: (I Región</w:t>
      </w:r>
      <w:proofErr w:type="gramStart"/>
      <w:r w:rsidRPr="00646677">
        <w:rPr>
          <w:rFonts w:ascii="Arial" w:hAnsi="Arial" w:cs="Arial"/>
          <w:bCs/>
          <w:sz w:val="20"/>
          <w:szCs w:val="20"/>
        </w:rPr>
        <w:t>)6o.1</w:t>
      </w:r>
      <w:proofErr w:type="gramEnd"/>
      <w:r w:rsidRPr="00646677">
        <w:rPr>
          <w:rFonts w:ascii="Arial" w:hAnsi="Arial" w:cs="Arial"/>
          <w:bCs/>
          <w:sz w:val="20"/>
          <w:szCs w:val="20"/>
        </w:rPr>
        <w:t xml:space="preserve"> P (10a.)</w:t>
      </w:r>
    </w:p>
    <w:p w14:paraId="72B7E7B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56, Julio de 2018, Tomo II, página 1601</w:t>
      </w:r>
    </w:p>
    <w:p w14:paraId="14413A2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2561194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REVISIÓN EN AMPARO INDIRECTO. EL COORDINADOR GENERAL DE CENTROS FEDERALES DEL ÓRGANO ADMINISTRATIVO DESCONCENTRADO DE PREVENCIÓN Y READAPTACIÓN SOCIAL DEPENDIENTE DE LA COMISIÓN NACIONAL DE SEGURIDAD DE LA SECRETARÍA DE GOBERNACIÓN, CARECE DE LEGITIMACIÓN PARA INTERPONER ESE RECURSO, CONTRA LA SENTENCIA QUE DECLARÓ LA INCONSTITUCIONALIDAD DE SU RESOLUCIÓN RECAÍDA A LA INCONFORMIDAD INTERPUESTA POR UN INTERNO CONTRA LA IMPOSICIÓN DE MEDIDAS DISCIPLINARIAS.</w:t>
      </w:r>
    </w:p>
    <w:p w14:paraId="19137F3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Del artículo 87 de la Ley de Amparo, se advierte que los órganos judiciales o aquellos que realicen materialmente la función jurisdiccional, no están facultados para interponer el recurso de revisión en amparo indirecto, pues además de carecer de interés en la subsistencia del acto reclamado, de hacerlo, estarían actuando de manera parcial en favor o en contra de alguna de las partes. En esa virtud, el coordinador general de centros federales del Órgano Administrativo Desconcentrado Prevención y Readaptación Social dependiente de la Comisión Nacional de Seguridad de la Secretaría de Gobernación, al dictar la resolución con la que resolvió la inconformidad de un interno contra la imposición de medidas disciplinarias y respecto de la cual se determinó su inconstitucionalidad, carece de legitimación para interponer el medio de impugnación cita</w:t>
      </w:r>
      <w:r>
        <w:rPr>
          <w:rFonts w:ascii="Arial" w:hAnsi="Arial" w:cs="Arial"/>
          <w:bCs/>
          <w:sz w:val="20"/>
          <w:szCs w:val="20"/>
        </w:rPr>
        <w:t>do.</w:t>
      </w:r>
    </w:p>
    <w:p w14:paraId="1C04A40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SEXTO TRIBUNAL COLEGIADO DE CIRCUITO DEL CENTRO AUXILIAR DE LA PRIMERA REGIÓN, CON RESIDENCIA EN CUERNAVACA, MORELOS.</w:t>
      </w:r>
    </w:p>
    <w:p w14:paraId="7915266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51/2017 (cuaderno auxiliar 404/2017) del índice del Primer Tribunal Colegiado en Materias Penal y Administrativa del Décimo Octavo Circuito, con apoyo del Sexto Tribunal Colegiado de Circuito del Centro Auxiliar de la Primera Región, con residencia en Cuernavaca, Morelos. 31 de agosto de 2017. Unanimidad de votos. Ponente: Rigoberto Baca López. Secretaria: Blanca Fuen</w:t>
      </w:r>
      <w:r>
        <w:rPr>
          <w:rFonts w:ascii="Arial" w:hAnsi="Arial" w:cs="Arial"/>
          <w:bCs/>
          <w:sz w:val="20"/>
          <w:szCs w:val="20"/>
        </w:rPr>
        <w:t>tes Sánchez.</w:t>
      </w:r>
    </w:p>
    <w:p w14:paraId="3B6E844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Amparo en revisión 430/2017 (cuaderno auxiliar 832/2017) del índice del Segundo Tribunal Colegiado en Materias Penal y Administrativa del Décimo Octavo Circuito, con apoyo del Sexto Tribunal Colegiado de Circuito del Centro Auxiliar de la Primera Región, con residencia en Cuernavaca, Morelos. 22 de febrero de 2018. Unanimidad de votos. Ponente: Juan Pablo </w:t>
      </w:r>
      <w:proofErr w:type="spellStart"/>
      <w:r w:rsidRPr="00646677">
        <w:rPr>
          <w:rFonts w:ascii="Arial" w:hAnsi="Arial" w:cs="Arial"/>
          <w:bCs/>
          <w:sz w:val="20"/>
          <w:szCs w:val="20"/>
        </w:rPr>
        <w:t>Bonifaz</w:t>
      </w:r>
      <w:proofErr w:type="spellEnd"/>
      <w:r w:rsidRPr="00646677">
        <w:rPr>
          <w:rFonts w:ascii="Arial" w:hAnsi="Arial" w:cs="Arial"/>
          <w:bCs/>
          <w:sz w:val="20"/>
          <w:szCs w:val="20"/>
        </w:rPr>
        <w:t xml:space="preserve"> Escobar. Secretari</w:t>
      </w:r>
      <w:r>
        <w:rPr>
          <w:rFonts w:ascii="Arial" w:hAnsi="Arial" w:cs="Arial"/>
          <w:bCs/>
          <w:sz w:val="20"/>
          <w:szCs w:val="20"/>
        </w:rPr>
        <w:t>o: Francisco Manuel Díaz y Rea.</w:t>
      </w:r>
    </w:p>
    <w:p w14:paraId="19D44E7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Nota: La denominación actual del órgano emisor es la de Tercer Tribunal Colegiado en Materias Penal y Administrativa del Décimo Octavo Circuito.</w:t>
      </w:r>
    </w:p>
    <w:p w14:paraId="00D2DC1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13 de julio de 2018 a las 10:20  horas  en el Semanario Judicial de la Federación.</w:t>
      </w:r>
    </w:p>
    <w:p w14:paraId="3451FBF4" w14:textId="77777777" w:rsidR="00646677" w:rsidRPr="00646677" w:rsidRDefault="00646677" w:rsidP="00646677">
      <w:pPr>
        <w:spacing w:after="0" w:line="240" w:lineRule="auto"/>
        <w:ind w:right="-64"/>
        <w:jc w:val="both"/>
        <w:rPr>
          <w:rFonts w:ascii="Arial" w:hAnsi="Arial" w:cs="Arial"/>
          <w:bCs/>
          <w:sz w:val="20"/>
          <w:szCs w:val="20"/>
        </w:rPr>
      </w:pPr>
    </w:p>
    <w:p w14:paraId="4BF5A81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2016577</w:t>
      </w:r>
    </w:p>
    <w:p w14:paraId="2A3E26F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2D68A1F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2219BC2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5054B61B" w14:textId="77777777" w:rsidR="00646677" w:rsidRPr="00646677" w:rsidRDefault="00646677" w:rsidP="00646677">
      <w:pPr>
        <w:spacing w:after="0" w:line="240" w:lineRule="auto"/>
        <w:ind w:right="-64"/>
        <w:jc w:val="both"/>
        <w:rPr>
          <w:rFonts w:ascii="Arial" w:hAnsi="Arial" w:cs="Arial"/>
          <w:bCs/>
          <w:sz w:val="20"/>
          <w:szCs w:val="20"/>
          <w:lang w:val="en-US"/>
        </w:rPr>
      </w:pPr>
      <w:r w:rsidRPr="00646677">
        <w:rPr>
          <w:rFonts w:ascii="Arial" w:hAnsi="Arial" w:cs="Arial"/>
          <w:bCs/>
          <w:sz w:val="20"/>
          <w:szCs w:val="20"/>
          <w:lang w:val="en-US"/>
        </w:rPr>
        <w:t>Tesis: I.9o.P.185 P (10a.)</w:t>
      </w:r>
    </w:p>
    <w:p w14:paraId="5CDB06A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53, Abril de 2018, Tomo III, página 2281</w:t>
      </w:r>
    </w:p>
    <w:p w14:paraId="599AC3C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215683D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lastRenderedPageBreak/>
        <w:t>RECURSO DE REVISIÓN EN AMPARO INDIRECTO. EL TERCERO INTERESADO CARECE DE LEGITIMACIÓN PARA INTERPONERLO CONTRA LA SENTENCIA QUE CONCEDE LA PROTECCIÓN CONSTITUCIONAL PARA QUE SE EMITA UN ACUERDO DIVERSO EN EL QUE SEÑALE NUEVA FECHA PARA LA CELEBRACIÓN DE LA AUDIENCIA INICIAL Y SE NOTIFIQUE AL IMPUTADO CONFORME A LAS FORMALIDADES LEGALES APLICABLES (NUEVO SISTEMA DE JUSTICIA PENAL).</w:t>
      </w:r>
    </w:p>
    <w:p w14:paraId="0F0C85F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 obstante que dentro del juicio de amparo indirecto se haya tenido a los recurrentes con la calidad de terceros interesados, de la interpretación de los artículos 5o., 81, fracción I, inciso e), 82 y 88, primer párrafo, de la Ley de Amparo, se advierte que el recurso de revisión sólo puede interponerlo la parte a quien causa perjuicio la determinación que se impugna; por tanto, aquéllos carecen de legitimación para impugnar lo determinado por el Juez de amparo, en cuanto a que se emita un nuevo acuerdo en el que señale nueva fecha para la celebración de la audiencia inicial y se notifique al imputado conforme a las formalidades legales aplicables, pues no basta tener reconocida dicha calidad para excitar la función jurisdiccional de una nueva instancia, sino además, se requiere que la resolución impugnada cause un agravio como titular del derecho puesto a discusión en el juicio y, en el caso, la sentencia de amparo no afecta la esfera jurídica de los recurrentes; en consecuencia, al no tener legitimación para impugnar esa determinación mediante el recurso de revisión, éste es improcedente, porque a pesar de ser parte en el juicio de amparo indirect</w:t>
      </w:r>
      <w:r>
        <w:rPr>
          <w:rFonts w:ascii="Arial" w:hAnsi="Arial" w:cs="Arial"/>
          <w:bCs/>
          <w:sz w:val="20"/>
          <w:szCs w:val="20"/>
        </w:rPr>
        <w:t>o, no resienten agravio alguno.</w:t>
      </w:r>
    </w:p>
    <w:p w14:paraId="6E7BB9FB"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NOVENO TRIBUNAL COLEGIADO EN MATERIA PENAL DEL PRIMER CIRCUITO.</w:t>
      </w:r>
    </w:p>
    <w:p w14:paraId="1B9AB1F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Recurso de reclamación 23/2017. 25 de enero de 2018. Unanimidad de votos. Ponente: Emma Meza Fonseca. Secretario: Martín Muñoz Ortiz.</w:t>
      </w:r>
    </w:p>
    <w:p w14:paraId="18A949C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06 de abril de 2018 a las 10:10 horas en el Semanario Judicial de la Federación.</w:t>
      </w:r>
    </w:p>
    <w:p w14:paraId="318078B1" w14:textId="77777777" w:rsidR="00646677" w:rsidRPr="00646677" w:rsidRDefault="00646677" w:rsidP="00646677">
      <w:pPr>
        <w:spacing w:after="0" w:line="240" w:lineRule="auto"/>
        <w:ind w:right="-64"/>
        <w:jc w:val="both"/>
        <w:rPr>
          <w:rFonts w:ascii="Arial" w:hAnsi="Arial" w:cs="Arial"/>
          <w:bCs/>
          <w:sz w:val="20"/>
          <w:szCs w:val="20"/>
        </w:rPr>
      </w:pPr>
    </w:p>
    <w:p w14:paraId="52B08AB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2016110</w:t>
      </w:r>
    </w:p>
    <w:p w14:paraId="59C72C2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48F6D16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3FCC3D7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195E473C" w14:textId="77777777" w:rsidR="00646677" w:rsidRPr="00646677" w:rsidRDefault="00646677" w:rsidP="00646677">
      <w:pPr>
        <w:spacing w:after="0" w:line="240" w:lineRule="auto"/>
        <w:ind w:right="-64"/>
        <w:jc w:val="both"/>
        <w:rPr>
          <w:rFonts w:ascii="Arial" w:hAnsi="Arial" w:cs="Arial"/>
          <w:bCs/>
          <w:sz w:val="20"/>
          <w:szCs w:val="20"/>
          <w:lang w:val="en-US"/>
        </w:rPr>
      </w:pPr>
      <w:r w:rsidRPr="00646677">
        <w:rPr>
          <w:rFonts w:ascii="Arial" w:hAnsi="Arial" w:cs="Arial"/>
          <w:bCs/>
          <w:sz w:val="20"/>
          <w:szCs w:val="20"/>
          <w:lang w:val="en-US"/>
        </w:rPr>
        <w:t>Tesis: I.9o.P.173 P (10a.)</w:t>
      </w:r>
    </w:p>
    <w:p w14:paraId="50DF963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50, Enero de 2018, Tomo IV, página 2229</w:t>
      </w:r>
    </w:p>
    <w:p w14:paraId="2C91EE5B"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7571EC0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RECURSO DE REVISIÓN CONTRA LAS SENTENCIAS DE AMPARO INDIRECTO. LOS ÓRGANOS JURISDICCIONALES DEL PROCESO PENAL ACUSATORIO, RESPONSABLES DEL ACTO RECLAMADO, CARECEN DE LEGITIMACIÓN PARA INTERPONERLO.</w:t>
      </w:r>
    </w:p>
    <w:p w14:paraId="2E77BF2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El artículo 87 de la Ley de Amparo dispone, en lo conducente, que las autoridades responsables podrán interponer el recurso de revisión sólo contra las sentencias que afecten directamente el acto reclamado de cada una de ellas. Numeral que, en su segundo párrafo, señala que las autoridades judiciales o jurisdiccionales carecen de legitimación para recurrir las sentencias que declaren la inconstitucionalidad del acto reclamado, cuando éste se hubiera emitido en ejercicio de la potestad jurisdiccional. Ahora bien, si de las constancias que obran en el recurso de revisión, se advierte que en el juicio de amparo indirecto, el acto reclamado motivo del recurso, fue emitido por un Juez de control, en funciones de Juez de trámite, en su calidad de autoridad responsable ordenadora; en tanto que la parte que interpuso el recurso de revisión fue dicho Juez de control, en términos del artículo 87, párrafo segundo, indicado, el recurrente carece de legitimación para impugnar la sentencia dictada en el juicio de amparo indirecto. Lo anterior, pues en el juicio de mérito el acto reclamado lo emitió en ejercicio de su potestad jurisdiccional, la cual es imparcial por excelencia y así, aunque dicha autoridad sea parte en el amparo, ostenta una naturaleza incompatible con las otras, de manera que le impide asimilarse con ellas. De aceptar la postura contraria y admitir la posibilidad de recurrir esas resoluciones, se ocasionaría que el órgano jurisdiccional dejara de ser imparcial, pues al defender el acto reclamado, favorecería a una de las partes con el consecuente perjuicio de la otra; máxime que tratándose de juicios de carácter penal (acusatorio y oral), la autoridad jurisdiccional se ubicaría de hecho y oficiosamente como coadyuvante del Ministerio Público y en contra del particular que es el promovente del juicio de a</w:t>
      </w:r>
      <w:r>
        <w:rPr>
          <w:rFonts w:ascii="Arial" w:hAnsi="Arial" w:cs="Arial"/>
          <w:bCs/>
          <w:sz w:val="20"/>
          <w:szCs w:val="20"/>
        </w:rPr>
        <w:t>mparo.</w:t>
      </w:r>
    </w:p>
    <w:p w14:paraId="42EC03AB"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NOVENO TRIBUNAL COLEGIADO EN MATERIA PENAL DEL PRIMER CIRCUITO.</w:t>
      </w:r>
    </w:p>
    <w:p w14:paraId="7355972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198/2017. 9 de noviembre de 2017. Unanimidad de votos. Ponente: Emma Meza Fonseca. Secretario: Miguel Ángel Sánchez Acuña.</w:t>
      </w:r>
    </w:p>
    <w:p w14:paraId="3595944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26 de enero de 2018 a las 10:27 horas en el Semanario Judicial de la Federación.</w:t>
      </w:r>
    </w:p>
    <w:p w14:paraId="46675106" w14:textId="77777777" w:rsidR="00646677" w:rsidRPr="00646677" w:rsidRDefault="00646677" w:rsidP="00646677">
      <w:pPr>
        <w:spacing w:after="0" w:line="240" w:lineRule="auto"/>
        <w:ind w:right="-64"/>
        <w:jc w:val="both"/>
        <w:rPr>
          <w:rFonts w:ascii="Arial" w:hAnsi="Arial" w:cs="Arial"/>
          <w:bCs/>
          <w:sz w:val="20"/>
          <w:szCs w:val="20"/>
        </w:rPr>
      </w:pPr>
    </w:p>
    <w:p w14:paraId="7F84267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2013272</w:t>
      </w:r>
    </w:p>
    <w:p w14:paraId="0BC58AA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34655BF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2F862C7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4965606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Tesis: VI.1o.P.36 P (10a.)</w:t>
      </w:r>
    </w:p>
    <w:p w14:paraId="512FEA3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37, Diciembre de 2016, Tomo II, página 1857</w:t>
      </w:r>
    </w:p>
    <w:p w14:paraId="363A276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7006CDA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REVISIÓN EN AMPARO INDIRECTO EN MATERIA PENAL. PARA TENER POR ACREDITADA LA LEGITIMACIÓN DEL DEFENSOR DEL INCULPADO QUE COMPARECE COMO TERCERO INTERESADO EN EL JUICIO PARA INTERPONER ESE RECURSO BASTA, EN PRINCIPIO, SU SOLA AFIRMACIÓN DE TENER RECONOCIDA SU REPRESENTACIÓN ANTE LA AUTORIDAD RESPONSABLE, LA QUE PODRÁ COMPROBAR DURANTE TODO EL JUICIO </w:t>
      </w:r>
      <w:r w:rsidRPr="00646677">
        <w:rPr>
          <w:rFonts w:ascii="Arial" w:hAnsi="Arial" w:cs="Arial"/>
          <w:bCs/>
          <w:sz w:val="20"/>
          <w:szCs w:val="20"/>
        </w:rPr>
        <w:lastRenderedPageBreak/>
        <w:t>CONSTITUCIONAL, INCLUSO, ANTES DEL ACUERDO POR EL QUE SE TURNA EL ASUNTO AL MAGISTRADO PONENTE CORRESPONDIENTE, EL CUAL SURTE LOS EFECTOS DE CITACIÓN PARA SENTENCIA.</w:t>
      </w:r>
    </w:p>
    <w:p w14:paraId="500C1F5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De una exégesis y enlace armónico de los artículos 1o. de la Constitución Política de los Estados Unidos Mexicanos y 6o., 10 y 11 de la Ley de Amparo, y conforme al principio pro </w:t>
      </w:r>
      <w:proofErr w:type="spellStart"/>
      <w:r w:rsidRPr="00646677">
        <w:rPr>
          <w:rFonts w:ascii="Arial" w:hAnsi="Arial" w:cs="Arial"/>
          <w:bCs/>
          <w:sz w:val="20"/>
          <w:szCs w:val="20"/>
        </w:rPr>
        <w:t>personae</w:t>
      </w:r>
      <w:proofErr w:type="spellEnd"/>
      <w:r w:rsidRPr="00646677">
        <w:rPr>
          <w:rFonts w:ascii="Arial" w:hAnsi="Arial" w:cs="Arial"/>
          <w:bCs/>
          <w:sz w:val="20"/>
          <w:szCs w:val="20"/>
        </w:rPr>
        <w:t xml:space="preserve">, se colige que en materia penal, el inculpado reconocido con ese carácter, puede acudir al recurso de revisión a través de su defensor; y la calidad de éste podrá acreditarse durante todo el juicio constitucional, en todas sus etapas e instancias, bastando la sola afirmación inicial en ese sentido, incluso, hasta antes del dictado del acuerdo por el que se turna el asunto al Magistrado ponente que corresponda, el cual surte los efectos de citación para sentencia, pues el espíritu del legislador se encaminó a no dejar en estado de vulneración al acusado en un proceso penal, que desde luego abarca el juicio de amparo y, con ello, velar por los principios de defensa adecuada y pro </w:t>
      </w:r>
      <w:proofErr w:type="spellStart"/>
      <w:r w:rsidRPr="00646677">
        <w:rPr>
          <w:rFonts w:ascii="Arial" w:hAnsi="Arial" w:cs="Arial"/>
          <w:bCs/>
          <w:sz w:val="20"/>
          <w:szCs w:val="20"/>
        </w:rPr>
        <w:t>personae</w:t>
      </w:r>
      <w:proofErr w:type="spellEnd"/>
      <w:r w:rsidRPr="00646677">
        <w:rPr>
          <w:rFonts w:ascii="Arial" w:hAnsi="Arial" w:cs="Arial"/>
          <w:bCs/>
          <w:sz w:val="20"/>
          <w:szCs w:val="20"/>
        </w:rPr>
        <w:t>. Resultando de toral importancia, lo establecido en el artículo 11 indicado, respecto de la excepción ahí prescrita, consistente en que, tratándose de la materia penal, quien comparezca en el juicio de amparo indirecto en nombre del quejoso o del tercero interesado y afirme tener reconocida su representación como defensor ante la autoridad responsable, le será admitido tal carácter, bastando, en principio, la sola afirmación en ese sentido. Por ende, si el juicio de amparo indirecto consta de dos instancias, es dable considerar que para tener por acreditada la legitimación del defensor del inculpado que comparece como tercero interesado en el juicio para interponer el recurso de revisión basta, en principio, la sola afirmación en ese sentido, representación que podrá acreditar durante todo el juicio constitucional, incluso, antes del dictado del acuerdo por el que se turna el asunto al Magistrado ponente correspondiente, el cual surte los efec</w:t>
      </w:r>
      <w:r>
        <w:rPr>
          <w:rFonts w:ascii="Arial" w:hAnsi="Arial" w:cs="Arial"/>
          <w:bCs/>
          <w:sz w:val="20"/>
          <w:szCs w:val="20"/>
        </w:rPr>
        <w:t>tos de citación para sentencia.</w:t>
      </w:r>
    </w:p>
    <w:p w14:paraId="7C1C065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PRIMER TRIBUNAL COLEGIADO EN MATERIA PENAL DEL SEXTO CIRCUITO.</w:t>
      </w:r>
    </w:p>
    <w:p w14:paraId="5A2BB2A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Recurso de reclamación 7/2016. 7 de julio de 2016. Unanimidad de votos. Ponente: Alfonso </w:t>
      </w:r>
      <w:proofErr w:type="spellStart"/>
      <w:r w:rsidRPr="00646677">
        <w:rPr>
          <w:rFonts w:ascii="Arial" w:hAnsi="Arial" w:cs="Arial"/>
          <w:bCs/>
          <w:sz w:val="20"/>
          <w:szCs w:val="20"/>
        </w:rPr>
        <w:t>Gazca</w:t>
      </w:r>
      <w:proofErr w:type="spellEnd"/>
      <w:r w:rsidRPr="00646677">
        <w:rPr>
          <w:rFonts w:ascii="Arial" w:hAnsi="Arial" w:cs="Arial"/>
          <w:bCs/>
          <w:sz w:val="20"/>
          <w:szCs w:val="20"/>
        </w:rPr>
        <w:t xml:space="preserve"> Cossío. Secretario: Ricardo Huerta Lázaro.</w:t>
      </w:r>
    </w:p>
    <w:p w14:paraId="5971D7D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02 de diciembre de 2016 a las 10:14 horas en el Semanario Judicial de la Federación.</w:t>
      </w:r>
    </w:p>
    <w:p w14:paraId="43D15CF6" w14:textId="77777777" w:rsidR="00646677" w:rsidRPr="00897606" w:rsidRDefault="00646677" w:rsidP="00646677">
      <w:pPr>
        <w:spacing w:after="0" w:line="240" w:lineRule="auto"/>
        <w:ind w:right="-64"/>
        <w:jc w:val="both"/>
        <w:rPr>
          <w:rFonts w:ascii="Arial" w:hAnsi="Arial" w:cs="Arial"/>
          <w:bCs/>
          <w:sz w:val="20"/>
          <w:szCs w:val="20"/>
        </w:rPr>
      </w:pPr>
    </w:p>
    <w:p w14:paraId="2BB2B3C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2011449</w:t>
      </w:r>
    </w:p>
    <w:p w14:paraId="01A8BB5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4127690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1FF4C70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0C8501B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Tesis: XXI.1o.P.A. J/4 (10a.)</w:t>
      </w:r>
    </w:p>
    <w:p w14:paraId="659E66B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29, Abril de 2016, Tomo III, página 2063</w:t>
      </w:r>
    </w:p>
    <w:p w14:paraId="08D894D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Jurisprudencia</w:t>
      </w:r>
    </w:p>
    <w:p w14:paraId="77D3B63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MINISTERIO PÚBLICO DE LA FEDERACIÓN. CARECE DE LEGITIMACIÓN PARA INTERPONER EL RECURSO DE REVISIÓN CONTRA LA SENTENCIA DICTADA EN AMPARO INDIRECTO, CUANDO ELLO IMPLICA ASUMIR LA DEFENSA DE OTRA DE LAS PARTES INTERVINIENTES EN EL JUICIO CONSTITUCIONAL.</w:t>
      </w:r>
    </w:p>
    <w:p w14:paraId="1001D38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Si bien es cierto que de conformidad con la fracción IV del artículo 5o. de la Ley de Amparo, el Ministerio Público de la Federación es parte en todos los juicios constitucionales, y puede interponer los recursos que señala dicha ley, también lo es que ello no significa que, en todos los casos, tenga legitimación para interponer el recurso de revisión previsto en ese ordenamiento. Así, de acuerdo con la diversa fracción III, inciso e), del numeral en cita, en el juicio constitucional también es parte tercero interesada, el Ministerio Público que intervino en el procedimiento penal del que derivó el acto reclamado, siempre que no tenga el carácter de autoridad responsable; lo que implica que sería a éste a quien correspondería instar ese recurso, cuando se pretende justificar la legalidad del acto reclamado, emitido en el procedimiento penal en que interviene, y no al Ministerio Público de la Federación adscrito al órgano constitucional, quien únicamente podrá hacerlo cuando la Constitución Política de los Estados Unidos Mexicanos o las leyes le encomienden la defensa de un interés específico, exclusivo de su representación social, pues su actuación tiene los límites que señalan los propios numerales, así como los diversos 17 de la Constitución Federal y 4 de la Ley Orgánica de la Procuraduría General de la República, es decir, procurar la pronta y expedita administración de justicia. Por ende, cuando el Ministerio Público de la Federación pretende justificar la legalidad de la conducta de las autoridades responsables al emitir los actos reclamados y obtener la revocación de la sentencia recurrida, asume la defensa de otra de las partes que participan en el juicio constitucional, en el caso, de la autoridad ministerial que intervino en el procedimiento penal del que derivó el acto reclamado, quien tiene el carácter de autoridad responsable, lo que en términos del artículo 87 de la Ley de Amparo, implica esa falta de legitimación y contraviene el artículo 9o. de este ordenamiento, por exceder la función concreta que al Ministerio Público de la Federación, como parte formal, corresponde en el juicio de amparo indirecto; ello, con independencia de la unidad que guarda la institución del Ministerio Público. Lo contrario haría inexplicable por qué el legislador, de manera novedosa, consideró como tercero interesado en el citado procedimiento constitucional al Ministerio Público de la Federa</w:t>
      </w:r>
      <w:r>
        <w:rPr>
          <w:rFonts w:ascii="Arial" w:hAnsi="Arial" w:cs="Arial"/>
          <w:bCs/>
          <w:sz w:val="20"/>
          <w:szCs w:val="20"/>
        </w:rPr>
        <w:t>ción adscrito a la responsable.</w:t>
      </w:r>
    </w:p>
    <w:p w14:paraId="311C34B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PRIMER TRIBUNAL COLEGIADO EN MATERIAS PENAL Y ADMINISTRATIVA DEL VIGÉSIMO PRIMER CIRCUITO.</w:t>
      </w:r>
    </w:p>
    <w:p w14:paraId="221F081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435/2015. 28 de enero de 2016. Unanimidad de votos. Ponente: Gerardo Dávila Gaona. S</w:t>
      </w:r>
      <w:r>
        <w:rPr>
          <w:rFonts w:ascii="Arial" w:hAnsi="Arial" w:cs="Arial"/>
          <w:bCs/>
          <w:sz w:val="20"/>
          <w:szCs w:val="20"/>
        </w:rPr>
        <w:t xml:space="preserve">ecretario: Ricardo </w:t>
      </w:r>
      <w:proofErr w:type="spellStart"/>
      <w:r>
        <w:rPr>
          <w:rFonts w:ascii="Arial" w:hAnsi="Arial" w:cs="Arial"/>
          <w:bCs/>
          <w:sz w:val="20"/>
          <w:szCs w:val="20"/>
        </w:rPr>
        <w:t>Genel</w:t>
      </w:r>
      <w:proofErr w:type="spellEnd"/>
      <w:r>
        <w:rPr>
          <w:rFonts w:ascii="Arial" w:hAnsi="Arial" w:cs="Arial"/>
          <w:bCs/>
          <w:sz w:val="20"/>
          <w:szCs w:val="20"/>
        </w:rPr>
        <w:t xml:space="preserve"> Ayala.</w:t>
      </w:r>
    </w:p>
    <w:p w14:paraId="1B85B89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380/2015. 12 de febrero de 2016. Unanimidad de votos. Ponente: Gerardo Dávila Gaona. Secr</w:t>
      </w:r>
      <w:r>
        <w:rPr>
          <w:rFonts w:ascii="Arial" w:hAnsi="Arial" w:cs="Arial"/>
          <w:bCs/>
          <w:sz w:val="20"/>
          <w:szCs w:val="20"/>
        </w:rPr>
        <w:t xml:space="preserve">etario: Tomás Flores Zaragoza. </w:t>
      </w:r>
    </w:p>
    <w:p w14:paraId="7406493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381/2015. 12 de febrero de 2016. Unanimidad de votos. Ponente: Gerardo Dávila Gaona. Se</w:t>
      </w:r>
      <w:r>
        <w:rPr>
          <w:rFonts w:ascii="Arial" w:hAnsi="Arial" w:cs="Arial"/>
          <w:bCs/>
          <w:sz w:val="20"/>
          <w:szCs w:val="20"/>
        </w:rPr>
        <w:t xml:space="preserve">cretario: Ricardo </w:t>
      </w:r>
      <w:proofErr w:type="spellStart"/>
      <w:r>
        <w:rPr>
          <w:rFonts w:ascii="Arial" w:hAnsi="Arial" w:cs="Arial"/>
          <w:bCs/>
          <w:sz w:val="20"/>
          <w:szCs w:val="20"/>
        </w:rPr>
        <w:t>Genel</w:t>
      </w:r>
      <w:proofErr w:type="spellEnd"/>
      <w:r>
        <w:rPr>
          <w:rFonts w:ascii="Arial" w:hAnsi="Arial" w:cs="Arial"/>
          <w:bCs/>
          <w:sz w:val="20"/>
          <w:szCs w:val="20"/>
        </w:rPr>
        <w:t xml:space="preserve"> Ayala. </w:t>
      </w:r>
    </w:p>
    <w:p w14:paraId="3033F28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lastRenderedPageBreak/>
        <w:t>Amparo en revisión 387/2015. 12 de febrero de 2016. Unanimidad de votos. Ponente: Gerardo Dávila Gaona. Sec</w:t>
      </w:r>
      <w:r>
        <w:rPr>
          <w:rFonts w:ascii="Arial" w:hAnsi="Arial" w:cs="Arial"/>
          <w:bCs/>
          <w:sz w:val="20"/>
          <w:szCs w:val="20"/>
        </w:rPr>
        <w:t>retario: Tomás Flores Zaragoza.</w:t>
      </w:r>
    </w:p>
    <w:p w14:paraId="53EC621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388/2015. 12 de febrero de 2016. Unanimidad de votos. Ponente: Gerardo Dávila Gaona. Sec</w:t>
      </w:r>
      <w:r>
        <w:rPr>
          <w:rFonts w:ascii="Arial" w:hAnsi="Arial" w:cs="Arial"/>
          <w:bCs/>
          <w:sz w:val="20"/>
          <w:szCs w:val="20"/>
        </w:rPr>
        <w:t>retario: Tomás Flores Zaragoza.</w:t>
      </w:r>
    </w:p>
    <w:p w14:paraId="2E7BCA8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Nota: Por ejecutoria del 29 de marzo de 2017, la Primera Sala declaró inexistente la contradicción de tesis 383/2016 derivada de la denuncia de la que fue objeto el criterio contenido en esta tesis, al estimarse que no son discrepantes los criterios mat</w:t>
      </w:r>
      <w:r>
        <w:rPr>
          <w:rFonts w:ascii="Arial" w:hAnsi="Arial" w:cs="Arial"/>
          <w:bCs/>
          <w:sz w:val="20"/>
          <w:szCs w:val="20"/>
        </w:rPr>
        <w:t>eria de la denuncia respectiva.</w:t>
      </w:r>
    </w:p>
    <w:p w14:paraId="5E162D8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Por ejecutoria del 8 de enero de 2020, la Primera Sala declaró inexistente la contradicción de tesis 276/2019 derivada de la denuncia de la que fue objeto el criterio contenido en esta tesis, al considerar que sobre un mismo punto de derecho los tribunales contendientes hayan adoptado criterios jurídicos discrepantes.</w:t>
      </w:r>
    </w:p>
    <w:p w14:paraId="5CA62FC1" w14:textId="38C92E8D"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15 de abril de 2016 a las 10:30 horas en el Semanario Judicial de la Federación y, por ende, se considera de aplicación obligatoria a partir del lunes 18 de abril de 2016, para los efectos previstos en el punto séptimo del Ac</w:t>
      </w:r>
      <w:r>
        <w:rPr>
          <w:rFonts w:ascii="Arial" w:hAnsi="Arial" w:cs="Arial"/>
          <w:bCs/>
          <w:sz w:val="20"/>
          <w:szCs w:val="20"/>
        </w:rPr>
        <w:t>uerdo General Plenario 19/2013.</w:t>
      </w:r>
    </w:p>
    <w:p w14:paraId="7ACA3D99" w14:textId="77777777" w:rsidR="00646677" w:rsidRPr="00646677" w:rsidRDefault="00646677" w:rsidP="00646677">
      <w:pPr>
        <w:spacing w:after="0" w:line="240" w:lineRule="auto"/>
        <w:ind w:right="-64"/>
        <w:jc w:val="both"/>
        <w:rPr>
          <w:rFonts w:ascii="Arial" w:hAnsi="Arial" w:cs="Arial"/>
          <w:bCs/>
          <w:sz w:val="20"/>
          <w:szCs w:val="20"/>
        </w:rPr>
      </w:pPr>
    </w:p>
    <w:p w14:paraId="3BAA0B3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2006632</w:t>
      </w:r>
    </w:p>
    <w:p w14:paraId="057E42B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57D1026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0855E03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6186892C" w14:textId="77777777" w:rsidR="00646677" w:rsidRPr="00646677" w:rsidRDefault="00646677" w:rsidP="00646677">
      <w:pPr>
        <w:spacing w:after="0" w:line="240" w:lineRule="auto"/>
        <w:ind w:right="-64"/>
        <w:jc w:val="both"/>
        <w:rPr>
          <w:rFonts w:ascii="Arial" w:hAnsi="Arial" w:cs="Arial"/>
          <w:bCs/>
          <w:sz w:val="20"/>
          <w:szCs w:val="20"/>
          <w:lang w:val="en-US"/>
        </w:rPr>
      </w:pPr>
      <w:r w:rsidRPr="00646677">
        <w:rPr>
          <w:rFonts w:ascii="Arial" w:hAnsi="Arial" w:cs="Arial"/>
          <w:bCs/>
          <w:sz w:val="20"/>
          <w:szCs w:val="20"/>
          <w:lang w:val="en-US"/>
        </w:rPr>
        <w:t>Tesis: III.2o.P.55 P (10a.)</w:t>
      </w:r>
    </w:p>
    <w:p w14:paraId="014940D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Gaceta del Semanario Judicial de la Federación. Libro 7, Junio de 2014, Tomo II, página 1746</w:t>
      </w:r>
    </w:p>
    <w:p w14:paraId="724A3CF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2512CCE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LEGITIMACIÓN EN EL RECURSO DE REVISIÓN PROMOVIDO CONTRA UNA SENTENCIA DE AMPARO INDIRECTO EN MATERIA PENAL. CARECE DE ELLA EL AUTORIZADO POR EL DEFENSOR PARTICULAR DEL INCULPADO EN TÉRMINOS DEL ARTÍCULO 12 DE LA LEY DE LA MATERIA.</w:t>
      </w:r>
    </w:p>
    <w:p w14:paraId="5D4B2C8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El artículo 12, párrafo primero, de la Ley de Amparo dispone: "El quejoso y el tercero interesado podrán autorizar para oír notificaciones en su nombre, a cualquier persona con capacidad legal, quien quedará facultada para interponer los recursos que procedan, ofrecer y rendir pruebas, alegar en las audiencias, solicitar su suspensión o diferimiento y realizar cualquier acto que resulte ser necesario para la defensa de los derechos del autorizante, pero no podrá sustituir o delegar dichas facultades en un tercero.", lo que es indicativo de que únicamente el quejoso y el tercero interesado podrán señalar autorizados en términos del invocado precepto; por tanto, el que designe el defensor del inculpado que promueve juicio de amparo indirecto a nombre de éste, carece de legitimación para recurrir a través del recurso de revisión la sentencia dictada en ese procedimiento, pues si bien es cierto que el juicio de amparo puede promoverse por persona física o moral afectada por la norma o por algún acto de autoridad, por conducto de su representante legal o apoderado y por el defensor en el proceso penal, también lo es que no existe disposición alguna que autorice a éste para delegar o sustituir la facultad de impugnar las sentencias pronu</w:t>
      </w:r>
      <w:r>
        <w:rPr>
          <w:rFonts w:ascii="Arial" w:hAnsi="Arial" w:cs="Arial"/>
          <w:bCs/>
          <w:sz w:val="20"/>
          <w:szCs w:val="20"/>
        </w:rPr>
        <w:t>nciadas en el juicio de amparo.</w:t>
      </w:r>
    </w:p>
    <w:p w14:paraId="27F73D5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SEGUNDO TRIBUNAL COLEGIADO EN MATERIA PENAL DEL TERCER CIRCUITO.</w:t>
      </w:r>
    </w:p>
    <w:p w14:paraId="52F9CCD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34/2014. 20 de marzo de 2014. Mayoría de votos. Disidente: José Luis González. Ponente: Lorenzo Palma Hidalgo. Secretario: Daniel Castañeda Grey.</w:t>
      </w:r>
    </w:p>
    <w:p w14:paraId="0EF3B39C" w14:textId="7D137AA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Esta tesis se publicó el viernes 06 de junio de 2014 a las 12:30 horas en el Semanario Judi</w:t>
      </w:r>
      <w:r>
        <w:rPr>
          <w:rFonts w:ascii="Arial" w:hAnsi="Arial" w:cs="Arial"/>
          <w:bCs/>
          <w:sz w:val="20"/>
          <w:szCs w:val="20"/>
        </w:rPr>
        <w:t>cial de la Federación.</w:t>
      </w:r>
    </w:p>
    <w:p w14:paraId="1D391B76" w14:textId="77777777" w:rsidR="00646677" w:rsidRPr="00646677" w:rsidRDefault="00646677" w:rsidP="00646677">
      <w:pPr>
        <w:spacing w:after="0" w:line="240" w:lineRule="auto"/>
        <w:ind w:right="-64"/>
        <w:jc w:val="both"/>
        <w:rPr>
          <w:rFonts w:ascii="Arial" w:hAnsi="Arial" w:cs="Arial"/>
          <w:bCs/>
          <w:sz w:val="20"/>
          <w:szCs w:val="20"/>
        </w:rPr>
      </w:pPr>
    </w:p>
    <w:p w14:paraId="32DF42C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2001052</w:t>
      </w:r>
    </w:p>
    <w:p w14:paraId="3A12908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753EA37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Décima Época</w:t>
      </w:r>
    </w:p>
    <w:p w14:paraId="7F12F18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Común, Penal</w:t>
      </w:r>
    </w:p>
    <w:p w14:paraId="14CA0498"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Tesis: X.2 P (10a.)</w:t>
      </w:r>
    </w:p>
    <w:p w14:paraId="251F089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Semanario Judicial de la Federación y su Gaceta. Libro IX, Junio de 2012, Tomo 2, página 929</w:t>
      </w:r>
    </w:p>
    <w:p w14:paraId="329A879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6D507EC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VIOLACIÓN AL DERECHO DE DEFENSA. SI EN CUMPLIMIENTO A UNA EJECUTORIA DE AMPARO INDIRECTO QUE NO FUE IMPUGNADA SE DICTA AUTO DE FORMAL PRISIÓN, Y EN SU CONTRA SE PROMUEVE DIVERSO JUICIO DE GARANTÍAS EN EL QUE EL JUEZ DE DISTRITO NIEGA LA PROTECCIÓN FEDERAL, EL TRIBUNAL COLEGIADO DE CIRCUITO, AL CONOCER DEL RECURSO DE REVISIÓN, PUEDE ANALIZAR SI AQUÉLLA LA COMETIÓ LA AUTORIDAD RESPONSABLE DURANTE LA ETAPA DE PREINSTRUCCIÓN.</w:t>
      </w:r>
    </w:p>
    <w:p w14:paraId="441D5B3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Si en cumplimiento a una ejecutoria de amparo indirecto que no fue recurrida se dicta auto de formal prisión y, en su contra, se promueve diverso juicio de garantías en el que el Juez de Distrito decide negar la protección federal, el Tribunal Colegiado de Circuito, al conocer del recurso de revisión, puede analizar las violaciones procesales cometidas por la autoridad responsable durante la etapa de </w:t>
      </w:r>
      <w:proofErr w:type="spellStart"/>
      <w:r w:rsidRPr="00646677">
        <w:rPr>
          <w:rFonts w:ascii="Arial" w:hAnsi="Arial" w:cs="Arial"/>
          <w:bCs/>
          <w:sz w:val="20"/>
          <w:szCs w:val="20"/>
        </w:rPr>
        <w:t>preinstrucción</w:t>
      </w:r>
      <w:proofErr w:type="spellEnd"/>
      <w:r w:rsidRPr="00646677">
        <w:rPr>
          <w:rFonts w:ascii="Arial" w:hAnsi="Arial" w:cs="Arial"/>
          <w:bCs/>
          <w:sz w:val="20"/>
          <w:szCs w:val="20"/>
        </w:rPr>
        <w:t xml:space="preserve"> (como la relativa al derecho de defensa), pues no es obstáculo para el tribunal emprender dicho estudio por dos razones: a) porque al no impugnarse la primera ejecutoria de amparo no se tuvo por consentida la violación procesal y b) porque no puede repararse vía amparo directo, al tratarse de un caso de excepción, por ser la formal prisión reclamada u</w:t>
      </w:r>
      <w:r>
        <w:rPr>
          <w:rFonts w:ascii="Arial" w:hAnsi="Arial" w:cs="Arial"/>
          <w:bCs/>
          <w:sz w:val="20"/>
          <w:szCs w:val="20"/>
        </w:rPr>
        <w:t>n acto de imposible reparación.</w:t>
      </w:r>
    </w:p>
    <w:p w14:paraId="3541E1D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TRIBUNAL COLEGIADO DEL DÉCIMO CIRCUITO.</w:t>
      </w:r>
    </w:p>
    <w:p w14:paraId="3B81D52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lastRenderedPageBreak/>
        <w:t xml:space="preserve">Amparo en revisión 446/2011. 19 de enero de 2012. Unanimidad de votos. Ponente: Javier Julio Díaz, secretario de tribunal autorizado por la Comisión de Carrera Judicial del Consejo de la Judicatura Federal para desempeñar las funciones de Magistrado. Secretaria: </w:t>
      </w:r>
      <w:proofErr w:type="spellStart"/>
      <w:r w:rsidRPr="00646677">
        <w:rPr>
          <w:rFonts w:ascii="Arial" w:hAnsi="Arial" w:cs="Arial"/>
          <w:bCs/>
          <w:sz w:val="20"/>
          <w:szCs w:val="20"/>
        </w:rPr>
        <w:t>Samyra</w:t>
      </w:r>
      <w:proofErr w:type="spellEnd"/>
      <w:r w:rsidRPr="00646677">
        <w:rPr>
          <w:rFonts w:ascii="Arial" w:hAnsi="Arial" w:cs="Arial"/>
          <w:bCs/>
          <w:sz w:val="20"/>
          <w:szCs w:val="20"/>
        </w:rPr>
        <w:t xml:space="preserve"> del Carmen </w:t>
      </w:r>
      <w:proofErr w:type="spellStart"/>
      <w:r w:rsidRPr="00646677">
        <w:rPr>
          <w:rFonts w:ascii="Arial" w:hAnsi="Arial" w:cs="Arial"/>
          <w:bCs/>
          <w:sz w:val="20"/>
          <w:szCs w:val="20"/>
        </w:rPr>
        <w:t>Khouri</w:t>
      </w:r>
      <w:proofErr w:type="spellEnd"/>
      <w:r w:rsidRPr="00646677">
        <w:rPr>
          <w:rFonts w:ascii="Arial" w:hAnsi="Arial" w:cs="Arial"/>
          <w:bCs/>
          <w:sz w:val="20"/>
          <w:szCs w:val="20"/>
        </w:rPr>
        <w:t xml:space="preserve"> Colorado.</w:t>
      </w:r>
    </w:p>
    <w:p w14:paraId="7EDB80D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 </w:t>
      </w:r>
    </w:p>
    <w:p w14:paraId="190BB1A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167440</w:t>
      </w:r>
    </w:p>
    <w:p w14:paraId="70AB837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7EDEB18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Novena Época</w:t>
      </w:r>
    </w:p>
    <w:p w14:paraId="404EB29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Penal</w:t>
      </w:r>
    </w:p>
    <w:p w14:paraId="2626E7A9"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Tesis: XV.4o.19 P</w:t>
      </w:r>
    </w:p>
    <w:p w14:paraId="3D9201D5"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Semanario Judicial de la Federación y su Gaceta. Tomo XXIX, Abril de 2009, página 1931</w:t>
      </w:r>
    </w:p>
    <w:p w14:paraId="255D0E2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7DF432A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ORDEN DE APREHENSIÓN. EL TRIBUNAL COLEGIADO DE CIRCUITO AL RESOLVER EL RECURSO DE REVISIÓN INTERPUESTO EN SU CONTRA DEBE ADMITIR Y DESAHOGAR LAS PRUEBAS QUE HAYAN SURGIDO CON POSTERIORIDAD AL DICTADO DE LA SENTENCIA DE AMPARO INDIRECTO Y QUE INCIDAN EN EL FONDO DEL ASUNTO.</w:t>
      </w:r>
    </w:p>
    <w:p w14:paraId="1C48E82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Conforme al artículo 91, fracción II, de la Ley de Amparo, los Tribunales Colegiados de Circuito al conocer del recurso de revisión sólo tomarán en consideración las pruebas que se hubiesen rendido ante el Juez de Distrito o la autoridad que conozca o haya conocido del juicio de amparo; sin embargo, la Suprema Corte de Justicia de la Nación ha establecido diversas excepciones a dicha regla general, relativas a la admisión de pruebas cuyo objeto sea acreditar alguna causa de improcedencia, a la oportunidad de la presentación de la demanda de amparo si ésta fue desechada y las que aporte la autoridad responsable con el fin de acreditar que rindió su informe con justificación. Asimismo, el Máximo Tribunal ha establecido doctrina jurisprudencial cuando el acto reclamado consiste en una orden de aprehensión, en virtud de que en este supuesto el indiciado tiene la posibilidad de aportar probanzas surgidas con posterioridad al libramiento de la orden de captura, tal como se advierte de la jurisprudencia 1a./J. 107/2007, emitida por la Primera Sala, publicada en el Semanario Judicial de la Federación y su Gaceta, Novena Época, Tomo XXVI, octubre de 2007, página 112, de rubro: "ORDEN DE APREHENSIÓN. CUANDO SE RECLAMA EN EL JUICIO DE AMPARO INDIRECTO, DEBEN TOMARSE EN CUENTA LAS PRUEBAS DESAHOGADAS EN EL PROCESO PENAL CON POSTERIORIDAD A SU DICTADO, SIEMPRE QUE EL QUEJOSO ACREDITE QUE SON SUPERVENIENTES Y TENGAN VINCULACIÓN CON LOS HECHOS MATERIA DE LA INVESTIGACIÓN.". Así las cosas, cuando el recurrente ofrece ante el Tribunal Colegiado de Circuito copia certificada de una resolución que incida en el fondo del asunto sometido al análisis constitucional y haya surgido con posterioridad al dictado de la sentencia de amparo indirecto, dicha prueba debe ser admitida y analizada por aquél, ya que el citado artículo 91, fracción II, no debe ser un impedimento que merme, en el caso planteado, la garantía de defensa del indiciado consagrada en el artículo 20 de la Constitución Política de los Estados Unidos Mexicanos, pues al efectuar una ponderación entre un derecho fundamental, como es la libertad del individuo, y una prohibición adjetiva, sin duda debe prevalecer la garantía constitucional, a fin de brindar al indiciado la oportunidad de justificar su inocencia. Lo anterior, con base en un razonamiento teleológico de los artículos 78 y 91, fracción II, de la Ley de Amparo, consistente en que el juicio de garantías es el medio de control constitucional cuya vocación es el respeto y la defensa de las garantías individuales, conforme a los artículos 103 y 107 de la Constitución Política de los Estados Unidos Mexicanos, ello aunado a que en el supuesto en estudio está en riesgo la libertad personal del quejoso. Además, aplicando un razonamiento a fortiori bajo el argumento a </w:t>
      </w:r>
      <w:proofErr w:type="spellStart"/>
      <w:r w:rsidRPr="00646677">
        <w:rPr>
          <w:rFonts w:ascii="Arial" w:hAnsi="Arial" w:cs="Arial"/>
          <w:bCs/>
          <w:sz w:val="20"/>
          <w:szCs w:val="20"/>
        </w:rPr>
        <w:t>minori</w:t>
      </w:r>
      <w:proofErr w:type="spellEnd"/>
      <w:r w:rsidRPr="00646677">
        <w:rPr>
          <w:rFonts w:ascii="Arial" w:hAnsi="Arial" w:cs="Arial"/>
          <w:bCs/>
          <w:sz w:val="20"/>
          <w:szCs w:val="20"/>
        </w:rPr>
        <w:t xml:space="preserve"> ad </w:t>
      </w:r>
      <w:proofErr w:type="spellStart"/>
      <w:r w:rsidRPr="00646677">
        <w:rPr>
          <w:rFonts w:ascii="Arial" w:hAnsi="Arial" w:cs="Arial"/>
          <w:bCs/>
          <w:sz w:val="20"/>
          <w:szCs w:val="20"/>
        </w:rPr>
        <w:t>majus</w:t>
      </w:r>
      <w:proofErr w:type="spellEnd"/>
      <w:r w:rsidRPr="00646677">
        <w:rPr>
          <w:rFonts w:ascii="Arial" w:hAnsi="Arial" w:cs="Arial"/>
          <w:bCs/>
          <w:sz w:val="20"/>
          <w:szCs w:val="20"/>
        </w:rPr>
        <w:t>, se obtiene que si el Juez de Distrito está facultado para admitir y valorar pruebas que hayan surgido con posterioridad al acto reclamado, tratándose de la orden de aprehensión, es claro que el Tribunal Colegiado, excepcionalmente, puede admitir y valorar pruebas supervenientes, entendidas como aquellas que no hubieran existido durante la tramitación del juicio de amparo y que tiendan a procurar una adecuada defensa del indiciado en contra del acto privativo de su libertad; máxime que existen criterios afines emitidos por la Suprema Corte de Justicia de la Nación, a saber, los atinentes a que si el acto reclamado es una orden de aprehensión, entonces sí pueden admitirse pruebas que se hayan ofrecido y no se pudieron desahogar en la averiguación previa e inclusive, que hayan surgido en el proceso penal con posterioridad al dictado del mandamiento de captura, siempre que se acredite que son supervenientes y tengan estrecha vinculación con los hech</w:t>
      </w:r>
      <w:r>
        <w:rPr>
          <w:rFonts w:ascii="Arial" w:hAnsi="Arial" w:cs="Arial"/>
          <w:bCs/>
          <w:sz w:val="20"/>
          <w:szCs w:val="20"/>
        </w:rPr>
        <w:t>os materia de la investigación.</w:t>
      </w:r>
    </w:p>
    <w:p w14:paraId="33FEB06E"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CUARTO TRIBUNAL COLEGIADO DEL DÉCIMO QUINTO CIRCUITO.</w:t>
      </w:r>
    </w:p>
    <w:p w14:paraId="4B15F435" w14:textId="73050C56"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554/2008. 19 de marzo de 2009. Unanimidad de votos. Ponente: Rubén David Aguilar Santibáñez. Secretaria:</w:t>
      </w:r>
      <w:r>
        <w:rPr>
          <w:rFonts w:ascii="Arial" w:hAnsi="Arial" w:cs="Arial"/>
          <w:bCs/>
          <w:sz w:val="20"/>
          <w:szCs w:val="20"/>
        </w:rPr>
        <w:t xml:space="preserve"> Mayra Gabriela Aguayo Álvarez.</w:t>
      </w:r>
    </w:p>
    <w:p w14:paraId="24467637" w14:textId="77777777" w:rsidR="00646677" w:rsidRPr="00646677" w:rsidRDefault="00646677" w:rsidP="00646677">
      <w:pPr>
        <w:spacing w:after="0" w:line="240" w:lineRule="auto"/>
        <w:ind w:right="-64"/>
        <w:jc w:val="both"/>
        <w:rPr>
          <w:rFonts w:ascii="Arial" w:hAnsi="Arial" w:cs="Arial"/>
          <w:bCs/>
          <w:sz w:val="20"/>
          <w:szCs w:val="20"/>
        </w:rPr>
      </w:pPr>
    </w:p>
    <w:p w14:paraId="3E31DC9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169080</w:t>
      </w:r>
    </w:p>
    <w:p w14:paraId="19E7968C"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6487339A"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Novena Época</w:t>
      </w:r>
    </w:p>
    <w:p w14:paraId="31D3845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Penal</w:t>
      </w:r>
    </w:p>
    <w:p w14:paraId="1A89F9CB"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Tesis: XXI.2o.P.A.30 P     </w:t>
      </w:r>
    </w:p>
    <w:p w14:paraId="3A40ACF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Semanario Judicial de la Federación y su Gaceta. Tomo XXVIII, Agosto de 2008, página 1165</w:t>
      </w:r>
    </w:p>
    <w:p w14:paraId="5E37B5B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1A42828D"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lastRenderedPageBreak/>
        <w:t>MINISTERIO PÚBLICO DE LA FEDERACIÓN. AL SER PARTE EN EL JUICIO DE GARANTÍAS, TIENE LEGITIMACIÓN PARA INTERPONER RECURSO DE REVISIÓN EN AMPARO INDIRECTO, CUANDO SE CUESTIONA LA CONSTITUCIONALIDAD DE UNA ORDEN DE APREHENSIÓN.</w:t>
      </w:r>
    </w:p>
    <w:p w14:paraId="04970BA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De los artículos 107, fracción XV, de la Constitución Política de los Estados Unidos Mexicanos y 5o., fracción IV, de la Ley de Amparo, se evidencia que el Ministerio Público Federal, como parte en el juicio de amparo, puede intervenir en todos los juicios y hacer valer los recursos que la ley le otorga cuando a su consideración, se afecte el interés público que representa. Asimismo, de las reformas publicadas en el Diario Oficial de la Federación el diez de enero de mil novecientos noventa y cuatro, particularmente las que se refieren al artículo y fracción citados en segundo término, se advierten las facultades otorgadas al representante social, incluso para recurrir en amparos penales las resoluciones de tribunales locales, independientemente de las obligaciones que la misma ley precisa para procurar la pronta y expedita administración de la justicia. Ahora bien, no obstante la amplitud del campo de acción del Ministerio Público Federal, no siempre puede hacer valer el recurso de revisión, sino sólo cuando se afecte un interés específico propio de su representación social, es decir, como parte en el juicio de garantías, puede recurrir en la medida en que la resolución le afecte como institución en lo particular. Bajo estas consideraciones, si el inculpado cuestionó la constitucionalidad de una orden de aprehensión por la comisión de un delito del orden federal y solicitó el amparo y protección de la Justicia de la Unión dada la naturaleza de la resolución impugnada, resulta inconcuso que con tal manifestación se acredita el interés específico que requiere la representación social para interponer el recurso de revisión en el juicio de amparo indirecto, toda vez que, en términos del artículo 21 de la Constitución Federal, la investigación y persecución de los delitos incumben al Ministerio Pú</w:t>
      </w:r>
      <w:r>
        <w:rPr>
          <w:rFonts w:ascii="Arial" w:hAnsi="Arial" w:cs="Arial"/>
          <w:bCs/>
          <w:sz w:val="20"/>
          <w:szCs w:val="20"/>
        </w:rPr>
        <w:t>blico.</w:t>
      </w:r>
    </w:p>
    <w:p w14:paraId="31A5E001"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SEGUNDO TRIBUNAL COLEGIADO EN MATERIAS PENAL Y ADMINISTRATIVA DEL VIGÉSIMO PRIMER CIRCUITO.</w:t>
      </w:r>
    </w:p>
    <w:p w14:paraId="438F48E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Amparo en revisión 482/2007. 6 de marzo de 2008. Unanimidad de votos. Ponente: Jesús Rafael Aragón. Secr</w:t>
      </w:r>
      <w:r>
        <w:rPr>
          <w:rFonts w:ascii="Arial" w:hAnsi="Arial" w:cs="Arial"/>
          <w:bCs/>
          <w:sz w:val="20"/>
          <w:szCs w:val="20"/>
        </w:rPr>
        <w:t>etaria: Silvia Galindo Andrade.</w:t>
      </w:r>
    </w:p>
    <w:p w14:paraId="6AEC84C8" w14:textId="77777777" w:rsidR="00646677" w:rsidRPr="00646677" w:rsidRDefault="00646677" w:rsidP="00646677">
      <w:pPr>
        <w:spacing w:after="0" w:line="240" w:lineRule="auto"/>
        <w:ind w:right="-64"/>
        <w:jc w:val="both"/>
        <w:rPr>
          <w:rFonts w:ascii="Arial" w:hAnsi="Arial" w:cs="Arial"/>
          <w:bCs/>
          <w:sz w:val="20"/>
          <w:szCs w:val="20"/>
        </w:rPr>
      </w:pPr>
      <w:r>
        <w:rPr>
          <w:rFonts w:ascii="Arial" w:hAnsi="Arial" w:cs="Arial"/>
          <w:bCs/>
          <w:sz w:val="20"/>
          <w:szCs w:val="20"/>
        </w:rPr>
        <w:t>Nota:</w:t>
      </w:r>
    </w:p>
    <w:p w14:paraId="0EAED5B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Por ejecutoria de fecha 8 de septiembre de 2010, la Primera Sala declaró inexistente la contradicción de tesis 491/2009 en que </w:t>
      </w:r>
      <w:r>
        <w:rPr>
          <w:rFonts w:ascii="Arial" w:hAnsi="Arial" w:cs="Arial"/>
          <w:bCs/>
          <w:sz w:val="20"/>
          <w:szCs w:val="20"/>
        </w:rPr>
        <w:t>participó el presente criterio.</w:t>
      </w:r>
    </w:p>
    <w:p w14:paraId="64494DB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Por ejecutoria del 23 de noviembre de 2016, la Primera Sala declaró inexistente la contradicción de tesis 411/2014 derivada de la denuncia de la que fue objeto el criterio contenido en esta tesis, al estimarse que no son discrepantes los criterios materia de la denuncia respectiva.</w:t>
      </w:r>
    </w:p>
    <w:p w14:paraId="6B36E122"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                                                                                                                                                                                                                                                                                                                                                                                                                                                                                                                    </w:t>
      </w:r>
    </w:p>
    <w:p w14:paraId="4E0DC663"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Registro digital: 179858</w:t>
      </w:r>
    </w:p>
    <w:p w14:paraId="0180A2E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Instancia: Tribunales Colegiados de Circuito</w:t>
      </w:r>
    </w:p>
    <w:p w14:paraId="3EF630B7"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Novena Época</w:t>
      </w:r>
    </w:p>
    <w:p w14:paraId="05B7AA30"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Materias(s): Penal</w:t>
      </w:r>
    </w:p>
    <w:p w14:paraId="720899D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Tesis: XV.4o.2 P           </w:t>
      </w:r>
    </w:p>
    <w:p w14:paraId="4F04072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Fuente: Semanario Judicial de la Federación y su Gaceta. Tomo XX, Diciembre de 2004, página 1376</w:t>
      </w:r>
    </w:p>
    <w:p w14:paraId="6894639F"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Tipo: Aislada</w:t>
      </w:r>
    </w:p>
    <w:p w14:paraId="1FBECAE4"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MINISTERIO PÚBLICO DE LA FEDERACIÓN. COMO PARTE EN EL JUICIO DE AMPARO INDIRECTO TIENE LEGITIMACIÓN PARA INTERPONER EL RECURSO DE REVISIÓN EN ASUNTOS EN MATERIA PENAL, AUN EN DELITOS PERSEGUIBLES A PETICIÓN DE PARTE.</w:t>
      </w:r>
    </w:p>
    <w:p w14:paraId="717CD9EA" w14:textId="4977AF3E"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Conforme al artículo 5o., fracción IV, de la Ley de Amparo, el Ministerio Público de la Federación adscrito al Juzgado de Distrito que conoce del juicio de amparo indirecto es parte en el mismo y, por consiguiente, está facultado para interponer los recursos que prevé la citada ley, sin que sea válido sostener que el Ministerio Público sólo tenga legitimación para interponer recursos en materia penal, cuando lo que motive su intervención derive de un proceso en que el ilícito sea de los perseguibles de oficio, pues resulta absurdo que cuando se trate de delitos que se persiguen a petición de parte o querella necesaria, sólo involucra a los particulares y que en nada afecta a los valores que representa el Ministerio Público de la Federación, pues sostener tal criterio trastocaría lo dispuesto por el artículo 21 constitucional, que obliga al órgano investigador a perseguir los delitos tan luego como tenga conocimiento de ellos, esto es, actuar de manera oficiosa, así como por el numeral 113 del Código Federal de Procedimientos Penales, que prevé que una vez llenado el requisito de procedibilidad, como en el caso a estudio, el actuar del Ministerio Público retorna a su naturaleza oficiosa de origen y, como consecuencia, inmersa la de representante de la sociedad para salvaguardar el interés social y las disposiciones de orden público, sin que obste por supuesto que se trate del adscrito a un juzgado de garantías, dada también la indivisibilidad de la institución. En consecuencia, en los delitos de querella necesaria, aun cuando sean de aquellos denominados patrimoniales (abuso de confianza, fraude, daño en propiedad ajena, etcétera), no implica que sólo los particulares involucrados sean los que estén facultados e interesados para interponer el recurso de revisión en cita cuando el acto afecte la reparación del daño sino, como se dijo, también el Ministerio Público, quien debe formular los agravios que a su representación social cause la resolución constitucional que impugne, pues hasta la actualidad sus funciones dentro del juicio de amparo no son sólo de velar por la pronta y expedita impartición de justicia, sino también la de hacer valer los recursos que prevé la propia Ley de Amparo. Además, no existe razón, motivo o argumento que autorice a declarar la falta de legitimación del Ministerio Público de la Federación para interponer el recurso de revisión en los supuestos citados, amén de que en el caso no se interpretaría la norma, sino que se iría en contra de ella, pues no deja margen de duda, ya que el artículo 5o. de la Ley de Amparo, expresamente lo autoriza y faculta para interponer dicho recurso en los asuntos penales y no es válido que con la facultad y obligación que tenemos los juzgadores de resolver los asuntos planteados, interpretemos </w:t>
      </w:r>
      <w:r w:rsidRPr="00646677">
        <w:rPr>
          <w:rFonts w:ascii="Arial" w:hAnsi="Arial" w:cs="Arial"/>
          <w:bCs/>
          <w:sz w:val="20"/>
          <w:szCs w:val="20"/>
        </w:rPr>
        <w:lastRenderedPageBreak/>
        <w:t>una norma que es clarísima en su redacción y sentido, pues si bien la tendencia de la nueva Ley de Amparo es que la figura del Ministerio Público sólo tenga intervención como parte en los juicios de amparo contra normas generales, y en todo lo demás desaparezcan sus facultades, también lo es que mientras esté vigente la actual Ley Reglamentaria de los Artículos 103 y 107 de la Constitución General de la República, la institución del Ministerio Público de la Federación en los juicios de amparo tiene legitimación activa para interponer los recursos que prevé dicho ordenamiento en materia penal, al no existir disposición alguna que estipule lo contrario, dado que en donde la ley no distingue el juzgador no debe hacerlo, pues de lo contrario, en el presente caso, no estaría interpretando, sino creando una ley que sólo es f</w:t>
      </w:r>
      <w:r>
        <w:rPr>
          <w:rFonts w:ascii="Arial" w:hAnsi="Arial" w:cs="Arial"/>
          <w:bCs/>
          <w:sz w:val="20"/>
          <w:szCs w:val="20"/>
        </w:rPr>
        <w:t>acultad del órgano legislativo.</w:t>
      </w:r>
    </w:p>
    <w:p w14:paraId="5DC0DA38"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CUARTO TRIBUNAL COLEGIADO DEL DÉCIMO QUINTO CIRCUITO.</w:t>
      </w:r>
    </w:p>
    <w:p w14:paraId="4089DCA3" w14:textId="5200A358"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Amparo en revisión 87/2004. 2 de septiembre de 2004. Unanimidad de votos. Ponente: </w:t>
      </w:r>
      <w:proofErr w:type="spellStart"/>
      <w:r w:rsidRPr="00646677">
        <w:rPr>
          <w:rFonts w:ascii="Arial" w:hAnsi="Arial" w:cs="Arial"/>
          <w:bCs/>
          <w:sz w:val="20"/>
          <w:szCs w:val="20"/>
        </w:rPr>
        <w:t>Inosencio</w:t>
      </w:r>
      <w:proofErr w:type="spellEnd"/>
      <w:r w:rsidRPr="00646677">
        <w:rPr>
          <w:rFonts w:ascii="Arial" w:hAnsi="Arial" w:cs="Arial"/>
          <w:bCs/>
          <w:sz w:val="20"/>
          <w:szCs w:val="20"/>
        </w:rPr>
        <w:t xml:space="preserve"> del Prado Morales. Secretario:</w:t>
      </w:r>
      <w:r>
        <w:rPr>
          <w:rFonts w:ascii="Arial" w:hAnsi="Arial" w:cs="Arial"/>
          <w:bCs/>
          <w:sz w:val="20"/>
          <w:szCs w:val="20"/>
        </w:rPr>
        <w:t xml:space="preserve"> Ciro Alonso Rabanales Sevilla.</w:t>
      </w:r>
    </w:p>
    <w:p w14:paraId="17F5AFF3" w14:textId="48F57F8E"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 xml:space="preserve">Amparo en revisión 95/2004. 2 de septiembre de 2004. Unanimidad de votos. Ponente: </w:t>
      </w:r>
      <w:proofErr w:type="spellStart"/>
      <w:r w:rsidRPr="00646677">
        <w:rPr>
          <w:rFonts w:ascii="Arial" w:hAnsi="Arial" w:cs="Arial"/>
          <w:bCs/>
          <w:sz w:val="20"/>
          <w:szCs w:val="20"/>
        </w:rPr>
        <w:t>Inosencio</w:t>
      </w:r>
      <w:proofErr w:type="spellEnd"/>
      <w:r w:rsidRPr="00646677">
        <w:rPr>
          <w:rFonts w:ascii="Arial" w:hAnsi="Arial" w:cs="Arial"/>
          <w:bCs/>
          <w:sz w:val="20"/>
          <w:szCs w:val="20"/>
        </w:rPr>
        <w:t xml:space="preserve"> del Prado Morales. Secretario:</w:t>
      </w:r>
      <w:r>
        <w:rPr>
          <w:rFonts w:ascii="Arial" w:hAnsi="Arial" w:cs="Arial"/>
          <w:bCs/>
          <w:sz w:val="20"/>
          <w:szCs w:val="20"/>
        </w:rPr>
        <w:t xml:space="preserve"> Ciro Alonso Rabanales Sevilla.</w:t>
      </w:r>
    </w:p>
    <w:p w14:paraId="476BC356" w14:textId="77777777" w:rsidR="00646677" w:rsidRPr="00646677" w:rsidRDefault="00646677" w:rsidP="00646677">
      <w:pPr>
        <w:spacing w:after="0" w:line="240" w:lineRule="auto"/>
        <w:ind w:right="-64"/>
        <w:jc w:val="both"/>
        <w:rPr>
          <w:rFonts w:ascii="Arial" w:hAnsi="Arial" w:cs="Arial"/>
          <w:bCs/>
          <w:sz w:val="20"/>
          <w:szCs w:val="20"/>
        </w:rPr>
      </w:pPr>
      <w:r w:rsidRPr="00646677">
        <w:rPr>
          <w:rFonts w:ascii="Arial" w:hAnsi="Arial" w:cs="Arial"/>
          <w:bCs/>
          <w:sz w:val="20"/>
          <w:szCs w:val="20"/>
        </w:rPr>
        <w:t>Nota: Esta tesis contendió en la contradicción 124/2004-PS resuelta por la Primera Sala, de la que derivó la tesis 1a./J. 31/2005, que aparece publicada en el Semanario Judicial de la Federación y su Gaceta, Novena Época, Tomo XXI, mayo de 2005, página 340, con el rubro: "MINISTERIO PÚBLICO DE LA FEDERACIÓN. TIENE LEGITIMACIÓN PARA INTERPONER EL RECURSO DE REVISIÓN CONTRA UNA SENTENCIA RELACIONADA CON UN DELITO PERSEGUIBLE POR QUERELLA."</w:t>
      </w:r>
    </w:p>
    <w:p w14:paraId="0C318DB7" w14:textId="77777777" w:rsidR="00646677" w:rsidRPr="00646677" w:rsidRDefault="00646677" w:rsidP="00646677">
      <w:pPr>
        <w:spacing w:after="0" w:line="240" w:lineRule="auto"/>
        <w:ind w:right="-64"/>
        <w:jc w:val="both"/>
        <w:rPr>
          <w:rFonts w:ascii="Arial" w:hAnsi="Arial" w:cs="Arial"/>
          <w:bCs/>
          <w:sz w:val="20"/>
          <w:szCs w:val="20"/>
        </w:rPr>
      </w:pPr>
      <w:bookmarkStart w:id="1" w:name="_GoBack"/>
      <w:bookmarkEnd w:id="0"/>
      <w:bookmarkEnd w:id="1"/>
    </w:p>
    <w:sectPr w:rsidR="00646677" w:rsidRPr="00646677" w:rsidSect="00CF3644">
      <w:headerReference w:type="default" r:id="rId6"/>
      <w:pgSz w:w="12240" w:h="15840" w:code="1"/>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9E3E4" w14:textId="77777777" w:rsidR="00A3068B" w:rsidRDefault="00A3068B">
      <w:pPr>
        <w:spacing w:after="0" w:line="240" w:lineRule="auto"/>
      </w:pPr>
      <w:r>
        <w:separator/>
      </w:r>
    </w:p>
  </w:endnote>
  <w:endnote w:type="continuationSeparator" w:id="0">
    <w:p w14:paraId="48A3EFFF" w14:textId="77777777" w:rsidR="00A3068B" w:rsidRDefault="00A30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DE4D6" w14:textId="77777777" w:rsidR="00A3068B" w:rsidRDefault="00A3068B">
      <w:pPr>
        <w:spacing w:after="0" w:line="240" w:lineRule="auto"/>
      </w:pPr>
      <w:r>
        <w:separator/>
      </w:r>
    </w:p>
  </w:footnote>
  <w:footnote w:type="continuationSeparator" w:id="0">
    <w:p w14:paraId="50BBC5E6" w14:textId="77777777" w:rsidR="00A3068B" w:rsidRDefault="00A306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2425"/>
      <w:docPartObj>
        <w:docPartGallery w:val="Page Numbers (Top of Page)"/>
        <w:docPartUnique/>
      </w:docPartObj>
    </w:sdtPr>
    <w:sdtEndPr/>
    <w:sdtContent>
      <w:p w14:paraId="4C827D0A" w14:textId="77777777" w:rsidR="000A4C1D" w:rsidRDefault="00897606" w:rsidP="00A223CE">
        <w:pPr>
          <w:pStyle w:val="Encabezado"/>
          <w:ind w:right="-64"/>
          <w:jc w:val="right"/>
        </w:pPr>
        <w:r>
          <w:fldChar w:fldCharType="begin"/>
        </w:r>
        <w:r>
          <w:instrText xml:space="preserve"> PAGE   \* MERGEFORMAT </w:instrText>
        </w:r>
        <w:r>
          <w:fldChar w:fldCharType="separate"/>
        </w:r>
        <w:r w:rsidR="00646677">
          <w:rPr>
            <w:noProof/>
          </w:rPr>
          <w:t>9</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606"/>
    <w:rsid w:val="003D5C76"/>
    <w:rsid w:val="00646677"/>
    <w:rsid w:val="007106BB"/>
    <w:rsid w:val="00897606"/>
    <w:rsid w:val="00A3068B"/>
    <w:rsid w:val="00F72D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A76F"/>
  <w15:chartTrackingRefBased/>
  <w15:docId w15:val="{61602657-1575-48E0-87C6-DC3718D3C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606"/>
    <w:pPr>
      <w:spacing w:after="200" w:line="276" w:lineRule="auto"/>
    </w:pPr>
    <w:rPr>
      <w:rFonts w:ascii="Calibri" w:eastAsia="Times New Roman" w:hAnsi="Calibri"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897606"/>
    <w:pPr>
      <w:widowControl w:val="0"/>
      <w:autoSpaceDE w:val="0"/>
      <w:autoSpaceDN w:val="0"/>
      <w:adjustRightInd w:val="0"/>
      <w:spacing w:after="0" w:line="240" w:lineRule="auto"/>
    </w:pPr>
    <w:rPr>
      <w:rFonts w:ascii="Arial" w:eastAsia="Times New Roman" w:hAnsi="Arial" w:cs="Arial"/>
      <w:sz w:val="24"/>
      <w:szCs w:val="24"/>
      <w:lang w:eastAsia="es-MX"/>
    </w:rPr>
  </w:style>
  <w:style w:type="paragraph" w:styleId="Encabezado">
    <w:name w:val="header"/>
    <w:basedOn w:val="Normal"/>
    <w:link w:val="EncabezadoCar"/>
    <w:uiPriority w:val="99"/>
    <w:unhideWhenUsed/>
    <w:rsid w:val="008976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7606"/>
    <w:rPr>
      <w:rFonts w:ascii="Calibri" w:eastAsia="Times New Roman" w:hAnsi="Calibri"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44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6989</Words>
  <Characters>38445</Characters>
  <Application>Microsoft Office Word</Application>
  <DocSecurity>0</DocSecurity>
  <Lines>320</Lines>
  <Paragraphs>90</Paragraphs>
  <ScaleCrop>false</ScaleCrop>
  <Company/>
  <LinksUpToDate>false</LinksUpToDate>
  <CharactersWithSpaces>45344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Noe Lozano Sánchez</dc:creator>
  <cp:keywords/>
  <dc:description/>
  <cp:lastModifiedBy>LENOVO</cp:lastModifiedBy>
  <cp:revision>3</cp:revision>
  <dcterms:created xsi:type="dcterms:W3CDTF">2021-06-18T05:51:00Z</dcterms:created>
  <dcterms:modified xsi:type="dcterms:W3CDTF">2021-06-24T23:26:00Z</dcterms:modified>
</cp:coreProperties>
</file>