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D09" w:rsidRPr="00CC4D09" w:rsidRDefault="00CC4D09" w:rsidP="00CC4D09">
      <w:pPr>
        <w:jc w:val="center"/>
        <w:rPr>
          <w:rFonts w:ascii="Arial" w:hAnsi="Arial" w:cs="Arial"/>
          <w:b/>
          <w:bCs/>
          <w:sz w:val="20"/>
          <w:szCs w:val="20"/>
        </w:rPr>
      </w:pPr>
      <w:bookmarkStart w:id="0" w:name="_GoBack"/>
      <w:bookmarkEnd w:id="0"/>
      <w:r w:rsidRPr="00CC4D09">
        <w:rPr>
          <w:rFonts w:ascii="Arial" w:hAnsi="Arial" w:cs="Arial"/>
          <w:b/>
          <w:bCs/>
          <w:sz w:val="20"/>
          <w:szCs w:val="20"/>
        </w:rPr>
        <w:t>LIBERTAD CONDICIONADA</w:t>
      </w:r>
    </w:p>
    <w:p w:rsid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Décima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2017439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Gaceta del Semanario Judicial de la Federación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Libro 56, Julio de 2018, Tomo II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I.3o.P.63 P (10a.)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1509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LIBERTAD CONDICIONADA PREVISTA EN EL ARTÍCULO 136 DE LA LEY NACIONAL DE EJECUCIÓN PENAL. SU APLICACIÓN ESTÁ SUPEDITADA A QUE SE ACTUALICE ALGUNO DE LOS TRES SUPUESTOS PARA SU ENTRADA EN VIGOR, PREVISTOS EN SU ARTÍCULO SEGUNDO, PÁRRAFO SEGUNDO, TRANSITORIO.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De los artículos primero y segundo transitorios de la Ley Nacional de Ejecución Penal, publicada en el Diario Oficial de la Federación el 16 de junio de 2016, se advierte que el legislador estableció un régimen especial para su entrada en vigor. Así, como regla general determinó que sería al día siguiente de su publicación; no obstante, también precisó que algunas de las porciones normativas que integran dicha legislación, iniciarían su vigencia gradualmente. De este modo, en el caso de la libertad condicionada, prevista en el artículo 136 de la ley especial referida, se prevén los supuestos de la entrada en vigor, a saber: a) a más tardar dos años después de su publicación; b) al día siguiente de la publicación de la declaratoria que al efecto emita el Congreso de la Unión o las Legislaturas de las entidades federativas en el ámbito de sus competencias; y, c) sin que pueda exceder del 30 de noviembre de 2018. Es importante destacar </w:t>
      </w:r>
      <w:proofErr w:type="gramStart"/>
      <w:r w:rsidRPr="00CC4D09">
        <w:rPr>
          <w:rFonts w:ascii="Arial" w:hAnsi="Arial" w:cs="Arial"/>
          <w:sz w:val="20"/>
          <w:szCs w:val="20"/>
        </w:rPr>
        <w:t>que</w:t>
      </w:r>
      <w:proofErr w:type="gramEnd"/>
      <w:r w:rsidRPr="00CC4D09">
        <w:rPr>
          <w:rFonts w:ascii="Arial" w:hAnsi="Arial" w:cs="Arial"/>
          <w:sz w:val="20"/>
          <w:szCs w:val="20"/>
        </w:rPr>
        <w:t xml:space="preserve"> en el último párrafo del artículo segundo transitorio mencionado, se prevé una obligación especial para las entidades federativas donde ya está vigente el nuevo sistema de justicia penal, en la que se ordena a los órganos legislativos emitir dentro de los diez días siguientes –a la publicación de la ley– el anexo a la declaratoria para el inicio de vigencia. Ahora bien, esta última regla no puede considerarse ajena a los supuestos señalados, sino más bien vinculada al destacado en el inciso c), en tanto se refiere a una temporalidad específica en la que debe emitirse la declaratoria de entrada en vigor. Luego, es dable concluir que la vigencia de la porción normativa destacada (artículo 136) sigue supeditada a que se actualice alguno de los tres supuestos referidos, previstos en el artículo segundo, párrafo segundo, transitorio, indicado. En ese sentido, si al día en que se presenta la solicitud de libertad condicionada no se ha actualizado alguna de esas condicionantes para su entrada en vigor, el órgano jurisdiccional no se encuentra en posibilidad legal de aplicar la norma invocada.</w:t>
      </w:r>
    </w:p>
    <w:p w:rsidR="00CC4D09" w:rsidRPr="00CC4D09" w:rsidRDefault="00CC4D09" w:rsidP="00CC4D09">
      <w:pPr>
        <w:jc w:val="both"/>
        <w:rPr>
          <w:rFonts w:ascii="Arial" w:hAnsi="Arial" w:cs="Arial"/>
          <w:sz w:val="20"/>
          <w:szCs w:val="20"/>
        </w:rPr>
      </w:pPr>
      <w:r w:rsidRPr="00CC4D09">
        <w:rPr>
          <w:rFonts w:ascii="Arial" w:hAnsi="Arial" w:cs="Arial"/>
          <w:sz w:val="20"/>
          <w:szCs w:val="20"/>
        </w:rPr>
        <w:t>TERCER TRIBUNAL COLEGIADO EN MATERIA PENAL DEL PRIMER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Amparo en revisión 253/2017. 23 de noviembre de 2017. Unanimidad de votos. Ponente: Miguel Ángel </w:t>
      </w:r>
      <w:proofErr w:type="spellStart"/>
      <w:r w:rsidRPr="00CC4D09">
        <w:rPr>
          <w:rFonts w:ascii="Arial" w:hAnsi="Arial" w:cs="Arial"/>
          <w:sz w:val="20"/>
          <w:szCs w:val="20"/>
        </w:rPr>
        <w:t>Medécigo</w:t>
      </w:r>
      <w:proofErr w:type="spellEnd"/>
      <w:r w:rsidRPr="00CC4D09">
        <w:rPr>
          <w:rFonts w:ascii="Arial" w:hAnsi="Arial" w:cs="Arial"/>
          <w:sz w:val="20"/>
          <w:szCs w:val="20"/>
        </w:rPr>
        <w:t xml:space="preserve"> Rodríguez. Secretario: Julio César Antonio Rosales.</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Décima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2016387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Gaceta del Semanario Judicial de la Federación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Libro 52, </w:t>
      </w:r>
      <w:proofErr w:type="gramStart"/>
      <w:r w:rsidRPr="00CC4D09">
        <w:rPr>
          <w:rFonts w:ascii="Arial" w:hAnsi="Arial" w:cs="Arial"/>
          <w:sz w:val="20"/>
          <w:szCs w:val="20"/>
        </w:rPr>
        <w:t>Marzo</w:t>
      </w:r>
      <w:proofErr w:type="gramEnd"/>
      <w:r w:rsidRPr="00CC4D09">
        <w:rPr>
          <w:rFonts w:ascii="Arial" w:hAnsi="Arial" w:cs="Arial"/>
          <w:sz w:val="20"/>
          <w:szCs w:val="20"/>
        </w:rPr>
        <w:t xml:space="preserve"> de 2018, Tomo IV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III.2o.P.131 P (10a.)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3407 </w:t>
      </w:r>
    </w:p>
    <w:p w:rsidR="00CC4D09" w:rsidRPr="00CC4D09" w:rsidRDefault="00CC4D09" w:rsidP="00CC4D09">
      <w:pPr>
        <w:jc w:val="both"/>
        <w:rPr>
          <w:rFonts w:ascii="Arial" w:hAnsi="Arial" w:cs="Arial"/>
          <w:sz w:val="20"/>
          <w:szCs w:val="20"/>
        </w:rPr>
      </w:pPr>
      <w:r w:rsidRPr="00CC4D09">
        <w:rPr>
          <w:rFonts w:ascii="Arial" w:hAnsi="Arial" w:cs="Arial"/>
          <w:sz w:val="20"/>
          <w:szCs w:val="20"/>
        </w:rPr>
        <w:t>LIBERTAD CONDICIONAL PREVISTA EN EL ARTÍCULO 67 DEL CÓDIGO PENAL PARA EL ESTADO DE JALISCO -EN SU TEXTO ANTERIOR A LA REFORMA PUBLICADA EN EL PERIÓDICO OFICIAL LOCAL EL 27 DE SEPTIEMBRE DE 2014-. NO ES HOMOLOGABLE CON EL DIVERSO BENEFICIO DE LA LIBERTAD PREPARATORIA ESTABLECIDO EN LA LEY DE EJECUCIÓN DE PENAS PRIVATIVAS Y RESTRICTIVAS DE LA LIBERTAD DE LA ENTIDAD (ABROGADA).</w:t>
      </w:r>
    </w:p>
    <w:p w:rsidR="00CC4D09" w:rsidRPr="00CC4D09" w:rsidRDefault="00CC4D09" w:rsidP="00CC4D09">
      <w:pPr>
        <w:jc w:val="both"/>
        <w:rPr>
          <w:rFonts w:ascii="Arial" w:hAnsi="Arial" w:cs="Arial"/>
          <w:sz w:val="20"/>
          <w:szCs w:val="20"/>
        </w:rPr>
      </w:pPr>
      <w:r w:rsidRPr="00CC4D09">
        <w:rPr>
          <w:rFonts w:ascii="Arial" w:hAnsi="Arial" w:cs="Arial"/>
          <w:sz w:val="20"/>
          <w:szCs w:val="20"/>
        </w:rPr>
        <w:t>La Ley de Ejecución de Penas Privativas y Restrictivas de la Libertad del Estado de Jalisco (abrogada), regulaba como beneficios la libertad preparatoria, la suspensión condicional de la pena, la remisión parcial de la pena, la preliberación, la retención y las liberaciones definitivas; sin embargo, no debe aplicarse tratándose de la solicitud del beneficio de libertad condicional previsto en el artículo 67 del Código Penal para la entidad, en su texto anterior a la reforma publicada en el Periódico Oficial local el 27 de septiembre de 2014, pues éste establece menores requisitos para su goce, que los exigidos para la libertad preparatoria, por lo que no pueden homologarse; ello, en respeto a los derechos fundamentales de irretroactividad y exacta aplicación de la ley penal del peticionario del beneficio, amparados por el artículo 14 de la Constitución Política de los Estados Unidos Mexicanos.</w:t>
      </w:r>
    </w:p>
    <w:p w:rsidR="00CC4D09" w:rsidRPr="00CC4D09" w:rsidRDefault="00CC4D09" w:rsidP="00CC4D09">
      <w:pPr>
        <w:jc w:val="both"/>
        <w:rPr>
          <w:rFonts w:ascii="Arial" w:hAnsi="Arial" w:cs="Arial"/>
          <w:sz w:val="20"/>
          <w:szCs w:val="20"/>
        </w:rPr>
      </w:pPr>
      <w:r w:rsidRPr="00CC4D09">
        <w:rPr>
          <w:rFonts w:ascii="Arial" w:hAnsi="Arial" w:cs="Arial"/>
          <w:sz w:val="20"/>
          <w:szCs w:val="20"/>
        </w:rPr>
        <w:t>SEGUNDO TRIBUNAL COLEGIADO EN MATERIA PENAL DEL TERCER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371/2017. 7 de septiembre de 2017. Unanimidad de votos. Ponente: José Luis González. Secretaria: Angélica Ramos Vaca.</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Décima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lastRenderedPageBreak/>
        <w:t xml:space="preserve">Registro: 2014784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Gaceta del Semanario Judicial de la Federación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Libro 44, Julio de 2017, Tomo II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I.7o.P.81 P (10a.)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1043 </w:t>
      </w:r>
    </w:p>
    <w:p w:rsidR="00CC4D09" w:rsidRPr="00CC4D09" w:rsidRDefault="00CC4D09" w:rsidP="00CC4D09">
      <w:pPr>
        <w:jc w:val="both"/>
        <w:rPr>
          <w:rFonts w:ascii="Arial" w:hAnsi="Arial" w:cs="Arial"/>
          <w:sz w:val="20"/>
          <w:szCs w:val="20"/>
        </w:rPr>
      </w:pPr>
      <w:r w:rsidRPr="00CC4D09">
        <w:rPr>
          <w:rFonts w:ascii="Arial" w:hAnsi="Arial" w:cs="Arial"/>
          <w:sz w:val="20"/>
          <w:szCs w:val="20"/>
        </w:rPr>
        <w:t>LIBERTAD CONDICIONADA PREVISTA EN EL ARTÍCULO 136 DE LA LEY NACIONAL DE EJECUCIÓN PENAL. MIENTRAS NO SE ACTUALICE ALGUNA DE LAS CONDICIONANTES PARA LA ENTRADA EN VIGOR DE ESTE BENEFICIO PRELIBERACIONAL, ESTABLECIDAS EN EL ARTÍCULO SEGUNDO, PÁRRAFO SEGUNDO, TRANSITORIO DE ESA LEGISLACIÓN, AQUEL PRECEPTO NO ESTÁ VIGENTE Y, POR TANTO, ES INAPLICABLE EN NUESTRO SISTEMA JURÍDICO.</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Si bien la Ley Nacional de Ejecución Penal se publicó en el Diario Oficial de la Federación el dieciséis de junio de dos mil dieciséis y conforme a su artículo primero transitorio entró en vigor al día siguiente, lo cierto es que de acuerdo con el artículo segundo, párrafo segundo, transitorio, entre otros, el numeral 136 que establece el beneficio </w:t>
      </w:r>
      <w:proofErr w:type="spellStart"/>
      <w:r w:rsidRPr="00CC4D09">
        <w:rPr>
          <w:rFonts w:ascii="Arial" w:hAnsi="Arial" w:cs="Arial"/>
          <w:sz w:val="20"/>
          <w:szCs w:val="20"/>
        </w:rPr>
        <w:t>preliberacional</w:t>
      </w:r>
      <w:proofErr w:type="spellEnd"/>
      <w:r w:rsidRPr="00CC4D09">
        <w:rPr>
          <w:rFonts w:ascii="Arial" w:hAnsi="Arial" w:cs="Arial"/>
          <w:sz w:val="20"/>
          <w:szCs w:val="20"/>
        </w:rPr>
        <w:t xml:space="preserve"> de la libertad condicionada entrará en vigor a más tardar dos años después de la publicación en comento, o al día siguiente de la publicación de la declaratoria que al efecto emita el Congreso de la Unión o las Legislaturas de las entidades federativas, sin que pueda exceder del treinta de noviembre de dos mil dieciocho; de modo que mientras no se actualice alguna de esas condicionantes, ese precepto 136 no está vigente y, por tanto, es inaplicable en nuestro sistema jurídico.</w:t>
      </w:r>
    </w:p>
    <w:p w:rsidR="00CC4D09" w:rsidRPr="00CC4D09" w:rsidRDefault="00CC4D09" w:rsidP="00CC4D09">
      <w:pPr>
        <w:jc w:val="both"/>
        <w:rPr>
          <w:rFonts w:ascii="Arial" w:hAnsi="Arial" w:cs="Arial"/>
          <w:sz w:val="20"/>
          <w:szCs w:val="20"/>
        </w:rPr>
      </w:pPr>
      <w:r w:rsidRPr="00CC4D09">
        <w:rPr>
          <w:rFonts w:ascii="Arial" w:hAnsi="Arial" w:cs="Arial"/>
          <w:sz w:val="20"/>
          <w:szCs w:val="20"/>
        </w:rPr>
        <w:t>SÉPTIMO TRIBUNAL COLEGIADO EN MATERIA PENAL DEL PRIMER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69/2017. 27 de abril de 2017. Unanimidad de votos. Ponente: Jorge Fermín Rivera Quintana. Secretaria: María Nelly Vázquez Rivera.</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Décima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2012138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Gaceta del Semanario Judicial de la Federación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Libro 32, Julio de 2016, Tomo III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III.1o.P.4 P (10a.)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2087 </w:t>
      </w:r>
    </w:p>
    <w:p w:rsidR="00CC4D09" w:rsidRPr="00CC4D09" w:rsidRDefault="00CC4D09" w:rsidP="00CC4D09">
      <w:pPr>
        <w:jc w:val="both"/>
        <w:rPr>
          <w:rFonts w:ascii="Arial" w:hAnsi="Arial" w:cs="Arial"/>
          <w:sz w:val="20"/>
          <w:szCs w:val="20"/>
        </w:rPr>
      </w:pPr>
      <w:r w:rsidRPr="00CC4D09">
        <w:rPr>
          <w:rFonts w:ascii="Arial" w:hAnsi="Arial" w:cs="Arial"/>
          <w:sz w:val="20"/>
          <w:szCs w:val="20"/>
        </w:rPr>
        <w:t>BENEFICIOS DE LIBERTAD ANTICIPADA. EL JUEZ ESPECIALIZADO EN EJECUCIÓN DE PENAS NO DEBE LIMITARSE A ANALIZAR EL SOLICITADO EXPRESAMENTE POR EL SENTENCIADO EN EL INCIDENTE RESPECTIVO, SINO PRONUNCIARSE DE OFICIO SOBRE LA PROCEDENCIA DE CUALQUIERA DE LOS PREVISTOS EN LA NORMATIVA APLICABLE (LEGISLACIÓN DEL ESTADO DE JALISCO).</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Si bien es cierto que los artículos 167 y 168 de la Ley de Ejecución de Penas y Medidas de Seguridad del Estado de Jalisco regulan el procedimiento para el otorgamiento de los beneficios </w:t>
      </w:r>
      <w:proofErr w:type="spellStart"/>
      <w:r w:rsidRPr="00CC4D09">
        <w:rPr>
          <w:rFonts w:ascii="Arial" w:hAnsi="Arial" w:cs="Arial"/>
          <w:sz w:val="20"/>
          <w:szCs w:val="20"/>
        </w:rPr>
        <w:t>preliberatorios</w:t>
      </w:r>
      <w:proofErr w:type="spellEnd"/>
      <w:r w:rsidRPr="00CC4D09">
        <w:rPr>
          <w:rFonts w:ascii="Arial" w:hAnsi="Arial" w:cs="Arial"/>
          <w:sz w:val="20"/>
          <w:szCs w:val="20"/>
        </w:rPr>
        <w:t xml:space="preserve"> (prelibertad, libertad condicional y libertad con reducción parcial o total de la pena), y que al efecto debe presentarse una solicitud por el sentenciado con el fin de que se tramite ante el Juez especializado el incidente respectivo; también lo es que, el juzgador no debe limitarse a analizar el beneficio solicitado expresamente por el </w:t>
      </w:r>
      <w:proofErr w:type="spellStart"/>
      <w:r w:rsidRPr="00CC4D09">
        <w:rPr>
          <w:rFonts w:ascii="Arial" w:hAnsi="Arial" w:cs="Arial"/>
          <w:sz w:val="20"/>
          <w:szCs w:val="20"/>
        </w:rPr>
        <w:t>incidentista</w:t>
      </w:r>
      <w:proofErr w:type="spellEnd"/>
      <w:r w:rsidRPr="00CC4D09">
        <w:rPr>
          <w:rFonts w:ascii="Arial" w:hAnsi="Arial" w:cs="Arial"/>
          <w:sz w:val="20"/>
          <w:szCs w:val="20"/>
        </w:rPr>
        <w:t>, ya que los diversos artículos 12 y 167 de la citada ley, obligan al órgano resolutor a pronunciarse de oficio sobre la procedencia de cualquiera de los beneficios de libertad anticipada previstos en la normativa aplicable; de estimarse lo contrario, se caería en una interpretación restrictiva y atentatoria del principio de legalidad que debe satisfacer todo acto de autoridad; máxime que el artículo 1o. de la propia ley, instruye al juzgador a estar a lo más favorable al reo.</w:t>
      </w:r>
    </w:p>
    <w:p w:rsidR="00CC4D09" w:rsidRPr="00CC4D09" w:rsidRDefault="00CC4D09" w:rsidP="00CC4D09">
      <w:pPr>
        <w:jc w:val="both"/>
        <w:rPr>
          <w:rFonts w:ascii="Arial" w:hAnsi="Arial" w:cs="Arial"/>
          <w:sz w:val="20"/>
          <w:szCs w:val="20"/>
        </w:rPr>
      </w:pPr>
      <w:r w:rsidRPr="00CC4D09">
        <w:rPr>
          <w:rFonts w:ascii="Arial" w:hAnsi="Arial" w:cs="Arial"/>
          <w:sz w:val="20"/>
          <w:szCs w:val="20"/>
        </w:rPr>
        <w:t>PRIMER TRIBUNAL COLEGIADO EN MATERIA PENAL DEL TERCER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124/2016. 8 de junio de 2016. Unanimidad de votos. Ponente: José Guadalupe Hernández Torres. Secretario: Hugo Ricardo Ramos Castillo.</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Décima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2007878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Gaceta del Semanario Judicial de la Federación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Libro 12, </w:t>
      </w:r>
      <w:proofErr w:type="gramStart"/>
      <w:r w:rsidRPr="00CC4D09">
        <w:rPr>
          <w:rFonts w:ascii="Arial" w:hAnsi="Arial" w:cs="Arial"/>
          <w:sz w:val="20"/>
          <w:szCs w:val="20"/>
        </w:rPr>
        <w:t>Noviembre</w:t>
      </w:r>
      <w:proofErr w:type="gramEnd"/>
      <w:r w:rsidRPr="00CC4D09">
        <w:rPr>
          <w:rFonts w:ascii="Arial" w:hAnsi="Arial" w:cs="Arial"/>
          <w:sz w:val="20"/>
          <w:szCs w:val="20"/>
        </w:rPr>
        <w:t xml:space="preserve"> de 2014, Tomo IV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Común,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II.1o.12 P (10a.)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2904 </w:t>
      </w:r>
    </w:p>
    <w:p w:rsidR="00CC4D09" w:rsidRPr="00CC4D09" w:rsidRDefault="00CC4D09" w:rsidP="00CC4D09">
      <w:pPr>
        <w:jc w:val="both"/>
        <w:rPr>
          <w:rFonts w:ascii="Arial" w:hAnsi="Arial" w:cs="Arial"/>
          <w:sz w:val="20"/>
          <w:szCs w:val="20"/>
        </w:rPr>
      </w:pPr>
      <w:r w:rsidRPr="00CC4D09">
        <w:rPr>
          <w:rFonts w:ascii="Arial" w:hAnsi="Arial" w:cs="Arial"/>
          <w:sz w:val="20"/>
          <w:szCs w:val="20"/>
        </w:rPr>
        <w:lastRenderedPageBreak/>
        <w:t>AMPARO INDIRECTO PROMOVIDO CONTRA LA NEGATIVA DE LOS BENEFICIOS PRELIBERATORIOS (REMISIÓN PARCIAL DE LA PENA Y LIBERTAD CONDICIONAL). EL PLAZO PARA PRESENTAR LA DEMANDA ES EL DE QUINCE DÍAS.</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La resolución pronunciada por el Juez de ejecución de sentencia respecto de los beneficios </w:t>
      </w:r>
      <w:proofErr w:type="spellStart"/>
      <w:r w:rsidRPr="00CC4D09">
        <w:rPr>
          <w:rFonts w:ascii="Arial" w:hAnsi="Arial" w:cs="Arial"/>
          <w:sz w:val="20"/>
          <w:szCs w:val="20"/>
        </w:rPr>
        <w:t>preliberatorios</w:t>
      </w:r>
      <w:proofErr w:type="spellEnd"/>
      <w:r w:rsidRPr="00CC4D09">
        <w:rPr>
          <w:rFonts w:ascii="Arial" w:hAnsi="Arial" w:cs="Arial"/>
          <w:sz w:val="20"/>
          <w:szCs w:val="20"/>
        </w:rPr>
        <w:t xml:space="preserve"> (remisión parcial de la pena y libertad condicional), si bien es un acto dictado después de concluido el juicio, en la etapa de ejecución de sentencia, deriva de un mandato emitido dentro de un procedimiento. Por tanto, en este supuesto, el plazo para presentar la demanda de amparo es el de quince días, previsto en el artículo 17 de la ley de la materia, y no el de la excepción de su fracción IV, la cual alude a que podrá efectuarse en cualquier tiempo, pues esta </w:t>
      </w:r>
      <w:proofErr w:type="spellStart"/>
      <w:r w:rsidRPr="00CC4D09">
        <w:rPr>
          <w:rFonts w:ascii="Arial" w:hAnsi="Arial" w:cs="Arial"/>
          <w:sz w:val="20"/>
          <w:szCs w:val="20"/>
        </w:rPr>
        <w:t>hipótesis</w:t>
      </w:r>
      <w:proofErr w:type="spellEnd"/>
      <w:r w:rsidRPr="00CC4D09">
        <w:rPr>
          <w:rFonts w:ascii="Arial" w:hAnsi="Arial" w:cs="Arial"/>
          <w:sz w:val="20"/>
          <w:szCs w:val="20"/>
        </w:rPr>
        <w:t xml:space="preserve"> procede contra actos que no provienen de un procedimiento judicial, entendiéndose por éstos, entre otros, el peligro de privación de la vida, ataques a la libertad personal -fuera de procedimiento judicial-, incomunicación, deportación o expulsión, proscripción o destierro, desaparición forzada de personas o algunos de los prohibidos por el artículo 22 de la Constitución Política de los Estados Unidos Mexicanos, así como la incorporación forzosa al Ejército, Armada o Fuerza Aérea Nacionales; de ahí que si dicha negativa se reclama en amparo fuera del plazo genérico de quince días, se considera que el quejoso habrá consentido tácitamente el acto reclamado, actualizándose la causa de improcedencia prevista en el artículo 61, fracción XIV, de la referida legislación.</w:t>
      </w:r>
    </w:p>
    <w:p w:rsidR="00CC4D09" w:rsidRPr="00CC4D09" w:rsidRDefault="00CC4D09" w:rsidP="00CC4D09">
      <w:pPr>
        <w:jc w:val="both"/>
        <w:rPr>
          <w:rFonts w:ascii="Arial" w:hAnsi="Arial" w:cs="Arial"/>
          <w:sz w:val="20"/>
          <w:szCs w:val="20"/>
        </w:rPr>
      </w:pPr>
      <w:r w:rsidRPr="00CC4D09">
        <w:rPr>
          <w:rFonts w:ascii="Arial" w:hAnsi="Arial" w:cs="Arial"/>
          <w:sz w:val="20"/>
          <w:szCs w:val="20"/>
        </w:rPr>
        <w:t>PRIMER TRIBUNAL COLEGIADO DEL SEGUNDO CIRCUITO CON RESIDENCIA EN CIUDAD NEZAHUALCÓYOTL, ESTADO DE MÉXICO.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316/2013. 14 de agosto de 2014. Unanimidad de votos. Ponente: Daniel Horacio Escudero Contreras. Secretario: Fabio Alemán Monroy.</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Novena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166020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Semanario Judicial de la Federación y su Gaceta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Tomo XXX, </w:t>
      </w:r>
      <w:proofErr w:type="gramStart"/>
      <w:r w:rsidRPr="00CC4D09">
        <w:rPr>
          <w:rFonts w:ascii="Arial" w:hAnsi="Arial" w:cs="Arial"/>
          <w:sz w:val="20"/>
          <w:szCs w:val="20"/>
        </w:rPr>
        <w:t>Noviembre</w:t>
      </w:r>
      <w:proofErr w:type="gramEnd"/>
      <w:r w:rsidRPr="00CC4D09">
        <w:rPr>
          <w:rFonts w:ascii="Arial" w:hAnsi="Arial" w:cs="Arial"/>
          <w:sz w:val="20"/>
          <w:szCs w:val="20"/>
        </w:rPr>
        <w:t xml:space="preserve"> de 2009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III.2o.P.229 P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881 </w:t>
      </w:r>
    </w:p>
    <w:p w:rsidR="00CC4D09" w:rsidRPr="00CC4D09" w:rsidRDefault="00CC4D09" w:rsidP="00CC4D09">
      <w:pPr>
        <w:jc w:val="both"/>
        <w:rPr>
          <w:rFonts w:ascii="Arial" w:hAnsi="Arial" w:cs="Arial"/>
          <w:sz w:val="20"/>
          <w:szCs w:val="20"/>
        </w:rPr>
      </w:pPr>
      <w:r w:rsidRPr="00CC4D09">
        <w:rPr>
          <w:rFonts w:ascii="Arial" w:hAnsi="Arial" w:cs="Arial"/>
          <w:sz w:val="20"/>
          <w:szCs w:val="20"/>
        </w:rPr>
        <w:t>BENEFICIO DE LIBERTAD CONDICIONAL. COMO CONSTITUYE UN DERECHO SUSTANTIVO, AL EXAMINAR SU PROCEDENCIA RIGE LA EXCEPCIÓN QUE CONTIENE EL ARTÍCULO 14 CONSTITUCIONAL, CONSISTENTE EN LA APLICACIÓN RETROACTIVA DE LA LEY QUE FAVOREZCA AL SENTENCIADO.</w:t>
      </w:r>
    </w:p>
    <w:p w:rsidR="00CC4D09" w:rsidRPr="00CC4D09" w:rsidRDefault="00CC4D09" w:rsidP="00CC4D09">
      <w:pPr>
        <w:jc w:val="both"/>
        <w:rPr>
          <w:rFonts w:ascii="Arial" w:hAnsi="Arial" w:cs="Arial"/>
          <w:sz w:val="20"/>
          <w:szCs w:val="20"/>
        </w:rPr>
      </w:pPr>
      <w:r w:rsidRPr="00CC4D09">
        <w:rPr>
          <w:rFonts w:ascii="Arial" w:hAnsi="Arial" w:cs="Arial"/>
          <w:sz w:val="20"/>
          <w:szCs w:val="20"/>
        </w:rPr>
        <w:t>El artículo 67 del Código Penal del Estado de Jalisco, que establece los requisitos que debe satisfacer el sentenciado para obtener la libertad condicional, es de naturaleza sustantiva, no sólo por estar previsto en el ordenamiento de ese tipo, sino porque son precisamente los elementos que debe tomar en cuenta la autoridad jurisdiccional para determinar si procede su otorgamiento, análisis que además involucra uno de los derechos sustantivos más preciados del ser humano, como lo es la libertad, beneficio que aparte proviene a consecuencia de un proceso penal, en el cual se concluyó, con certidumbre jurídica, la responsabilidad de una persona en la omisión o comisión de un hecho que por ley se califica como delito, el cual tiene por objetivo cumplir con los fines de prevención especial de la pena, esto es, la readaptación social del sentenciado, lo que significa que al resolver sobre la petición de tal beneficio debe atenderse a la excepción que consagra el artículo 14 constitucional, respecto a la aplicación retroactiva de la ley que le favorezca al sentenciado, en el sentido de observar la vigente en el momento en que se cometió el ilícito, si ésta permitía que se otorgara dicho sustitutivo de la pena o establecía menos requisitos para obtenerlo, o en su caso, la vigente en la época de emisión del acuerdo respectivo, si le beneficia.</w:t>
      </w:r>
    </w:p>
    <w:p w:rsidR="00CC4D09" w:rsidRPr="00CC4D09" w:rsidRDefault="00CC4D09" w:rsidP="00CC4D09">
      <w:pPr>
        <w:jc w:val="both"/>
        <w:rPr>
          <w:rFonts w:ascii="Arial" w:hAnsi="Arial" w:cs="Arial"/>
          <w:sz w:val="20"/>
          <w:szCs w:val="20"/>
        </w:rPr>
      </w:pPr>
      <w:r w:rsidRPr="00CC4D09">
        <w:rPr>
          <w:rFonts w:ascii="Arial" w:hAnsi="Arial" w:cs="Arial"/>
          <w:sz w:val="20"/>
          <w:szCs w:val="20"/>
        </w:rPr>
        <w:t>SEGUNDO TRIBUNAL COLEGIADO EN MATERIA PENAL DEL TERCER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192/2009. 1o. de octubre de 2009. Unanimidad de votos. Ponente: Jorge Humberto Benítez Pimienta. Secretario: Fernando Cortés Delgado.</w:t>
      </w:r>
    </w:p>
    <w:p w:rsidR="00CC4D09" w:rsidRPr="00CC4D09" w:rsidRDefault="00CC4D09" w:rsidP="00CC4D09">
      <w:pPr>
        <w:jc w:val="both"/>
        <w:rPr>
          <w:rFonts w:ascii="Arial" w:hAnsi="Arial" w:cs="Arial"/>
          <w:sz w:val="20"/>
          <w:szCs w:val="20"/>
        </w:rPr>
      </w:pP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Época: Novena Época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Registro: 175901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Instancia: Tribunales Colegiados de Circuito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Tipo de Tesis: Aislada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Fuente: Semanario Judicial de la Federación y su Gaceta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Tomo XXIII, </w:t>
      </w:r>
      <w:proofErr w:type="gramStart"/>
      <w:r w:rsidRPr="00CC4D09">
        <w:rPr>
          <w:rFonts w:ascii="Arial" w:hAnsi="Arial" w:cs="Arial"/>
          <w:sz w:val="20"/>
          <w:szCs w:val="20"/>
        </w:rPr>
        <w:t>Febrero</w:t>
      </w:r>
      <w:proofErr w:type="gramEnd"/>
      <w:r w:rsidRPr="00CC4D09">
        <w:rPr>
          <w:rFonts w:ascii="Arial" w:hAnsi="Arial" w:cs="Arial"/>
          <w:sz w:val="20"/>
          <w:szCs w:val="20"/>
        </w:rPr>
        <w:t xml:space="preserve"> de 2006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Materia(s): Penal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Tesis: III.2o.P.186 P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Página: 1834 </w:t>
      </w:r>
    </w:p>
    <w:p w:rsidR="00CC4D09" w:rsidRPr="00CC4D09" w:rsidRDefault="00CC4D09" w:rsidP="00CC4D09">
      <w:pPr>
        <w:jc w:val="both"/>
        <w:rPr>
          <w:rFonts w:ascii="Arial" w:hAnsi="Arial" w:cs="Arial"/>
          <w:sz w:val="20"/>
          <w:szCs w:val="20"/>
        </w:rPr>
      </w:pPr>
      <w:r w:rsidRPr="00CC4D09">
        <w:rPr>
          <w:rFonts w:ascii="Arial" w:hAnsi="Arial" w:cs="Arial"/>
          <w:sz w:val="20"/>
          <w:szCs w:val="20"/>
        </w:rPr>
        <w:t xml:space="preserve">LIBERTAD CONDICIONAL. SI SE IMPUGNA COMO ACTO RECLAMADO EL MANTENER PRIVADO DE LA LIBERTAD AL SENTENCIADO POR LA AUTORIDAD EJECUTORA Y DE LOS INFORMES JUSTIFICADOS SE ADVIERTE QUE DIVERSA AUTORIDAD ADQUIERE LA CALIDAD DE ORDENADORA, QUIEN DETERMINÓ POSPONER AQUEL BENEFICIO Y NO ES SEÑALADA COMO RESPONSABLE EN LA DEMANDA DE GARANTÍAS, NO OBSTANTE PREVIO </w:t>
      </w:r>
      <w:r w:rsidRPr="00CC4D09">
        <w:rPr>
          <w:rFonts w:ascii="Arial" w:hAnsi="Arial" w:cs="Arial"/>
          <w:sz w:val="20"/>
          <w:szCs w:val="20"/>
        </w:rPr>
        <w:lastRenderedPageBreak/>
        <w:t>REQUERIMIENTO PARA AMPLIARLA, DICHO ACTO DEBE CONSIDERARSE COMO DERIVADO DE OTRO CONSENTIDO Y, EN CONSECUENCIA, SOBRESEERSE EN EL AMPARO (LEGISLACIÓN DEL ESTADO DE JALISCO).</w:t>
      </w:r>
    </w:p>
    <w:p w:rsidR="00CC4D09" w:rsidRPr="00CC4D09" w:rsidRDefault="00CC4D09" w:rsidP="00CC4D09">
      <w:pPr>
        <w:jc w:val="both"/>
        <w:rPr>
          <w:rFonts w:ascii="Arial" w:hAnsi="Arial" w:cs="Arial"/>
          <w:sz w:val="20"/>
          <w:szCs w:val="20"/>
        </w:rPr>
      </w:pPr>
      <w:r w:rsidRPr="00CC4D09">
        <w:rPr>
          <w:rFonts w:ascii="Arial" w:hAnsi="Arial" w:cs="Arial"/>
          <w:sz w:val="20"/>
          <w:szCs w:val="20"/>
        </w:rPr>
        <w:t>Cuando el acto reclamado se hace consistir en la negativa de la autoridad de aplicar el beneficio de la libertad condicional previsto en el artículo 67 del Código Penal del Estado de Jalisco, y el sentenciado sólo señala como responsables al director general de Prevención y Readaptación Social del Estado y al director del Centro de Readaptación Social Número Uno, pero de los informes justificados se advierte que el Consejo de Evaluación y Seguimiento de la Dirección General de Prevención y Readaptación Social de la misma entidad adquiere la calidad de ordenadora, ya que fue quien determinó posponer el otorgamiento del citado beneficio, resulta inconcuso que al no ampliarse la demanda contra esta última autoridad, previo requerimiento que hizo el Juez de amparo, el acto de ejecución de mantener la privación de libertad al quejoso debe considerarse como un acto derivado de otro consentido y, por ende, decretarse el sobreseimiento en el juicio al actualizarse la causal de improcedencia prevista en la fracción XVIII del artículo 73 de la Ley de Amparo.</w:t>
      </w:r>
    </w:p>
    <w:p w:rsidR="00CC4D09" w:rsidRPr="00CC4D09" w:rsidRDefault="00CC4D09" w:rsidP="00CC4D09">
      <w:pPr>
        <w:jc w:val="both"/>
        <w:rPr>
          <w:rFonts w:ascii="Arial" w:hAnsi="Arial" w:cs="Arial"/>
          <w:sz w:val="20"/>
          <w:szCs w:val="20"/>
        </w:rPr>
      </w:pPr>
      <w:r w:rsidRPr="00CC4D09">
        <w:rPr>
          <w:rFonts w:ascii="Arial" w:hAnsi="Arial" w:cs="Arial"/>
          <w:sz w:val="20"/>
          <w:szCs w:val="20"/>
        </w:rPr>
        <w:t>SEGUNDO TRIBUNAL COLEGIADO EN MATERIA PENAL DEL TERCER CIRCUITO.</w:t>
      </w:r>
    </w:p>
    <w:p w:rsidR="00CC4D09" w:rsidRPr="00CC4D09" w:rsidRDefault="00CC4D09" w:rsidP="00CC4D09">
      <w:pPr>
        <w:jc w:val="both"/>
        <w:rPr>
          <w:rFonts w:ascii="Arial" w:hAnsi="Arial" w:cs="Arial"/>
          <w:sz w:val="20"/>
          <w:szCs w:val="20"/>
        </w:rPr>
      </w:pPr>
      <w:r w:rsidRPr="00CC4D09">
        <w:rPr>
          <w:rFonts w:ascii="Arial" w:hAnsi="Arial" w:cs="Arial"/>
          <w:sz w:val="20"/>
          <w:szCs w:val="20"/>
        </w:rPr>
        <w:t>Amparo en revisión 251/2005. 25 de noviembre de 2005. Unanimidad de votos. Ponente: Jorge Humberto Benítez Pimienta. Secretario: Francisco Javier Villaseñor Casillas.</w:t>
      </w:r>
    </w:p>
    <w:sectPr w:rsidR="00CC4D09" w:rsidRPr="00CC4D09"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7EB" w:rsidRDefault="00C257EB" w:rsidP="00CC4D09">
      <w:r>
        <w:separator/>
      </w:r>
    </w:p>
  </w:endnote>
  <w:endnote w:type="continuationSeparator" w:id="0">
    <w:p w:rsidR="00C257EB" w:rsidRDefault="00C257EB" w:rsidP="00CC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7EB" w:rsidRDefault="00C257EB" w:rsidP="00CC4D09">
      <w:r>
        <w:separator/>
      </w:r>
    </w:p>
  </w:footnote>
  <w:footnote w:type="continuationSeparator" w:id="0">
    <w:p w:rsidR="00C257EB" w:rsidRDefault="00C257EB" w:rsidP="00CC4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4749164"/>
      <w:docPartObj>
        <w:docPartGallery w:val="Page Numbers (Top of Page)"/>
        <w:docPartUnique/>
      </w:docPartObj>
    </w:sdtPr>
    <w:sdtContent>
      <w:p w:rsidR="00CC4D09" w:rsidRDefault="00CC4D09">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09"/>
    <w:rsid w:val="004B4387"/>
    <w:rsid w:val="00900A04"/>
    <w:rsid w:val="00C257EB"/>
    <w:rsid w:val="00CC4D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57C3F"/>
  <w15:chartTrackingRefBased/>
  <w15:docId w15:val="{D05A327F-4F06-41DD-906F-8C5E7F15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4D09"/>
    <w:pPr>
      <w:tabs>
        <w:tab w:val="center" w:pos="4419"/>
        <w:tab w:val="right" w:pos="8838"/>
      </w:tabs>
    </w:pPr>
  </w:style>
  <w:style w:type="character" w:customStyle="1" w:styleId="EncabezadoCar">
    <w:name w:val="Encabezado Car"/>
    <w:basedOn w:val="Fuentedeprrafopredeter"/>
    <w:link w:val="Encabezado"/>
    <w:uiPriority w:val="99"/>
    <w:rsid w:val="00CC4D09"/>
  </w:style>
  <w:style w:type="paragraph" w:styleId="Piedepgina">
    <w:name w:val="footer"/>
    <w:basedOn w:val="Normal"/>
    <w:link w:val="PiedepginaCar"/>
    <w:uiPriority w:val="99"/>
    <w:unhideWhenUsed/>
    <w:rsid w:val="00CC4D09"/>
    <w:pPr>
      <w:tabs>
        <w:tab w:val="center" w:pos="4419"/>
        <w:tab w:val="right" w:pos="8838"/>
      </w:tabs>
    </w:pPr>
  </w:style>
  <w:style w:type="character" w:customStyle="1" w:styleId="PiedepginaCar">
    <w:name w:val="Pie de página Car"/>
    <w:basedOn w:val="Fuentedeprrafopredeter"/>
    <w:link w:val="Piedepgina"/>
    <w:uiPriority w:val="99"/>
    <w:rsid w:val="00CC4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2205</Words>
  <Characters>12133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1</cp:revision>
  <dcterms:created xsi:type="dcterms:W3CDTF">2020-07-02T01:11:00Z</dcterms:created>
  <dcterms:modified xsi:type="dcterms:W3CDTF">2020-07-02T01:14:00Z</dcterms:modified>
</cp:coreProperties>
</file>