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DCF" w:rsidRPr="00D90DCF" w:rsidRDefault="00D90DCF" w:rsidP="00D90DCF">
      <w:pPr>
        <w:jc w:val="center"/>
        <w:rPr>
          <w:rFonts w:ascii="Arial" w:hAnsi="Arial" w:cs="Arial"/>
          <w:b/>
          <w:bCs/>
          <w:sz w:val="20"/>
          <w:szCs w:val="20"/>
        </w:rPr>
      </w:pPr>
      <w:r w:rsidRPr="00D90DCF">
        <w:rPr>
          <w:rFonts w:ascii="Arial" w:hAnsi="Arial" w:cs="Arial"/>
          <w:b/>
          <w:bCs/>
          <w:sz w:val="20"/>
          <w:szCs w:val="20"/>
        </w:rPr>
        <w:t>TRASLADOS VOLUNTARIOS E INVOLUNTARIOS</w:t>
      </w:r>
    </w:p>
    <w:p w:rsidR="00D90DCF" w:rsidRDefault="00D90DCF" w:rsidP="00D90DCF">
      <w:pPr>
        <w:jc w:val="both"/>
        <w:rPr>
          <w:rFonts w:ascii="Arial" w:hAnsi="Arial" w:cs="Arial"/>
          <w:sz w:val="20"/>
          <w:szCs w:val="20"/>
        </w:rPr>
      </w:pPr>
    </w:p>
    <w:p w:rsidR="00D90DCF" w:rsidRDefault="00D90DCF" w:rsidP="00D90DCF">
      <w:pPr>
        <w:jc w:val="both"/>
        <w:rPr>
          <w:rFonts w:ascii="Arial" w:hAnsi="Arial" w:cs="Arial"/>
          <w:sz w:val="20"/>
          <w:szCs w:val="20"/>
        </w:rPr>
      </w:pP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Época: Décima Época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Registro: 2021723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Instancia: Tribunales Colegiados de Circuito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Tipo de Tesis: Aislada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Fuente: Semanario Judicial de la Federación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Publicación: viernes 06 de marzo de 2020 10:09 h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Materia(s): (Penal)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Tesis: XI.P.41 P (10a.) </w:t>
      </w:r>
    </w:p>
    <w:p w:rsidR="00D90DCF" w:rsidRPr="00CB2B5E" w:rsidRDefault="00D90DCF" w:rsidP="00D90DCF">
      <w:pPr>
        <w:jc w:val="both"/>
        <w:rPr>
          <w:rFonts w:ascii="Arial" w:hAnsi="Arial" w:cs="Arial"/>
          <w:sz w:val="20"/>
          <w:szCs w:val="20"/>
        </w:rPr>
      </w:pPr>
      <w:r w:rsidRPr="00CB2B5E">
        <w:rPr>
          <w:rFonts w:ascii="Arial" w:hAnsi="Arial" w:cs="Arial"/>
          <w:sz w:val="20"/>
          <w:szCs w:val="20"/>
        </w:rPr>
        <w:t>ORDEN DE TRASLADO DE UN CENTRO PENITENCIARIO A OTRO EMITIDA SIN AUTORIZACIÓN JUDICIAL PREVIA. NO SE ACTUALIZA LA CAUSA DE IMPROCEDENCIA DEL JUICIO DE AMPARO POR CESACIÓN DE EFECTOS DEL ACTO RECLAMADO RESPECTO DE LA DETERMINACIÓN ADMINISTRATIVA QUE LA AUTORIZA Y SU EJECUCIÓN, SI TAMBIÉN SE RECLAMA LA RESOLUCIÓN DEL JUEZ DE EJECUCIÓN QUE CALIFICA SU LEGALIDAD.</w:t>
      </w:r>
    </w:p>
    <w:p w:rsidR="00D90DCF" w:rsidRPr="00CB2B5E" w:rsidRDefault="00D90DCF" w:rsidP="00D90DCF">
      <w:pPr>
        <w:jc w:val="both"/>
        <w:rPr>
          <w:rFonts w:ascii="Arial" w:hAnsi="Arial" w:cs="Arial"/>
          <w:sz w:val="20"/>
          <w:szCs w:val="20"/>
        </w:rPr>
      </w:pPr>
      <w:r w:rsidRPr="00CB2B5E">
        <w:rPr>
          <w:rFonts w:ascii="Arial" w:hAnsi="Arial" w:cs="Arial"/>
          <w:sz w:val="20"/>
          <w:szCs w:val="20"/>
        </w:rPr>
        <w:t>Los artículos 49 a 52 de la Ley Nacional de Ejecución Penal regulan los traslados de quienes se encuentran en algún centro penitenciario compurgando alguna pena de prisión, o cumpliendo la prisión preventiva, y distinguen los traslados voluntarios de los involuntarios; los primeros, en términos del artículo 50 de la propia ley, operan cuando existe interés de una persona sentenciada para ser trasladada a otro centro, caso en el cual, el Juez de Ejecución requerirá su consentimiento expreso en presencia de su defensor, y no podrá negarse a trasladarlo cuando se acrediten los supuestos establecidos en el párrafo octavo del artículo 18 de la Constitución Política de los Estados Unidos Mexicanos. Por su parte, los traslados involuntarios son aquellos que, por definición, no son solicitados por el sentenciado, sino que pueden ser requeridos por la autoridad penitenciaria, pero deben ser autorizados previamente por el Juez de Ejecución. Finalmente, el artículo 52 de la ley mencionada prevé una excepción al traslado voluntario, tratándose de delincuencia organizada y medidas especiales de seguridad; cuando exista riesgo objetivo para la integridad y la salud de la persona privada de su libertad y, en caso de riesgo para la seguridad o gobernabilidad del centro penitenciario, permitiéndose a la autoridad administrativa penitenciaria ejecutar su reubicación con el deber de informárselo al Juez dentro de las 24 horas siguientes, quien tendrá un plazo de otras 48 horas para calificar si esa actuación se ajustó a los supuestos que prevé el artículo 52 citado. En estas condiciones, a la luz del precepto constitucional referido, del cual se advierte la intención del Constituyente de judicializar la ejecución de las penas, el artículo 52 invocado debe interpretarse en el sentido de que la validez y subsistencia de la determinación administrativa de traslado derivan de la calificación que haga el Juez competente, cuya intervención no se limita a un mero "visto bueno", sino que resuelve, mediante la revisión de su legalidad, que el traslado se confirme o quede sin efecto. De lo que deriva que los actos que ordenan y ejecutan las autoridades penitenciarias y judicial, constituyen dos fases en el procedimiento de excepción al traslado voluntario, entre los que existe unidad, conformada por una sucesión de actos iniciados con la determinación administrativa que ordena el traslado, continúan con su ejecución y concluyen con la decisión judicial que lo califica. Por tanto, cuando en el juicio de amparo indirecto se reclama la resolución judicial que califica la legalidad del traslado, no se actualiza la causa de improcedencia por cesación de efectos del acto reclamado prevista en el artículo 61, fracción XXI, de la Ley de Amparo, respecto de la determinación administrativa que lo autoriza y su ejecución, pues la calificación judicial del traslado no destruye ni desaparece en forma total e incondicional, sin dejar huella o lesión en la esfera jurídica del quejoso, los efectos de su ejecución, como lo exige la hipótesis de improcedencia en comento, razón por la cual, de no actualizarse hipótesis diversa de improcedencia, es factible su análisis conjunto en sede constitucional.</w:t>
      </w:r>
    </w:p>
    <w:p w:rsidR="00D90DCF" w:rsidRPr="00CB2B5E" w:rsidRDefault="00D90DCF" w:rsidP="00D90DCF">
      <w:pPr>
        <w:jc w:val="both"/>
        <w:rPr>
          <w:rFonts w:ascii="Arial" w:hAnsi="Arial" w:cs="Arial"/>
          <w:sz w:val="20"/>
          <w:szCs w:val="20"/>
        </w:rPr>
      </w:pPr>
      <w:r w:rsidRPr="00CB2B5E">
        <w:rPr>
          <w:rFonts w:ascii="Arial" w:hAnsi="Arial" w:cs="Arial"/>
          <w:sz w:val="20"/>
          <w:szCs w:val="20"/>
        </w:rPr>
        <w:t>TRIBUNAL COLEGIADO EN MATERIA PENAL DEL DÉCIMO PRIMER CIRCUITO.</w:t>
      </w:r>
    </w:p>
    <w:p w:rsidR="00D90DCF" w:rsidRPr="00CB2B5E" w:rsidRDefault="00D90DCF" w:rsidP="00D90DCF">
      <w:pPr>
        <w:jc w:val="both"/>
        <w:rPr>
          <w:rFonts w:ascii="Arial" w:hAnsi="Arial" w:cs="Arial"/>
          <w:sz w:val="20"/>
          <w:szCs w:val="20"/>
        </w:rPr>
      </w:pPr>
      <w:r w:rsidRPr="00CB2B5E">
        <w:rPr>
          <w:rFonts w:ascii="Arial" w:hAnsi="Arial" w:cs="Arial"/>
          <w:sz w:val="20"/>
          <w:szCs w:val="20"/>
        </w:rPr>
        <w:t>Amparo en revisión 131/2019. 28 de noviembre de 2019. Unanimidad de votos. Ponente: Omar Liévanos Ruiz. Secretaria: Katia Orozco Alfaro.</w:t>
      </w:r>
    </w:p>
    <w:p w:rsidR="00900A04" w:rsidRDefault="00900A04"/>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Época: Décima Época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Registro: 2021558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Instancia: Tribunales Colegiados de Circuito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Tipo de Tesis: Aislada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Fuente: Gaceta del Semanario Judicial de la Federación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Libro 75, Febrero de 2020, Tomo III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Materia(s): Común, Penal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Tesis: I.6o.P.156 P (10a.) </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Página: 2340 </w:t>
      </w:r>
    </w:p>
    <w:p w:rsidR="00D90DCF" w:rsidRPr="00CB2B5E" w:rsidRDefault="00D90DCF" w:rsidP="00D90DCF">
      <w:pPr>
        <w:jc w:val="both"/>
        <w:rPr>
          <w:rFonts w:ascii="Arial" w:hAnsi="Arial" w:cs="Arial"/>
          <w:sz w:val="20"/>
          <w:szCs w:val="20"/>
        </w:rPr>
      </w:pPr>
      <w:r w:rsidRPr="00CB2B5E">
        <w:rPr>
          <w:rFonts w:ascii="Arial" w:hAnsi="Arial" w:cs="Arial"/>
          <w:sz w:val="20"/>
          <w:szCs w:val="20"/>
        </w:rPr>
        <w:t>ORDEN DE TRASLADO DE UN CENTRO PENITENCIARIO A OTRO. SU NATURALEZA ADMINISTRATIVA O JUDICIAL, ES LA BASE PARA DETERMINAR LA APLICABILIDAD DEL PRINCIPIO DE DEFINITIVIDAD EN EL JUICIO DE AMPARO INDIRECTO.</w:t>
      </w:r>
    </w:p>
    <w:p w:rsidR="00D90DCF" w:rsidRPr="00CB2B5E" w:rsidRDefault="00D90DCF" w:rsidP="00D90DCF">
      <w:pPr>
        <w:jc w:val="both"/>
        <w:rPr>
          <w:rFonts w:ascii="Arial" w:hAnsi="Arial" w:cs="Arial"/>
          <w:sz w:val="20"/>
          <w:szCs w:val="20"/>
        </w:rPr>
      </w:pPr>
      <w:r w:rsidRPr="00CB2B5E">
        <w:rPr>
          <w:rFonts w:ascii="Arial" w:hAnsi="Arial" w:cs="Arial"/>
          <w:sz w:val="20"/>
          <w:szCs w:val="20"/>
        </w:rPr>
        <w:t xml:space="preserve">La Primera Sala de la Suprema Corte de Justicia de la Nación, en las tesis de jurisprudencia 1a./J. 83/2015 (10a.) y 1a./J. 58/2016 (10a.) estableció, respectivamente, que este tipo de traslado, si se ejecuta sin intervención de la autoridad judicial, no puede considerarse como un acto dentro del procedimiento, por lo que la demanda de amparo en su contra podrá </w:t>
      </w:r>
      <w:r w:rsidRPr="00CB2B5E">
        <w:rPr>
          <w:rFonts w:ascii="Arial" w:hAnsi="Arial" w:cs="Arial"/>
          <w:sz w:val="20"/>
          <w:szCs w:val="20"/>
        </w:rPr>
        <w:lastRenderedPageBreak/>
        <w:t>interponerse en el plazo excepcional previsto en el artículo 17, fracción IV, de la ley de la materia; y, que procede conceder la suspensión de oficio y de plano, aun cuando sólo afecte la libertad personal de manera indirecta. La importancia de estos criterios radica en la diferenciación que realizan de la orden de traslado en la que interviene una autoridad judicial en materia penal, de aquellos emitidos y ejecutados únicamente por autoridades administrativas. De ahí que el Juez de Distrito, al decidir sobre la admisión de la demanda, deberá establecer el tipo de traslado reclamado con base en el capítulo V del título segundo, en donde se encuentran los artículos 49 a 57 de la Ley Nacional de Ejecución Penal, que los clasifica, sistematiza su procedimiento y prevé los medios de impugnación que proceden en su contra, como lo son el traslado voluntario de la persona privada de su libertad dentro del territorio nacional (artículo 50); el traslado involuntario de la persona privada de la libertad procesada o sentenciada (artículo 51); y, el traslado por excepción al involuntario de personas privadas de la libertad (artículo 52). Tal diferenciación no es vana, pues además de ser materia de ponderación tanto para efectos de la oportunidad en la presentación de la demanda de amparo, como para determinar el tipo de suspensión de la orden de traslado, también es parámetro para colegir la procedencia, o no, del juicio de amparo conforme al principio de definitividad, que lo rige, pues dependiendo del asunto específico, será la hipótesis de improcedencia que pudiera actualizarse conforme al artículo 61, fracciones XVIII y XX, de la Ley de Amparo, que analiza dicho principio diferenciando entre las resoluciones emitidas por tribunales judiciales, administrativos o del trabajo (fracción XVIII), de los actos de autoridades distintas a los tribunales antes mencionados (fracción XX).</w:t>
      </w:r>
    </w:p>
    <w:p w:rsidR="00D90DCF" w:rsidRPr="00CB2B5E" w:rsidRDefault="00D90DCF" w:rsidP="00D90DCF">
      <w:pPr>
        <w:jc w:val="both"/>
        <w:rPr>
          <w:rFonts w:ascii="Arial" w:hAnsi="Arial" w:cs="Arial"/>
          <w:sz w:val="20"/>
          <w:szCs w:val="20"/>
        </w:rPr>
      </w:pPr>
      <w:r w:rsidRPr="00CB2B5E">
        <w:rPr>
          <w:rFonts w:ascii="Arial" w:hAnsi="Arial" w:cs="Arial"/>
          <w:sz w:val="20"/>
          <w:szCs w:val="20"/>
        </w:rPr>
        <w:t>SEXTO TRIBUNAL COLEGIADO EN MATERIA PENAL DEL PRIMER CIRCUITO.</w:t>
      </w:r>
    </w:p>
    <w:p w:rsidR="00D90DCF" w:rsidRDefault="00D90DCF" w:rsidP="00D90DCF">
      <w:pPr>
        <w:jc w:val="both"/>
        <w:rPr>
          <w:rFonts w:ascii="Arial" w:hAnsi="Arial" w:cs="Arial"/>
          <w:sz w:val="20"/>
          <w:szCs w:val="20"/>
        </w:rPr>
      </w:pPr>
      <w:r w:rsidRPr="00CB2B5E">
        <w:rPr>
          <w:rFonts w:ascii="Arial" w:hAnsi="Arial" w:cs="Arial"/>
          <w:sz w:val="20"/>
          <w:szCs w:val="20"/>
        </w:rPr>
        <w:t>Queja 140/2019. 20 de septiembre de 2019. Unanimidad de votos. Ponente: Fernando Córdova del Valle. Secretario: Gerardo Flores Zavala.</w:t>
      </w:r>
    </w:p>
    <w:p w:rsidR="002E5038" w:rsidRDefault="002E5038" w:rsidP="00D90DCF">
      <w:pPr>
        <w:jc w:val="both"/>
        <w:rPr>
          <w:rFonts w:ascii="Arial" w:hAnsi="Arial" w:cs="Arial"/>
          <w:sz w:val="20"/>
          <w:szCs w:val="20"/>
        </w:rPr>
      </w:pPr>
    </w:p>
    <w:p w:rsidR="002E5038" w:rsidRPr="002E5038" w:rsidRDefault="002E5038" w:rsidP="002E5038">
      <w:pPr>
        <w:jc w:val="both"/>
        <w:rPr>
          <w:rFonts w:ascii="Arial" w:hAnsi="Arial" w:cs="Arial"/>
          <w:sz w:val="20"/>
          <w:szCs w:val="20"/>
        </w:rPr>
      </w:pPr>
      <w:r w:rsidRPr="002E5038">
        <w:rPr>
          <w:rFonts w:ascii="Arial" w:hAnsi="Arial" w:cs="Arial"/>
          <w:sz w:val="20"/>
          <w:szCs w:val="20"/>
        </w:rPr>
        <w:t xml:space="preserve">Época: Décima Época </w:t>
      </w:r>
    </w:p>
    <w:p w:rsidR="002E5038" w:rsidRPr="002E5038" w:rsidRDefault="002E5038" w:rsidP="002E5038">
      <w:pPr>
        <w:jc w:val="both"/>
        <w:rPr>
          <w:rFonts w:ascii="Arial" w:hAnsi="Arial" w:cs="Arial"/>
          <w:sz w:val="20"/>
          <w:szCs w:val="20"/>
        </w:rPr>
      </w:pPr>
      <w:r w:rsidRPr="002E5038">
        <w:rPr>
          <w:rFonts w:ascii="Arial" w:hAnsi="Arial" w:cs="Arial"/>
          <w:sz w:val="20"/>
          <w:szCs w:val="20"/>
        </w:rPr>
        <w:t xml:space="preserve">Registro: 2017647 </w:t>
      </w:r>
    </w:p>
    <w:p w:rsidR="002E5038" w:rsidRPr="002E5038" w:rsidRDefault="002E5038" w:rsidP="002E5038">
      <w:pPr>
        <w:jc w:val="both"/>
        <w:rPr>
          <w:rFonts w:ascii="Arial" w:hAnsi="Arial" w:cs="Arial"/>
          <w:sz w:val="20"/>
          <w:szCs w:val="20"/>
        </w:rPr>
      </w:pPr>
      <w:r w:rsidRPr="002E5038">
        <w:rPr>
          <w:rFonts w:ascii="Arial" w:hAnsi="Arial" w:cs="Arial"/>
          <w:sz w:val="20"/>
          <w:szCs w:val="20"/>
        </w:rPr>
        <w:t xml:space="preserve">Instancia: Tribunales Colegiados de Circuito </w:t>
      </w:r>
    </w:p>
    <w:p w:rsidR="002E5038" w:rsidRPr="002E5038" w:rsidRDefault="002E5038" w:rsidP="002E5038">
      <w:pPr>
        <w:jc w:val="both"/>
        <w:rPr>
          <w:rFonts w:ascii="Arial" w:hAnsi="Arial" w:cs="Arial"/>
          <w:sz w:val="20"/>
          <w:szCs w:val="20"/>
        </w:rPr>
      </w:pPr>
      <w:r w:rsidRPr="002E5038">
        <w:rPr>
          <w:rFonts w:ascii="Arial" w:hAnsi="Arial" w:cs="Arial"/>
          <w:sz w:val="20"/>
          <w:szCs w:val="20"/>
        </w:rPr>
        <w:t xml:space="preserve">Tipo de Tesis: Aislada </w:t>
      </w:r>
    </w:p>
    <w:p w:rsidR="002E5038" w:rsidRPr="002E5038" w:rsidRDefault="002E5038" w:rsidP="002E5038">
      <w:pPr>
        <w:jc w:val="both"/>
        <w:rPr>
          <w:rFonts w:ascii="Arial" w:hAnsi="Arial" w:cs="Arial"/>
          <w:sz w:val="20"/>
          <w:szCs w:val="20"/>
        </w:rPr>
      </w:pPr>
      <w:r w:rsidRPr="002E5038">
        <w:rPr>
          <w:rFonts w:ascii="Arial" w:hAnsi="Arial" w:cs="Arial"/>
          <w:sz w:val="20"/>
          <w:szCs w:val="20"/>
        </w:rPr>
        <w:t xml:space="preserve">Fuente: Gaceta del Semanario Judicial de la Federación </w:t>
      </w:r>
    </w:p>
    <w:p w:rsidR="002E5038" w:rsidRPr="002E5038" w:rsidRDefault="002E5038" w:rsidP="002E5038">
      <w:pPr>
        <w:jc w:val="both"/>
        <w:rPr>
          <w:rFonts w:ascii="Arial" w:hAnsi="Arial" w:cs="Arial"/>
          <w:sz w:val="20"/>
          <w:szCs w:val="20"/>
        </w:rPr>
      </w:pPr>
      <w:r w:rsidRPr="002E5038">
        <w:rPr>
          <w:rFonts w:ascii="Arial" w:hAnsi="Arial" w:cs="Arial"/>
          <w:sz w:val="20"/>
          <w:szCs w:val="20"/>
        </w:rPr>
        <w:t xml:space="preserve">Libro 57, Agosto de 2018, Tomo III </w:t>
      </w:r>
    </w:p>
    <w:p w:rsidR="002E5038" w:rsidRPr="002E5038" w:rsidRDefault="002E5038" w:rsidP="002E5038">
      <w:pPr>
        <w:jc w:val="both"/>
        <w:rPr>
          <w:rFonts w:ascii="Arial" w:hAnsi="Arial" w:cs="Arial"/>
          <w:sz w:val="20"/>
          <w:szCs w:val="20"/>
        </w:rPr>
      </w:pPr>
      <w:r w:rsidRPr="002E5038">
        <w:rPr>
          <w:rFonts w:ascii="Arial" w:hAnsi="Arial" w:cs="Arial"/>
          <w:sz w:val="20"/>
          <w:szCs w:val="20"/>
        </w:rPr>
        <w:t xml:space="preserve">Materia(s): Penal, Constitucional </w:t>
      </w:r>
    </w:p>
    <w:p w:rsidR="002E5038" w:rsidRPr="002E5038" w:rsidRDefault="002E5038" w:rsidP="002E5038">
      <w:pPr>
        <w:jc w:val="both"/>
        <w:rPr>
          <w:rFonts w:ascii="Arial" w:hAnsi="Arial" w:cs="Arial"/>
          <w:sz w:val="20"/>
          <w:szCs w:val="20"/>
        </w:rPr>
      </w:pPr>
      <w:r w:rsidRPr="002E5038">
        <w:rPr>
          <w:rFonts w:ascii="Arial" w:hAnsi="Arial" w:cs="Arial"/>
          <w:sz w:val="20"/>
          <w:szCs w:val="20"/>
        </w:rPr>
        <w:t xml:space="preserve">Tesis: I.9o.P.213 P (10a.) </w:t>
      </w:r>
    </w:p>
    <w:p w:rsidR="002E5038" w:rsidRPr="002E5038" w:rsidRDefault="002E5038" w:rsidP="002E5038">
      <w:pPr>
        <w:jc w:val="both"/>
        <w:rPr>
          <w:rFonts w:ascii="Arial" w:hAnsi="Arial" w:cs="Arial"/>
          <w:sz w:val="20"/>
          <w:szCs w:val="20"/>
        </w:rPr>
      </w:pPr>
      <w:r w:rsidRPr="002E5038">
        <w:rPr>
          <w:rFonts w:ascii="Arial" w:hAnsi="Arial" w:cs="Arial"/>
          <w:sz w:val="20"/>
          <w:szCs w:val="20"/>
        </w:rPr>
        <w:t xml:space="preserve">Página: 3157 </w:t>
      </w:r>
    </w:p>
    <w:p w:rsidR="002E5038" w:rsidRPr="002E5038" w:rsidRDefault="002E5038" w:rsidP="002E5038">
      <w:pPr>
        <w:jc w:val="both"/>
        <w:rPr>
          <w:rFonts w:ascii="Arial" w:hAnsi="Arial" w:cs="Arial"/>
          <w:sz w:val="20"/>
          <w:szCs w:val="20"/>
        </w:rPr>
      </w:pPr>
      <w:r w:rsidRPr="002E5038">
        <w:rPr>
          <w:rFonts w:ascii="Arial" w:hAnsi="Arial" w:cs="Arial"/>
          <w:sz w:val="20"/>
          <w:szCs w:val="20"/>
        </w:rPr>
        <w:t>TRASLADO DE UN INTERNO DEL CENTRO DE RECLUSIÓN DE MEDIANA A UNO DE ALTA SEGURIDAD, SOLICITADO POR AQUÉL, POR CORRESPONDER AL DEL LUGAR MÁS CERCANO A SU DOMICILIO. PONDERACIÓN DE LOS REQUISITOS PREVISTOS EN EL ARTÍCULO 18 DE LA CONSTITUCIÓN FEDERAL PARA SU PROCEDENCIA.</w:t>
      </w:r>
    </w:p>
    <w:p w:rsidR="002E5038" w:rsidRPr="002E5038" w:rsidRDefault="002E5038" w:rsidP="002E5038">
      <w:pPr>
        <w:jc w:val="both"/>
        <w:rPr>
          <w:rFonts w:ascii="Arial" w:hAnsi="Arial" w:cs="Arial"/>
          <w:sz w:val="20"/>
          <w:szCs w:val="20"/>
        </w:rPr>
      </w:pPr>
      <w:r w:rsidRPr="002E5038">
        <w:rPr>
          <w:rFonts w:ascii="Arial" w:hAnsi="Arial" w:cs="Arial"/>
          <w:sz w:val="20"/>
          <w:szCs w:val="20"/>
        </w:rPr>
        <w:t>El precepto constitucional mencionado establece que los sentenciados, en los casos y condiciones que establezca la ley, podrán compurgar sus penas en los centros penitenciarios más cercanos a su domicilio, por delitos distintos a la delincuencia organizada, y que no requieran medidas especiales de seguridad. Luego, si el sentenciado no fue condenado por un delito de esta naturaleza y el domicilio de sus familiares se encuentra más cercano al centro de reclusión donde solicitó su traslado; empero, de los estudios criminológicos practicados se advierte que cubre el perfil para permanecer en un centro federal de readaptación social de mediana seguridad, toda vez que su índice de peligrosidad se encuentra en un nivel medio, así como su capacidad criminal y adaptabilidad social; de asumir que podría permanecer interno en un centro de reclusión de un nivel de seguridad superior al que éste necesita, iría en perjuicio del propio sentenciado; en primer lugar, porque en virtud de la implementación de un nivel de seguridad mayor, no podría hacerse de los ejes rectores que señala el Estado para lograr su reinserción, con tanta facilidad como en donde se encuentra interno actualmente, porque el nivel de seguridad restringiría dichas actividades y, en segundo, porque lo colocaría en una situación de mayor convivencia con diversos internos de un perfil criminológico mayor, lo que sería perjudicial para su reintegración a la sociedad, ya que de ponerlo en contacto con sujetos que tienen una capacidad criminal mayor, podrían atraerlo por sus malas influencias, y de forma perjudicial para éste, incrementar su grado de peligrosidad; incluso, en cierto modo, podría llegar a ponerse en riesgo su propia integridad corporal o la vida del trasladado; afectación que es de menor intensidad, si el sentenciado continúa interno en aquel centro, pese a que no se encuentre en el centro penitenciario que corresponde al lugar de su domicilio; además, el derecho de compurgar sus penas en los centros penitenciarios más cercanos a su domicilio, a fin de propiciar su reintegración a la comunidad, es fundamental, no es absoluto y, en el caso, existen circunstancias de seguridad que ponderadas con ese derecho y el de reinserción social, no hacen factible el traslado, pues de hacerlo, se vulneraría la finalidad perseguida en el artículo 18 constitucional invocado, en perjuicio del propio sentenciado.</w:t>
      </w:r>
    </w:p>
    <w:p w:rsidR="002E5038" w:rsidRPr="002E5038" w:rsidRDefault="002E5038" w:rsidP="002E5038">
      <w:pPr>
        <w:jc w:val="both"/>
        <w:rPr>
          <w:rFonts w:ascii="Arial" w:hAnsi="Arial" w:cs="Arial"/>
          <w:sz w:val="20"/>
          <w:szCs w:val="20"/>
        </w:rPr>
      </w:pPr>
      <w:r w:rsidRPr="002E5038">
        <w:rPr>
          <w:rFonts w:ascii="Arial" w:hAnsi="Arial" w:cs="Arial"/>
          <w:sz w:val="20"/>
          <w:szCs w:val="20"/>
        </w:rPr>
        <w:t>NOVENO TRIBUNAL COLEGIADO EN MATERIA PENAL DEL PRIMER CIRCUITO.</w:t>
      </w:r>
    </w:p>
    <w:p w:rsidR="002E5038" w:rsidRPr="002E5038" w:rsidRDefault="002E5038" w:rsidP="002E5038">
      <w:pPr>
        <w:jc w:val="both"/>
        <w:rPr>
          <w:rFonts w:ascii="Arial" w:hAnsi="Arial" w:cs="Arial"/>
          <w:sz w:val="20"/>
          <w:szCs w:val="20"/>
        </w:rPr>
      </w:pPr>
      <w:r w:rsidRPr="002E5038">
        <w:rPr>
          <w:rFonts w:ascii="Arial" w:hAnsi="Arial" w:cs="Arial"/>
          <w:sz w:val="20"/>
          <w:szCs w:val="20"/>
        </w:rPr>
        <w:t>Amparo en revisión 115/2018. 7 de junio de 2018. Unanimidad de votos. Ponente: Irma Rivero Ortiz de Alcántara. Secretaria: Angélica Rodríguez Gómez.</w:t>
      </w:r>
      <w:bookmarkStart w:id="0" w:name="_GoBack"/>
      <w:bookmarkEnd w:id="0"/>
    </w:p>
    <w:sectPr w:rsidR="002E5038" w:rsidRPr="002E5038" w:rsidSect="004B4387">
      <w:headerReference w:type="default" r:id="rId6"/>
      <w:pgSz w:w="12242" w:h="15842" w:code="1"/>
      <w:pgMar w:top="720" w:right="720" w:bottom="720" w:left="720" w:header="720" w:footer="72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379" w:rsidRDefault="00256379" w:rsidP="00D90DCF">
      <w:r>
        <w:separator/>
      </w:r>
    </w:p>
  </w:endnote>
  <w:endnote w:type="continuationSeparator" w:id="0">
    <w:p w:rsidR="00256379" w:rsidRDefault="00256379" w:rsidP="00D90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379" w:rsidRDefault="00256379" w:rsidP="00D90DCF">
      <w:r>
        <w:separator/>
      </w:r>
    </w:p>
  </w:footnote>
  <w:footnote w:type="continuationSeparator" w:id="0">
    <w:p w:rsidR="00256379" w:rsidRDefault="00256379" w:rsidP="00D90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08066"/>
      <w:docPartObj>
        <w:docPartGallery w:val="Page Numbers (Top of Page)"/>
        <w:docPartUnique/>
      </w:docPartObj>
    </w:sdtPr>
    <w:sdtEndPr>
      <w:rPr>
        <w:rFonts w:ascii="Arial" w:hAnsi="Arial" w:cs="Arial"/>
        <w:sz w:val="20"/>
        <w:szCs w:val="20"/>
      </w:rPr>
    </w:sdtEndPr>
    <w:sdtContent>
      <w:p w:rsidR="00D90DCF" w:rsidRPr="00D90DCF" w:rsidRDefault="00D90DCF">
        <w:pPr>
          <w:pStyle w:val="Encabezado"/>
          <w:jc w:val="right"/>
          <w:rPr>
            <w:rFonts w:ascii="Arial" w:hAnsi="Arial" w:cs="Arial"/>
            <w:sz w:val="20"/>
            <w:szCs w:val="20"/>
          </w:rPr>
        </w:pPr>
        <w:r w:rsidRPr="00D90DCF">
          <w:rPr>
            <w:rFonts w:ascii="Arial" w:hAnsi="Arial" w:cs="Arial"/>
            <w:sz w:val="20"/>
            <w:szCs w:val="20"/>
          </w:rPr>
          <w:fldChar w:fldCharType="begin"/>
        </w:r>
        <w:r w:rsidRPr="00D90DCF">
          <w:rPr>
            <w:rFonts w:ascii="Arial" w:hAnsi="Arial" w:cs="Arial"/>
            <w:sz w:val="20"/>
            <w:szCs w:val="20"/>
          </w:rPr>
          <w:instrText>PAGE   \* MERGEFORMAT</w:instrText>
        </w:r>
        <w:r w:rsidRPr="00D90DCF">
          <w:rPr>
            <w:rFonts w:ascii="Arial" w:hAnsi="Arial" w:cs="Arial"/>
            <w:sz w:val="20"/>
            <w:szCs w:val="20"/>
          </w:rPr>
          <w:fldChar w:fldCharType="separate"/>
        </w:r>
        <w:r w:rsidR="0053751E" w:rsidRPr="0053751E">
          <w:rPr>
            <w:rFonts w:ascii="Arial" w:hAnsi="Arial" w:cs="Arial"/>
            <w:noProof/>
            <w:sz w:val="20"/>
            <w:szCs w:val="20"/>
            <w:lang w:val="es-ES"/>
          </w:rPr>
          <w:t>2</w:t>
        </w:r>
        <w:r w:rsidRPr="00D90DCF">
          <w:rPr>
            <w:rFonts w:ascii="Arial" w:hAnsi="Arial" w:cs="Arial"/>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DCF"/>
    <w:rsid w:val="00141ADD"/>
    <w:rsid w:val="00256379"/>
    <w:rsid w:val="002E5038"/>
    <w:rsid w:val="004B4387"/>
    <w:rsid w:val="0053751E"/>
    <w:rsid w:val="00900A04"/>
    <w:rsid w:val="00D90D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866433-865D-48A7-9CD1-3AEB988B1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90DCF"/>
    <w:pPr>
      <w:tabs>
        <w:tab w:val="center" w:pos="4419"/>
        <w:tab w:val="right" w:pos="8838"/>
      </w:tabs>
    </w:pPr>
  </w:style>
  <w:style w:type="character" w:customStyle="1" w:styleId="EncabezadoCar">
    <w:name w:val="Encabezado Car"/>
    <w:basedOn w:val="Fuentedeprrafopredeter"/>
    <w:link w:val="Encabezado"/>
    <w:uiPriority w:val="99"/>
    <w:rsid w:val="00D90DCF"/>
  </w:style>
  <w:style w:type="paragraph" w:styleId="Piedepgina">
    <w:name w:val="footer"/>
    <w:basedOn w:val="Normal"/>
    <w:link w:val="PiedepginaCar"/>
    <w:uiPriority w:val="99"/>
    <w:unhideWhenUsed/>
    <w:rsid w:val="00D90DCF"/>
    <w:pPr>
      <w:tabs>
        <w:tab w:val="center" w:pos="4419"/>
        <w:tab w:val="right" w:pos="8838"/>
      </w:tabs>
    </w:pPr>
  </w:style>
  <w:style w:type="character" w:customStyle="1" w:styleId="PiedepginaCar">
    <w:name w:val="Pie de página Car"/>
    <w:basedOn w:val="Fuentedeprrafopredeter"/>
    <w:link w:val="Piedepgina"/>
    <w:uiPriority w:val="99"/>
    <w:rsid w:val="00D90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1564</Words>
  <Characters>8608</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LENOVO</cp:lastModifiedBy>
  <cp:revision>2</cp:revision>
  <dcterms:created xsi:type="dcterms:W3CDTF">2021-06-17T00:48:00Z</dcterms:created>
  <dcterms:modified xsi:type="dcterms:W3CDTF">2021-06-17T00:48:00Z</dcterms:modified>
</cp:coreProperties>
</file>