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28703" w14:textId="2BE30ED6" w:rsidR="00C228D8" w:rsidRPr="00C228D8" w:rsidRDefault="009075DF" w:rsidP="00C228D8">
      <w:pPr>
        <w:widowControl w:val="0"/>
        <w:pBdr>
          <w:top w:val="nil"/>
          <w:left w:val="nil"/>
          <w:bottom w:val="nil"/>
          <w:right w:val="nil"/>
          <w:between w:val="nil"/>
        </w:pBdr>
        <w:spacing w:after="0" w:line="240" w:lineRule="auto"/>
        <w:ind w:right="-42"/>
        <w:jc w:val="center"/>
        <w:rPr>
          <w:rFonts w:ascii="Arial" w:eastAsia="Arial" w:hAnsi="Arial" w:cs="Arial"/>
          <w:sz w:val="18"/>
          <w:szCs w:val="18"/>
        </w:rPr>
      </w:pPr>
      <w:r>
        <w:rPr>
          <w:rFonts w:ascii="Arial" w:eastAsia="Arial" w:hAnsi="Arial" w:cs="Arial"/>
          <w:b/>
          <w:color w:val="000000"/>
          <w:sz w:val="18"/>
          <w:szCs w:val="18"/>
        </w:rPr>
        <w:t>REPARACIÓN DEL DAÑO</w:t>
      </w:r>
    </w:p>
    <w:p w14:paraId="2B223EC1"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Registro digital: 2023085</w:t>
      </w:r>
    </w:p>
    <w:p w14:paraId="5BCE429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Instancia: Primera Sala</w:t>
      </w:r>
    </w:p>
    <w:p w14:paraId="12DD517B"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Undécima Época</w:t>
      </w:r>
    </w:p>
    <w:p w14:paraId="4F8B9F1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Materias(s): Penal</w:t>
      </w:r>
    </w:p>
    <w:p w14:paraId="3A642E0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Tesis: 1a. XX/2021 (10a.)</w:t>
      </w:r>
    </w:p>
    <w:p w14:paraId="304653C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Fuente: Gaceta del Semanario Judicial de la Federación. Libro 1, Mayo de 2021, Tomo II, página 1762</w:t>
      </w:r>
    </w:p>
    <w:p w14:paraId="1508CA98"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Tipo: Aislada</w:t>
      </w:r>
    </w:p>
    <w:p w14:paraId="0D50DFC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REPARACIÓN DEL DAÑO EN CASOS EN LOS QUE LAS VÍCTIMAS DEL DELITO SEAN MENORES DE EDAD. SU CUANTIFICACIÓN DEBE HACERSE EN EL DICTADO DE LA SENTENCIA CONDENATORIA, SALVO QUE NO EXISTAN ELEMENTOS SUFICIENTES PARA ESTABLECER UN MONTO.</w:t>
      </w:r>
    </w:p>
    <w:p w14:paraId="49563426" w14:textId="6B64CD70"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Hechos: Varios menores de edad fueron víctimas de delitos sexuales cometidos por trabajadores de un jardín de niños perteneciente al sector público. Durante el proceso penal, las víctimas presentaron distintos dictámenes periciales para calcular el monto de la reparación del daño. El Juez del proceso penal estimó que no existían elementos suficientes para cuantificar el daño y postergó esa decisión hasta la etapa de ejecución de sentencia. Las víctimas reclamaron la decisión de que se aplazara la cuantificación del daño.</w:t>
      </w:r>
    </w:p>
    <w:p w14:paraId="372C57E4" w14:textId="25C0AACA"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Criterio jurídico: La Primera Sala de la Suprema Corte de Justicia de la Nación establece que, por regla general, la cuantificación del monto para la reparación del daño debe hacerse en el dictado de la sentencia condenatoria, salvo que no existan elementos suficientes para establecer un monto.</w:t>
      </w:r>
    </w:p>
    <w:p w14:paraId="3B3488BD"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Justificación: De acuerdo con la tesis de jurisprudencia de la Primera Sala 1a./J. 145/2005, de rubro: "REPARACIÓN DEL DAÑO. ES LEGAL LA SENTENCIA CONDENATORIA QUE LA IMPONE AUNQUE EL MONTO CORRESPONDIENTE PUEDA FIJARSE EN EJECUCIÓN DE ÉSTA.", los tribunales pueden suspender la cuantificación del daño hasta la etapa de ejecución cuando no existan elementos suficientes para determinar el monto de la reparación. Sin embargo, este aplazamiento puede representar una forma de victimización secundaria en determinados casos. Así, demorar en la cuantificación del daño impide que la reparación se reciba de forma oportuna. Además, aplazar este cálculo por una alegada falta de elementos puede derivar en la práctica de más exámenes y peritajes sobre menores de edad. Vistos los riesgos de revictimización y dadas las exigencias derivadas del interés superior del menor de edad, suspender la cuantificación del daño hasta la ejecución de sentencia exige un actuar escrupuloso de los órganos jurisdiccionales tanto al delimitar el material probatorio, como al extraer la información relevante.</w:t>
      </w:r>
    </w:p>
    <w:p w14:paraId="53719697" w14:textId="40BCEF60"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Amparo directo en revisión 4069/2018. 7 de octubre de 2020. Cinco votos de las Ministras Norma Lucía Piña Hernández, quien reservó su derecho para formular voto concurrente, Ana Margarita Ríos </w:t>
      </w:r>
      <w:proofErr w:type="spellStart"/>
      <w:r w:rsidRPr="00C228D8">
        <w:rPr>
          <w:rFonts w:ascii="Arial" w:eastAsia="Arial" w:hAnsi="Arial" w:cs="Arial"/>
          <w:sz w:val="18"/>
          <w:szCs w:val="18"/>
        </w:rPr>
        <w:t>Farjat</w:t>
      </w:r>
      <w:proofErr w:type="spellEnd"/>
      <w:r w:rsidRPr="00C228D8">
        <w:rPr>
          <w:rFonts w:ascii="Arial" w:eastAsia="Arial" w:hAnsi="Arial" w:cs="Arial"/>
          <w:sz w:val="18"/>
          <w:szCs w:val="18"/>
        </w:rPr>
        <w:t>, quien está con el sentido, pero se aparta de algunas consideraciones, y los Ministros Jorge Mario Pardo Rebolledo, quien reservó su derecho para formular voto concurrente, Alfredo Gutiérrez Ortiz Mena y Juan Luis González Alcántara Carrancá, quien formuló voto concurrente. Ponente: Alfredo Gutiérrez Ortiz Mena. Secretaria: Jaqueline Sáenz Andujo.</w:t>
      </w:r>
    </w:p>
    <w:p w14:paraId="47AB13E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Nota: La tesis de jurisprudencia 1a./J. 145/2005 citada, se publicó en el Semanario Judicial de la Federación y su Gaceta, Novena Época, Tomo XXIII, marzo de 2006, página 170, con número de registro digital: 175459.</w:t>
      </w:r>
    </w:p>
    <w:p w14:paraId="0927076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Esta tesis se publicó el viernes 07 de mayo de 2021 a las 10:12 horas en el Semanario Judicial de la Federación.</w:t>
      </w:r>
    </w:p>
    <w:p w14:paraId="395360F1" w14:textId="77777777" w:rsidR="00C228D8" w:rsidRPr="00C228D8" w:rsidRDefault="00C228D8" w:rsidP="00C228D8">
      <w:pPr>
        <w:spacing w:after="0" w:line="240" w:lineRule="auto"/>
        <w:jc w:val="both"/>
        <w:rPr>
          <w:rFonts w:ascii="Arial" w:eastAsia="Arial" w:hAnsi="Arial" w:cs="Arial"/>
          <w:sz w:val="18"/>
          <w:szCs w:val="18"/>
        </w:rPr>
      </w:pPr>
    </w:p>
    <w:p w14:paraId="4EBAE0A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Registro digital: 2023086</w:t>
      </w:r>
    </w:p>
    <w:p w14:paraId="724A58F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Instancia: Primera Sala</w:t>
      </w:r>
    </w:p>
    <w:p w14:paraId="2943C8D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Undécima Época</w:t>
      </w:r>
    </w:p>
    <w:p w14:paraId="287C69C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Materias(s): Penal</w:t>
      </w:r>
    </w:p>
    <w:p w14:paraId="47F294F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Tesis: 1a. XIX/2021 (10a.)</w:t>
      </w:r>
    </w:p>
    <w:p w14:paraId="40499EDF"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Fuente: Gaceta del Semanario Judicial de la Federación. Libro 1, Mayo de 2021, Tomo II, página 1764</w:t>
      </w:r>
    </w:p>
    <w:p w14:paraId="6360B45D"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Tipo: Aislada</w:t>
      </w:r>
    </w:p>
    <w:p w14:paraId="0FF44E72"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REPARACIÓN DEL DAÑO. LINEAMIENTOS PARA DECIDIR EN QUÉ CASOS DEBE POSTERGARSE SU CUANTIFICACIÓN HASTA LA ETAPA DE EJECUCIÓN DE SENTENCIA.</w:t>
      </w:r>
    </w:p>
    <w:p w14:paraId="7914AB9B" w14:textId="7A7CEDEE"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Hechos: Varios menores de edad fueron víctimas de delitos sexuales cometidos por trabajadores de un jardín de niños perteneciente al sector público. Durante el proceso penal, las víctimas presentaron distintos dictámenes periciales para calcular el monto de la reparación del daño. El Juez del proceso penal estimó que no existían elementos suficientes para cuantificar el daño y postergó esa decisión hasta la etapa de ejecución de sentencia; esta resolución fue modificada en apelación. Inconformes, las víctimas promovieron amparo directo en el que alegaron que las pruebas presentadas eran suficientes para establecer el monto de la reparación desde el dictado de la sentencia.</w:t>
      </w:r>
    </w:p>
    <w:p w14:paraId="40396A18" w14:textId="672B12CB"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Criterio jurídico: La Primera Sala de la Suprema Corte de Justicia de la Nación determina que los órganos jurisdiccionales deben considerar una serie de lineamientos previamente a decidir el aplazamiento de la cuantificación del daño para la etapa de ejecución.</w:t>
      </w:r>
    </w:p>
    <w:p w14:paraId="75A7EAE4"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Justificación: Ante los riesgos de revictimización que puede acarrear postergar la cuantificación del daño y dadas las exigencias derivadas del interés superior del menor, los órganos jurisdiccionales deberán considerar diversos aspectos conforme a los siguientes lineamientos: i) Descartar la expectativa de una "cifra exacta" y procurar definir la "cifra adecuada". Desde esta perspectiva, los elementos que integran la cuantificación del daño no deben leerse como requisitos que deban colmarse exhaustivamente. Estos rubros no son una lista de verificación que el Juez deba controlar mecánicamente. Se espera que la actividad judicial contribuya a superar las omisiones o excesos en que incurran las víctimas para así determinar una cantidad adecuada; </w:t>
      </w:r>
      <w:proofErr w:type="spellStart"/>
      <w:r w:rsidRPr="00C228D8">
        <w:rPr>
          <w:rFonts w:ascii="Arial" w:eastAsia="Arial" w:hAnsi="Arial" w:cs="Arial"/>
          <w:sz w:val="18"/>
          <w:szCs w:val="18"/>
        </w:rPr>
        <w:t>ii</w:t>
      </w:r>
      <w:proofErr w:type="spellEnd"/>
      <w:r w:rsidRPr="00C228D8">
        <w:rPr>
          <w:rFonts w:ascii="Arial" w:eastAsia="Arial" w:hAnsi="Arial" w:cs="Arial"/>
          <w:sz w:val="18"/>
          <w:szCs w:val="18"/>
        </w:rPr>
        <w:t xml:space="preserve">) Precisar los alcances de las pruebas presentadas y, en su caso, justificar por qué no son suficientes; </w:t>
      </w:r>
      <w:proofErr w:type="spellStart"/>
      <w:r w:rsidRPr="00C228D8">
        <w:rPr>
          <w:rFonts w:ascii="Arial" w:eastAsia="Arial" w:hAnsi="Arial" w:cs="Arial"/>
          <w:sz w:val="18"/>
          <w:szCs w:val="18"/>
        </w:rPr>
        <w:t>iii</w:t>
      </w:r>
      <w:proofErr w:type="spellEnd"/>
      <w:r w:rsidRPr="00C228D8">
        <w:rPr>
          <w:rFonts w:ascii="Arial" w:eastAsia="Arial" w:hAnsi="Arial" w:cs="Arial"/>
          <w:sz w:val="18"/>
          <w:szCs w:val="18"/>
        </w:rPr>
        <w:t xml:space="preserve">) Explorar si en autos existen elementos probatorios adicionales; </w:t>
      </w:r>
      <w:proofErr w:type="spellStart"/>
      <w:r w:rsidRPr="00C228D8">
        <w:rPr>
          <w:rFonts w:ascii="Arial" w:eastAsia="Arial" w:hAnsi="Arial" w:cs="Arial"/>
          <w:sz w:val="18"/>
          <w:szCs w:val="18"/>
        </w:rPr>
        <w:t>iv</w:t>
      </w:r>
      <w:proofErr w:type="spellEnd"/>
      <w:r w:rsidRPr="00C228D8">
        <w:rPr>
          <w:rFonts w:ascii="Arial" w:eastAsia="Arial" w:hAnsi="Arial" w:cs="Arial"/>
          <w:sz w:val="18"/>
          <w:szCs w:val="18"/>
        </w:rPr>
        <w:t xml:space="preserve">) Evaluar si es posible recurrir a los criterios de equidad y razonabilidad para subsanar la falta de información probatoria; v) Analizar la viabilidad de anticipar la reparación por determinados conceptos o dictar un monto parcial susceptible de actualizarse; vi) Considerar si existen medidas de reparación que no ameritan una cuantificación económica; y, </w:t>
      </w:r>
      <w:proofErr w:type="spellStart"/>
      <w:r w:rsidRPr="00C228D8">
        <w:rPr>
          <w:rFonts w:ascii="Arial" w:eastAsia="Arial" w:hAnsi="Arial" w:cs="Arial"/>
          <w:sz w:val="18"/>
          <w:szCs w:val="18"/>
        </w:rPr>
        <w:t>vii</w:t>
      </w:r>
      <w:proofErr w:type="spellEnd"/>
      <w:r w:rsidRPr="00C228D8">
        <w:rPr>
          <w:rFonts w:ascii="Arial" w:eastAsia="Arial" w:hAnsi="Arial" w:cs="Arial"/>
          <w:sz w:val="18"/>
          <w:szCs w:val="18"/>
        </w:rPr>
        <w:t>) Al evaluar si procede determinar la reparación del daño (parcial o total) desde el dictado de la sentencia, los tribunales deben garantizar que se respete el derecho de audiencia del imputado.</w:t>
      </w:r>
    </w:p>
    <w:p w14:paraId="45EB144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Amparo directo en revisión 4069/2018. 7 de octubre de 2020. Cinco votos de las Ministras Norma Lucía Piña Hernández, quien reservó su derecho para formular voto concurrente, Ana Margarita Ríos </w:t>
      </w:r>
      <w:proofErr w:type="spellStart"/>
      <w:r w:rsidRPr="00C228D8">
        <w:rPr>
          <w:rFonts w:ascii="Arial" w:eastAsia="Arial" w:hAnsi="Arial" w:cs="Arial"/>
          <w:sz w:val="18"/>
          <w:szCs w:val="18"/>
        </w:rPr>
        <w:t>Farjat</w:t>
      </w:r>
      <w:proofErr w:type="spellEnd"/>
      <w:r w:rsidRPr="00C228D8">
        <w:rPr>
          <w:rFonts w:ascii="Arial" w:eastAsia="Arial" w:hAnsi="Arial" w:cs="Arial"/>
          <w:sz w:val="18"/>
          <w:szCs w:val="18"/>
        </w:rPr>
        <w:t xml:space="preserve">, quien está con el sentido, pero se aparta de algunas </w:t>
      </w:r>
      <w:r w:rsidRPr="00C228D8">
        <w:rPr>
          <w:rFonts w:ascii="Arial" w:eastAsia="Arial" w:hAnsi="Arial" w:cs="Arial"/>
          <w:sz w:val="18"/>
          <w:szCs w:val="18"/>
        </w:rPr>
        <w:lastRenderedPageBreak/>
        <w:t>consideraciones, y los Ministros Jorge Mario Pardo Rebolledo, quien reservó su derecho para formular voto concurrente, Alfredo Gutiérrez Ortiz Mena y Juan Luis González Alcántara Carrancá, quien formuló voto concurrente. Ponente: Alfredo Gutiérrez Ortiz Mena. Secretaria: Jaqueline Sáenz Andujo.</w:t>
      </w:r>
    </w:p>
    <w:p w14:paraId="6676C854"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Esta tesis se publicó el viernes 07 de mayo de 2021 a las 10:12 horas en el Semanario Judicial de la Federación.</w:t>
      </w:r>
    </w:p>
    <w:p w14:paraId="75F0301B" w14:textId="77777777" w:rsidR="00C228D8" w:rsidRPr="00C228D8" w:rsidRDefault="00C228D8" w:rsidP="00C228D8">
      <w:pPr>
        <w:spacing w:after="0" w:line="240" w:lineRule="auto"/>
        <w:jc w:val="both"/>
        <w:rPr>
          <w:rFonts w:ascii="Arial" w:eastAsia="Arial" w:hAnsi="Arial" w:cs="Arial"/>
          <w:sz w:val="18"/>
          <w:szCs w:val="18"/>
        </w:rPr>
      </w:pPr>
    </w:p>
    <w:p w14:paraId="1A7263BD"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Registro digital: 2023180</w:t>
      </w:r>
    </w:p>
    <w:p w14:paraId="3168FABD"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Instancia: Tribunales Colegiados de Circuito</w:t>
      </w:r>
    </w:p>
    <w:p w14:paraId="2367FD8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Undécima Época</w:t>
      </w:r>
    </w:p>
    <w:p w14:paraId="6775E7DA"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Materias(s): Constitucional, Penal</w:t>
      </w:r>
    </w:p>
    <w:p w14:paraId="314C7ECC"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Tesis: I.9o.P.323 P (10a.)</w:t>
      </w:r>
    </w:p>
    <w:p w14:paraId="5EA9217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Fuente: Gaceta del Semanario Judicial de la Federación. Libro 1, Mayo de 2021, Tomo III, página 2615</w:t>
      </w:r>
    </w:p>
    <w:p w14:paraId="1975A56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Tipo: Aislada</w:t>
      </w:r>
    </w:p>
    <w:p w14:paraId="51572BB8"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REPARACIÓN INTEGRAL DEL DAÑO TRATÁNDOSE DE VÍCTIMAS DEL DELITO CON CAPACIDADES DIFERENTES O EN ESTADO DE VULNERABILIDAD POR CONDICIONES DE ABANDONO. PARA LOGRARLA LOS ÓRGANOS JURISDICCIONALES DEBEN CONMINAR A LAS AUTORIDADES CORRESPONDIENTES A EFECTO DE QUE TENGAN ACCESO REAL A LOS PROGRAMAS IMPLEMENTADOS POR CUALQUIERA DE LOS TRES ÓRDENES DE GOBIERNO, ENCAMINADOS A ATENDERLAS, ESPECIALMENTE EN MATERIA EDUCATIVA.</w:t>
      </w:r>
    </w:p>
    <w:p w14:paraId="4935C5E8" w14:textId="34C0E55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Hechos: En la sentencia que constituye el acto reclamado, dictada por el delito de trata de personas, en su vertiente de explotación laboral, se advirtió que la víctima presentaba una discapacidad en su pierna derecha, propiciada por los eventos que sufrió desde su infancia en el ambiente en el que fue criado y desenvuelto por su padre, quien lo exponía laboralmente desde que tenía tres años, ya que en autos quedó asentado que dicha víctima presentó factores predisponentes en el área de vulnerabilidad, pues sufrió abandono de su madre cuando le amputaron un pie; además, él se hacía cargo de sus hermanos, vendiendo productos en la vía pública, no asistió a la escuela, no sabía leer ni escribir, lo cual representaba falta de oportunidades para un empleo, presentando afectación psicológica y en el desarrollo de la personalidad, con estado emocional depresivo, relaciones sociales disminuidas, sin redes de apoyo y disminución en su desarrollo intelectual.</w:t>
      </w:r>
    </w:p>
    <w:p w14:paraId="345836FF" w14:textId="15FD62B8"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Criterio jurídico: Este Tribunal Colegiado de Circuito, al advertir que la víctima del delito tiene capacidades diferentes y se encuentra en un estado de vulnerabilidad por condiciones de abandono, al haber resentido el accionar de su progenitor, establece que los órganos jurisdiccionales, para lograr una reparación integral del daño, deben conminar a las autoridades correspondientes a efecto de que tenga un acceso real a los programas implementados por cualquiera de los tres órdenes de gobierno, encaminados a atender ese tipo de víctimas, especialmente en materia educativa, para lo cual deberán realizar las diligencias necesarias, con las facultades coercitivas que la ley en la materia dispone, para  constatar el acceso a programas educativos propios para su edad y necesarios para subsanar las deficiencias generadas por los hechos delictuosos descritos.</w:t>
      </w:r>
    </w:p>
    <w:p w14:paraId="133DBABB" w14:textId="2B38023B"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Justificación: Lo anterior, pues conforme al artículo 3o. de la Constitución Política de los Estados Unidos Mexicanos, en relación con el diverso 62, fracción IV, de la Ley General de Víctimas, debe conminarse a las autoridades responsables para que la víctima tenga acceso, como medida de rehabilitación, a los programas de educación orientados a la capacitación y formación con el fin de garantizar su plena reintegración a la sociedad y la realización de su proyecto de vida, en virtud de que los hechos materia de la investigación tuvieron un impacto en su desarrollo intelectual, ya que no asistió a la escuela, por lo que no sabía leer ni escribir, lo cual representa una falta de oportunidades para un empleo, generando una afectación psicológica en el desarrollo de su personalidad.</w:t>
      </w:r>
    </w:p>
    <w:p w14:paraId="423147BD"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NOVENO TRIBUNAL COLEGIADO EN MATERIA PENAL DEL PRIMER CIRCUITO.</w:t>
      </w:r>
    </w:p>
    <w:p w14:paraId="7799F32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Amparo directo 57/2020. 4 de febrero de 2021. Unanimidad de votos. Ponente: Daniel Guzmán Aguado, secretario de tribunal autorizado por la Comisión de Carrera Judicial del Consejo de la Judicatura Federal para desempeñar las funciones de Magistrado. Secretario: Moisés Alejandro Vázquez Pastrana.</w:t>
      </w:r>
    </w:p>
    <w:p w14:paraId="681202AC"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Esta tesis se publicó el viernes 28 de mayo de 2021 a las 10:33 horas en el Semanario Judicial de la Federación.</w:t>
      </w:r>
    </w:p>
    <w:p w14:paraId="2080080E" w14:textId="77777777" w:rsidR="00C228D8" w:rsidRDefault="00C228D8" w:rsidP="00C228D8">
      <w:pPr>
        <w:spacing w:after="0" w:line="240" w:lineRule="auto"/>
        <w:jc w:val="both"/>
        <w:rPr>
          <w:rFonts w:ascii="Arial" w:eastAsia="Arial" w:hAnsi="Arial" w:cs="Arial"/>
          <w:sz w:val="18"/>
          <w:szCs w:val="18"/>
        </w:rPr>
      </w:pPr>
    </w:p>
    <w:p w14:paraId="5D14A9EB" w14:textId="79327A05"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Registro digital: 2022979</w:t>
      </w:r>
    </w:p>
    <w:p w14:paraId="7CC78FAF"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EE01B52"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4684DE3F"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Materias(s): Penal</w:t>
      </w:r>
    </w:p>
    <w:p w14:paraId="724EFF56"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Tesis: XVII.1o.P.A.101 P (10a.)</w:t>
      </w:r>
    </w:p>
    <w:p w14:paraId="5BA66806"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 xml:space="preserve">Fuente: Semanario Judicial de la Federación. </w:t>
      </w:r>
    </w:p>
    <w:p w14:paraId="19F189AB"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623B36A4"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RECURSO DE APELACIÓN EN EL SISTEMA PENAL ACUSATORIO. SI AL RESOLVERLO LA SALA REASUMIÓ JURISDICCIÓN, ANULÓ LA SENTENCIA ABSOLUTORIA IMPUGNADA Y LA REEMPLAZÓ POR UNA CONDENATORIA, NO SÓLO DEBE PRONUNCIARSE SOBRE LA ACREDITACIÓN DEL HECHO ILÍCITO Y LA RESPONSABILIDAD PENAL, SINO TAMBIÉN RESPECTO DE LA INDIVIDUALIZACIÓN DE LAS SANCIONES Y LA REPARACIÓN DEL DAÑO, EN ATENCIÓN A LOS PRINCIPIOS DE CONTINENCIA DE LA CAUSA Y DE UNIDAD.</w:t>
      </w:r>
    </w:p>
    <w:p w14:paraId="14AC2366"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 xml:space="preserve">Hechos: Al resolver el recurso de apelación contra la sentencia absolutoria, la Sala determinó reasumir jurisdicción, anularla y reemplazarla por una condenatoria, pronunciándose sobre la acreditación del hecho ilícito y la responsabilidad penal; sin embargo, señaló que en atención a la naturaleza del tribunal de alzada, no podía llevar a cabo la audiencia de individualización de sanciones y reparación del daño, en virtud de que al haberse dictado sentencia absolutoria en la primera instancia, aquélla no se celebró; por ende, no se determinó el grado de culpabilidad del acusado ni se debatió lo concerniente a la pena pecuniaria y, por ello, no se impuso pena alguna; en consecuencia, ordenó al Juez oral del Tribunal de Enjuiciamiento que la celebrara y resolviera lo conducente. Inconforme con esta determinación, el sentenciado promovió juicio de amparo directo. </w:t>
      </w:r>
    </w:p>
    <w:p w14:paraId="2AD6B029"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Criterio jurídico: Este Tribunal Colegiado de Circuito determina que si al resolver el recurso de apelación en el sistema penal acusatorio, la Sala reasumió jurisdicción, anuló la sentencia absolutoria impugnada y la reemplazó por una condenatoria, no sólo debe pronunciarse sobre la acreditación del hecho ilícito y la responsabilidad penal, sino también respecto de la individualización de las sanciones y la reparación del daño.</w:t>
      </w:r>
    </w:p>
    <w:p w14:paraId="0930DFE7"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lastRenderedPageBreak/>
        <w:t>Justificación: Lo anterior, porque no es práctico ni jurídico que la Sala emita de manera incompleta la sentencia condenatoria y ordene al Juez que continúe con la individualización de las sanciones, ya que ello da margen a que en el proceso penal instruido contra el sentenciado existan dos sentencias que rijan su situación jurídica, lo que evidentemente infringe los principios de continencia de la causa y de unidad que debe guardar toda sentencia, pues podrían crearse situaciones confusas, incluso, que ambas sentencias resultaran contradictorias. Además, del análisis sistemático de los preceptos que regulan el recurso de apelación, se advierte que cuando la Sala reasume jurisdicción, anula la sentencia y dicta una diversa de reemplazo, debe hacerlo de forma completa, es decir, no pronunciarse únicamente sobre el delito y la responsabilidad penal, porque al estar incompleta la sentencia, se violan distintos principios y reglas del proceso penal oral, como el de unidad, en cuanto a que no puede dividir el dictado de la sentencia, ni involucrar dos instancias en una sola resolución, porque se generaría un conflicto de procedencia, tanto de recursos como del juicio de amparo. Máxime cuando el Magistrado de apelación cuenta con los elementos necesarios para establecer la pena, toda vez que con los medios de prueba desahogados en la etapa de juicio oral puede establecerse el grado de culpabilidad, acorde con los hechos delictivos probados, pues las pruebas que, en su caso, pudiera ofrecer la defensa o el acusado, relativas al comportamiento o personalidad de éste, no influyen en la graduación de la pena.</w:t>
      </w:r>
    </w:p>
    <w:p w14:paraId="330A4D94"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PRIMER TRIBUNAL COLEGIADO EN MATERIAS PENAL Y ADMINISTRATIVA DEL DÉCIMO SÉPTIMO CIRCUITO.</w:t>
      </w:r>
    </w:p>
    <w:p w14:paraId="2D4EE422" w14:textId="77777777"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Amparo directo 94/2019. 15 de mayo de 2020. Unanimidad de votos. Ponente: Rosalba Salazar Luján, secretaria de tribunal autorizada por la Comisión de Carrera Judicial del Consejo de la Judicatura Federal para desempeñar las funciones de Magistrada, en términos de los artículos 26, párrafo segundo y 81, fracción XXII, de la Ley Orgánica del Poder Judicial de la Federación, en relación con el diverso 40, fracción V, del Acuerdo General del Pleno del Consejo de la Judicatura Federal, por el que se expide el similar que reglamenta la organización y funcionamiento del propio Consejo; y reforma y deroga diversas disposiciones de otros acuerdos generales. Secretario: Alberto Siqueiros Sidas.</w:t>
      </w:r>
    </w:p>
    <w:p w14:paraId="7A3EFA49" w14:textId="4692BD20" w:rsidR="00C228D8" w:rsidRDefault="00C228D8" w:rsidP="00C228D8">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16 de abril de 2021 a las 10:20 horas en el Semanario Judicial de la Federación</w:t>
      </w:r>
    </w:p>
    <w:p w14:paraId="6E543CE1" w14:textId="1EBA486F" w:rsidR="00C228D8" w:rsidRDefault="00C228D8">
      <w:pPr>
        <w:spacing w:after="0" w:line="240" w:lineRule="auto"/>
        <w:jc w:val="both"/>
        <w:rPr>
          <w:rFonts w:ascii="Arial" w:eastAsia="Arial" w:hAnsi="Arial" w:cs="Arial"/>
          <w:sz w:val="18"/>
          <w:szCs w:val="18"/>
        </w:rPr>
      </w:pPr>
    </w:p>
    <w:p w14:paraId="4947DA43"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Registro digital: 2022942</w:t>
      </w:r>
    </w:p>
    <w:p w14:paraId="648D2550"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Instancia: Plenos de Circuito</w:t>
      </w:r>
    </w:p>
    <w:p w14:paraId="15DD5A43"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Décima Época</w:t>
      </w:r>
    </w:p>
    <w:p w14:paraId="67DC7AE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Materias(s): Común, Penal</w:t>
      </w:r>
    </w:p>
    <w:p w14:paraId="1063E37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Tesis: PC.IV.P. J/4 P (10a.)</w:t>
      </w:r>
    </w:p>
    <w:p w14:paraId="6319DCCA"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Fuente: Gaceta del Semanario Judicial de la Federación. Libro 85, Abril de 2021, Tomo II, página 1504</w:t>
      </w:r>
    </w:p>
    <w:p w14:paraId="723810B0"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Tipo: Jurisprudencia</w:t>
      </w:r>
    </w:p>
    <w:p w14:paraId="6BE531F0"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JUICIO DE AMPARO DIRECTO. PROCEDE CONTRA LA RESOLUCIÓN QUE REVOCA LA SENTENCIA ABSOLUTORIA Y EN SU LUGAR DECRETA LA CONDENATORIA Y ORDENA REMITIR EL EXPEDIENTE AL TRIBUNAL DEL JUICIO ORAL DE ORIGEN PARA LA CELEBRACIÓN DE LA AUDIENCIA DE INDIVIDUALIZACIÓN DE SANCIONES, REPARACIÓN DEL DAÑO Y DEMÁS CONSECUENCIAS DERIVADAS DEL DELITO, POR SER UNA SENTENCIA DEFINITIVA.</w:t>
      </w:r>
    </w:p>
    <w:p w14:paraId="52B9A3B8"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De conformidad con el artículo 170, fracción I, de la Ley de Amparo, el juicio de amparo directo procede contra sentencias definitivas o laudos que decidan el juicio en lo principal, o bien, contra resoluciones que pongan fin al juicio, esto es, que sin decidirlo en lo principal lo den por concluido. Ahora bien, la determinación del tribunal de segundo grado que revoca una sentencia absolutoria y, en su lugar, decreta la condenatoria y ordena remitir el expediente al tribunal del juicio oral de origen (conformado por distintos Jueces), para que éstos continúen con la secuela del procedimiento, es decir, para que celebren la audiencia de individualización de sanciones, reparación del daño y demás consecuencias derivadas del delito, de acuerdo con el artículo 102 del Código Procesal Penal para el Estado de Nuevo León (abrogado), y que igualmente contempla el arábigo 409 del Código Nacional de Procedimientos Penales, constituye una resolución que decide el juicio en lo principal, pues jurídica y materialmente contiene la decisión de haber quedado desvirtuada la presunción de inocencia a través de la ponderación del material probatorio aportado por el Ministerio Público para demostrar a cabalidad los elementos del delito y la responsabilidad penal del enjuiciado en su comisión, los cuales constituyen presupuestos básicos de toda sentencia condenatoria; y contra la cual, las normas que regulan el acto, no prevén algún recurso ordinario en su contra; en tanto que la individualización de las sanciones, la reparación del daño y las demás consecuencias del delito son aspectos accesorios; de ahí que sí puede ser combatida en la vía de amparo directo.</w:t>
      </w:r>
    </w:p>
    <w:p w14:paraId="36CABA7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PLENO EN MATERIA PENAL DEL CUARTO CIRCUITO.</w:t>
      </w:r>
    </w:p>
    <w:p w14:paraId="1A601AEF"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Contradicción de tesis 3/2019. Entre las sustentadas por el Primer Tribunal Colegiado en Materia Penal del Cuarto Circuito y el Segundo Tribunal Colegiado en Materia Penal del Cuarto Circuito. 3 de noviembre de 2020. Mayoría de tres votos de los Magistrados José Roberto Cantú Treviño, Felisa Díaz Ordaz Vera y Jesús María Flores Cárdenas. Disidente: José Heriberto Pérez García, quien formuló voto particular. Ponente: Felisa Díaz Ordaz Vera. Secretaria: Diana Alejandra Calderón </w:t>
      </w:r>
      <w:proofErr w:type="spellStart"/>
      <w:r w:rsidRPr="00C228D8">
        <w:rPr>
          <w:rFonts w:ascii="Arial" w:eastAsia="Arial" w:hAnsi="Arial" w:cs="Arial"/>
          <w:sz w:val="18"/>
          <w:szCs w:val="18"/>
        </w:rPr>
        <w:t>Eivet</w:t>
      </w:r>
      <w:proofErr w:type="spellEnd"/>
      <w:r w:rsidRPr="00C228D8">
        <w:rPr>
          <w:rFonts w:ascii="Arial" w:eastAsia="Arial" w:hAnsi="Arial" w:cs="Arial"/>
          <w:sz w:val="18"/>
          <w:szCs w:val="18"/>
        </w:rPr>
        <w:t>.</w:t>
      </w:r>
    </w:p>
    <w:p w14:paraId="73F60309"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Criterios contendientes:</w:t>
      </w:r>
    </w:p>
    <w:p w14:paraId="3FDF63A9"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El sustentado por el Primer Tribunal Colegiado en Materia Penal del Cuarto Circuito, al resolver los amparos directos 68/2014, 71/2014 y 185/2015, y el diverso sustentado por el Segundo Tribunal Colegiado en Materia Penal del Cuarto Circuito, al resolver los amparos directo 60/2017, 62/2017 y 106/2019.</w:t>
      </w:r>
    </w:p>
    <w:p w14:paraId="77FF19B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Nota: De la sentencia que recayó al amparo directo 185/2015, resuelto por el Primer Tribunal Colegiado en Materia Penal del Cuarto Circuito, derivó la tesis aislada IV.1o.P.24 P (10a.), de título y subtítulo: "RESOLUCIÓN QUE REVOCA LA SENTENCIA ABSOLUTORIA Y EN SU LUGAR DECRETA LA CONDENATORIA Y ORDENA REMITIR EL EXPEDIENTE AL TRIBUNAL DEL JUICIO ORAL DE ORIGEN PARA LA CELEBRACIÓN DE LA AUDIENCIA DE INDIVIDUALIZACIÓN DE SANCIONES, REPARACIÓN DEL DAÑO Y DEMÁS CONSECUENCIAS DERIVADAS DEL DELITO. NO PUEDE CONSIDERARSE COMO DEFINITIVA PARA EFECTOS DEL JUICIO DE AMPARO DIRECTO (LEGISLACIÓN DEL ESTADO DE NUEVO LEÓN).", publicada en el Semanario Judicial de la Federación del viernes 11 de diciembre de 2015 a las 11:15 horas y en la Gaceta del Semanario Judicial de la Federación, Décima Época, Libro 25, Tomo II, diciembre de 2015, página 1304, con número de registro digital: 2010715.</w:t>
      </w:r>
    </w:p>
    <w:p w14:paraId="108B7594"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Esta tesis se publicó el viernes 09 de abril de 2021 a las 10:13 horas en el Semanario Judicial de la Federación y, por ende, se considera de aplicación obligatoria a partir del lunes 12 de abril de 2021, para los efectos previstos en el punto séptimo del Acuerdo General Plenario 16/2019.</w:t>
      </w:r>
    </w:p>
    <w:p w14:paraId="512A6371" w14:textId="77777777" w:rsidR="00C228D8" w:rsidRPr="00C228D8" w:rsidRDefault="00C228D8" w:rsidP="00C228D8">
      <w:pPr>
        <w:spacing w:after="0" w:line="240" w:lineRule="auto"/>
        <w:jc w:val="both"/>
        <w:rPr>
          <w:rFonts w:ascii="Arial" w:eastAsia="Arial" w:hAnsi="Arial" w:cs="Arial"/>
          <w:sz w:val="18"/>
          <w:szCs w:val="18"/>
        </w:rPr>
      </w:pPr>
    </w:p>
    <w:p w14:paraId="6235B420"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lastRenderedPageBreak/>
        <w:t>Registro digital: 2022977</w:t>
      </w:r>
    </w:p>
    <w:p w14:paraId="414C13C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Instancia: Tribunales Colegiados de Circuito</w:t>
      </w:r>
    </w:p>
    <w:p w14:paraId="1EA09A0F"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Décima Época</w:t>
      </w:r>
    </w:p>
    <w:p w14:paraId="1242EB39"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Materias(s): Penal</w:t>
      </w:r>
    </w:p>
    <w:p w14:paraId="2C469EE8"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Tesis: XVII.1o.P.A.100 P (10a.)</w:t>
      </w:r>
    </w:p>
    <w:p w14:paraId="2C4B02C6"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Fuente: Gaceta del Semanario Judicial de la Federación. Libro 85, Abril de 2021, Tomo III, página 2343</w:t>
      </w:r>
    </w:p>
    <w:p w14:paraId="54B62D43"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Tipo: Aislada</w:t>
      </w:r>
    </w:p>
    <w:p w14:paraId="6BF33A2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RECURSO DE CASACIÓN. SI AL RESOLVERLO LA SALA DETERMINA REEMPLAZAR LA SENTENCIA ABSOLUTORIA IMPUGNADA POR UNA CONDENATORIA, DEBE PONDERAR SI CUENTA CON LOS ELEMENTOS DE PRUEBA NECESARIOS PARA RESOLVER SOBRE LA INDIVIDUALIZACIÓN DE LAS SANCIONES Y LA REPARACIÓN DEL DAÑO Y, DE ESTIMAR QUE NO O QUE SON INSUFICIENTES, ORDENAR AL ÓRGANO DE PRIMERA INSTANCIA EL DESAHOGO DE LOS FALTANTES.</w:t>
      </w:r>
    </w:p>
    <w:p w14:paraId="6D0BE48E"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Hechos: En cumplimiento a una ejecutoria de amparo indirecto, la Sala de casación responsable declaró la nulidad de la sentencia absolutoria reclamada, por lo que emitió una de reemplazo, en la que consideró al quejoso penalmente responsable del delito imputado. Inconforme con esa determinación, éste promovió juicio de amparo directo en el que, además, reclamó los acuerdos tomados en la audiencia respectiva por el Juez de Enjuiciamiento para efectos de la individualización de las sanciones.</w:t>
      </w:r>
    </w:p>
    <w:p w14:paraId="7C4C0083"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Criterio jurídico: Este Tribunal Colegiado de Circuito establece que si al resolver el recurso de casación, la Sala determina reemplazar la sentencia absolutoria impugnada por una condenatoria, debe ponderar si cuenta con los elementos de prueba necesarios para resolver sobre la individualización de las sanciones y la reparación del daño y, de estimar que no o que son insuficientes, ordenar al órgano de primera instancia el desahogo de los faltantes.</w:t>
      </w:r>
    </w:p>
    <w:p w14:paraId="0ABC9535"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Justificación: Lo anterior, porque la Sala está facultada, con plenitud de jurisdicción, para analizar los aspectos no tocados por el a quo, al que sustituyó en todo, atento a que la sentencia absolutoria que se pronunció quedó insubsistente, y procedió al examen de las pruebas respectivas y a la resolución de fondo de las cuestiones que se plantearon en el juicio, pues no hacerlo conllevaría la transgresión de los principios constitucionales de acceso a la tutela judicial efectiva y de legalidad, en sus vertientes de fundamentación y motivación, congruencia externa, exhaustividad y completitud, con la única limitante de que la prueba producida no permita establecer con certeza dicha sanción, el monto de los daños y perjuicios o de las indemnizaciones correspondientes, caso en el cual el tribunal de alzada, a efecto de no comprometer el principio de contradicción, característico del sistema penal acusatorio, deberá ponderar si cuenta con los elementos de prueba necesarios para resolver al respecto y, de estimar que no o que son insuficientes, ordenará al órgano de primera instancia el desahogo de los faltantes. </w:t>
      </w:r>
    </w:p>
    <w:p w14:paraId="7FB4D037"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PRIMER TRIBUNAL COLEGIADO EN MATERIAS PENAL Y ADMINISTRATIVA DEL DÉCIMO SÉPTIMO CIRCUITO.</w:t>
      </w:r>
    </w:p>
    <w:p w14:paraId="56A4D680" w14:textId="77777777" w:rsidR="00C228D8" w:rsidRPr="00C228D8" w:rsidRDefault="00C228D8" w:rsidP="00C228D8">
      <w:pPr>
        <w:spacing w:after="0" w:line="240" w:lineRule="auto"/>
        <w:jc w:val="both"/>
        <w:rPr>
          <w:rFonts w:ascii="Arial" w:eastAsia="Arial" w:hAnsi="Arial" w:cs="Arial"/>
          <w:sz w:val="18"/>
          <w:szCs w:val="18"/>
        </w:rPr>
      </w:pPr>
      <w:r w:rsidRPr="00C228D8">
        <w:rPr>
          <w:rFonts w:ascii="Arial" w:eastAsia="Arial" w:hAnsi="Arial" w:cs="Arial"/>
          <w:sz w:val="18"/>
          <w:szCs w:val="18"/>
        </w:rPr>
        <w:t xml:space="preserve">Amparo directo 106/2020. 7 de diciembre de 2020. Unanimidad de votos. Ponente: José Martín Hernández </w:t>
      </w:r>
      <w:proofErr w:type="spellStart"/>
      <w:r w:rsidRPr="00C228D8">
        <w:rPr>
          <w:rFonts w:ascii="Arial" w:eastAsia="Arial" w:hAnsi="Arial" w:cs="Arial"/>
          <w:sz w:val="18"/>
          <w:szCs w:val="18"/>
        </w:rPr>
        <w:t>Simental</w:t>
      </w:r>
      <w:proofErr w:type="spellEnd"/>
      <w:r w:rsidRPr="00C228D8">
        <w:rPr>
          <w:rFonts w:ascii="Arial" w:eastAsia="Arial" w:hAnsi="Arial" w:cs="Arial"/>
          <w:sz w:val="18"/>
          <w:szCs w:val="18"/>
        </w:rPr>
        <w:t>. Secretario: Arturo Pedroza Romero.</w:t>
      </w:r>
    </w:p>
    <w:p w14:paraId="6B798A3C" w14:textId="1A11CC62" w:rsidR="00C228D8" w:rsidRDefault="00C228D8">
      <w:pPr>
        <w:spacing w:after="0" w:line="240" w:lineRule="auto"/>
        <w:jc w:val="both"/>
        <w:rPr>
          <w:rFonts w:ascii="Arial" w:eastAsia="Arial" w:hAnsi="Arial" w:cs="Arial"/>
          <w:sz w:val="18"/>
          <w:szCs w:val="18"/>
        </w:rPr>
      </w:pPr>
      <w:r w:rsidRPr="00C228D8">
        <w:rPr>
          <w:rFonts w:ascii="Arial" w:eastAsia="Arial" w:hAnsi="Arial" w:cs="Arial"/>
          <w:sz w:val="18"/>
          <w:szCs w:val="18"/>
        </w:rPr>
        <w:t>Esta tesis se publicó el viernes 16 de abril de 2021 a las 10:20 horas en el Semanario Judicial de la Federación.</w:t>
      </w:r>
    </w:p>
    <w:p w14:paraId="48B455AE" w14:textId="77777777" w:rsidR="00C228D8" w:rsidRDefault="00C228D8">
      <w:pPr>
        <w:spacing w:after="0" w:line="240" w:lineRule="auto"/>
        <w:jc w:val="both"/>
        <w:rPr>
          <w:rFonts w:ascii="Arial" w:eastAsia="Arial" w:hAnsi="Arial" w:cs="Arial"/>
          <w:sz w:val="18"/>
          <w:szCs w:val="18"/>
        </w:rPr>
      </w:pPr>
    </w:p>
    <w:p w14:paraId="00000003" w14:textId="327C8703"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2022701</w:t>
      </w:r>
    </w:p>
    <w:p w14:paraId="0000000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000000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0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Constitucional, Penal</w:t>
      </w:r>
    </w:p>
    <w:p w14:paraId="0000000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II.3o.P.99 P (10a.)</w:t>
      </w:r>
    </w:p>
    <w:p w14:paraId="0000000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0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0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SUSPENSIÓN CONDICIONAL DEL PROCESO. ES FUNDADA LA OPOSICIÓN DE LA VÍCTIMA A SU PROCEDENCIA, SI EL PLAN DE LA REPARACIÓN DEL DAÑO PROPUESTO POR EL IMPUTADO Y SU DEFENSA, NO INCLUYE EL RECONOCIMIENTO Y LA ACEPTACIÓN DE LOS HECHOS DELICTIVOS, CON LA FINALIDAD DE SALVAGUARDAR SU DERECHO A CONOCER LA VERDAD Y QUE SE LE RESTITUYA SU DIGNIDAD HUMANA.</w:t>
      </w:r>
    </w:p>
    <w:p w14:paraId="0000000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La fracción II del artículo 192 del Código Nacional de Procedimientos Penales establece como requisito para que proceda la suspensión condicional del proceso, que no exista oposición fundada de la víctima u ofendido. Dicha oposición se encuentra relacionada, primordialmente, con la reparación integral del daño, la cual incluye el aspecto material y moral, dentro del último de los cuales, está inmerso el derecho de las víctimas a conocer la verdad, mismo que se vincula con el acceso a la justicia y con la obligación del Estado de investigar, y que está reconocido en los artículos 2 y 5, octavo párrafo, de la Ley General de Víctimas. En ese sentido, es fundada la oposición de la víctima a la procedencia de la suspensión condicional, cuando el plan de la reparación del daño propuesto por el imputado y su defensa no incluya el reconocimiento y aceptación de los hechos por parte del primero de ellos, con la finalidad de salvaguardar su derecho a conocer la verdad y que se le restituya la dignidad humana que le menoscabó con la comisión del hecho con apariencia de delito.</w:t>
      </w:r>
    </w:p>
    <w:p w14:paraId="0000000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TERCER TRIBUNAL COLEGIADO EN MATERIA PENAL DEL SEGUNDO CIRCUITO.</w:t>
      </w:r>
    </w:p>
    <w:p w14:paraId="0000000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en revisión 59/2020. 30 de julio de 2020. Unanimidad de votos. Ponente: María de Lourdes Lozano Mendoza. Secretario: Ricardo Ilhuicamina Romero Mendoza.</w:t>
      </w:r>
    </w:p>
    <w:p w14:paraId="0000000E"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12 de febrero de 2021 a las 10:14 horas en el Semanario Judicial de la Federación.</w:t>
      </w:r>
    </w:p>
    <w:p w14:paraId="0000000F" w14:textId="77777777" w:rsidR="00D64D9F" w:rsidRDefault="00D64D9F">
      <w:pPr>
        <w:spacing w:after="0" w:line="240" w:lineRule="auto"/>
        <w:jc w:val="both"/>
        <w:rPr>
          <w:rFonts w:ascii="Arial" w:eastAsia="Arial" w:hAnsi="Arial" w:cs="Arial"/>
          <w:sz w:val="18"/>
          <w:szCs w:val="18"/>
        </w:rPr>
      </w:pPr>
    </w:p>
    <w:p w14:paraId="0000001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2022799</w:t>
      </w:r>
    </w:p>
    <w:p w14:paraId="0000001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000001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13"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Penal</w:t>
      </w:r>
    </w:p>
    <w:p w14:paraId="0000001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I.9o.P.302 P (10a.)</w:t>
      </w:r>
    </w:p>
    <w:p w14:paraId="0000001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Semanario Judicial de la Federación. </w:t>
      </w:r>
    </w:p>
    <w:p w14:paraId="0000001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1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RECURSO DE APELACIÓN INTERPUESTO POR EL SENTENCIADO CONTRA LA SENTENCIA CONDENATORIA DICTADA POR EL TRIBUNAL DE ENJUICIAMIENTO EN EL SISTEMA PROCESAL PENAL ACUSATORIO. EL CÓMPUTO DEL PLAZO PARA </w:t>
      </w:r>
      <w:r>
        <w:rPr>
          <w:rFonts w:ascii="Arial" w:eastAsia="Arial" w:hAnsi="Arial" w:cs="Arial"/>
          <w:sz w:val="18"/>
          <w:szCs w:val="18"/>
        </w:rPr>
        <w:lastRenderedPageBreak/>
        <w:t>INTERPONERLO INICIA AL DÍA SIGUIENTE AL EN QUE SE EFECTUÓ LA AUDIENCIA DE SU LECTURA Y EXPLICACIÓN Y NO AL SIGUIENTE AL EN QUE SE CELEBRÓ LA RELATIVA A LA INDIVIDUALIZACIÓN DE SANCIONES Y REPARACIÓN DE DAÑO.</w:t>
      </w:r>
    </w:p>
    <w:p w14:paraId="0000001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Hechos: El tribunal de enjuiciamiento emitió oralmente sentencia condenatoria contra el quejoso por dos delitos de secuestro exprés agravado; su defensor interpuso el recurso de apelación. La Sala Penal del Tribunal Superior de Justicia de la Ciudad de México determinó que el recurso fue presentado de forma extemporánea, al no haberse promovido a partir del día siguiente al en que se celebró la audiencia de individualización de sanciones y reparación de daño, por lo que lo declaró inadmisible; en su contra interpuso recurso de revocación, el cual se declaró infundado; determinación que constituye el acto reclamado en el juicio de amparo directo.</w:t>
      </w:r>
    </w:p>
    <w:p w14:paraId="0000001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Criterio jurídico: Este Tribunal Colegiado de Circuito determina que el cómputo del plazo para interponer el recurso de apelación contra la sentencia condenatoria dictada por el tribunal de enjuiciamiento en el sistema procesal penal acusatorio inicia al día siguiente al en que se efectuó la audiencia de lectura y explicación de la sentencia condenatoria, al ser esa fecha en la que fue notificada y surtió sus efectos.</w:t>
      </w:r>
    </w:p>
    <w:p w14:paraId="0000001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Justificación: Los artículos 401, 404 y 471, última parte del párrafo segundo, todos del Código Nacional de Procedimientos Penales prevén que en la lectura y explicación de la sentencia se tendrá por notificadas a todas las partes, y que ésta producirá sus efectos desde el momento de su explicación, lo que permite establecer que el dictado de la sentencia en un juicio oral es un acto procesal que inicia con la audiencia en la que se emite oralmente y culmina con la audiencia de lectura y explicación, donde quedan establecidas las consideraciones de hecho y de derecho, y agotados todos los aspectos propios de la sentencia. Además, con la lectura y explicación, las partes se percatan del alcance de la sentencia, pues al ser leída y explicada entenderán el grado de perjuicio o afectación que le causará la misma. En el caso, al efectuarse la lectura y explicación de la sentencia condenatoria, se hizo saber al sentenciado y a su defensa el derecho y plazo de diez días para interponer el recurso de apelación, por lo que es al día siguiente de esa fecha a partir de la cual debe iniciar el cómputo del plazo para su apelación.</w:t>
      </w:r>
    </w:p>
    <w:p w14:paraId="0000001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NOVENO TRIBUNAL COLEGIADO EN MATERIA PENAL DEL PRIMER CIRCUITO.</w:t>
      </w:r>
    </w:p>
    <w:p w14:paraId="0000001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directo 63/2020. 12 de noviembre de 2020. Unanimidad de votos. Ponente: Emma Meza Fonseca. Secretario: J. Trinidad Vergara Ortiz.</w:t>
      </w:r>
    </w:p>
    <w:p w14:paraId="0000001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05 de marzo de 2021 a las 10:08 horas en el Semanario Judicial de la Federación.</w:t>
      </w:r>
    </w:p>
    <w:p w14:paraId="0000001E" w14:textId="77777777" w:rsidR="00D64D9F" w:rsidRDefault="00D64D9F">
      <w:pPr>
        <w:spacing w:after="0" w:line="240" w:lineRule="auto"/>
        <w:jc w:val="both"/>
        <w:rPr>
          <w:rFonts w:ascii="Arial" w:eastAsia="Arial" w:hAnsi="Arial" w:cs="Arial"/>
          <w:sz w:val="18"/>
          <w:szCs w:val="18"/>
        </w:rPr>
      </w:pPr>
    </w:p>
    <w:p w14:paraId="0000001F"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2022959</w:t>
      </w:r>
    </w:p>
    <w:p w14:paraId="0000002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Plenos de Circuito</w:t>
      </w:r>
    </w:p>
    <w:p w14:paraId="0000002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2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Penal</w:t>
      </w:r>
    </w:p>
    <w:p w14:paraId="00000023"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PC.IV.P. J/3 P (10a.)</w:t>
      </w:r>
    </w:p>
    <w:p w14:paraId="0000002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Semanario Judicial de la Federación. </w:t>
      </w:r>
    </w:p>
    <w:p w14:paraId="0000002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Jurisprudencia</w:t>
      </w:r>
    </w:p>
    <w:p w14:paraId="0000002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REPARACIÓN DEL DAÑO EN EL PROCESO PENAL. A LA ACCIÓN PARA PEDIR LA EJECUCIÓN DE UNA SENTENCIA NO LE SON APLICABLES LAS REGLAS DE LA PRESCRIPCIÓN QUE ESTABLECE EL ARTÍCULO 136 DEL CÓDIGO PENAL PARA EL ESTADO DE NUEVO LEÓN.</w:t>
      </w:r>
    </w:p>
    <w:p w14:paraId="0000002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El concepto de reparación de daño en un proceso penal, aun cuando el artículo 46 del Código Penal para el Estado de Nuevo León no la contempla como sanción, sino que el diverso 45 Bis del mismo ordenamiento punitivo la prevé como una consecuencia jurídica de responsabilidad por la comisión de un delito, sí constituye una sanción pública, ya que cumple una función social donde el Ministerio Público se encuentra obligado a solicitar la condena respectiva y el Juez de la causa a resolver lo conducente. Empero, la reparación del daño, como sanción pública, no reviste la calidad de pena ni comparte con la multa una sanción asimilada, en razón de que a estas dos figuras les son aplicables los principios de exacta aplicación de la ley y el mandato de taxatividad, de los que no participa la reparación del daño. Además, la naturaleza de la reparación del daño es eminentemente civil, incorporada al código punitivo por razón histórica o práctica, para ahorrar tiempo y recursos a la víctima, al evitarle el promover un juicio civil. Lo anterior, da pauta para establecer que la reparación del daño como sanción pública que es, no está sujeta al término de la prescripción de dos años a que alude el artículo 136 del Código Penal para el Estado, atinente a sanciones no sujetas a término, porque dicha codificación no regula expresa y específicamente el aspecto concreto, sino que tal supuesto lo excluye el artículo 148 del código punitivo del Estado en su segundo párrafo, al referir que "las causas de extinción de la acción penal y de la sanción, no se extienden a las responsabilidades a que se refiere este capítulo", por lo que debe acudirse al origen del derecho civil del que surge, concretamente al artículo 479 del Código de Procedimientos Civiles de dicha entidad federativa, que prevé un término de diez años para que prescriba la acción para pedir la ejecución de una sentencia.</w:t>
      </w:r>
    </w:p>
    <w:p w14:paraId="0000002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PLENO EN MATERIA PENAL DEL CUARTO CIRCUITO.</w:t>
      </w:r>
    </w:p>
    <w:p w14:paraId="0000002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Contradicción de tesis 2/2019. Entre las sustentadas por el Primer Tribunal Colegiado en Materia Penal del Cuarto Circuito y el Segundo Tribunal Colegiado en Materia Penal del Cuarto Circuito. 6 de octubre de 2020. Mayoría de tres votos de los Magistrados José Roberto Cantú Treviño, Felisa Díaz Ordaz Vera y Jesús María Flores Cárdenas. Disidente: José Heriberto Pérez García, quien formuló voto particular. Ponente: José Roberto Cantú Treviño. Secretario: Omar René Gutiérrez Arredondo.</w:t>
      </w:r>
    </w:p>
    <w:p w14:paraId="0000002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Criterios contendientes:</w:t>
      </w:r>
    </w:p>
    <w:p w14:paraId="0000002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El sustentado por el Segundo Tribunal Colegiado en Materia Penal del Cuarto Circuito, al resolver los amparos en revisión 177/2019 y 153/2019, y el diverso sustentado por el Primer Tribunal Colegiado en Materia Penal del Cuarto Circuito, al resolver el amparo en revisión 27/2019. </w:t>
      </w:r>
    </w:p>
    <w:p w14:paraId="0000002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09 de abril de 2021 a las 10:13 horas en el Semanario Judicial de la Federación y, por ende, se considera de aplicación obligatoria a partir del lunes 12 de abril de 2021, para los efectos previstos en el punto séptimo del Acuerdo General Plenario 16/2019.</w:t>
      </w:r>
    </w:p>
    <w:p w14:paraId="0000002D" w14:textId="77777777" w:rsidR="00D64D9F" w:rsidRDefault="00D64D9F">
      <w:pPr>
        <w:spacing w:after="0" w:line="240" w:lineRule="auto"/>
        <w:jc w:val="both"/>
        <w:rPr>
          <w:rFonts w:ascii="Arial" w:eastAsia="Arial" w:hAnsi="Arial" w:cs="Arial"/>
          <w:sz w:val="18"/>
          <w:szCs w:val="18"/>
        </w:rPr>
      </w:pPr>
    </w:p>
    <w:p w14:paraId="0000003C" w14:textId="77777777" w:rsidR="00D64D9F" w:rsidRDefault="00D64D9F">
      <w:pPr>
        <w:spacing w:after="0" w:line="240" w:lineRule="auto"/>
        <w:jc w:val="both"/>
        <w:rPr>
          <w:rFonts w:ascii="Arial" w:eastAsia="Arial" w:hAnsi="Arial" w:cs="Arial"/>
          <w:sz w:val="18"/>
          <w:szCs w:val="18"/>
        </w:rPr>
      </w:pPr>
    </w:p>
    <w:p w14:paraId="0000003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2018202</w:t>
      </w:r>
    </w:p>
    <w:p w14:paraId="0000003E"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000003F"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4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lastRenderedPageBreak/>
        <w:t>Materias(s): Constitucional, Penal</w:t>
      </w:r>
    </w:p>
    <w:p w14:paraId="0000004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I.7o.P.105 P (10a.)</w:t>
      </w:r>
    </w:p>
    <w:p w14:paraId="0000004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43"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4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REPARACIÓN DEL DAÑO. SI SE CONDENA AL SENTENCIADO A SU PAGO POR DETERMINADO DELITO, EL CUAL COMETIÓ CONJUNTAMENTE CON OTROS ACTIVOS, A QUIENES AÚN NO SE LES DICTA SENTENCIA, EL HECHO DE QUE EN SU MOMENTO TAMBIÉN SE CONDENE A ÉSTOS POR DICHO CONCEPTO, NO IMPLICA QUE SE REPARE DOS VECES EL DAÑO MATERIAL A LA VÍCTIMA U OFENDIDO DEL DELITO PUES, EN ESTE CASO, DEBE APLICARSE EL PRINCIPIO DE SUBSIDIARIEDAD.</w:t>
      </w:r>
    </w:p>
    <w:p w14:paraId="0000004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El Código Penal para el Distrito Federal, aplicable para la Ciudad de México, establece la reparación del daño como pena pública a que la persona responsable de un delito, con resultado material lesivo de bienes jurídicos, queda obligada; sin embargo, la normativa no establece la forma en que habrá de cumplirse con esa obligación en caso de que existan dos o más sujetos obligados a dicha pena pública, como cuando hay más imputados aun en etapa de juicio oral. No obstante, conforme al derecho civil, una obligación es solidaria, hablando de los obligados a su cumplimiento (pasiva), cuando dos o más personas tienen el deber de cubrir, cada uno de por sí, en su totalidad, la prestación debida; y lo es mancomunada, cuando el crédito o la deuda se consideran divididos en tantas partes como deudores haya, y cada parte constituye una deuda distinta. En ese sentido, si se condena al sentenciado a la reparación del daño por determinado delito, el cual cometió conjuntamente con otros activos –respecto de quienes aún no se dicta sentencia–, el hecho de que en su momento también se condene a éstos por ese concepto, no implica que al pasivo del delito se le repare dos veces el daño material, dado que en esa hipótesis, debe aplicarse el principio de subsidiariedad. Lo anterior, porque el concepto de reparación del daño no puede quedar supeditado a la conclusión de diverso procedimiento, si en el que se emite la condena quedaron debidamente acreditados el daño y la obligación de cubrir la reparación correspondiente, pues de demostrarse, en su momento, que los demás involucrados resultaron penalmente responsables y tienen obligación de reparar ese daño, el quejoso puede exigirles la parte que les corresponda como obligados solidarios y mancomunados.</w:t>
      </w:r>
    </w:p>
    <w:p w14:paraId="0000004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SÉPTIMO TRIBUNAL COLEGIADO EN MATERIA PENAL DEL PRIMER CIRCUITO.</w:t>
      </w:r>
    </w:p>
    <w:p w14:paraId="0000004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directo 296/2017. 15 de febrero de 2018. Unanimidad de votos. Ponente: Lilia Mónica López Benítez. Secretario: Enrique Velázquez Martínez.</w:t>
      </w:r>
    </w:p>
    <w:p w14:paraId="0000004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Nota: Por instrucciones del Tribunal Colegiado de Circuito, la tesis que aparece publicada en el Semanario Judicial de la Federación del viernes 27 de abril de 2018 a las 10:31 horas y en la Gaceta del Semanario Judicial de la Federación, Décima Época, Libro 53, Tomo III, abril de 2018, página 2285, se publica nuevamente con el precedente correcto.</w:t>
      </w:r>
    </w:p>
    <w:p w14:paraId="0000004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republicó el viernes 19 de octubre de 2018 a las 10:29 horas en el Semanario Judicial de la Federación.</w:t>
      </w:r>
    </w:p>
    <w:p w14:paraId="0000004A" w14:textId="77777777" w:rsidR="00D64D9F" w:rsidRDefault="00D64D9F">
      <w:pPr>
        <w:spacing w:after="0" w:line="240" w:lineRule="auto"/>
        <w:jc w:val="both"/>
        <w:rPr>
          <w:rFonts w:ascii="Arial" w:eastAsia="Arial" w:hAnsi="Arial" w:cs="Arial"/>
          <w:sz w:val="18"/>
          <w:szCs w:val="18"/>
        </w:rPr>
      </w:pPr>
    </w:p>
    <w:p w14:paraId="0000004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2018258</w:t>
      </w:r>
    </w:p>
    <w:p w14:paraId="0000004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000004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4E"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Penal</w:t>
      </w:r>
    </w:p>
    <w:p w14:paraId="0000004F"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I.2o.P.62 P (10a.)</w:t>
      </w:r>
    </w:p>
    <w:p w14:paraId="0000005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5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5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REPARACIÓN DEL DAÑO A LA VÍCTIMA EN UN PROCESO PENAL. EL JUZGADOR DEBE CONDENAR POR ESE CONCEPTO CUANDO SE ACREDITEN EL DELITO Y LA RESPONSABILIDAD PENAL, AUNQUE LAS PARTES NO LO HUBIEREN SOLICITADO, SIN PERJUICIO DE DEJAR PARA LA VÍA INCIDENTAL LA CUANTIFICACIÓN DE SU MONTO.</w:t>
      </w:r>
    </w:p>
    <w:p w14:paraId="00000053"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Conforme al artículo 20, apartado C, fracción IV, de la Constitución Política de los Estados Unidos Mexicanos, en relación con los diversos 45 del Código Penal para el Distrito Federal, aplicable para la Ciudad de México, y 12, fracción II, de la Ley General de Víctimas, la autoridad ministerial, derivado de la comisión de un delito, debe solicitar la reparación del daño de forma expedita, proporcional, justa, oportuna, plena e integral y, a su vez, el juzgador condenar al enjuiciado a ese concepto cuando haya emitido sentencia condenatoria. Para acreditar su procedencia, es necesario demostrar los mismos elementos de la responsabilidad civil extracontractual: el hecho ilícito, el daño y el nexo causal entre éstos. En materia penal, estos elementos se encuentran determinados por la existencia del delito y la responsabilidad penal, por lo que al probarse el delito, también puede considerarse acreditado el hecho ilícito generador de la responsabilidad civil. Ahora bien, aunque es cierto que, por regla general, el daño debe ser probado, es legal considerar que las personas que tienen el carácter de víctimas han resentido alguna afectación, pues esa posición, por sí misma, implica que han sufrido un daño a consecuencia de la conducta tipificada como delito, como lesiones transitorias o permanentes que impliquen la pérdida o disminución de sus facultades físicas o mentales, entre otras. Por estos motivos, el legislador evitó a la víctima la necesidad de instaurar un juicio civil para reparar los daños y perjuicios y, en su lugar, hacerlo simultáneamente en la sentencia penal, en cuyo juicio de origen, en todo caso, sólo debe acreditarse la intensidad del daño, pero no su existencia, por lo que no debe confundirse ésta con la cuantificación de su indemnización. Bajo esta óptica, es innecesario que expresamente se reclame por las partes la reparación del daño por la comisión de un delito para que se actualice la obligación del Juez, como rector del proceso, de imponer la condena a su pago cuando haya dictado una sentencia condenatoria al enjuiciado, pues el deber constitucional de la autoridad a este respecto es independiente de que la víctima haya formulado o no agravios en este sentido. Por tanto, si se dicta sentencia condenatoria por estimarse acreditados el delito y la responsabilidad penal del sentenciado en su comisión, el Juez debe condenar a la reparación del daño, sin perjuicio de dejar para la vía incidental la cuantificación de su monto, si en el sumario no existen elementos de convicción suficientes para ello.</w:t>
      </w:r>
    </w:p>
    <w:p w14:paraId="0000005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SEGUNDO TRIBUNAL COLEGIADO EN MATERIA PENAL DEL PRIMER CIRCUITO.</w:t>
      </w:r>
    </w:p>
    <w:p w14:paraId="0000005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directo 348/2016. 16 de marzo de 2017. Unanimidad de votos. Ponente: José Alfonso Montalvo Martínez. Secretario: Juan Alfredo Buendía Rodríguez.</w:t>
      </w:r>
    </w:p>
    <w:p w14:paraId="0000005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26 de octubre de 2018 a las 10:36  horas  en el Semanario Judicial de la Federación.</w:t>
      </w:r>
    </w:p>
    <w:p w14:paraId="00000057" w14:textId="77777777" w:rsidR="00D64D9F" w:rsidRDefault="00D64D9F">
      <w:pPr>
        <w:spacing w:after="0" w:line="240" w:lineRule="auto"/>
        <w:jc w:val="both"/>
        <w:rPr>
          <w:rFonts w:ascii="Arial" w:eastAsia="Arial" w:hAnsi="Arial" w:cs="Arial"/>
          <w:sz w:val="18"/>
          <w:szCs w:val="18"/>
        </w:rPr>
      </w:pPr>
    </w:p>
    <w:p w14:paraId="0000005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2018355</w:t>
      </w:r>
    </w:p>
    <w:p w14:paraId="0000005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lastRenderedPageBreak/>
        <w:t>Instancia: Tribunales Colegiados de Circuito</w:t>
      </w:r>
    </w:p>
    <w:p w14:paraId="0000005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5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Constitucional, Penal</w:t>
      </w:r>
    </w:p>
    <w:p w14:paraId="0000005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XXII.P.A.46 P (10a.)</w:t>
      </w:r>
    </w:p>
    <w:p w14:paraId="0000005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5E"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5F"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REPARACIÓN DEL DAÑO A LA VÍCTIMA U OFENDIDO POR LA COMISIÓN DE UN DELITO. A LA LUZ DE LOS ARTÍCULOS 1o., PÁRRAFO TERCERO, 20, APARTADOS A, FRACCIÓN I, Y C, FRACCIONES IV Y VII, DE LA CONSTITUCIÓN FEDERAL, 10, 11, 459 Y 461 DEL CÓDIGO NACIONAL DE PROCEDIMIENTOS PENALES, EN RELACIÓN CON LOS DIVERSOS 1, 7 Y 12 DE LA LEY GENERAL DE VÍCTIMAS Y 25, NUMERAL 1, DE LA CONVENCIÓN AMERICANA SOBRE DERECHOS HUMANOS, DEBE CONSIDERARSE COMO UN DERECHO FUNDAMENTAL Y, COMO TAL, SUSCEPTIBLE DE TUTELA OFICIOSA POR LAS AUTORIDADES JURISDICCIONALES.</w:t>
      </w:r>
    </w:p>
    <w:p w14:paraId="0000006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Los preceptos constitucionales citados imponen a las autoridades jurisdiccionales, en el ámbito de su competencia, el deber de sancionar y reparar las violaciones a derechos humanos en los términos que establezca la ley, y como propósito del proceso penal acusatorio se establece el relativo a procurar que el culpable no quede impune y que los daños causados por el delito se reparen; de manera que el juzgador no puede absolver al sentenciado de dicha reparación si ha emitido una sentencia condenatoria, lo cual puede impugnar la víctima ante la autoridad judicial, si se debe a omisiones o irregularidades del Ministerio Público. En este sentido, los artículos del Código Nacional de Procedimientos Penales mencionados, consagran el principio de igualdad entre imputado y víctima del delito y la posibilidad de tutelar, bajo dicha máxima, los derechos fundamentales de uno y otra, así sea oficiosamente. Por su parte, la Ley General de Víctimas, en los preceptos indicados, establece su aplicación explícita en el proceso penal acusatorio, con independencia del mecanismo alterno de solución de conflicto de que se trate; todo lo cual, guarda conformidad con el parámetro de regularidad convencional establecido en el artículo 25, numeral 1, de la Convención Americana sobre Derechos Humanos. Por estas razones, no sólo es factible, sino que constituye una obligación del tribunal de apelación, extender el análisis del fallo recurrido más allá de lo planteado en los agravios e, incluso, de los límites del recurso, si advierte la violación a dicho derecho fundamental de la víctima, el cual es considerado así, a la luz del marco normativo apuntado y, como tal, susceptible de tutela oficiosa por las autoridades jurisdiccionales.</w:t>
      </w:r>
    </w:p>
    <w:p w14:paraId="0000006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TRIBUNAL COLEGIADO EN MATERIAS PENAL Y ADMINISTRATIVA DEL VIGÉSIMO SEGUNDO CIRCUITO.</w:t>
      </w:r>
    </w:p>
    <w:p w14:paraId="0000006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directo 89/2018. 21 de junio de 2018. Unanimidad de votos. Ponente: Mauricio Barajas Villa. Secretaria: Elsa Aguilera Araiza.</w:t>
      </w:r>
    </w:p>
    <w:p w14:paraId="00000063"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09 de noviembre de 2018 a las 10:20  horas  en el Semanario Judicial de la Federación.</w:t>
      </w:r>
    </w:p>
    <w:p w14:paraId="00000064" w14:textId="77777777" w:rsidR="00D64D9F" w:rsidRDefault="00D64D9F">
      <w:pPr>
        <w:spacing w:after="0" w:line="240" w:lineRule="auto"/>
        <w:jc w:val="both"/>
        <w:rPr>
          <w:rFonts w:ascii="Arial" w:eastAsia="Arial" w:hAnsi="Arial" w:cs="Arial"/>
          <w:sz w:val="18"/>
          <w:szCs w:val="18"/>
        </w:rPr>
      </w:pPr>
    </w:p>
    <w:p w14:paraId="0000006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2018356</w:t>
      </w:r>
    </w:p>
    <w:p w14:paraId="0000006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Plenos de Circuito</w:t>
      </w:r>
    </w:p>
    <w:p w14:paraId="0000006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6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Penal</w:t>
      </w:r>
    </w:p>
    <w:p w14:paraId="0000006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PC.I.P. J/49 P (10a.)</w:t>
      </w:r>
    </w:p>
    <w:p w14:paraId="0000006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6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Jurisprudencia</w:t>
      </w:r>
    </w:p>
    <w:p w14:paraId="0000006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REPARACIÓN DEL DAÑO ANTE LA CONCURRENCIA DE CULPAS. CUANDO LA CONDUCTA CULPOSA DE LA VÍCTIMA O DE UN TERCERO HUBIERE CONTRIBUIDO AL DAÑO, AQUÉLLA DEBE FIJARSE AL SENTENCIADO EN FORMA PROPORCIONAL A SU INTERVENCIÓN, SIN QUE ELLO IMPLIQUE COMPENSACIÓN DE CULPAS. </w:t>
      </w:r>
    </w:p>
    <w:p w14:paraId="0000006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La reparación del daño en el proceso penal tiene la naturaleza de responsabilidad civil extracontractual y, en esta materia, debe analizarse si el hecho ilícito generador de un daño tiene origen en la conducta culposa o negligente de uno o varios protagonistas pues, de ser así, puede actualizarse una concurrencia de culpas que tiene repercusión en la fijación de la reparación. Ahora bien, la figura de la concurrencia de culpas se actualiza cuando la víctima o un tercero realiza una conducta culposa o negligente que contribuye al daño en forma determinante, sin que esté condicionada a que quien originó alguna de las causas hubiere sido sujeto de responsabilidad en el proceso penal, menos aún, depende de su posición procesal como parte en éste, pues no constituye una declaración de responsabilidad que deba ser precedida de un juicio, sino únicamente se trata del análisis judicial de la intervención de los participantes o protagonistas del hecho que culposamente contribuyeron al daño, para efectos de la reparación del daño que deberá cubrir el sentenciado; de forma que, cuando la contribución al daño sea de la víctima, esa calidad, asumida sólo dentro del proceso penal, no elimina su contribución al hecho ilícito culposo y menos aún, la facultad del juzgador para tomarla en cuenta para determinar en qué medida la conducta del "sí encausado" contribuyó a la generación del daño. En ese supuesto, con plenitud de jurisdicción, exponiendo las razones sustentadas en las pruebas de autos, el juzgador fijará al sentenciado la proporción de la reparación del daño que deberá cubrir del monto total que se cuantifique, sin que ello implique compensación de culpas, porque no conlleva la extinción de la responsabilidad civil del enjuiciado, sino únicamente constituye la valoración judicial de la contribución de la víctima al daño para delimitar lo que es atribuible al enjuiciado y fijar la proporción de la reparación que deberá cubrir; lo anterior, en el entendido de que en los casos en que la ley penal establezca topes mínimos para la reparación del daño de ciertos delitos, aun cuando se actualice una concurrencia de culpas, la reparación no podrá ser menor a los montos legales.</w:t>
      </w:r>
    </w:p>
    <w:p w14:paraId="0000006E"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PLENO EN MATERIA PENAL DEL PRIMER CIRCUITO.</w:t>
      </w:r>
    </w:p>
    <w:p w14:paraId="0000006F"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Contradicción de tesis 9/2018. Entre las sustentadas por los Tribunales Colegiados Quinto y Décimo, ambos en Materia Penal del Primer Circuito. 10 de julio de 2018. Mayoría de cinco votos de los Magistrados Ricardo Ojeda Bohórquez (presidente) quien ejerció voto de calidad, en términos del artículo 42 del Acuerdo General 8/2015, del Pleno del Consejo de la Judicatura Federal, relativo a la integración y funcionamiento de los Plenos de Circuito, Horacio Armando Hernández Orozco, José Alfonso Montalvo Martínez, Francisco Javier Teodoro </w:t>
      </w:r>
      <w:proofErr w:type="spellStart"/>
      <w:r>
        <w:rPr>
          <w:rFonts w:ascii="Arial" w:eastAsia="Arial" w:hAnsi="Arial" w:cs="Arial"/>
          <w:sz w:val="18"/>
          <w:szCs w:val="18"/>
        </w:rPr>
        <w:t>Arcovedo</w:t>
      </w:r>
      <w:proofErr w:type="spellEnd"/>
      <w:r>
        <w:rPr>
          <w:rFonts w:ascii="Arial" w:eastAsia="Arial" w:hAnsi="Arial" w:cs="Arial"/>
          <w:sz w:val="18"/>
          <w:szCs w:val="18"/>
        </w:rPr>
        <w:t xml:space="preserve"> Montero y Antonia Herlinda Velasco Villavicencio. Disidentes: Héctor Lara González, Tereso Ramos Hernández, </w:t>
      </w:r>
      <w:proofErr w:type="spellStart"/>
      <w:r>
        <w:rPr>
          <w:rFonts w:ascii="Arial" w:eastAsia="Arial" w:hAnsi="Arial" w:cs="Arial"/>
          <w:sz w:val="18"/>
          <w:szCs w:val="18"/>
        </w:rPr>
        <w:t>Taissia</w:t>
      </w:r>
      <w:proofErr w:type="spellEnd"/>
      <w:r>
        <w:rPr>
          <w:rFonts w:ascii="Arial" w:eastAsia="Arial" w:hAnsi="Arial" w:cs="Arial"/>
          <w:sz w:val="18"/>
          <w:szCs w:val="18"/>
        </w:rPr>
        <w:t xml:space="preserve"> Cruz Parcero, Luis Pérez de la Fuente y Carlos López Cruz. Ponente: José Alfonso Montalvo Martínez. Secretaria: Rosa Aurora González Padilla. </w:t>
      </w:r>
    </w:p>
    <w:p w14:paraId="0000007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Criterios contendientes:</w:t>
      </w:r>
    </w:p>
    <w:p w14:paraId="0000007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lastRenderedPageBreak/>
        <w:t>El sustentado por el Quinto Tribunal Colegiado en Materia Penal del Primer Circuito, al resolver el amparo directo 282/2015, y el diverso sustentado por el Décimo Tribunal Colegiado en Materia Penal del Primer Circuito, al resolver el amparo directo 252/2017.</w:t>
      </w:r>
    </w:p>
    <w:p w14:paraId="00000072"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09 de noviembre de 2018 a las 10:20  horas  en el Semanario Judicial de la Federación y, por ende, se considera de aplicación obligatoria a partir del lunes 12 de noviembre de 2018, para los efectos previstos en el punto séptimo del Acuerdo General Plenario 19/2013.</w:t>
      </w:r>
    </w:p>
    <w:p w14:paraId="00000073" w14:textId="77777777" w:rsidR="00D64D9F" w:rsidRDefault="00D64D9F">
      <w:pPr>
        <w:spacing w:after="0" w:line="240" w:lineRule="auto"/>
        <w:jc w:val="both"/>
        <w:rPr>
          <w:rFonts w:ascii="Arial" w:eastAsia="Arial" w:hAnsi="Arial" w:cs="Arial"/>
          <w:sz w:val="18"/>
          <w:szCs w:val="18"/>
        </w:rPr>
      </w:pPr>
    </w:p>
    <w:p w14:paraId="00000074"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Registro digital: 2018357</w:t>
      </w:r>
    </w:p>
    <w:p w14:paraId="00000075"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Instancia: Tribunales Colegiados de Circuito</w:t>
      </w:r>
    </w:p>
    <w:p w14:paraId="00000076"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Décima Época</w:t>
      </w:r>
    </w:p>
    <w:p w14:paraId="00000077"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Materias(s): Constitucional, Penal</w:t>
      </w:r>
    </w:p>
    <w:p w14:paraId="00000078"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Tesis: I.9o.P.228 P (10a.)</w:t>
      </w:r>
    </w:p>
    <w:p w14:paraId="00000079"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Fuente: Gaceta del Semanario Judicial de la Federación. </w:t>
      </w:r>
    </w:p>
    <w:p w14:paraId="0000007A"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Tipo: Aislada</w:t>
      </w:r>
    </w:p>
    <w:p w14:paraId="0000007B"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REPARACIÓN INTEGRAL DEL DAÑO MATERIAL A LA VÍCTIMA U OFENDIDO DEL DELITO. A FIN DE HACER EFECTIVO ESTE DERECHO HUMANO CONFORME A LOS PARÁMETROS ESTABLECIDOS EN LA CONSTITUCIÓN FEDERAL Y EN LA LEY GENERAL DE VÍCTIMAS, AL FIJAR EL MONTO RESPECTIVO DEBEN PONDERARSE LOS INTERESES MORATORIOS CALCULADOS EN EL INCIDENTE DE LIQUIDACIÓN PROMOVIDO EN EL JUICIO EJECUTIVO MERCANTIL CORRESPONDIENTE.</w:t>
      </w:r>
    </w:p>
    <w:p w14:paraId="0000007C"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 xml:space="preserve">El derecho de las víctimas a la reparación del daño derivado de la comisión de un delito está previsto en el artículo 20, apartado C, fracción IV, de la Constitución Política de los Estados Unidos Mexicanos. Por su parte, en la legislación ordinaria, se reconoce en los artículos 45 del Código Penal para el Distrito Federal, aplicable para la Ciudad de México y 12, fracción II, de la Ley General de Víctimas, que establecen la obligación de la autoridad ministerial de solicitar la reparación del daño y del juzgador de condenar al enjuiciado cuando haya emitido una sentencia condenatoria; así como que las víctimas tienen derecho a que se les repare el daño en forma expedita, proporcional y justa, respectivamente. Además, los diversos 42 del código citado y 64 de la ley indicada, señalan un estándar mínimo del alcance de la reparación del daño, el cual también depende de la naturaleza del delito de que se trate, y que deben compensarse todos los perjuicios, sufrimientos y pérdidas económicamente </w:t>
      </w:r>
      <w:proofErr w:type="spellStart"/>
      <w:r>
        <w:rPr>
          <w:rFonts w:ascii="Arial" w:eastAsia="Arial" w:hAnsi="Arial" w:cs="Arial"/>
          <w:sz w:val="18"/>
          <w:szCs w:val="18"/>
        </w:rPr>
        <w:t>valuables</w:t>
      </w:r>
      <w:proofErr w:type="spellEnd"/>
      <w:r>
        <w:rPr>
          <w:rFonts w:ascii="Arial" w:eastAsia="Arial" w:hAnsi="Arial" w:cs="Arial"/>
          <w:sz w:val="18"/>
          <w:szCs w:val="18"/>
        </w:rPr>
        <w:t xml:space="preserve"> que sean consecuencia de la comisión de un delito. Al respecto, la Primera Sala de la Suprema Corte de Justicia de la Nación, en la tesis aislada 1a. CCLXXII/2015 (10a.), ha establecido los parámetros que deben observar las autoridades para cumplir con la finalidad constitucional de la reparación del daño derivada de un delito, la cual debe cubrirse en forma expedita, proporcional y justa; debe ser oportuna, plena, integral y efectiva, en relación con el daño ocasionado como consecuencia del delito, lo cual comprende que se establezcan medidas de restitución, rehabilitación, compensación y satisfacción; con la reparación integral debe devolverse a la víctima u ofendido a la situación anterior a la comisión del delito, lo que comprende cualquier tipo de afectación generada: económica, moral, física, psicológica, entre otras; la restitución material comprende la devolución de bienes afectados con la comisión del delito, y sólo en caso de que no sea posible, el pago de su valor, y la efectividad de la reparación del daño dependen de la condición de resarcimiento que otorgue a la víctima u ofendido del delito, que deberá ser proporcional, justa, plena e integral pues, de lo contrario, no se satisface el resarcimiento de la afectación. Con base en lo anterior, no basta que la autoridad responsable se pronuncie respecto a la condena a la reparación del daño material con base en el dictamen de contabilidad correspondiente, sino que debe resolver por completo dicho tópico y, en su caso, ponderar los intereses moratorios calculados en el incidente de liquidación promovido en el juicio ejecutivo mercantil respectivo, ya que estos incidentes tienen como objetivo determinar con precisión la cuantía de las prestaciones a que quedaron obligadas las partes en el juicio y así perfeccionar la sentencia en los detalles relativos a esas condenas, pues sólo así se hace efectivo el derecho humano a una reparación integral del daño material de la víctima u ofendido del delito, conforme a los parámetros establecidos en la Constitución Federal y en la Ley General de Víctimas; máxime que este último ordenamiento establece una serie de principios, definiciones y reglas que han conseguido reafirmar al conjunto de derechos humanos de las víctimas, por lo cual, dada su construcción, más allá de ser un ordenamiento declarativo, constituye una auténtica herramienta para hacer efectivos sus derechos en todas y cada una de las esferas, públicas y privadas, en las que estén inmersos, por lo que debe considerarse que por su diseño multidimensional, esta ley abarca todos los ámbitos de protección de las víctimas como personas portadoras de derechos, más allá del sistema procesal que rija al procedimiento penal en el que deban dirimirse sus prerrogativas fundamentales, entre otras, las relativas a la justicia, verdad y reparación integral del daño.</w:t>
      </w:r>
    </w:p>
    <w:p w14:paraId="0000007D"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NOVENO TRIBUNAL COLEGIADO EN MATERIA PENAL DEL PRIMER CIRCUITO.</w:t>
      </w:r>
    </w:p>
    <w:p w14:paraId="0000007F" w14:textId="42BF1C11"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Amparo directo 139/2018. 23 de agosto de 2018. Mayoría de votos. Disidente: Irma Rivero Ortiz de Alcántara. Ponente: Emma Meza Fonseca. Secretario: Martín Muñoz Ortiz.</w:t>
      </w:r>
    </w:p>
    <w:p w14:paraId="00000080"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Nota: La tesis aislada 1a. CCLXXII/2015 (10a.), de título y subtítulo: "REPARACIÓN DEL DAÑO DERIVADA DE UN DELITO. PARÁMETROS QUE DEBEN OBSERVARSE PARA CUMPLIR CON ESTE DERECHO HUMANO." citada, aparece publicada en el Semanario Judicial de la Federación del viernes 11 de septiembre de 2015 a las 11:00 horas y en la Gaceta del Semanario Judicial de la Federación, Décima Época, Libro 22, Tomo I, septiembre de 2015, página 320.</w:t>
      </w:r>
    </w:p>
    <w:p w14:paraId="00000081" w14:textId="77777777" w:rsidR="00D64D9F" w:rsidRDefault="009075DF">
      <w:pPr>
        <w:spacing w:after="0" w:line="240" w:lineRule="auto"/>
        <w:jc w:val="both"/>
        <w:rPr>
          <w:rFonts w:ascii="Arial" w:eastAsia="Arial" w:hAnsi="Arial" w:cs="Arial"/>
          <w:sz w:val="18"/>
          <w:szCs w:val="18"/>
        </w:rPr>
      </w:pPr>
      <w:r>
        <w:rPr>
          <w:rFonts w:ascii="Arial" w:eastAsia="Arial" w:hAnsi="Arial" w:cs="Arial"/>
          <w:sz w:val="18"/>
          <w:szCs w:val="18"/>
        </w:rPr>
        <w:t>Esta tesis se publicó el viernes 09 de noviembre de 2018 a las 10:20  horas  en el Semanario Judicial de la Federación.</w:t>
      </w:r>
    </w:p>
    <w:p w14:paraId="00000082" w14:textId="77777777" w:rsidR="00D64D9F" w:rsidRDefault="00D64D9F">
      <w:pPr>
        <w:spacing w:after="0" w:line="240" w:lineRule="auto"/>
        <w:jc w:val="both"/>
        <w:rPr>
          <w:rFonts w:ascii="Arial" w:eastAsia="Arial" w:hAnsi="Arial" w:cs="Arial"/>
          <w:sz w:val="18"/>
          <w:szCs w:val="18"/>
        </w:rPr>
      </w:pPr>
    </w:p>
    <w:p w14:paraId="0000009B" w14:textId="77777777" w:rsidR="00D64D9F" w:rsidRDefault="00D64D9F">
      <w:pPr>
        <w:spacing w:after="0" w:line="240" w:lineRule="auto"/>
        <w:jc w:val="both"/>
        <w:rPr>
          <w:rFonts w:ascii="Arial" w:eastAsia="Arial" w:hAnsi="Arial" w:cs="Arial"/>
          <w:sz w:val="18"/>
          <w:szCs w:val="18"/>
        </w:rPr>
      </w:pPr>
    </w:p>
    <w:p w14:paraId="00000325" w14:textId="0ACBAD2C" w:rsidR="00D64D9F" w:rsidRPr="008E4278" w:rsidRDefault="00D64D9F" w:rsidP="008E4278">
      <w:pPr>
        <w:spacing w:after="0" w:line="240" w:lineRule="auto"/>
        <w:jc w:val="both"/>
        <w:rPr>
          <w:rFonts w:ascii="Arial" w:eastAsia="Arial" w:hAnsi="Arial" w:cs="Arial"/>
          <w:sz w:val="18"/>
          <w:szCs w:val="18"/>
        </w:rPr>
      </w:pPr>
    </w:p>
    <w:sectPr w:rsidR="00D64D9F" w:rsidRPr="008E4278">
      <w:headerReference w:type="default" r:id="rId7"/>
      <w:pgSz w:w="12240" w:h="15840"/>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9D442" w14:textId="77777777" w:rsidR="00F914E1" w:rsidRDefault="00F914E1">
      <w:pPr>
        <w:spacing w:after="0" w:line="240" w:lineRule="auto"/>
      </w:pPr>
      <w:r>
        <w:separator/>
      </w:r>
    </w:p>
  </w:endnote>
  <w:endnote w:type="continuationSeparator" w:id="0">
    <w:p w14:paraId="5A37C88B" w14:textId="77777777" w:rsidR="00F914E1" w:rsidRDefault="00F91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0371B" w14:textId="77777777" w:rsidR="00F914E1" w:rsidRDefault="00F914E1">
      <w:pPr>
        <w:spacing w:after="0" w:line="240" w:lineRule="auto"/>
      </w:pPr>
      <w:r>
        <w:separator/>
      </w:r>
    </w:p>
  </w:footnote>
  <w:footnote w:type="continuationSeparator" w:id="0">
    <w:p w14:paraId="579D8E5B" w14:textId="77777777" w:rsidR="00F914E1" w:rsidRDefault="00F91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26" w14:textId="43BD7414" w:rsidR="00D64D9F" w:rsidRDefault="009075D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E4278">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D9F"/>
    <w:rsid w:val="008A7F65"/>
    <w:rsid w:val="008D1E57"/>
    <w:rsid w:val="008E4278"/>
    <w:rsid w:val="009075DF"/>
    <w:rsid w:val="00A439C9"/>
    <w:rsid w:val="00C228D8"/>
    <w:rsid w:val="00C94656"/>
    <w:rsid w:val="00D64D9F"/>
    <w:rsid w:val="00F914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FD1B6"/>
  <w15:docId w15:val="{52833302-CEDF-47E6-8241-264BEC8C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E7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E90E73"/>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character" w:styleId="Hipervnculo">
    <w:name w:val="Hyperlink"/>
    <w:basedOn w:val="Fuentedeprrafopredeter"/>
    <w:uiPriority w:val="99"/>
    <w:semiHidden/>
    <w:unhideWhenUsed/>
    <w:rsid w:val="00656E84"/>
    <w:rPr>
      <w:color w:val="0033CC"/>
      <w:u w:val="single"/>
    </w:rPr>
  </w:style>
  <w:style w:type="paragraph" w:styleId="NormalWeb">
    <w:name w:val="Normal (Web)"/>
    <w:basedOn w:val="Normal"/>
    <w:uiPriority w:val="99"/>
    <w:unhideWhenUsed/>
    <w:rsid w:val="00656E84"/>
    <w:pPr>
      <w:spacing w:before="100" w:beforeAutospacing="1" w:after="100" w:afterAutospacing="1" w:line="240" w:lineRule="auto"/>
    </w:pPr>
    <w:rPr>
      <w:rFonts w:ascii="Times New Roman" w:hAnsi="Times New Roman"/>
      <w:color w:val="000000"/>
      <w:sz w:val="24"/>
      <w:szCs w:val="24"/>
    </w:rPr>
  </w:style>
  <w:style w:type="character" w:styleId="Textoennegrita">
    <w:name w:val="Strong"/>
    <w:basedOn w:val="Fuentedeprrafopredeter"/>
    <w:uiPriority w:val="22"/>
    <w:qFormat/>
    <w:rsid w:val="00656E84"/>
    <w:rPr>
      <w:b/>
      <w:b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o+VHK8ZriaTvmE+3hjycdXnYgg==">AMUW2mUE2NOv7Zn1s4DgHsBHwOXwJJ2C9ptxzxLuUIQ3Vk6aASZ1QHj4SM1PDBlRDKcNqB24qvwuD8cSPl/WHfFYderste1sHX3KuGwnHzIMq0ViCILPHqHRJo3LA1ZeIi35koo8JBI5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7620</Words>
  <Characters>41914</Characters>
  <Application>Microsoft Office Word</Application>
  <DocSecurity>0</DocSecurity>
  <Lines>349</Lines>
  <Paragraphs>98</Paragraphs>
  <ScaleCrop>false</ScaleCrop>
  <Company/>
  <LinksUpToDate>false</LinksUpToDate>
  <CharactersWithSpaces>49436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ELIZABETH LOPEZ GARCIA</cp:lastModifiedBy>
  <cp:revision>3</cp:revision>
  <dcterms:created xsi:type="dcterms:W3CDTF">2021-07-06T06:15:00Z</dcterms:created>
  <dcterms:modified xsi:type="dcterms:W3CDTF">2021-07-08T03:26:00Z</dcterms:modified>
</cp:coreProperties>
</file>