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20"/>
          <w:szCs w:val="20"/>
        </w:rPr>
      </w:pPr>
      <w:bookmarkStart w:colFirst="0" w:colLast="0" w:name="_heading=h.gjdgxs" w:id="0"/>
      <w:bookmarkEnd w:id="0"/>
      <w:r w:rsidDel="00000000" w:rsidR="00000000" w:rsidRPr="00000000">
        <w:rPr>
          <w:rFonts w:ascii="Arial" w:cs="Arial" w:eastAsia="Arial" w:hAnsi="Arial"/>
          <w:b w:val="1"/>
          <w:sz w:val="20"/>
          <w:szCs w:val="20"/>
          <w:rtl w:val="0"/>
        </w:rPr>
        <w:t xml:space="preserve">CONFESIÓN LISA Y LLANA</w:t>
      </w:r>
    </w:p>
    <w:p w:rsidR="00000000" w:rsidDel="00000000" w:rsidP="00000000" w:rsidRDefault="00000000" w:rsidRPr="00000000" w14:paraId="00000002">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Época: Décima Época </w:t>
      </w:r>
    </w:p>
    <w:p w:rsidR="00000000" w:rsidDel="00000000" w:rsidP="00000000" w:rsidRDefault="00000000" w:rsidRPr="00000000" w14:paraId="0000000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2012171 </w:t>
      </w:r>
    </w:p>
    <w:p w:rsidR="00000000" w:rsidDel="00000000" w:rsidP="00000000" w:rsidRDefault="00000000" w:rsidRPr="00000000" w14:paraId="0000000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 </w:t>
      </w:r>
    </w:p>
    <w:p w:rsidR="00000000" w:rsidDel="00000000" w:rsidP="00000000" w:rsidRDefault="00000000" w:rsidRPr="00000000" w14:paraId="0000000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de Tesis: Aislada </w:t>
      </w:r>
    </w:p>
    <w:p w:rsidR="00000000" w:rsidDel="00000000" w:rsidP="00000000" w:rsidRDefault="00000000" w:rsidRPr="00000000" w14:paraId="0000000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w:t>
      </w:r>
    </w:p>
    <w:p w:rsidR="00000000" w:rsidDel="00000000" w:rsidP="00000000" w:rsidRDefault="00000000" w:rsidRPr="00000000" w14:paraId="0000000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Libro 32, Julio de 2016, Tomo III </w:t>
      </w:r>
    </w:p>
    <w:p w:rsidR="00000000" w:rsidDel="00000000" w:rsidP="00000000" w:rsidRDefault="00000000" w:rsidRPr="00000000" w14:paraId="0000000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 </w:t>
      </w:r>
    </w:p>
    <w:p w:rsidR="00000000" w:rsidDel="00000000" w:rsidP="00000000" w:rsidRDefault="00000000" w:rsidRPr="00000000" w14:paraId="0000000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II.1o.34 P (10a.) </w:t>
      </w:r>
    </w:p>
    <w:p w:rsidR="00000000" w:rsidDel="00000000" w:rsidP="00000000" w:rsidRDefault="00000000" w:rsidRPr="00000000" w14:paraId="0000000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2222 </w:t>
      </w:r>
    </w:p>
    <w:p w:rsidR="00000000" w:rsidDel="00000000" w:rsidP="00000000" w:rsidRDefault="00000000" w:rsidRPr="00000000" w14:paraId="0000000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REDUCCIÓN DE LA PENA. LOS BENEFICIOS ESTABLECIDOS EN EL ARTÍCULO 58, PÁRRAFOS SEGUNDO Y TERCERO, DEL CÓDIGO PENAL DEL ESTADO DE MÉXICO, PUEDEN COEXISTIR EN UN MISMO ASUNTO, CUANDO SE COLMAN LAS EXIGENCIAS QUE CADA UNO ESTABLECE.</w:t>
      </w:r>
    </w:p>
    <w:p w:rsidR="00000000" w:rsidDel="00000000" w:rsidP="00000000" w:rsidRDefault="00000000" w:rsidRPr="00000000" w14:paraId="0000000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 precepto mencionado se obtiene que el legislador no estableció limitación alguna para que los beneficios de reducción de la pena previstos en los parágrafos segundo y tercero puedan coexistir en un mismo asunto, pues su redacción se encuentra ubicada en párrafos distintos, sin que entre ellos medie alguna conjunción o disyunción; además, su actualización parte de premisas distintas, pues el previsto en primer término depende de la confesión lisa y llana del acusado, siempre que no se trate de procedimiento abreviado; mientras que la segunda se actualiza con el pago espontáneo del monto de la reparación del daño y se constriñe a delitos patrimoniales; siempre que no se trate de los ilícitos previstos en el párrafo último del propio artículo. Asimismo, la primera hipótesis (reducción en un tercio de la pena) constituye un imperativo para el juzgador; mientras que el supuesto restante se erige como una potestad sujeta al arbitrio del Juez y admite una reducción "hasta en una mitad", siempre que se justifique con base en las circunstancias del hecho. Por tanto, bajo el principio de legalidad que reza "donde la ley no distingue no lo debe hacer el juzgador", nada impide la convergencia de ambos supuestos, cuando se colman las exigencias que cada uno establece.</w:t>
      </w:r>
    </w:p>
    <w:p w:rsidR="00000000" w:rsidDel="00000000" w:rsidP="00000000" w:rsidRDefault="00000000" w:rsidRPr="00000000" w14:paraId="0000000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PRIMER TRIBUNAL COLEGIADO DEL SEGUNDO CIRCUITO CON RESIDENCIA EN CIUDAD NEZAHUALCÓYOTL, ESTADO DE MÉXICO.</w:t>
      </w:r>
    </w:p>
    <w:p w:rsidR="00000000" w:rsidDel="00000000" w:rsidP="00000000" w:rsidRDefault="00000000" w:rsidRPr="00000000" w14:paraId="0000000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directo 705/2015. 21 de abril de 2016. Unanimidad de votos. Ponente: Jorge Arturo Sánchez Jiménez. Secretario: Juan José Hernández Leyva.</w:t>
      </w:r>
    </w:p>
    <w:p w:rsidR="00000000" w:rsidDel="00000000" w:rsidP="00000000" w:rsidRDefault="00000000" w:rsidRPr="00000000" w14:paraId="00000010">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Época: Novena Época </w:t>
      </w:r>
    </w:p>
    <w:p w:rsidR="00000000" w:rsidDel="00000000" w:rsidP="00000000" w:rsidRDefault="00000000" w:rsidRPr="00000000" w14:paraId="0000001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160929 </w:t>
      </w:r>
    </w:p>
    <w:p w:rsidR="00000000" w:rsidDel="00000000" w:rsidP="00000000" w:rsidRDefault="00000000" w:rsidRPr="00000000" w14:paraId="0000001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 </w:t>
      </w:r>
    </w:p>
    <w:p w:rsidR="00000000" w:rsidDel="00000000" w:rsidP="00000000" w:rsidRDefault="00000000" w:rsidRPr="00000000" w14:paraId="0000001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de Tesis: Aislada </w:t>
      </w:r>
    </w:p>
    <w:p w:rsidR="00000000" w:rsidDel="00000000" w:rsidP="00000000" w:rsidRDefault="00000000" w:rsidRPr="00000000" w14:paraId="0000001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 </w:t>
      </w:r>
    </w:p>
    <w:p w:rsidR="00000000" w:rsidDel="00000000" w:rsidP="00000000" w:rsidRDefault="00000000" w:rsidRPr="00000000" w14:paraId="0000001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Libro I, Octubre de 2011, Tomo 3 </w:t>
      </w:r>
    </w:p>
    <w:p w:rsidR="00000000" w:rsidDel="00000000" w:rsidP="00000000" w:rsidRDefault="00000000" w:rsidRPr="00000000" w14:paraId="0000001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 </w:t>
      </w:r>
    </w:p>
    <w:p w:rsidR="00000000" w:rsidDel="00000000" w:rsidP="00000000" w:rsidRDefault="00000000" w:rsidRPr="00000000" w14:paraId="0000001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II.2o.P.268 P (9a.) </w:t>
      </w:r>
    </w:p>
    <w:p w:rsidR="00000000" w:rsidDel="00000000" w:rsidP="00000000" w:rsidRDefault="00000000" w:rsidRPr="00000000" w14:paraId="0000001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1621 </w:t>
      </w:r>
    </w:p>
    <w:p w:rsidR="00000000" w:rsidDel="00000000" w:rsidP="00000000" w:rsidRDefault="00000000" w:rsidRPr="00000000" w14:paraId="0000001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CONFESIÓN LISA Y LLANA PARA EFECTOS DE LA REDUCCIÓN DE LA PENA. TIENE ESE CARÁCTER EL RECONOCIMIENTO GENÉRICO DEL INCULPADO DEL EVENTO DELICTIVO, AUN CUANDO NO REPRODUZCA A DETALLE LOS ASPECTOS DE LA IMPUTACIÓN (LEGISLACIÓN DEL ESTADO DE MÉXICO).</w:t>
      </w:r>
    </w:p>
    <w:p w:rsidR="00000000" w:rsidDel="00000000" w:rsidP="00000000" w:rsidRDefault="00000000" w:rsidRPr="00000000" w14:paraId="0000001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manifestaciones vertidas por el inculpado en una indagatoria constituyen una confesión lisa y llana del evento delictivo que se le atribuye, cuando del contexto de dicha declaración se advierte que se ubica en circunstancias de lugar y tiempo de ejecución del evento, por ejemplo, al aceptar que el día de los hechos conducía en estado de ebriedad un vehículo de motor sobre la carretera y se quedó dormido, y cuando recuperó el sentido lo sacaban de su vehículo los paramédicos. Tales manifestaciones no deben considerarse como argumentos por parte del quejoso tendentes a eludir su responsabilidad o pretender alguna atenuante o excluyente en su favor, por el hecho de no reiterar todos los aspectos o detalles de la imputación, pues finalmente la versión que del evento expuso el enjuiciado implica una confesión de los actos delictivos que se le atribuyeron; en consecuencia, el reconocimiento genérico del inculpado del evento delictivo debe considerarse como una confesión lisa y llana para efectos del beneficio de reducción de las penas por el reconocimiento del inculpado a que se refiere el párrafo segundo del artículo 58 del Código Penal del Estado de México, aun cuando no reproduzca a detalle los aspectos de la imputación.</w:t>
      </w:r>
    </w:p>
    <w:p w:rsidR="00000000" w:rsidDel="00000000" w:rsidP="00000000" w:rsidRDefault="00000000" w:rsidRPr="00000000" w14:paraId="0000001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SEGUNDO TRIBUNAL COLEGIADO EN MATERIA PENAL DEL SEGUNDO CIRCUITO.</w:t>
      </w:r>
    </w:p>
    <w:p w:rsidR="00000000" w:rsidDel="00000000" w:rsidP="00000000" w:rsidRDefault="00000000" w:rsidRPr="00000000" w14:paraId="0000001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directo 2/2010. 11 de marzo de 2010. Unanimidad de votos. Ponente: José Nieves Luna Castro. Secretario: Silvestre P. Jardón Orihuela.</w:t>
      </w:r>
    </w:p>
    <w:p w:rsidR="00000000" w:rsidDel="00000000" w:rsidP="00000000" w:rsidRDefault="00000000" w:rsidRPr="00000000" w14:paraId="0000001E">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Época: Novena Época </w:t>
      </w:r>
    </w:p>
    <w:p w:rsidR="00000000" w:rsidDel="00000000" w:rsidP="00000000" w:rsidRDefault="00000000" w:rsidRPr="00000000" w14:paraId="0000002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161777 </w:t>
      </w:r>
    </w:p>
    <w:p w:rsidR="00000000" w:rsidDel="00000000" w:rsidP="00000000" w:rsidRDefault="00000000" w:rsidRPr="00000000" w14:paraId="0000002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 </w:t>
      </w:r>
    </w:p>
    <w:p w:rsidR="00000000" w:rsidDel="00000000" w:rsidP="00000000" w:rsidRDefault="00000000" w:rsidRPr="00000000" w14:paraId="0000002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de Tesis: Aislada </w:t>
      </w:r>
    </w:p>
    <w:p w:rsidR="00000000" w:rsidDel="00000000" w:rsidP="00000000" w:rsidRDefault="00000000" w:rsidRPr="00000000" w14:paraId="0000002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 </w:t>
      </w:r>
    </w:p>
    <w:p w:rsidR="00000000" w:rsidDel="00000000" w:rsidP="00000000" w:rsidRDefault="00000000" w:rsidRPr="00000000" w14:paraId="0000002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Tomo XXXIII, Junio de 2011 </w:t>
      </w:r>
    </w:p>
    <w:p w:rsidR="00000000" w:rsidDel="00000000" w:rsidP="00000000" w:rsidRDefault="00000000" w:rsidRPr="00000000" w14:paraId="0000002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 </w:t>
      </w:r>
    </w:p>
    <w:p w:rsidR="00000000" w:rsidDel="00000000" w:rsidP="00000000" w:rsidRDefault="00000000" w:rsidRPr="00000000" w14:paraId="0000002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I.6o.P.132 P </w:t>
      </w:r>
    </w:p>
    <w:p w:rsidR="00000000" w:rsidDel="00000000" w:rsidP="00000000" w:rsidRDefault="00000000" w:rsidRPr="00000000" w14:paraId="0000002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1570 </w:t>
      </w:r>
    </w:p>
    <w:p w:rsidR="00000000" w:rsidDel="00000000" w:rsidP="00000000" w:rsidRDefault="00000000" w:rsidRPr="00000000" w14:paraId="0000002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REDUCCIÓN DE LA PENA POR RECONOCIMIENTO DE LA PARTICIPACIÓN, ESTABLECIDA EN LOS ARTÍCULOS 71 TER Y 71 QUÁTER DEL CÓDIGO PENAL PARA EL DISTRITO FEDERAL. SU PROCEDENCIA NO DISTINGUE ENTRE LA CONFESIÓN SIMPLE O CALIFICADA DIVISIBLE.</w:t>
      </w:r>
    </w:p>
    <w:p w:rsidR="00000000" w:rsidDel="00000000" w:rsidP="00000000" w:rsidRDefault="00000000" w:rsidRPr="00000000" w14:paraId="0000002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materia penal la confesión es la declaración realizada voluntariamente por el inculpado o procesado, ante el Ministerio Público, el Juez o tribunal de la causa, con las formalidades legales, sobre hechos propios constitutivos del tipo delictivo materia de la imputación; dentro de la confesión, la jurisprudencia distingue aquella en la que el imputado admite su intervención activa en el hecho ilícito, pero además introduce a su favor una causa excluyente o modificativa de responsabilidad, denominada confesión calificada o restrictiva, la que a su vez puede ser divisible o indivisible, en función de la comprobación o no de los motivos de "disculpa" introducidos por el imputado y, cuando no lo están, es posible fraccionar la declaración y tomarse en cuenta sólo lo que le perjudica y no lo que le beneficia. En el caso, para la procedencia del beneficio de la reducción de la pena, de acuerdo con lo establecido en los artículos 71 Ter y 71 Quáter del Código Penal para el Distrito Federal, que no hacen distinción alguna, se requiere que el sujeto activo confiese su participación en la comisión del delito, lo que puede satisfacerse tanto con una confesión lisa y llana, como con una confesión calificada divisible, por ello, resulta violatoria de garantías la resolución que, haciendo esa distinción, excluye del beneficio a quienes además de aceptar su participación en el delito, introducen a su favor una circunstancia modificativa o excluyente de responsabilidad.</w:t>
      </w:r>
    </w:p>
    <w:p w:rsidR="00000000" w:rsidDel="00000000" w:rsidP="00000000" w:rsidRDefault="00000000" w:rsidRPr="00000000" w14:paraId="0000002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SEXTO TRIBUNAL COLEGIADO EN MATERIA PENAL DEL PRIMER CIRCUITO.</w:t>
      </w:r>
    </w:p>
    <w:p w:rsidR="00000000" w:rsidDel="00000000" w:rsidP="00000000" w:rsidRDefault="00000000" w:rsidRPr="00000000" w14:paraId="0000002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directo 109/2011. 14 de abril de 2011. Unanimidad de votos. Ponente: Roberto Lara Hernández. Secretario: Julio César Ramírez Carreón.</w:t>
      </w:r>
    </w:p>
    <w:p w:rsidR="00000000" w:rsidDel="00000000" w:rsidP="00000000" w:rsidRDefault="00000000" w:rsidRPr="00000000" w14:paraId="0000002C">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Época: Novena Época </w:t>
      </w:r>
    </w:p>
    <w:p w:rsidR="00000000" w:rsidDel="00000000" w:rsidP="00000000" w:rsidRDefault="00000000" w:rsidRPr="00000000" w14:paraId="0000002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162001 </w:t>
      </w:r>
    </w:p>
    <w:p w:rsidR="00000000" w:rsidDel="00000000" w:rsidP="00000000" w:rsidRDefault="00000000" w:rsidRPr="00000000" w14:paraId="0000002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 </w:t>
      </w:r>
    </w:p>
    <w:p w:rsidR="00000000" w:rsidDel="00000000" w:rsidP="00000000" w:rsidRDefault="00000000" w:rsidRPr="00000000" w14:paraId="0000003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de Tesis: Aislada </w:t>
      </w:r>
    </w:p>
    <w:p w:rsidR="00000000" w:rsidDel="00000000" w:rsidP="00000000" w:rsidRDefault="00000000" w:rsidRPr="00000000" w14:paraId="0000003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 </w:t>
      </w:r>
    </w:p>
    <w:p w:rsidR="00000000" w:rsidDel="00000000" w:rsidP="00000000" w:rsidRDefault="00000000" w:rsidRPr="00000000" w14:paraId="0000003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Tomo XXXIII, Mayo de 2011 </w:t>
      </w:r>
    </w:p>
    <w:p w:rsidR="00000000" w:rsidDel="00000000" w:rsidP="00000000" w:rsidRDefault="00000000" w:rsidRPr="00000000" w14:paraId="0000003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 </w:t>
      </w:r>
    </w:p>
    <w:p w:rsidR="00000000" w:rsidDel="00000000" w:rsidP="00000000" w:rsidRDefault="00000000" w:rsidRPr="00000000" w14:paraId="0000003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II.2o.P.259 P </w:t>
      </w:r>
    </w:p>
    <w:p w:rsidR="00000000" w:rsidDel="00000000" w:rsidP="00000000" w:rsidRDefault="00000000" w:rsidRPr="00000000" w14:paraId="0000003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1280 </w:t>
      </w:r>
    </w:p>
    <w:p w:rsidR="00000000" w:rsidDel="00000000" w:rsidP="00000000" w:rsidRDefault="00000000" w:rsidRPr="00000000" w14:paraId="0000003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REDUCCIÓN DE LA PENA EN EL ROBO CALIFICADO. PARA ESTIMAR LISA Y LLANA LA CONFESIÓN REQUERIDA PARA OTORGAR ESTE BENEFICIO, PREVISTO EN EL ARTÍCULO 58, PÁRRAFO SEGUNDO, DEL CÓDIGO PENAL DEL ESTADO DE MÉXICO, BASTA QUE EL ACTIVO ACEPTE HABER USADO LA VIOLENCIA (FÍSICA O MORAL) EN LA COMISIÓN DEL ILÍCITO Y, CON LAS PRUEBAS, SE ACREDITE LA EXISTENCIA DE UNA, OTRA O AMBAS.</w:t>
      </w:r>
    </w:p>
    <w:p w:rsidR="00000000" w:rsidDel="00000000" w:rsidP="00000000" w:rsidRDefault="00000000" w:rsidRPr="00000000" w14:paraId="0000003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artículo 58, párrafo segundo, del Código Penal del Estado de México requiere de una confesión lisa y llana de los hechos que se le imputan al procesado para que sea reducida en un tercio la pena que le correspondería conforme al propio código; así, de una interpretación armónica, sistemática y teleológica de dicho precepto, en relación con el numeral 290, fracción I, del referido código, se considera que tratándose del delito de robo agravado por violencia, para que sea procedente la reducción de la pena, basta para estimar como lisa y llana la confesión, la aceptación del uso de la violencia para la comisión del latrocinio, al margen de que se refiera a una de tipo física o moral y con las pruebas se acredite la existencia de una, otra o ambas; en otras palabras, no se requiere que el inculpado admita textualmente, todas las circunstancias específicas del hecho tal como se le atribuye; lo anterior es así, pues si bien debe analizarse ese aspecto de manera casuística, basta para la concesión de la mencionada reducción, que la admisión del hecho ilícito contenga las circunstancias de tiempo, modo y lugar del evento criminoso, reconociendo el uso de cualquier tipo de violencia; pues de tener un criterio contrario, se estaría en presencia de una posición en extremo legalista, que se aleja de la ratio legis, en primer lugar, por evitar una oportunidad a las personas que reconocen su responsabilidad legal al aceptar su participación criminal agravada y, con ello, facilitar la labor del juzgador, al permitir su condena de una manera más sencilla; y, en segundo lugar, porque la diferencia entre los tipos de violencia no conlleva a una sanción distinta, según el propio Código Penal; de ahí que cuando de las declaraciones se advierta que el reo jamás evidenció tratar de eludir su responsabilidad penal, agravada con cualquiera de los tipos de violencia, debe concederse el beneficio.</w:t>
      </w:r>
    </w:p>
    <w:p w:rsidR="00000000" w:rsidDel="00000000" w:rsidP="00000000" w:rsidRDefault="00000000" w:rsidRPr="00000000" w14:paraId="0000003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SEGUNDO TRIBUNAL COLEGIADO EN MATERIA PENAL DEL SEGUNDO CIRCUITO.</w:t>
      </w:r>
    </w:p>
    <w:p w:rsidR="00000000" w:rsidDel="00000000" w:rsidP="00000000" w:rsidRDefault="00000000" w:rsidRPr="00000000" w14:paraId="0000003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directo 139/2010. 19 de agosto de 2010. Unanimidad de votos. Ponente: Adalid Ambriz Landa. Secretario: Omar Fuentes Cerdán.</w:t>
      </w:r>
    </w:p>
    <w:p w:rsidR="00000000" w:rsidDel="00000000" w:rsidP="00000000" w:rsidRDefault="00000000" w:rsidRPr="00000000" w14:paraId="0000003A">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188554</w:t>
      </w:r>
    </w:p>
    <w:p w:rsidR="00000000" w:rsidDel="00000000" w:rsidP="00000000" w:rsidRDefault="00000000" w:rsidRPr="00000000" w14:paraId="0000003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Primera Sala</w:t>
      </w:r>
    </w:p>
    <w:p w:rsidR="00000000" w:rsidDel="00000000" w:rsidP="00000000" w:rsidRDefault="00000000" w:rsidRPr="00000000" w14:paraId="0000003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Novena Época</w:t>
      </w:r>
    </w:p>
    <w:p w:rsidR="00000000" w:rsidDel="00000000" w:rsidP="00000000" w:rsidRDefault="00000000" w:rsidRPr="00000000" w14:paraId="0000003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Penal</w:t>
      </w:r>
    </w:p>
    <w:p w:rsidR="00000000" w:rsidDel="00000000" w:rsidP="00000000" w:rsidRDefault="00000000" w:rsidRPr="00000000" w14:paraId="0000003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1a./J. 28/2001      </w:t>
      </w:r>
    </w:p>
    <w:p w:rsidR="00000000" w:rsidDel="00000000" w:rsidP="00000000" w:rsidRDefault="00000000" w:rsidRPr="00000000" w14:paraId="0000004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 Tomo XIV, Octubre de 2001, página 159</w:t>
      </w:r>
    </w:p>
    <w:p w:rsidR="00000000" w:rsidDel="00000000" w:rsidP="00000000" w:rsidRDefault="00000000" w:rsidRPr="00000000" w14:paraId="0000004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Jurisprudencia</w:t>
      </w:r>
    </w:p>
    <w:p w:rsidR="00000000" w:rsidDel="00000000" w:rsidP="00000000" w:rsidRDefault="00000000" w:rsidRPr="00000000" w14:paraId="0000004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PENA, REDUCCIÓN DE LA. LA FACULTAD QUE EL ARTÍCULO 67 DEL CÓDIGO PENAL PARA EL ESTADO DE DURANGO OTORGA A LOS JUZGADORES DE PRIMERA Y SEGUNDA INSTANCIAS PARA EFECTUARLA POR CONFESIÓN ESPONTÁNEA DEL ACUSADO EN RELACIÓN CON LOS HECHOS QUE SE LE IMPUTAN, PUEDE EJERCERSE CUANDO SE EMITE EN FORMA LISA Y LLANA, O BIEN, CALIFICADA.</w:t>
      </w:r>
    </w:p>
    <w:p w:rsidR="00000000" w:rsidDel="00000000" w:rsidP="00000000" w:rsidRDefault="00000000" w:rsidRPr="00000000" w14:paraId="0000004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segundo párrafo del referido precepto establece que si el inculpado al rendir su declaración preparatoria confiesa espontáneamente los hechos que se le imputan, o en ese mismo acto ratifica la rendida en indagatoria, o la formula con posterioridad hasta antes de la celebración de la audiencia final del juicio, el Juez podrá reducir hasta un tercio la pena que le correspondería conforme a lo dispuesto en dicho código. Por su parte, el tercer párrafo de dicho precepto señala que la sentencia que reduzca la pena deberá ser confirmada por el tribunal de alzada correspondiente para que surta efectos y, entre tanto, la pena se entenderá impuesta sin la reducción autorizada por el propio artículo. De lo anterior se sigue que el numeral en cita prevé una facultad discrecional tanto para el juzgador de primera instancia, de reducir la pena impuesta al acusado, como para el de segunda instancia de confirmar dicha reducción de la pena impuesta al sentenciado, facultad que puede ejercerse con la única condición de que éste hubiera confesado espontáneamente los hechos que se le imputan, debiéndose razonar, en su caso, su no aplicación, sin que para ello sea preciso que la confesión sea necesariamente lisa y llana, ya que el precepto citado no excluye la confesión calificada, pues no hace distinción alguna al respecto; además de que los argumentos que en ella se esgriman relativos a causas excluyentes de responsabilidad, en forma alguna modifican o alteran la admisión de los hechos imputados, que es a lo que se limita el párrafo segundo de dicho numeral.</w:t>
      </w:r>
    </w:p>
    <w:p w:rsidR="00000000" w:rsidDel="00000000" w:rsidP="00000000" w:rsidRDefault="00000000" w:rsidRPr="00000000" w14:paraId="0000004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Contradicción de tesis 24/99. Entre las sustentadas por los Tribunales Colegiados Primero, Segundo y Tercero del Octavo Circuito. 10 de enero de 2001. Cinco votos. Ponente: Humberto Román Palacios. Secretario: Marco Antonio Arredondo Elías.</w:t>
      </w:r>
    </w:p>
    <w:p w:rsidR="00000000" w:rsidDel="00000000" w:rsidP="00000000" w:rsidRDefault="00000000" w:rsidRPr="00000000" w14:paraId="0000004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de jurisprudencia 28/2001. Aprobada por la Primera Sala de este Alto Tribunal, en sesión de veintitrés de mayo de dos mil uno, por unanimidad de cuatro votos de los señores Ministros: presidente José de Jesús Gudiño Pelayo, Humberto Román Palacios, Juan N. Silva Meza y Olga Sánchez Cordero de García Villegas. Ausente: Juventino V. Castro y Castro.</w:t>
      </w:r>
    </w:p>
    <w:p w:rsidR="00000000" w:rsidDel="00000000" w:rsidP="00000000" w:rsidRDefault="00000000" w:rsidRPr="00000000" w14:paraId="00000046">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Época: Novena Época </w:t>
      </w:r>
    </w:p>
    <w:p w:rsidR="00000000" w:rsidDel="00000000" w:rsidP="00000000" w:rsidRDefault="00000000" w:rsidRPr="00000000" w14:paraId="0000004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190586 </w:t>
      </w:r>
    </w:p>
    <w:p w:rsidR="00000000" w:rsidDel="00000000" w:rsidP="00000000" w:rsidRDefault="00000000" w:rsidRPr="00000000" w14:paraId="0000004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 </w:t>
      </w:r>
    </w:p>
    <w:p w:rsidR="00000000" w:rsidDel="00000000" w:rsidP="00000000" w:rsidRDefault="00000000" w:rsidRPr="00000000" w14:paraId="0000004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de Tesis: Jurisprudencia </w:t>
      </w:r>
    </w:p>
    <w:p w:rsidR="00000000" w:rsidDel="00000000" w:rsidP="00000000" w:rsidRDefault="00000000" w:rsidRPr="00000000" w14:paraId="0000004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 </w:t>
      </w:r>
    </w:p>
    <w:p w:rsidR="00000000" w:rsidDel="00000000" w:rsidP="00000000" w:rsidRDefault="00000000" w:rsidRPr="00000000" w14:paraId="0000004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Tomo XII, Diciembre de 2000 </w:t>
      </w:r>
    </w:p>
    <w:p w:rsidR="00000000" w:rsidDel="00000000" w:rsidP="00000000" w:rsidRDefault="00000000" w:rsidRPr="00000000" w14:paraId="0000004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 </w:t>
      </w:r>
    </w:p>
    <w:p w:rsidR="00000000" w:rsidDel="00000000" w:rsidP="00000000" w:rsidRDefault="00000000" w:rsidRPr="00000000" w14:paraId="0000004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II.1o.P. J/4 </w:t>
      </w:r>
    </w:p>
    <w:p w:rsidR="00000000" w:rsidDel="00000000" w:rsidP="00000000" w:rsidRDefault="00000000" w:rsidRPr="00000000" w14:paraId="0000004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1274 </w:t>
      </w:r>
    </w:p>
    <w:p w:rsidR="00000000" w:rsidDel="00000000" w:rsidP="00000000" w:rsidRDefault="00000000" w:rsidRPr="00000000" w14:paraId="0000005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PENA, BENEFICIO DE LA REDUCCIÓN DE LA, CONFESIÓN CALIFICADA, OTORGAMIENTO DEL.</w:t>
      </w:r>
    </w:p>
    <w:p w:rsidR="00000000" w:rsidDel="00000000" w:rsidP="00000000" w:rsidRDefault="00000000" w:rsidRPr="00000000" w14:paraId="0000005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artículo 60, párrafo segundo del Código Penal del Estado de México, vigente en la época de los hechos, establecía: "Si el inculpado al rendir su declaración preparatoria confiesa espontáneamente los hechos que se le imputan, o en ese mismo acto ratifica la rendida en indagatoria, o la formula con posterioridad hasta antes de la celebración de la audiencia final de juicio, el Juez podrá reducir hasta en un tercio la pena que le correspondería conforme a este código."; de la interpretación de dicho numeral, se advierte que la única condición que se requiere para el otorgamiento del beneficio señalado, es que el acusado confiese espontáneamente los hechos que se le imputan, mas no que emita una confesión lisa y llana; por lo que si el quejoso acepta el hecho del delito en general, pero introduce en su declaración circunstancias tendientes a demostrar su inculpabilidad, al ser tomada esa declaración con el carácter de confesión calificada, también debe ser tomada en cuenta para que se le conceda el beneficio de la reducción de la pena.</w:t>
      </w:r>
    </w:p>
    <w:p w:rsidR="00000000" w:rsidDel="00000000" w:rsidP="00000000" w:rsidRDefault="00000000" w:rsidRPr="00000000" w14:paraId="0000005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PRIMER TRIBUNAL COLEGIADO EN MATERIA PENAL DEL SEGUNDO CIRCUITO.</w:t>
      </w:r>
    </w:p>
    <w:p w:rsidR="00000000" w:rsidDel="00000000" w:rsidP="00000000" w:rsidRDefault="00000000" w:rsidRPr="00000000" w14:paraId="0000005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directo 325/99. 2 de septiembre de 1999. Unanimidad de votos. Ponente: Rogelio Sánchez Alcáuter. Secretario: Antonio Legorreta Segundo.</w:t>
      </w:r>
    </w:p>
    <w:sectPr>
      <w:headerReference r:id="rId7" w:type="default"/>
      <w:pgSz w:h="15842" w:w="12242"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BE3831"/>
    <w:pPr>
      <w:tabs>
        <w:tab w:val="center" w:pos="4419"/>
        <w:tab w:val="right" w:pos="8838"/>
      </w:tabs>
    </w:pPr>
  </w:style>
  <w:style w:type="character" w:styleId="EncabezadoCar" w:customStyle="1">
    <w:name w:val="Encabezado Car"/>
    <w:basedOn w:val="Fuentedeprrafopredeter"/>
    <w:link w:val="Encabezado"/>
    <w:uiPriority w:val="99"/>
    <w:rsid w:val="00BE3831"/>
  </w:style>
  <w:style w:type="paragraph" w:styleId="Piedepgina">
    <w:name w:val="footer"/>
    <w:basedOn w:val="Normal"/>
    <w:link w:val="PiedepginaCar"/>
    <w:uiPriority w:val="99"/>
    <w:unhideWhenUsed w:val="1"/>
    <w:rsid w:val="00BE3831"/>
    <w:pPr>
      <w:tabs>
        <w:tab w:val="center" w:pos="4419"/>
        <w:tab w:val="right" w:pos="8838"/>
      </w:tabs>
    </w:pPr>
  </w:style>
  <w:style w:type="character" w:styleId="PiedepginaCar" w:customStyle="1">
    <w:name w:val="Pie de página Car"/>
    <w:basedOn w:val="Fuentedeprrafopredeter"/>
    <w:link w:val="Piedepgina"/>
    <w:uiPriority w:val="99"/>
    <w:rsid w:val="00BE383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1W0PX6w/XtcCwrTlz1rXrauM3Q==">AMUW2mXZiSvI3WCwy+zEtWs8aW/3Y415upSpTfe6vWpdEn6PqI/GXPmBSrH10vyPpESDUgancskGrfWpqI1BV7SYK3QndGw7DHTe2q+UdnCpiAmEbVuSCUSSLKjFTY/KMydrmEN/gp7U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2020-09-27T03:16:00Z</dcterms:created>
  <dc:creator>MARIA DE LOS ANGELES ANTONIA OCEGUEDA INFANTE</dc:creator>
</cp:coreProperties>
</file>