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AB716" w14:textId="77777777" w:rsidR="007D2EAC" w:rsidRPr="007D2EAC" w:rsidRDefault="007D2EAC" w:rsidP="007D2EAC">
      <w:pPr>
        <w:jc w:val="center"/>
        <w:rPr>
          <w:rFonts w:ascii="Arial" w:hAnsi="Arial" w:cs="Arial"/>
          <w:b/>
          <w:bCs/>
          <w:sz w:val="20"/>
          <w:szCs w:val="20"/>
        </w:rPr>
      </w:pPr>
      <w:r w:rsidRPr="007D2EAC">
        <w:rPr>
          <w:rFonts w:ascii="Arial" w:hAnsi="Arial" w:cs="Arial"/>
          <w:b/>
          <w:bCs/>
          <w:sz w:val="20"/>
          <w:szCs w:val="20"/>
        </w:rPr>
        <w:t>SANCIÓN PECUNIARIA</w:t>
      </w:r>
    </w:p>
    <w:p w14:paraId="7C8E8F98" w14:textId="77777777" w:rsidR="007D2EAC" w:rsidRDefault="007D2EAC" w:rsidP="007D2EAC">
      <w:pPr>
        <w:jc w:val="both"/>
        <w:rPr>
          <w:rFonts w:ascii="Arial" w:hAnsi="Arial" w:cs="Arial"/>
          <w:sz w:val="20"/>
          <w:szCs w:val="20"/>
        </w:rPr>
      </w:pPr>
    </w:p>
    <w:p w14:paraId="0427BAC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Décima Época </w:t>
      </w:r>
    </w:p>
    <w:p w14:paraId="0335F243"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2018803 </w:t>
      </w:r>
    </w:p>
    <w:p w14:paraId="479BB92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3C19D0BA"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Aislada </w:t>
      </w:r>
    </w:p>
    <w:p w14:paraId="456940B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Gaceta del Semanario Judicial de la Federación </w:t>
      </w:r>
    </w:p>
    <w:p w14:paraId="71E4A1D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Libro 61, </w:t>
      </w:r>
      <w:proofErr w:type="gramStart"/>
      <w:r w:rsidRPr="007D2EAC">
        <w:rPr>
          <w:rFonts w:ascii="Arial" w:hAnsi="Arial" w:cs="Arial"/>
          <w:sz w:val="20"/>
          <w:szCs w:val="20"/>
        </w:rPr>
        <w:t>Diciembre</w:t>
      </w:r>
      <w:proofErr w:type="gramEnd"/>
      <w:r w:rsidRPr="007D2EAC">
        <w:rPr>
          <w:rFonts w:ascii="Arial" w:hAnsi="Arial" w:cs="Arial"/>
          <w:sz w:val="20"/>
          <w:szCs w:val="20"/>
        </w:rPr>
        <w:t xml:space="preserve"> de 2018, Tomo I </w:t>
      </w:r>
    </w:p>
    <w:p w14:paraId="6B20B9F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618C5B3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 CL/2018 (10a.) </w:t>
      </w:r>
    </w:p>
    <w:p w14:paraId="6093C59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399 </w:t>
      </w:r>
    </w:p>
    <w:p w14:paraId="200EFFD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REPARACIÓN DEL DAÑO EN EL DELITO DE HOMICIDIO. LOS ARTÍCULOS 47 DEL CÓDIGO PENAL PARA EL DISTRITO FEDERAL, APLICABLE PARA LA CIUDAD DE MÉXICO, Y 502 DE LA LEY FEDERAL DEL TRABAJO, NO VIOLAN LOS PRINCIPIOS DE LEGALIDAD Y DE SEGURIDAD JURÍDICA.</w:t>
      </w:r>
    </w:p>
    <w:p w14:paraId="7A792BA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Los preceptos citados al establecer, respectivamente, que tratándose de delitos que afecten la vida o la integridad corporal, el monto de la reparación del daño no podrá ser menor del que resulte de aplicar las disposiciones relativas de la Ley Federal del Trabajo, y que en caso de muerte del trabajador, la indemnización que corresponda a las personas a que se refiere el artículo 501 del mismo ordenamiento, será la cantidad equivalente al importe de cinco mil días de salario, sin deducir la indemnización que percibió el trabajador durante el tiempo en que estuvo sometido al régimen de incapacidad temporal, no violan los principios de legalidad y de seguridad jurídica, aun cuando no establezcan literalmente a qué artículo de la Ley Federal del Trabajo debe remitirse para poder calcularse el monto de la indemnización que se impone como sanción pecuniaria por la comisión del delito de homicidio, toda vez que de las disposiciones de dicha ley que contemplan los daños causados al ofendido tratándose de delitos que afectan la vida o la integridad corporal, se advierte que establecen que debe referirse al artículo 502 de la Ley Federal del Trabajo.</w:t>
      </w:r>
    </w:p>
    <w:p w14:paraId="158D668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Amparo directo en revisión 24/2018. Javier Moncada Jiménez. 18 de abril de 2018. Mayoría de cuatro votos de los </w:t>
      </w:r>
      <w:proofErr w:type="gramStart"/>
      <w:r w:rsidRPr="007D2EAC">
        <w:rPr>
          <w:rFonts w:ascii="Arial" w:hAnsi="Arial" w:cs="Arial"/>
          <w:sz w:val="20"/>
          <w:szCs w:val="20"/>
        </w:rPr>
        <w:t>Ministros</w:t>
      </w:r>
      <w:proofErr w:type="gramEnd"/>
      <w:r w:rsidRPr="007D2EAC">
        <w:rPr>
          <w:rFonts w:ascii="Arial" w:hAnsi="Arial" w:cs="Arial"/>
          <w:sz w:val="20"/>
          <w:szCs w:val="20"/>
        </w:rPr>
        <w:t xml:space="preserve"> José Ramón Cossío Díaz, Jorge Mario Pardo Rebolledo, Alfredo Gutiérrez Ortiz Mena y Norma Lucía Piña Hernández. Disidente: Arturo Zaldívar Lelo de Larrea. Ponente: Norma Lucía Piña Hernández. Secretario: </w:t>
      </w:r>
      <w:proofErr w:type="spellStart"/>
      <w:r w:rsidRPr="007D2EAC">
        <w:rPr>
          <w:rFonts w:ascii="Arial" w:hAnsi="Arial" w:cs="Arial"/>
          <w:sz w:val="20"/>
          <w:szCs w:val="20"/>
        </w:rPr>
        <w:t>Suleiman</w:t>
      </w:r>
      <w:proofErr w:type="spellEnd"/>
      <w:r w:rsidRPr="007D2EAC">
        <w:rPr>
          <w:rFonts w:ascii="Arial" w:hAnsi="Arial" w:cs="Arial"/>
          <w:sz w:val="20"/>
          <w:szCs w:val="20"/>
        </w:rPr>
        <w:t xml:space="preserve"> Meraz Ortiz.</w:t>
      </w:r>
    </w:p>
    <w:p w14:paraId="6CA28156" w14:textId="77777777" w:rsidR="007D2EAC" w:rsidRPr="007D2EAC" w:rsidRDefault="007D2EAC" w:rsidP="007D2EAC">
      <w:pPr>
        <w:jc w:val="both"/>
        <w:rPr>
          <w:rFonts w:ascii="Arial" w:hAnsi="Arial" w:cs="Arial"/>
          <w:sz w:val="20"/>
          <w:szCs w:val="20"/>
        </w:rPr>
      </w:pPr>
    </w:p>
    <w:p w14:paraId="3148A09A"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Décima Época </w:t>
      </w:r>
    </w:p>
    <w:p w14:paraId="4A45FE33"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2014145 </w:t>
      </w:r>
    </w:p>
    <w:p w14:paraId="7A35C497"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7BC3BB6E"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Jurisprudencia </w:t>
      </w:r>
    </w:p>
    <w:p w14:paraId="1EFA5E6E"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Gaceta del Semanario Judicial de la Federación </w:t>
      </w:r>
    </w:p>
    <w:p w14:paraId="060551FE"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Libro 41, </w:t>
      </w:r>
      <w:proofErr w:type="gramStart"/>
      <w:r w:rsidRPr="007D2EAC">
        <w:rPr>
          <w:rFonts w:ascii="Arial" w:hAnsi="Arial" w:cs="Arial"/>
          <w:sz w:val="20"/>
          <w:szCs w:val="20"/>
        </w:rPr>
        <w:t>Abril</w:t>
      </w:r>
      <w:proofErr w:type="gramEnd"/>
      <w:r w:rsidRPr="007D2EAC">
        <w:rPr>
          <w:rFonts w:ascii="Arial" w:hAnsi="Arial" w:cs="Arial"/>
          <w:sz w:val="20"/>
          <w:szCs w:val="20"/>
        </w:rPr>
        <w:t xml:space="preserve"> de 2017, Tomo I </w:t>
      </w:r>
    </w:p>
    <w:p w14:paraId="1527415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1E014AD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1a./J. 29/2017 (10a.) </w:t>
      </w:r>
    </w:p>
    <w:p w14:paraId="32A0FD76"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807 </w:t>
      </w:r>
    </w:p>
    <w:p w14:paraId="65286C2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LIBERTAD PROVISIONAL BAJO CAUCIÓN. LOS ARTÍCULOS 399 Y 402 DEL CÓDIGO FEDERAL DE PROCEDIMIENTOS PENALES NO LIMITAN LA GARANTÍA DE ASEQUIBILIDAD A QUE SE REFIERE EL ARTÍCULO 20, APARTADO A, FRACCIÓN I, DE LA CONSTITUCIÓN POLÍTICA DE LOS ESTADOS UNIDOS MEXICANOS (TEXTO ANTERIOR A LA REFORMA PUBLICADA EN EL DIARIO OFICIAL DE LA FEDERACIÓN EL 18 DE JUNIO DE 2008).</w:t>
      </w:r>
    </w:p>
    <w:p w14:paraId="5ACA47F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Conforme al citado precepto constitucional, cuando el inculpado queda a disposición del juez puede solicitar la libertad provisional bajo caución, siempre y cuando el delito imputado y las circunstancias permitan acceder a tal beneficio; siendo que el monto de la caución fijada debe ser asequible para el inculpado, para lo cual el juzgador no solamente debe tomar en cuenta la reparación del daño y las sanciones pecuniarias que en su caso puedan imponerse, sino también el cumplimiento de las obligaciones procesales a su cargo. En ese sentido, se concluye que los artículos 399 y 402 del Código Federal de Procedimientos Penales no limitan la garantía de asequibilidad a que se refiere el numeral 20, apartado A, fracción I, de la Constitución General de la República, pues por lo que hace al indicado artículo 399, tratándose de delitos con efectos económicos en los que el autor obtiene un beneficio o causa un daño patrimonial, el objeto de la garantía es asegurar la reparación del daño, ya que de lo contrario la fianza podría resultar significativamente menor al beneficio obtenido con el ilícito o a los daños y perjuicios causados con su realización, lo cual también se justifica en la sanción pecuniaria que pueda llegar a imponerse; mientras que el citado artículo 402 establece una prevención idéntica a la contenida en el aludido precepto constitucional. De manera que al señalar dicho artículo que se tomará en cuenta la naturaleza de la garantía que se ofrezca, sólo desarrolla un concepto incluido en la Constitución, además de considerar las diversas formas previstas en la legislación penal para exhibir la caución (depósito en efectivo, fianza, prenda, hipoteca, entre otras), lo cual también permite cumplir con la orden de que la garantía debe ser asequible para el inculpado, ya que éste puede presentar la caución fijada en la forma que más le convenga, por mandato constitucional. Además, la materia que anima a los señalados artículos procesales no es la libertad provisional bajo caución del inculpado, sino el derecho a obtenerla cuando se cumplan los requisitos de ley; de ahí que no pueden considerarse inconstitucionales, al no prever mayores requisitos a los contenidos en la Ley Fundamental.</w:t>
      </w:r>
    </w:p>
    <w:p w14:paraId="1D38D91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lastRenderedPageBreak/>
        <w:t xml:space="preserve">Amparo en revisión 893/2008. 5 de noviembre de 2008. Cinco votos de los </w:t>
      </w:r>
      <w:proofErr w:type="gramStart"/>
      <w:r w:rsidRPr="007D2EAC">
        <w:rPr>
          <w:rFonts w:ascii="Arial" w:hAnsi="Arial" w:cs="Arial"/>
          <w:sz w:val="20"/>
          <w:szCs w:val="20"/>
        </w:rPr>
        <w:t>Ministros</w:t>
      </w:r>
      <w:proofErr w:type="gramEnd"/>
      <w:r w:rsidRPr="007D2EAC">
        <w:rPr>
          <w:rFonts w:ascii="Arial" w:hAnsi="Arial" w:cs="Arial"/>
          <w:sz w:val="20"/>
          <w:szCs w:val="20"/>
        </w:rPr>
        <w:t xml:space="preserve"> José de Jesús Gudiño Pelayo, José Ramón Cossío Díaz, Juan N. Silva Meza, Olga Sánchez Cordero de García Villegas y Sergio A. Valls Hernández. Ponente: José Ramón Cossío Díaz. Secretaria: Rosalba Rodríguez Mireles.</w:t>
      </w:r>
    </w:p>
    <w:p w14:paraId="28ECAD22" w14:textId="77777777" w:rsidR="007D2EAC" w:rsidRPr="007D2EAC" w:rsidRDefault="007D2EAC" w:rsidP="007D2EAC">
      <w:pPr>
        <w:jc w:val="both"/>
        <w:rPr>
          <w:rFonts w:ascii="Arial" w:hAnsi="Arial" w:cs="Arial"/>
          <w:sz w:val="20"/>
          <w:szCs w:val="20"/>
        </w:rPr>
      </w:pPr>
    </w:p>
    <w:p w14:paraId="1ABAB52A"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Décima Época </w:t>
      </w:r>
    </w:p>
    <w:p w14:paraId="07C4CE8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2012977 </w:t>
      </w:r>
    </w:p>
    <w:p w14:paraId="2432A77E"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46505FF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Aislada </w:t>
      </w:r>
    </w:p>
    <w:p w14:paraId="147D923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Gaceta del Semanario Judicial de la Federación </w:t>
      </w:r>
    </w:p>
    <w:p w14:paraId="305F36E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Libro 36, </w:t>
      </w:r>
      <w:proofErr w:type="gramStart"/>
      <w:r w:rsidRPr="007D2EAC">
        <w:rPr>
          <w:rFonts w:ascii="Arial" w:hAnsi="Arial" w:cs="Arial"/>
          <w:sz w:val="20"/>
          <w:szCs w:val="20"/>
        </w:rPr>
        <w:t>Noviembre</w:t>
      </w:r>
      <w:proofErr w:type="gramEnd"/>
      <w:r w:rsidRPr="007D2EAC">
        <w:rPr>
          <w:rFonts w:ascii="Arial" w:hAnsi="Arial" w:cs="Arial"/>
          <w:sz w:val="20"/>
          <w:szCs w:val="20"/>
        </w:rPr>
        <w:t xml:space="preserve"> de 2016, Tomo II </w:t>
      </w:r>
    </w:p>
    <w:p w14:paraId="4FC9029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6D76600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 CCXLVI/2016 (10a.) </w:t>
      </w:r>
    </w:p>
    <w:p w14:paraId="714EFDA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913 </w:t>
      </w:r>
    </w:p>
    <w:p w14:paraId="7E66CFE7"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SUSPENSIÓN DE LA EJECUCIÓN DE LAS PENAS. EL REQUISITO DE CUBRIR LA REPARACIÓN DEL DAÑO PARA GOZAR DE ESTE BENEFICIO PREVISTO EN LA FRACCIÓN V DEL ARTÍCULO 90 DEL CÓDIGO PENAL PARA EL DISTRITO FEDERAL, NO CONSTITUYE UNA DEUDA DE CARÁCTER CIVIL, POR LO QUE NO VIOLA EL ÚLTIMO PÁRRAFO DEL ARTÍCULO 17 CONSTITUCIONAL.</w:t>
      </w:r>
    </w:p>
    <w:p w14:paraId="4942CD13"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El precepto citado, al prever como requisito para gozar del beneficio de la suspensión condicional de la ejecución de la pena, que el sentenciado acredite haber cubierto la reparación del daño, no es inconstitucional, toda vez que dicho requisito no constituye un aprisionamiento por deudas de carácter puramente civil, prohibido por el artículo 17, párrafo último, de la Constitución Política de los Estados Unidos Mexicanos, sino una condición de efectividad para que el sentenciado pueda gozar de la libertad que ha sido restringida mediante la sentencia condenatoria, por habérsele declarado penalmente responsable en el proceso penal que se le siguió con motivo de la imputación de un delito; y su reintegración está sujeta a que se purgue la afectación generada a quien resintió la conducta ilícita que se acreditó en aquél, mediante el pago de la reparación del daño, como sanción pecuniaria, a la luz del derecho humano establecido en favor de la víctima u ofendido.</w:t>
      </w:r>
    </w:p>
    <w:p w14:paraId="22C22AF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Amparo directo en revisión 5412/2015. 29 de junio de 2016. Mayoría de tres votos de los </w:t>
      </w:r>
      <w:proofErr w:type="gramStart"/>
      <w:r w:rsidRPr="007D2EAC">
        <w:rPr>
          <w:rFonts w:ascii="Arial" w:hAnsi="Arial" w:cs="Arial"/>
          <w:sz w:val="20"/>
          <w:szCs w:val="20"/>
        </w:rPr>
        <w:t>Ministros</w:t>
      </w:r>
      <w:proofErr w:type="gramEnd"/>
      <w:r w:rsidRPr="007D2EAC">
        <w:rPr>
          <w:rFonts w:ascii="Arial" w:hAnsi="Arial" w:cs="Arial"/>
          <w:sz w:val="20"/>
          <w:szCs w:val="20"/>
        </w:rPr>
        <w:t xml:space="preserve"> José Ramón Cossío Díaz, Norma Lucía Piña Hernández y Alfredo Gutiérrez Ortiz Mena. Disidente: Arturo Zaldívar Lelo de Larrea. Ausente: Jorge Mario Pardo Rebolledo. Ponente: José Ramón Cossío Díaz. Secretaria: Rosalba Rodríguez Mireles.</w:t>
      </w:r>
    </w:p>
    <w:p w14:paraId="0DF82AFE" w14:textId="77777777" w:rsidR="007D2EAC" w:rsidRPr="007D2EAC" w:rsidRDefault="007D2EAC" w:rsidP="007D2EAC">
      <w:pPr>
        <w:jc w:val="both"/>
        <w:rPr>
          <w:rFonts w:ascii="Arial" w:hAnsi="Arial" w:cs="Arial"/>
          <w:sz w:val="20"/>
          <w:szCs w:val="20"/>
        </w:rPr>
      </w:pPr>
    </w:p>
    <w:p w14:paraId="04960827"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Décima Época </w:t>
      </w:r>
    </w:p>
    <w:p w14:paraId="0AC3644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2012445 </w:t>
      </w:r>
    </w:p>
    <w:p w14:paraId="04EB0D2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48635ED7"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Aislada </w:t>
      </w:r>
    </w:p>
    <w:p w14:paraId="273A2C4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Gaceta del Semanario Judicial de la Federación </w:t>
      </w:r>
    </w:p>
    <w:p w14:paraId="7DC0A4C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Libro 34, </w:t>
      </w:r>
      <w:proofErr w:type="gramStart"/>
      <w:r w:rsidRPr="007D2EAC">
        <w:rPr>
          <w:rFonts w:ascii="Arial" w:hAnsi="Arial" w:cs="Arial"/>
          <w:sz w:val="20"/>
          <w:szCs w:val="20"/>
        </w:rPr>
        <w:t>Septiembre</w:t>
      </w:r>
      <w:proofErr w:type="gramEnd"/>
      <w:r w:rsidRPr="007D2EAC">
        <w:rPr>
          <w:rFonts w:ascii="Arial" w:hAnsi="Arial" w:cs="Arial"/>
          <w:sz w:val="20"/>
          <w:szCs w:val="20"/>
        </w:rPr>
        <w:t xml:space="preserve"> de 2016, Tomo I </w:t>
      </w:r>
    </w:p>
    <w:p w14:paraId="627D9CF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07FA83C6"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 CCXVI/2016 (10a.) </w:t>
      </w:r>
    </w:p>
    <w:p w14:paraId="309DFB9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512 </w:t>
      </w:r>
    </w:p>
    <w:p w14:paraId="37C91C8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REPARACIÓN DEL DAÑO EN MATERIA PENAL. SU NATURALEZA JURÍDICA CONFORME AL CÓDIGO PENAL PARA EL DISTRITO FEDERAL.</w:t>
      </w:r>
    </w:p>
    <w:p w14:paraId="395856F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La reparación del daño en materia penal es una sanción pecuniaria que el juzgador debe imponer al individualizar la pena al sujeto activo del delito, de conformidad con el artículo 30 del Código Penal para el Distrito Federal, que prevé el catálogo de penas, entre las que se encuentran las sanciones pecuniarias. A su vez, de los numerales 37, 42 a 45 y 47 del código citado, se advierte que entre las sanciones pecuniarias se ubica la reparación del daño, así como su naturaleza jurídica y la forma en que el juez de proceso debe fijarla al individualizar la pena. Así, la reparación del daño en materia penal constituye una "pena" o "sanción pública" impuesta al gobernado o imputado mediante una sentencia y, por ende, al incluirse dicha figura dentro del derecho penal, su determinación y cuantificación deben regirse por los principios de integralidad, efectividad y proporcionalidad aplicables a la materia. En efecto, la reparación del daño en la vía penal tiene una comprensión dual pues, por un lado, satisface una función social, en su carácter de pena y, por otro, satisface una función privada, al contribuir a resarcir la afectación ocasionada a la víctima u ofendido del delito, con motivo de su comisión, lo que trae, a su vez, para el agente del delito, una responsabilidad civil extracontractual de carácter subjetivo que, por imperativo del artículo 20 de la Constitución Política de los Estados Unidos Mexicanos, necesariamente debe dar lugar a una reparación del daño en el proceso penal. Lo anterior, independientemente de si la víctima u ofendido decide ejercer una acción particular, en virtud de que ambas reparaciones (aun con un mismo origen) son autónomas y pueden subsistir una y otra, pues la responsabilidad civil (objetiva y subjetiva) nacida de la comisión de un ilícito penal no cesa porque dicha conducta se haya sancionado mediante la aplicación del derecho punitivo, antes bien, subsiste con sujeción a las reglas del derecho civil, ya que aun cuando ambas pudieron tener el mismo origen, su naturaleza es distinta.</w:t>
      </w:r>
    </w:p>
    <w:p w14:paraId="0D0DE9A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Amparo directo en revisión 3166/2015. 18 de mayo de 2016. Mayoría de cuatro votos de los </w:t>
      </w:r>
      <w:proofErr w:type="gramStart"/>
      <w:r w:rsidRPr="007D2EAC">
        <w:rPr>
          <w:rFonts w:ascii="Arial" w:hAnsi="Arial" w:cs="Arial"/>
          <w:sz w:val="20"/>
          <w:szCs w:val="20"/>
        </w:rPr>
        <w:t>Ministros</w:t>
      </w:r>
      <w:proofErr w:type="gramEnd"/>
      <w:r w:rsidRPr="007D2EAC">
        <w:rPr>
          <w:rFonts w:ascii="Arial" w:hAnsi="Arial" w:cs="Arial"/>
          <w:sz w:val="20"/>
          <w:szCs w:val="20"/>
        </w:rPr>
        <w:t xml:space="preserve"> José Ramón Cossío Díaz, Jorge Mario Pardo Rebolledo, Norma Lucía Piña Hernández y Alfredo Gutiérrez Ortiz Mena, quien reservó su derecho para formular voto concurrente. Disidente: Arturo Zaldívar Lelo de Larrea, quien reservó su derecho para formular voto particular. Ponente: José Ramón Cossío Díaz. Secretario: Horacio Vite Torres.</w:t>
      </w:r>
    </w:p>
    <w:p w14:paraId="69C85E1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lastRenderedPageBreak/>
        <w:t xml:space="preserve">Época: Décima Época </w:t>
      </w:r>
    </w:p>
    <w:p w14:paraId="46CD7BD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2012444 </w:t>
      </w:r>
    </w:p>
    <w:p w14:paraId="5414630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2D2917A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Aislada </w:t>
      </w:r>
    </w:p>
    <w:p w14:paraId="1C7C6BE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Gaceta del Semanario Judicial de la Federación </w:t>
      </w:r>
    </w:p>
    <w:p w14:paraId="6C43824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Libro 34, </w:t>
      </w:r>
      <w:proofErr w:type="gramStart"/>
      <w:r w:rsidRPr="007D2EAC">
        <w:rPr>
          <w:rFonts w:ascii="Arial" w:hAnsi="Arial" w:cs="Arial"/>
          <w:sz w:val="20"/>
          <w:szCs w:val="20"/>
        </w:rPr>
        <w:t>Septiembre</w:t>
      </w:r>
      <w:proofErr w:type="gramEnd"/>
      <w:r w:rsidRPr="007D2EAC">
        <w:rPr>
          <w:rFonts w:ascii="Arial" w:hAnsi="Arial" w:cs="Arial"/>
          <w:sz w:val="20"/>
          <w:szCs w:val="20"/>
        </w:rPr>
        <w:t xml:space="preserve"> de 2016, Tomo I </w:t>
      </w:r>
    </w:p>
    <w:p w14:paraId="74E910EA"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2C3AD36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 CCXVII/2016 (10a.) </w:t>
      </w:r>
    </w:p>
    <w:p w14:paraId="67CDBE2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511 </w:t>
      </w:r>
    </w:p>
    <w:p w14:paraId="5B05024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REPARACIÓN DEL DAÑO EN EL DELITO DE HOMICIDIO. EL ARTÍCULO 502 DE LA LEY FEDERAL DEL TRABAJO, AL PREVER LA INDEMNIZACIÓN QUE SE IMPONE COMO SANCIÓN PECUNIARIA POR SU COMISIÓN, NO VIOLA EL PRINCIPIO DE PROPORCIONALIDAD RECONOCIDO EN EL ARTÍCULO 22, PÁRRAFO PRIMERO, DE LA CONSTITUCIÓN POLÍTICA DE LOS ESTADOS UNIDOS MEXICANOS.</w:t>
      </w:r>
    </w:p>
    <w:p w14:paraId="6A34963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El legislador cumple con el principio constitucional referido al proporcionar un marco penal abstracto que permita al juzgador individualizar la pena teniendo en cuenta las circunstancias concretas de cada caso. El artículo 47 del Código Penal para el Distrito Federal, para individualizar la pena relativa a la reparación del daño, tratándose de delitos que afectan la vida o la integridad corporal, prevé la aplicación supletoria de la Ley Federal del Trabajo, en cuyo artículo 502 se dispone que, en caso de muerte del trabajador, la indemnización que corresponda a las personas a que se refiere el artículo 501 de la propia ley será la cantidad equivalente al importe de cinco mil días de salario. Ese parámetro mínimo fue fijado por el legislador en atención a los salarios que dejarán de percibir los familiares o dependientes económicos de la víctima durante un tiempo determinado, con la finalidad de reparar las consecuencias que las infracciones produjeron; por ello, se establece ese monto como pago de una indemnización como compensación por los daños ocasionados. Tampoco fijó un monto máximo como concepto de indemnización derivado de la pérdida de la vida de una persona, toda vez que dicho monto es susceptible de variar, atento a los medios de prueba que obren dentro de la causa penal y que acrediten que deba imponerse una cantidad mayor; circunstancia que permite al juzgador verificar la cantidad aplicable como sanción pecuniaria al individualizar la pena relativa a la reparación del daño. Consecuentemente, el artículo 502 de la Ley Federal del Trabajo, al prever la indemnización que se impone como sanción pecuniaria por la comisión del delito de homicidio, no viola el principio de proporcionalidad reconocido en el artículo 22, párrafo primero, de la Constitución Política de los Estados Unidos Mexicanos, al constituir una pena que se adecua a la gravedad de la conducta que afecta el bien jurídico tutelado (la vida de las personas), en su gradualidad más alta a la afectación de su integridad física.</w:t>
      </w:r>
    </w:p>
    <w:p w14:paraId="7E746A16"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Amparo directo en revisión 3166/2015. 18 de mayo de 2016. Mayoría de cuatro votos de los </w:t>
      </w:r>
      <w:proofErr w:type="gramStart"/>
      <w:r w:rsidRPr="007D2EAC">
        <w:rPr>
          <w:rFonts w:ascii="Arial" w:hAnsi="Arial" w:cs="Arial"/>
          <w:sz w:val="20"/>
          <w:szCs w:val="20"/>
        </w:rPr>
        <w:t>Ministros</w:t>
      </w:r>
      <w:proofErr w:type="gramEnd"/>
      <w:r w:rsidRPr="007D2EAC">
        <w:rPr>
          <w:rFonts w:ascii="Arial" w:hAnsi="Arial" w:cs="Arial"/>
          <w:sz w:val="20"/>
          <w:szCs w:val="20"/>
        </w:rPr>
        <w:t xml:space="preserve"> José Ramón Cossío Díaz, Jorge Mario Pardo Rebolledo, Norma Lucía Piña Hernández y Alfredo Gutiérrez Ortiz Mena, quien reservó su derecho para formular voto concurrente. Disidente: Arturo Zaldívar Lelo de Larrea, quien reservó su derecho para formular voto particular. Ponente: José Ramón Cossío Díaz. Secretario: Horacio Vite Torres.</w:t>
      </w:r>
    </w:p>
    <w:p w14:paraId="5316DC94" w14:textId="77777777" w:rsidR="007D2EAC" w:rsidRPr="007D2EAC" w:rsidRDefault="007D2EAC" w:rsidP="007D2EAC">
      <w:pPr>
        <w:jc w:val="both"/>
        <w:rPr>
          <w:rFonts w:ascii="Arial" w:hAnsi="Arial" w:cs="Arial"/>
          <w:sz w:val="20"/>
          <w:szCs w:val="20"/>
        </w:rPr>
      </w:pPr>
    </w:p>
    <w:p w14:paraId="2F190D1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Décima Época </w:t>
      </w:r>
    </w:p>
    <w:p w14:paraId="6F17A70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2012443 </w:t>
      </w:r>
    </w:p>
    <w:p w14:paraId="796EE36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2E169AA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Aislada </w:t>
      </w:r>
    </w:p>
    <w:p w14:paraId="343776A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Gaceta del Semanario Judicial de la Federación </w:t>
      </w:r>
    </w:p>
    <w:p w14:paraId="4ECF757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Libro 34, </w:t>
      </w:r>
      <w:proofErr w:type="gramStart"/>
      <w:r w:rsidRPr="007D2EAC">
        <w:rPr>
          <w:rFonts w:ascii="Arial" w:hAnsi="Arial" w:cs="Arial"/>
          <w:sz w:val="20"/>
          <w:szCs w:val="20"/>
        </w:rPr>
        <w:t>Septiembre</w:t>
      </w:r>
      <w:proofErr w:type="gramEnd"/>
      <w:r w:rsidRPr="007D2EAC">
        <w:rPr>
          <w:rFonts w:ascii="Arial" w:hAnsi="Arial" w:cs="Arial"/>
          <w:sz w:val="20"/>
          <w:szCs w:val="20"/>
        </w:rPr>
        <w:t xml:space="preserve"> de 2016, Tomo I </w:t>
      </w:r>
    </w:p>
    <w:p w14:paraId="07D9B0F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Penal </w:t>
      </w:r>
    </w:p>
    <w:p w14:paraId="4567CF8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 CCXVIII/2016 (10a.) </w:t>
      </w:r>
    </w:p>
    <w:p w14:paraId="3A920E7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510 </w:t>
      </w:r>
    </w:p>
    <w:p w14:paraId="1040E41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REPARACIÓN DEL DAÑO EN EL DELITO DE HOMICIDIO. ASPECTOS QUE DEBE CONSIDERAR EL JUZGADOR AL INDIVIDUALIZAR LA SANCIÓN PECUNIARIA, APLICADA COMO PENA PÚBLICA.</w:t>
      </w:r>
    </w:p>
    <w:p w14:paraId="2479F99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El concepto de reparación del daño al que se refiere el artículo 20, apartado C, fracción IV, de la Constitución Política de los Estados Unidos Mexicanos, constituye un derecho humano reconocido en los órdenes jurídicos nacional e internacional en favor de aquellas personas que se ubiquen en el supuesto fáctico de víctimas u ofendidos por la comisión de un hecho constitutivo de delito que sanciona la ley penal. En ese sentido, si el bien jurídico tutelado en el delito de homicidio es la vida humana y este valor no puede restituirse efectivamente en dinero, la norma laboral que subsidiariamente fijó el legislador en el numeral 47 del Código Penal para el Distrito Federal, permite al juzgador individualizar la sanción pecuniaria, aplicada como pena pública, tomando en consideración las pruebas que, en su caso, aporte la interesada, en la inteligencia de que comprende la pérdida o menoscabo sufrido en el patrimonio, en los sentimientos, afectos, vida privada u otros elementos que integran el aspecto moral de los dependientes económicos o derechohabientes de la víctima, así como los gastos funerarios efectuados, las erogaciones realizadas para tratar de restablecer estados de salud y otros más, que sólo las circunstancias del caso pueden determinar y que son consecuencia directa e inmediata de la comisión del ilícito.</w:t>
      </w:r>
    </w:p>
    <w:p w14:paraId="76686C5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Amparo directo en revisión 3166/2015. 18 de mayo de 2016. Mayoría de cuatro votos de los </w:t>
      </w:r>
      <w:proofErr w:type="gramStart"/>
      <w:r w:rsidRPr="007D2EAC">
        <w:rPr>
          <w:rFonts w:ascii="Arial" w:hAnsi="Arial" w:cs="Arial"/>
          <w:sz w:val="20"/>
          <w:szCs w:val="20"/>
        </w:rPr>
        <w:t>Ministros</w:t>
      </w:r>
      <w:proofErr w:type="gramEnd"/>
      <w:r w:rsidRPr="007D2EAC">
        <w:rPr>
          <w:rFonts w:ascii="Arial" w:hAnsi="Arial" w:cs="Arial"/>
          <w:sz w:val="20"/>
          <w:szCs w:val="20"/>
        </w:rPr>
        <w:t xml:space="preserve"> José Ramón Cossío Díaz, Jorge Mario Pardo Rebolledo, Norma Lucía Piña Hernández y Alfredo Gutiérrez Ortiz Mena, quien reservó su derecho </w:t>
      </w:r>
      <w:r w:rsidRPr="007D2EAC">
        <w:rPr>
          <w:rFonts w:ascii="Arial" w:hAnsi="Arial" w:cs="Arial"/>
          <w:sz w:val="20"/>
          <w:szCs w:val="20"/>
        </w:rPr>
        <w:lastRenderedPageBreak/>
        <w:t>para formular voto concurrente. Disidente: Arturo Zaldívar Lelo de Larrea, quien reservó su derecho para formular voto particular. Ponente: José Ramón Cossío Díaz. Secretario: Horacio Vite Torres.</w:t>
      </w:r>
    </w:p>
    <w:p w14:paraId="1F11540C" w14:textId="77777777" w:rsidR="007D2EAC" w:rsidRPr="007D2EAC" w:rsidRDefault="007D2EAC" w:rsidP="007D2EAC">
      <w:pPr>
        <w:jc w:val="both"/>
        <w:rPr>
          <w:rFonts w:ascii="Arial" w:hAnsi="Arial" w:cs="Arial"/>
          <w:sz w:val="20"/>
          <w:szCs w:val="20"/>
        </w:rPr>
      </w:pPr>
    </w:p>
    <w:p w14:paraId="76D20F5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Novena Época </w:t>
      </w:r>
    </w:p>
    <w:p w14:paraId="73A4A67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160043 </w:t>
      </w:r>
    </w:p>
    <w:p w14:paraId="0E94411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6890BE1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Jurisprudencia </w:t>
      </w:r>
    </w:p>
    <w:p w14:paraId="13D8F91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Semanario Judicial de la Federación y su Gaceta </w:t>
      </w:r>
    </w:p>
    <w:p w14:paraId="05D9539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Libro X, Julio de 2012, Tomo 1 </w:t>
      </w:r>
    </w:p>
    <w:p w14:paraId="7D69302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4768657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1a./J. 9/2012 (9a.) </w:t>
      </w:r>
    </w:p>
    <w:p w14:paraId="0B0A3DD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451 </w:t>
      </w:r>
    </w:p>
    <w:p w14:paraId="22F3E56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DELITOS FISCALES. EL ARTÍCULO 101 DEL CÓDIGO FISCAL DE LA FEDERACIÓN QUE CONDICIONA LA PROCEDENCIA DE LA SUSTITUCIÓN DE LA PENA DE PRISIÓN O DEL BENEFICIO DE LA CONDENA CONDICIONAL, AL CUMPLIMIENTO O GARANTÍA DEL RESPECTIVO CRÉDITO FISCAL, NO VIOLA LA GARANTÍA DE EXACTA APLICACIÓN DE LA LEY PENAL.</w:t>
      </w:r>
    </w:p>
    <w:p w14:paraId="01B4A16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La garantía de exacta aplicación de la ley penal contenida en el párrafo tercero del artículo 14 de la Constitución Política de los Estados Unidos Mexicanos, atiende a la integración de la norma punitiva, concretamente en cuanto a su descripción típica, la previsión de una pena y su aplicación, para lo cual debe conformarse por elementos, características o referencias precisas y exactas, así como determinar el mínimo y el máximo de la duración de la sanción. En ese sentido, se concluye que el artículo 101 del Código Fiscal de la Federación, al prever como requisito indispensable para la procedencia de la sustitución y conmutación de sanciones o cualquier otro beneficio a los sentenciados por delitos fiscales, que los adeudos de esa naturaleza estén cubiertos o garantizados a entera satisfacción de la Secretaría de Hacienda y Crédito Público, no viola la citada garantía constitucional, en virtud de que del referido dispositivo legal no se desprende la descripción de una conducta delictiva ni la determinación de una sanción, además de que tampoco autoriza al juzgador para imponer penas por simple analogía o mayoría de razón, sino que sólo condiciona la procedencia de determinadas prerrogativas procesales al cumplimiento o garantía del respectivo crédito fiscal; máxime que éste no debe equipararse a una sanción pecuniaria análoga a la reparación del daño, pues ambas figuras tienen naturaleza jurídica y efectos legales distintos.</w:t>
      </w:r>
    </w:p>
    <w:p w14:paraId="099F842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Amparo directo en revisión 100/2008. 27 de febrero de 2008. Cinco votos. Ponente: José Ramón Cossío Díaz. Secretaria: Rosalba Rodríguez Mireles.</w:t>
      </w:r>
    </w:p>
    <w:p w14:paraId="479D2F9F" w14:textId="77777777" w:rsidR="007D2EAC" w:rsidRPr="007D2EAC" w:rsidRDefault="007D2EAC" w:rsidP="007D2EAC">
      <w:pPr>
        <w:jc w:val="both"/>
        <w:rPr>
          <w:rFonts w:ascii="Arial" w:hAnsi="Arial" w:cs="Arial"/>
          <w:sz w:val="20"/>
          <w:szCs w:val="20"/>
        </w:rPr>
      </w:pPr>
    </w:p>
    <w:p w14:paraId="7438CFB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Novena Época </w:t>
      </w:r>
    </w:p>
    <w:p w14:paraId="4285EF7B"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163001 </w:t>
      </w:r>
    </w:p>
    <w:p w14:paraId="2741248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0922A5D6"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Jurisprudencia </w:t>
      </w:r>
    </w:p>
    <w:p w14:paraId="1140B9F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Semanario Judicial de la Federación y su Gaceta </w:t>
      </w:r>
    </w:p>
    <w:p w14:paraId="7B2B0D8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Tomo XXXIII, </w:t>
      </w:r>
      <w:proofErr w:type="gramStart"/>
      <w:r w:rsidRPr="007D2EAC">
        <w:rPr>
          <w:rFonts w:ascii="Arial" w:hAnsi="Arial" w:cs="Arial"/>
          <w:sz w:val="20"/>
          <w:szCs w:val="20"/>
        </w:rPr>
        <w:t>Enero</w:t>
      </w:r>
      <w:proofErr w:type="gramEnd"/>
      <w:r w:rsidRPr="007D2EAC">
        <w:rPr>
          <w:rFonts w:ascii="Arial" w:hAnsi="Arial" w:cs="Arial"/>
          <w:sz w:val="20"/>
          <w:szCs w:val="20"/>
        </w:rPr>
        <w:t xml:space="preserve"> de 2011 </w:t>
      </w:r>
    </w:p>
    <w:p w14:paraId="3DB3A56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Penal </w:t>
      </w:r>
    </w:p>
    <w:p w14:paraId="2FDC34E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1a./J. 87/2010 </w:t>
      </w:r>
    </w:p>
    <w:p w14:paraId="2DE68AB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423 </w:t>
      </w:r>
    </w:p>
    <w:p w14:paraId="0065421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SANCIÓN PECUNIARIA TRATÁNDOSE DE DELITOS FISCALES. EL ARTÍCULO 94 DEL CÓDIGO FISCAL DE LA FEDERACIÓN, DEROGADO MEDIANTE DECRETO PUBLICADO EN EL DIARIO OFICIAL DE LA FEDERACIÓN EL 28 DE JUNIO DE 2006, AL PREVER QUE LA AUTORIDAD JUDICIAL NO IMPONDRÁ AQUÉLLA, CONTIENE UN DERECHO SUSTANTIVO QUE DEBE APLICARSE ULTRACTIVAMENTE A FAVOR DEL GOBERNADO, EN CUMPLIMIENTO AL PRINCIPIO DE EXACTA APLICACIÓN DE LA LEY.</w:t>
      </w:r>
    </w:p>
    <w:p w14:paraId="47A42BA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Si se tiene en cuenta que la disposición de no imponer sanciones pecuniarias en los delitos fiscales, prevista en el artículo 94 del Código Fiscal de la Federación, derogado mediante Decreto publicado en el Diario Oficial de la Federación el 28 de junio de 2006, es un derecho sustantivo del gobernado y no una cuestión meramente adjetiva o procesal, al involucrar una prohibición a la facultad de la autoridad judicial de imponer sanciones, que conforme a los artículos 24 y 29 del Código Penal Federal, constituyen las penas y medidas de seguridad que incluyen la multa y la reparación del daño, es indudable que al artículo primeramente citado le es aplicable el principio de exacta aplicación de la ley vigente en el momento de cometerse el hecho delictivo, que emana del segundo párrafo del artículo 14 de la Constitución Política de los Estados Unidos Mexicanos, en cuanto a la aplicación </w:t>
      </w:r>
      <w:proofErr w:type="spellStart"/>
      <w:r w:rsidRPr="007D2EAC">
        <w:rPr>
          <w:rFonts w:ascii="Arial" w:hAnsi="Arial" w:cs="Arial"/>
          <w:sz w:val="20"/>
          <w:szCs w:val="20"/>
        </w:rPr>
        <w:t>ultractiva</w:t>
      </w:r>
      <w:proofErr w:type="spellEnd"/>
      <w:r w:rsidRPr="007D2EAC">
        <w:rPr>
          <w:rFonts w:ascii="Arial" w:hAnsi="Arial" w:cs="Arial"/>
          <w:sz w:val="20"/>
          <w:szCs w:val="20"/>
        </w:rPr>
        <w:t xml:space="preserve"> de la ley a favor del indiciado, procesado, acusado o sentenciado. Lo anterior significa que al resolver sobre el particular debe aplicarse la ley más benéfica, de manera </w:t>
      </w:r>
      <w:proofErr w:type="gramStart"/>
      <w:r w:rsidRPr="007D2EAC">
        <w:rPr>
          <w:rFonts w:ascii="Arial" w:hAnsi="Arial" w:cs="Arial"/>
          <w:sz w:val="20"/>
          <w:szCs w:val="20"/>
        </w:rPr>
        <w:t>que</w:t>
      </w:r>
      <w:proofErr w:type="gramEnd"/>
      <w:r w:rsidRPr="007D2EAC">
        <w:rPr>
          <w:rFonts w:ascii="Arial" w:hAnsi="Arial" w:cs="Arial"/>
          <w:sz w:val="20"/>
          <w:szCs w:val="20"/>
        </w:rPr>
        <w:t xml:space="preserve"> si el delito fiscal se cometió durante la vigencia del precepto derogado, éste debe aplicarse </w:t>
      </w:r>
      <w:proofErr w:type="spellStart"/>
      <w:r w:rsidRPr="007D2EAC">
        <w:rPr>
          <w:rFonts w:ascii="Arial" w:hAnsi="Arial" w:cs="Arial"/>
          <w:sz w:val="20"/>
          <w:szCs w:val="20"/>
        </w:rPr>
        <w:t>ultractivamente</w:t>
      </w:r>
      <w:proofErr w:type="spellEnd"/>
      <w:r w:rsidRPr="007D2EAC">
        <w:rPr>
          <w:rFonts w:ascii="Arial" w:hAnsi="Arial" w:cs="Arial"/>
          <w:sz w:val="20"/>
          <w:szCs w:val="20"/>
        </w:rPr>
        <w:t xml:space="preserve"> a favor del gobernado, dado que otorga el beneficio a no ser sancionado pecuniariamente por la autoridad judicial. Lo anterior sin conceder que en aplicación </w:t>
      </w:r>
      <w:proofErr w:type="spellStart"/>
      <w:r w:rsidRPr="007D2EAC">
        <w:rPr>
          <w:rFonts w:ascii="Arial" w:hAnsi="Arial" w:cs="Arial"/>
          <w:sz w:val="20"/>
          <w:szCs w:val="20"/>
        </w:rPr>
        <w:t>ultractiva</w:t>
      </w:r>
      <w:proofErr w:type="spellEnd"/>
      <w:r w:rsidRPr="007D2EAC">
        <w:rPr>
          <w:rFonts w:ascii="Arial" w:hAnsi="Arial" w:cs="Arial"/>
          <w:sz w:val="20"/>
          <w:szCs w:val="20"/>
        </w:rPr>
        <w:t xml:space="preserve"> del artículo derogado, las autoridades administrativas, con arreglo a las leyes fiscales, podrán hacer efectivas las contribuciones omitidas, los recargos y las sanciones administrativas correspondientes, sin que ello afecte el procedimiento penal.</w:t>
      </w:r>
    </w:p>
    <w:p w14:paraId="002B058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Contradicción de tesis 65/2010. Ponente: José de Jesús Gudiño Pelayo. Secretario: Rogelio Alberto Montoya Rodríguez.</w:t>
      </w:r>
    </w:p>
    <w:p w14:paraId="0D7FD0D5" w14:textId="77777777" w:rsidR="007D2EAC" w:rsidRPr="007D2EAC" w:rsidRDefault="007D2EAC" w:rsidP="007D2EAC">
      <w:pPr>
        <w:jc w:val="both"/>
        <w:rPr>
          <w:rFonts w:ascii="Arial" w:hAnsi="Arial" w:cs="Arial"/>
          <w:sz w:val="20"/>
          <w:szCs w:val="20"/>
        </w:rPr>
      </w:pPr>
    </w:p>
    <w:p w14:paraId="7B7B251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lastRenderedPageBreak/>
        <w:t xml:space="preserve">Época: Novena Época </w:t>
      </w:r>
    </w:p>
    <w:p w14:paraId="3E4BB86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165516 </w:t>
      </w:r>
    </w:p>
    <w:p w14:paraId="79EE6F5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4B31EBE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Aislada </w:t>
      </w:r>
    </w:p>
    <w:p w14:paraId="553365C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Semanario Judicial de la Federación y su Gaceta </w:t>
      </w:r>
    </w:p>
    <w:p w14:paraId="2FD3E52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Tomo XXXI, </w:t>
      </w:r>
      <w:proofErr w:type="gramStart"/>
      <w:r w:rsidRPr="007D2EAC">
        <w:rPr>
          <w:rFonts w:ascii="Arial" w:hAnsi="Arial" w:cs="Arial"/>
          <w:sz w:val="20"/>
          <w:szCs w:val="20"/>
        </w:rPr>
        <w:t>Enero</w:t>
      </w:r>
      <w:proofErr w:type="gramEnd"/>
      <w:r w:rsidRPr="007D2EAC">
        <w:rPr>
          <w:rFonts w:ascii="Arial" w:hAnsi="Arial" w:cs="Arial"/>
          <w:sz w:val="20"/>
          <w:szCs w:val="20"/>
        </w:rPr>
        <w:t xml:space="preserve"> de 2010 </w:t>
      </w:r>
    </w:p>
    <w:p w14:paraId="6F0BA21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2C558B9E"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 V/2010 </w:t>
      </w:r>
    </w:p>
    <w:p w14:paraId="68DA08A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258 </w:t>
      </w:r>
    </w:p>
    <w:p w14:paraId="0F8A1FB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LIBERTAD PROVISIONAL BAJO CAUCIÓN. ES POSIBLE INCLUIR COMO PARTE DE LA GARANTÍA RESPECTIVA LAS CONTRIBUCIONES ADEUDADAS MÁS LA ACTUALIZACIÓN Y LOS RECARGOS CORRESPONDIENTES, AL HABERSE DEROGADO EL ARTÍCULO 94 DEL CÓDIGO FISCAL DE LA FEDERACIÓN, QUE PROHIBÍA A LA AUTORIDAD JUDICIAL IMPONER UNA SANCIÓN PECUNIARIA TRATÁNDOSE DE DELITOS FISCALES.</w:t>
      </w:r>
    </w:p>
    <w:p w14:paraId="40EEB84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El artículo 92, párrafo cuarto, del Código Fiscal de la Federación establece que para conceder el beneficio de la libertad provisional bajo caución de delitos fiscales no graves, el monto de la garantía que fije la autoridad judicial comprenderá, en su caso, la suma de la cuantificación del daño o perjuicio determinado por la Secretaría de Hacienda y Crédito Público y las contribuciones adeudadas más la actualización y recargos que hubiera determinado la autoridad fiscal a la fecha en que se promueva dicho beneficio. Ahora bien, esa norma se declaró inconstitucional, conforme a la jurisprudencia 1a./J. 37/2006, publicada en el Semanario Judicial de la Federación y su Gaceta, Novena Época, Tomo XXIII, junio de 2006, página 44, con el rubro "LIBERTAD PROVISIONAL BAJO CAUCIÓN. EL ARTÍCULO 92, PÁRRAFO CUARTO, DEL CÓDIGO FISCAL DE LA FEDERACIÓN, TRANSGREDE EL ARTÍCULO 20, APARTADO A, FRACCIÓN I, DE LA CONSTITUCIÓN FEDERAL AL CONDICIONAR ESE BENEFICIO AL PAGO DE UNA GARANTÍA POR EL MONTO ESTIMADO DEL DAÑO O PERJUICIO FISCAL, INCLUYENDO LAS CONTRIBUCIONES ADEUDADAS, ACTUALIZACIÓN Y RECARGOS.", toda vez que el artículo 94 del indicado código fiscal prohibía a la autoridad fiscal imponer sanciones pecuniarias en los delitos fiscales. En términos de la referida jurisprudencia, las contribuciones, actualizaciones y recargos forman parte de la reparación del daño y, por ende, de las vedadas sanciones de tipo pecuniario. Sin embargo, dado que el aludido artículo 94 fue derogado mediante decreto publicado el 28 de junio de 2006 en el Diario Oficial de la Federación, se concluye a través de un argumento a contrario sensu que ha desaparecido la condición de inconstitucionalidad. Aunado al razonamiento anterior, se considera que el artículo 92, párrafo cuarto, del Código Fiscal de la Federación respeta el orden constitucional, pues el hecho de incluir como parte del monto de la caución los referidos elementos no transgrede el contenido del artículo 20, apartado A, fracción I, de la Constitución Política de los Estados Unidos Mexicanos (texto anterior a la reforma publicada en el citado medio de difusión oficial el 18 de junio de 2008), el cual establece que la reparación del daño es uno de los requisitos que debe tomar en cuenta el juez para resolver la forma y el monto de la caución. En los delitos de índole fiscal, como el contrabando, el daño o menoscabo patrimonial derivado de la conducta delictiva se traduce precisamente en la omisión de pago de las contribuciones correspondientes que habría recibido la Secretaria de Hacienda si la mercancía se hubiera introducido al país contando con el permiso respectivo.</w:t>
      </w:r>
    </w:p>
    <w:p w14:paraId="2120094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Amparo en revisión 2079/2009. 11 de noviembre de 2009. Cinco votos. Ponente: José Ramón Cossío Díaz. Secretario: Roberto Lara </w:t>
      </w:r>
      <w:proofErr w:type="spellStart"/>
      <w:r w:rsidRPr="007D2EAC">
        <w:rPr>
          <w:rFonts w:ascii="Arial" w:hAnsi="Arial" w:cs="Arial"/>
          <w:sz w:val="20"/>
          <w:szCs w:val="20"/>
        </w:rPr>
        <w:t>Chagoyán</w:t>
      </w:r>
      <w:proofErr w:type="spellEnd"/>
      <w:r w:rsidRPr="007D2EAC">
        <w:rPr>
          <w:rFonts w:ascii="Arial" w:hAnsi="Arial" w:cs="Arial"/>
          <w:sz w:val="20"/>
          <w:szCs w:val="20"/>
        </w:rPr>
        <w:t>.</w:t>
      </w:r>
    </w:p>
    <w:p w14:paraId="6510DD4E" w14:textId="77777777" w:rsidR="007D2EAC" w:rsidRPr="007D2EAC" w:rsidRDefault="007D2EAC" w:rsidP="007D2EAC">
      <w:pPr>
        <w:jc w:val="both"/>
        <w:rPr>
          <w:rFonts w:ascii="Arial" w:hAnsi="Arial" w:cs="Arial"/>
          <w:sz w:val="20"/>
          <w:szCs w:val="20"/>
        </w:rPr>
      </w:pPr>
    </w:p>
    <w:p w14:paraId="5306E47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Novena Época </w:t>
      </w:r>
    </w:p>
    <w:p w14:paraId="4A78392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167686 </w:t>
      </w:r>
    </w:p>
    <w:p w14:paraId="013520F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6E3DE25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Jurisprudencia </w:t>
      </w:r>
    </w:p>
    <w:p w14:paraId="572027A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Semanario Judicial de la Federación y su Gaceta </w:t>
      </w:r>
    </w:p>
    <w:p w14:paraId="079EEC98"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Tomo XXIX, </w:t>
      </w:r>
      <w:proofErr w:type="gramStart"/>
      <w:r w:rsidRPr="007D2EAC">
        <w:rPr>
          <w:rFonts w:ascii="Arial" w:hAnsi="Arial" w:cs="Arial"/>
          <w:sz w:val="20"/>
          <w:szCs w:val="20"/>
        </w:rPr>
        <w:t>Marzo</w:t>
      </w:r>
      <w:proofErr w:type="gramEnd"/>
      <w:r w:rsidRPr="007D2EAC">
        <w:rPr>
          <w:rFonts w:ascii="Arial" w:hAnsi="Arial" w:cs="Arial"/>
          <w:sz w:val="20"/>
          <w:szCs w:val="20"/>
        </w:rPr>
        <w:t xml:space="preserve"> de 2009 </w:t>
      </w:r>
    </w:p>
    <w:p w14:paraId="76E74767"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Penal </w:t>
      </w:r>
    </w:p>
    <w:p w14:paraId="21AB1F8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1a./J. 20/2009 </w:t>
      </w:r>
    </w:p>
    <w:p w14:paraId="3CE42653"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182 </w:t>
      </w:r>
    </w:p>
    <w:p w14:paraId="179F1A2B"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MULTA EN EL RECURSO DE RECLAMACIÓN. NO DEBE IMPONERSE CUANDO LO INTERPONE UN PERITO EN DERECHO EN REPRESENTACIÓN DEL QUEJOSO PRIVADO DE LA LIBERTAD, CON LA FINALIDAD DE TUTELAR ESE BIEN JURÍDICO.</w:t>
      </w:r>
    </w:p>
    <w:p w14:paraId="4DBB993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De acuerdo con los artículos 3o. Bis y 103 de la Ley de Amparo, debe imponerse multa al recurrente o a su representante, o a su abogado, o a ambos, cuando de las circunstancias del caso se adviertan elementos suficientes para considerar que el recurso de reclamación fue interpuesto sin motivo o de mala fe. Ahora bien, si quien interpone ese medio de defensa es el quejoso privado de la libertad, a través de su autorizado -cuya calidad de perito en derecho se desprende de autos-, y lo hace con el fin de proteger ese bien jurídico, es inconcuso que el recurrente no actuó de mala fe, en tanto que su intención no puede ser la de retrasar la ejecución de la sentencia que le es adversa, pues ésta ya se está ejecutando; de ahí que aun cuando la reclamación resulte infundada, no procede la imposición de la referida sanción pecuniaria.</w:t>
      </w:r>
    </w:p>
    <w:p w14:paraId="30F0E82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Reclamación 243/2005-PL. 19 de octubre de 2005. Cinco votos. Ponente: Sergio A. Valls Hernández. Secretario: Juan Carlos de la Barrera Vite.</w:t>
      </w:r>
    </w:p>
    <w:p w14:paraId="25063971" w14:textId="77777777" w:rsidR="007D2EAC" w:rsidRPr="007D2EAC" w:rsidRDefault="007D2EAC" w:rsidP="007D2EAC">
      <w:pPr>
        <w:jc w:val="both"/>
        <w:rPr>
          <w:rFonts w:ascii="Arial" w:hAnsi="Arial" w:cs="Arial"/>
          <w:sz w:val="20"/>
          <w:szCs w:val="20"/>
        </w:rPr>
      </w:pPr>
    </w:p>
    <w:p w14:paraId="7AD67CC3"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lastRenderedPageBreak/>
        <w:t xml:space="preserve">Época: Novena Época </w:t>
      </w:r>
    </w:p>
    <w:p w14:paraId="117D477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169852 </w:t>
      </w:r>
    </w:p>
    <w:p w14:paraId="0E2A849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102DFDE3"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Jurisprudencia </w:t>
      </w:r>
    </w:p>
    <w:p w14:paraId="4F719D32"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Semanario Judicial de la Federación y su Gaceta </w:t>
      </w:r>
    </w:p>
    <w:p w14:paraId="54A855B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Tomo XXVII, </w:t>
      </w:r>
      <w:proofErr w:type="gramStart"/>
      <w:r w:rsidRPr="007D2EAC">
        <w:rPr>
          <w:rFonts w:ascii="Arial" w:hAnsi="Arial" w:cs="Arial"/>
          <w:sz w:val="20"/>
          <w:szCs w:val="20"/>
        </w:rPr>
        <w:t>Abril</w:t>
      </w:r>
      <w:proofErr w:type="gramEnd"/>
      <w:r w:rsidRPr="007D2EAC">
        <w:rPr>
          <w:rFonts w:ascii="Arial" w:hAnsi="Arial" w:cs="Arial"/>
          <w:sz w:val="20"/>
          <w:szCs w:val="20"/>
        </w:rPr>
        <w:t xml:space="preserve"> de 2008 </w:t>
      </w:r>
    </w:p>
    <w:p w14:paraId="58EC289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76DCFE2A"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1a./J. 14/2008 </w:t>
      </w:r>
    </w:p>
    <w:p w14:paraId="170F9A0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197 </w:t>
      </w:r>
    </w:p>
    <w:p w14:paraId="4C93DEDF"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MULTA FIJA. EL ARTÍCULO 220, FRACCIÓN IV, DEL CÓDIGO PENAL PARA EL DISTRITO FEDERAL VIGENTE A PARTIR DEL 10 DE JUNIO DE 2006, AL PREVER UNA SANCIÓN PECUNIARIA DE CUATROCIENTOS "O" SEISCIENTOS DÍAS MULTA, TRANSGREDE EL ARTÍCULO 22 DE LA CONSTITUCIÓN POLÍTICA DE LOS ESTADOS UNIDOS MEXICANOS.</w:t>
      </w:r>
    </w:p>
    <w:p w14:paraId="5FD9E7ED"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El citado precepto constitucional prohíbe la imposición de multas excesivas, es decir, aquellas que no toman en cuenta la gravedad del ilícito, la capacidad económica del infractor o cualquier elemento tendente a demostrar la gravedad o levedad de la conducta que pretende sancionarse. Por tanto, el artículo 220, fracción IV, del Código Penal para el Distrito Federal vigente a partir del 10 de junio de 2006, al establecer que cuando el valor de lo robado exceda de setecientas cincuenta veces el salario mínimo se impondrá una sanción pecuniaria de cuatrocientos "o" seiscientos días multa, transgrede el artículo 22 constitucional en tanto impone una multa excesiva al contener cantidades fijas, pues impide al juzgador determinar su monto de acuerdo a las circunstancias en que se cometió el ilícito, obligándolo a aplicar estrictamente una u otra de las cantidades indicadas, no obstante que el artículo 72 del mencionado Código ordena que al imponer las penas el juzgador debe tomar en cuenta como elementos destacados la gravedad del ilícito y el grado de culpabilidad del agente.</w:t>
      </w:r>
    </w:p>
    <w:p w14:paraId="45A363E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Contradicción de tesis 99/2007-PS. Ponente: Juan N. Silva Meza. Secretario: Roberto Ávila Ornelas.</w:t>
      </w:r>
    </w:p>
    <w:p w14:paraId="283CC24E" w14:textId="77777777" w:rsidR="007D2EAC" w:rsidRPr="007D2EAC" w:rsidRDefault="007D2EAC" w:rsidP="007D2EAC">
      <w:pPr>
        <w:jc w:val="both"/>
        <w:rPr>
          <w:rFonts w:ascii="Arial" w:hAnsi="Arial" w:cs="Arial"/>
          <w:sz w:val="20"/>
          <w:szCs w:val="20"/>
        </w:rPr>
      </w:pPr>
    </w:p>
    <w:p w14:paraId="3DF6E9F3"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Época: Novena Época </w:t>
      </w:r>
    </w:p>
    <w:p w14:paraId="4479F14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Registro: 174878 </w:t>
      </w:r>
    </w:p>
    <w:p w14:paraId="152A477A"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Instancia: Primera Sala </w:t>
      </w:r>
    </w:p>
    <w:p w14:paraId="1204D184"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Tipo de Tesis: Jurisprudencia </w:t>
      </w:r>
    </w:p>
    <w:p w14:paraId="5DE65F4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Fuente: Semanario Judicial de la Federación y su Gaceta </w:t>
      </w:r>
    </w:p>
    <w:p w14:paraId="69E26569"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Tomo XXIII, </w:t>
      </w:r>
      <w:proofErr w:type="gramStart"/>
      <w:r w:rsidRPr="007D2EAC">
        <w:rPr>
          <w:rFonts w:ascii="Arial" w:hAnsi="Arial" w:cs="Arial"/>
          <w:sz w:val="20"/>
          <w:szCs w:val="20"/>
        </w:rPr>
        <w:t>Junio</w:t>
      </w:r>
      <w:proofErr w:type="gramEnd"/>
      <w:r w:rsidRPr="007D2EAC">
        <w:rPr>
          <w:rFonts w:ascii="Arial" w:hAnsi="Arial" w:cs="Arial"/>
          <w:sz w:val="20"/>
          <w:szCs w:val="20"/>
        </w:rPr>
        <w:t xml:space="preserve"> de 2006 </w:t>
      </w:r>
    </w:p>
    <w:p w14:paraId="2D594A9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Materia(s): Constitucional, Penal </w:t>
      </w:r>
    </w:p>
    <w:p w14:paraId="558EFD03"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Tesis: 1a./J. 37/2006 </w:t>
      </w:r>
    </w:p>
    <w:p w14:paraId="698D2F7C"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 xml:space="preserve">Página: 44 </w:t>
      </w:r>
    </w:p>
    <w:p w14:paraId="68638841"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LIBERTAD PROVISIONAL BAJO CAUCIÓN. EL ARTÍCULO 92, PÁRRAFO CUARTO, DEL CÓDIGO FISCAL DE LA FEDERACIÓN, TRANSGREDE EL ARTÍCULO 20, APARTADO A, FRACCIÓN I, DE LA CONSTITUCIÓN FEDERAL AL CONDICIONAR ESE BENEFICIO AL PAGO DE UNA GARANTÍA POR EL MONTO ESTIMADO DEL DAÑO O PERJUICIO FISCAL, INCLUYENDO LAS CONTRIBUCIONES ADEUDADAS, ACTUALIZACIÓN Y RECARGOS.</w:t>
      </w:r>
    </w:p>
    <w:p w14:paraId="4D6F0825"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El mencionado precepto legal establece que para conceder el beneficio de la libertad provisional, excepto tratándose de los delitos graves, el monto de la caución que fije la autoridad judicial comprenderá, en su caso, la suma de la cuantificación del daño o perjuicio determinado por la Secretaría de Hacienda y Crédito Público, y las contribuciones adeudadas, además de la actualización y recargos que hubiera determinado la autoridad fiscal a la fecha en que se promueva dicho beneficio, entendiendo estos conceptos, en su conjunto, como el menoscabo patrimonial que trae como consecuencia el delito de defraudación fiscal. Por otro lado, debe considerarse que como el referido artículo 92 se ubica en el capítulo II "De los delitos fiscales" del título IV "De las infracciones y delitos fiscales", su análisis no puede hacerse de manera aislada, sino inmersa en el sistema que integra, por lo que resulta dable su interrelación con el artículo 94 del propio Código que prevé que en los delitos fiscales está prohibido a la autoridad judicial imponer sanción pecuniaria, así como que las autoridades administrativas, con arreglo a las leyes fiscales, harán efectivas las contribuciones omitidas, los recargos y las sanciones administrativas correspondientes, sin que ello afecte al procedimiento penal, y si además el artículo 29 del Código Penal Federal establece que la sanción pecuniaria comprende la multa y la reparación del daño, se concluye que la prohibición de que se trata incluye ambas modalidades, por tanto el mencionado artículo 92, párrafo cuarto, del Código Fiscal de la Federación transgrede la garantía establecida en beneficio del procesado en el artículo 20, apartado A, fracción I, de la Constitución Federal, pues si el monto estimado de la reparación del daño no va a ser materia de la condena que, en su caso, pudiera decretarse, resulta indebido el requisito de que se garantice ese concepto para efectos de la libertad provisional.</w:t>
      </w:r>
    </w:p>
    <w:p w14:paraId="379847D0" w14:textId="77777777" w:rsidR="007D2EAC" w:rsidRPr="007D2EAC" w:rsidRDefault="007D2EAC" w:rsidP="007D2EAC">
      <w:pPr>
        <w:jc w:val="both"/>
        <w:rPr>
          <w:rFonts w:ascii="Arial" w:hAnsi="Arial" w:cs="Arial"/>
          <w:sz w:val="20"/>
          <w:szCs w:val="20"/>
        </w:rPr>
      </w:pPr>
      <w:r w:rsidRPr="007D2EAC">
        <w:rPr>
          <w:rFonts w:ascii="Arial" w:hAnsi="Arial" w:cs="Arial"/>
          <w:sz w:val="20"/>
          <w:szCs w:val="20"/>
        </w:rPr>
        <w:t>Amparo en revisión 594/2005. 1o. de junio de 2005. Mayoría de cuatro votos. Disidente: Olga Sánchez Cordero de García Villegas. Ponente: Sergio A. Valls Hernández. Secretario: Enrique Luis Barraza Uribe.</w:t>
      </w:r>
    </w:p>
    <w:p w14:paraId="6A1636EE" w14:textId="57E474AA" w:rsidR="007D2EAC" w:rsidRPr="007D2EAC" w:rsidRDefault="007D2EAC" w:rsidP="007D2EAC">
      <w:pPr>
        <w:jc w:val="both"/>
        <w:rPr>
          <w:rFonts w:ascii="Arial" w:hAnsi="Arial" w:cs="Arial"/>
          <w:sz w:val="20"/>
          <w:szCs w:val="20"/>
        </w:rPr>
      </w:pPr>
    </w:p>
    <w:sectPr w:rsidR="007D2EAC" w:rsidRPr="007D2EAC" w:rsidSect="004B4387">
      <w:headerReference w:type="default" r:id="rId6"/>
      <w:pgSz w:w="12242" w:h="15842" w:code="1"/>
      <w:pgMar w:top="720" w:right="720" w:bottom="720"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A7012" w14:textId="77777777" w:rsidR="009507E7" w:rsidRDefault="009507E7" w:rsidP="007D2EAC">
      <w:r>
        <w:separator/>
      </w:r>
    </w:p>
  </w:endnote>
  <w:endnote w:type="continuationSeparator" w:id="0">
    <w:p w14:paraId="212D43F0" w14:textId="77777777" w:rsidR="009507E7" w:rsidRDefault="009507E7" w:rsidP="007D2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1CB2B" w14:textId="77777777" w:rsidR="009507E7" w:rsidRDefault="009507E7" w:rsidP="007D2EAC">
      <w:r>
        <w:separator/>
      </w:r>
    </w:p>
  </w:footnote>
  <w:footnote w:type="continuationSeparator" w:id="0">
    <w:p w14:paraId="24B6D6D8" w14:textId="77777777" w:rsidR="009507E7" w:rsidRDefault="009507E7" w:rsidP="007D2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994433"/>
      <w:docPartObj>
        <w:docPartGallery w:val="Page Numbers (Top of Page)"/>
        <w:docPartUnique/>
      </w:docPartObj>
    </w:sdtPr>
    <w:sdtEndPr/>
    <w:sdtContent>
      <w:p w14:paraId="499A07F2" w14:textId="77777777" w:rsidR="007D2EAC" w:rsidRDefault="007D2EAC">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EAC"/>
    <w:rsid w:val="004B4387"/>
    <w:rsid w:val="006A2A41"/>
    <w:rsid w:val="007D2EAC"/>
    <w:rsid w:val="00900A04"/>
    <w:rsid w:val="009507E7"/>
    <w:rsid w:val="00C960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B976D"/>
  <w15:chartTrackingRefBased/>
  <w15:docId w15:val="{140CCDE7-7D94-4EE7-9FED-496FABD68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2EAC"/>
    <w:pPr>
      <w:tabs>
        <w:tab w:val="center" w:pos="4419"/>
        <w:tab w:val="right" w:pos="8838"/>
      </w:tabs>
    </w:pPr>
  </w:style>
  <w:style w:type="character" w:customStyle="1" w:styleId="EncabezadoCar">
    <w:name w:val="Encabezado Car"/>
    <w:basedOn w:val="Fuentedeprrafopredeter"/>
    <w:link w:val="Encabezado"/>
    <w:uiPriority w:val="99"/>
    <w:rsid w:val="007D2EAC"/>
  </w:style>
  <w:style w:type="paragraph" w:styleId="Piedepgina">
    <w:name w:val="footer"/>
    <w:basedOn w:val="Normal"/>
    <w:link w:val="PiedepginaCar"/>
    <w:uiPriority w:val="99"/>
    <w:unhideWhenUsed/>
    <w:rsid w:val="007D2EAC"/>
    <w:pPr>
      <w:tabs>
        <w:tab w:val="center" w:pos="4419"/>
        <w:tab w:val="right" w:pos="8838"/>
      </w:tabs>
    </w:pPr>
  </w:style>
  <w:style w:type="character" w:customStyle="1" w:styleId="PiedepginaCar">
    <w:name w:val="Pie de página Car"/>
    <w:basedOn w:val="Fuentedeprrafopredeter"/>
    <w:link w:val="Piedepgina"/>
    <w:uiPriority w:val="99"/>
    <w:rsid w:val="007D2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4453</Words>
  <Characters>24492</Characters>
  <Application>Microsoft Office Word</Application>
  <DocSecurity>0</DocSecurity>
  <Lines>204</Lines>
  <Paragraphs>57</Paragraphs>
  <ScaleCrop>false</ScaleCrop>
  <Company/>
  <LinksUpToDate>false</LinksUpToDate>
  <CharactersWithSpaces>28888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Sandy López</cp:lastModifiedBy>
  <cp:revision>2</cp:revision>
  <dcterms:created xsi:type="dcterms:W3CDTF">2020-08-27T08:17:00Z</dcterms:created>
  <dcterms:modified xsi:type="dcterms:W3CDTF">2021-08-06T16:20:00Z</dcterms:modified>
</cp:coreProperties>
</file>