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703A6" w14:textId="24328BCA" w:rsidR="004E4D7C" w:rsidRPr="00A9402C" w:rsidRDefault="004E4D7C" w:rsidP="006D0E29">
      <w:pPr>
        <w:spacing w:line="276" w:lineRule="auto"/>
        <w:jc w:val="center"/>
        <w:rPr>
          <w:rFonts w:ascii="Arial" w:hAnsi="Arial" w:cs="Arial"/>
          <w:b/>
        </w:rPr>
      </w:pPr>
      <w:r w:rsidRPr="00A9402C">
        <w:rPr>
          <w:rFonts w:ascii="Arial" w:hAnsi="Arial" w:cs="Arial"/>
          <w:b/>
        </w:rPr>
        <w:t>VOTO</w:t>
      </w:r>
      <w:r w:rsidR="00B27396" w:rsidRPr="00A9402C">
        <w:rPr>
          <w:rFonts w:ascii="Arial" w:hAnsi="Arial" w:cs="Arial"/>
          <w:b/>
        </w:rPr>
        <w:t xml:space="preserve"> PARTICULAR Y</w:t>
      </w:r>
      <w:r w:rsidRPr="00A9402C">
        <w:rPr>
          <w:rFonts w:ascii="Arial" w:hAnsi="Arial" w:cs="Arial"/>
          <w:b/>
        </w:rPr>
        <w:t xml:space="preserve"> CONCURRENTE</w:t>
      </w:r>
      <w:r w:rsidR="007425DF" w:rsidRPr="00A9402C">
        <w:rPr>
          <w:rFonts w:ascii="Arial" w:hAnsi="Arial" w:cs="Arial"/>
          <w:b/>
        </w:rPr>
        <w:t xml:space="preserve"> </w:t>
      </w:r>
      <w:r w:rsidRPr="00A9402C">
        <w:rPr>
          <w:rFonts w:ascii="Arial" w:hAnsi="Arial" w:cs="Arial"/>
          <w:b/>
        </w:rPr>
        <w:t>QUE FORMULA EL MINISTRO ALFREDO GUTI</w:t>
      </w:r>
      <w:r w:rsidR="00415524" w:rsidRPr="00A9402C">
        <w:rPr>
          <w:rFonts w:ascii="Arial" w:hAnsi="Arial" w:cs="Arial"/>
          <w:b/>
        </w:rPr>
        <w:t>ÉRREZ ORTIZ MENA EN</w:t>
      </w:r>
      <w:r w:rsidRPr="00A9402C">
        <w:rPr>
          <w:rFonts w:ascii="Arial" w:hAnsi="Arial" w:cs="Arial"/>
          <w:b/>
        </w:rPr>
        <w:t xml:space="preserve"> </w:t>
      </w:r>
      <w:r w:rsidR="00DC6C7A" w:rsidRPr="00A9402C">
        <w:rPr>
          <w:rFonts w:ascii="Arial" w:hAnsi="Arial" w:cs="Arial"/>
          <w:b/>
        </w:rPr>
        <w:t>LA</w:t>
      </w:r>
      <w:r w:rsidR="006174C2" w:rsidRPr="00A9402C">
        <w:rPr>
          <w:rFonts w:ascii="Arial" w:hAnsi="Arial" w:cs="Arial"/>
          <w:b/>
        </w:rPr>
        <w:t xml:space="preserve"> </w:t>
      </w:r>
      <w:r w:rsidR="00B27396" w:rsidRPr="00A9402C">
        <w:rPr>
          <w:rFonts w:ascii="Arial" w:hAnsi="Arial" w:cs="Arial"/>
          <w:b/>
        </w:rPr>
        <w:t>ACCIÓN DE INCONSTITUCIONALIDAD 64/2021</w:t>
      </w:r>
    </w:p>
    <w:p w14:paraId="7FA0BE06" w14:textId="77777777" w:rsidR="000E1293" w:rsidRPr="00847234" w:rsidRDefault="000E1293" w:rsidP="0010761F">
      <w:pPr>
        <w:spacing w:line="480" w:lineRule="auto"/>
        <w:jc w:val="both"/>
        <w:rPr>
          <w:rFonts w:ascii="OpenSans-Regular" w:hAnsi="OpenSans-Regular"/>
          <w:bCs/>
          <w:i/>
          <w:iCs/>
          <w:color w:val="777777"/>
          <w:sz w:val="27"/>
          <w:szCs w:val="27"/>
          <w:shd w:val="clear" w:color="auto" w:fill="FFFFFF"/>
        </w:rPr>
      </w:pPr>
    </w:p>
    <w:p w14:paraId="4F546CE3" w14:textId="16C9D397" w:rsidR="00BC63B8" w:rsidRPr="00E0516A" w:rsidRDefault="00D6025D" w:rsidP="00BC63B8">
      <w:pPr>
        <w:ind w:left="3402"/>
        <w:jc w:val="both"/>
        <w:rPr>
          <w:rFonts w:ascii="Arial" w:hAnsi="Arial" w:cs="Arial"/>
          <w:bCs/>
          <w:i/>
          <w:iCs/>
          <w:sz w:val="22"/>
          <w:szCs w:val="22"/>
          <w:shd w:val="clear" w:color="auto" w:fill="FFFFFF"/>
        </w:rPr>
      </w:pPr>
      <w:r w:rsidRPr="00E0516A">
        <w:rPr>
          <w:rFonts w:ascii="Arial" w:hAnsi="Arial" w:cs="Arial"/>
          <w:bCs/>
          <w:i/>
          <w:iCs/>
          <w:sz w:val="22"/>
          <w:szCs w:val="22"/>
          <w:shd w:val="clear" w:color="auto" w:fill="FFFFFF"/>
        </w:rPr>
        <w:t>Un sol de luz soldada</w:t>
      </w:r>
      <w:r w:rsidR="00F136FF" w:rsidRPr="00E0516A">
        <w:rPr>
          <w:rFonts w:ascii="Arial" w:hAnsi="Arial" w:cs="Arial"/>
          <w:bCs/>
          <w:i/>
          <w:iCs/>
          <w:sz w:val="22"/>
          <w:szCs w:val="22"/>
          <w:shd w:val="clear" w:color="auto" w:fill="FFFFFF"/>
        </w:rPr>
        <w:t>//</w:t>
      </w:r>
      <w:r w:rsidRPr="00E0516A">
        <w:rPr>
          <w:rFonts w:ascii="Arial" w:hAnsi="Arial" w:cs="Arial"/>
          <w:bCs/>
          <w:i/>
          <w:iCs/>
          <w:sz w:val="22"/>
          <w:szCs w:val="22"/>
          <w:shd w:val="clear" w:color="auto" w:fill="FFFFFF"/>
        </w:rPr>
        <w:t xml:space="preserve"> </w:t>
      </w:r>
      <w:r w:rsidR="00F136FF" w:rsidRPr="00E0516A">
        <w:rPr>
          <w:rFonts w:ascii="Arial" w:hAnsi="Arial" w:cs="Arial"/>
          <w:bCs/>
          <w:i/>
          <w:iCs/>
          <w:sz w:val="22"/>
          <w:szCs w:val="22"/>
          <w:shd w:val="clear" w:color="auto" w:fill="FFFFFF"/>
        </w:rPr>
        <w:t>d</w:t>
      </w:r>
      <w:r w:rsidRPr="00E0516A">
        <w:rPr>
          <w:rFonts w:ascii="Arial" w:hAnsi="Arial" w:cs="Arial"/>
          <w:bCs/>
          <w:i/>
          <w:iCs/>
          <w:sz w:val="22"/>
          <w:szCs w:val="22"/>
          <w:shd w:val="clear" w:color="auto" w:fill="FFFFFF"/>
        </w:rPr>
        <w:t>esolado</w:t>
      </w:r>
      <w:r w:rsidR="00F136FF" w:rsidRPr="00E0516A">
        <w:rPr>
          <w:rFonts w:ascii="Arial" w:hAnsi="Arial" w:cs="Arial"/>
          <w:bCs/>
          <w:i/>
          <w:iCs/>
          <w:sz w:val="22"/>
          <w:szCs w:val="22"/>
          <w:shd w:val="clear" w:color="auto" w:fill="FFFFFF"/>
        </w:rPr>
        <w:t xml:space="preserve">// </w:t>
      </w:r>
      <w:r w:rsidRPr="00E0516A">
        <w:rPr>
          <w:rFonts w:ascii="Arial" w:hAnsi="Arial" w:cs="Arial"/>
          <w:bCs/>
          <w:i/>
          <w:iCs/>
          <w:sz w:val="22"/>
          <w:szCs w:val="22"/>
          <w:shd w:val="clear" w:color="auto" w:fill="FFFFFF"/>
        </w:rPr>
        <w:t>De</w:t>
      </w:r>
      <w:r w:rsidR="000E1293" w:rsidRPr="00E0516A">
        <w:rPr>
          <w:rFonts w:ascii="Arial" w:hAnsi="Arial" w:cs="Arial"/>
          <w:bCs/>
          <w:i/>
          <w:iCs/>
          <w:sz w:val="22"/>
          <w:szCs w:val="22"/>
          <w:shd w:val="clear" w:color="auto" w:fill="FFFFFF"/>
        </w:rPr>
        <w:t xml:space="preserve"> </w:t>
      </w:r>
      <w:r w:rsidRPr="00E0516A">
        <w:rPr>
          <w:rFonts w:ascii="Arial" w:hAnsi="Arial" w:cs="Arial"/>
          <w:bCs/>
          <w:i/>
          <w:iCs/>
          <w:sz w:val="22"/>
          <w:szCs w:val="22"/>
          <w:shd w:val="clear" w:color="auto" w:fill="FFFFFF"/>
        </w:rPr>
        <w:t>un cielo de hielo</w:t>
      </w:r>
      <w:r w:rsidR="00F136FF" w:rsidRPr="00E0516A">
        <w:rPr>
          <w:rFonts w:ascii="Arial" w:hAnsi="Arial" w:cs="Arial"/>
          <w:bCs/>
          <w:i/>
          <w:iCs/>
          <w:sz w:val="22"/>
          <w:szCs w:val="22"/>
          <w:shd w:val="clear" w:color="auto" w:fill="FFFFFF"/>
        </w:rPr>
        <w:t>, cerrado// sin viento// sobre una tierra d</w:t>
      </w:r>
      <w:r w:rsidR="00BC63B8" w:rsidRPr="00E0516A">
        <w:rPr>
          <w:rFonts w:ascii="Arial" w:hAnsi="Arial" w:cs="Arial"/>
          <w:bCs/>
          <w:i/>
          <w:iCs/>
          <w:sz w:val="22"/>
          <w:szCs w:val="22"/>
          <w:shd w:val="clear" w:color="auto" w:fill="FFFFFF"/>
        </w:rPr>
        <w:t>ura, inerte//</w:t>
      </w:r>
      <w:r w:rsidRPr="00E0516A">
        <w:rPr>
          <w:rFonts w:ascii="Arial" w:hAnsi="Arial" w:cs="Arial"/>
          <w:bCs/>
          <w:i/>
          <w:iCs/>
          <w:sz w:val="22"/>
          <w:szCs w:val="22"/>
          <w:shd w:val="clear" w:color="auto" w:fill="FFFFFF"/>
        </w:rPr>
        <w:t xml:space="preserve"> </w:t>
      </w:r>
      <w:r w:rsidR="00BC63B8" w:rsidRPr="00E0516A">
        <w:rPr>
          <w:rFonts w:ascii="Arial" w:hAnsi="Arial" w:cs="Arial"/>
          <w:bCs/>
          <w:i/>
          <w:iCs/>
          <w:sz w:val="22"/>
          <w:szCs w:val="22"/>
          <w:shd w:val="clear" w:color="auto" w:fill="FFFFFF"/>
        </w:rPr>
        <w:t>c</w:t>
      </w:r>
      <w:r w:rsidR="0093582D" w:rsidRPr="00E0516A">
        <w:rPr>
          <w:rFonts w:ascii="Arial" w:hAnsi="Arial" w:cs="Arial"/>
          <w:bCs/>
          <w:i/>
          <w:iCs/>
          <w:sz w:val="22"/>
          <w:szCs w:val="22"/>
          <w:shd w:val="clear" w:color="auto" w:fill="FFFFFF"/>
        </w:rPr>
        <w:t>omo pied</w:t>
      </w:r>
      <w:r w:rsidR="00F136FF" w:rsidRPr="00E0516A">
        <w:rPr>
          <w:rFonts w:ascii="Arial" w:hAnsi="Arial" w:cs="Arial"/>
          <w:bCs/>
          <w:i/>
          <w:iCs/>
          <w:sz w:val="22"/>
          <w:szCs w:val="22"/>
          <w:shd w:val="clear" w:color="auto" w:fill="FFFFFF"/>
        </w:rPr>
        <w:t>r</w:t>
      </w:r>
      <w:r w:rsidR="0093582D" w:rsidRPr="00E0516A">
        <w:rPr>
          <w:rFonts w:ascii="Arial" w:hAnsi="Arial" w:cs="Arial"/>
          <w:bCs/>
          <w:i/>
          <w:iCs/>
          <w:sz w:val="22"/>
          <w:szCs w:val="22"/>
          <w:shd w:val="clear" w:color="auto" w:fill="FFFFFF"/>
        </w:rPr>
        <w:t>a</w:t>
      </w:r>
      <w:r w:rsidR="00BC63B8" w:rsidRPr="00E0516A">
        <w:rPr>
          <w:rFonts w:ascii="Arial" w:hAnsi="Arial" w:cs="Arial"/>
          <w:bCs/>
          <w:i/>
          <w:iCs/>
          <w:sz w:val="22"/>
          <w:szCs w:val="22"/>
          <w:shd w:val="clear" w:color="auto" w:fill="FFFFFF"/>
        </w:rPr>
        <w:t>// d</w:t>
      </w:r>
      <w:r w:rsidR="0093582D" w:rsidRPr="00E0516A">
        <w:rPr>
          <w:rFonts w:ascii="Arial" w:hAnsi="Arial" w:cs="Arial"/>
          <w:bCs/>
          <w:i/>
          <w:iCs/>
          <w:sz w:val="22"/>
          <w:szCs w:val="22"/>
          <w:shd w:val="clear" w:color="auto" w:fill="FFFFFF"/>
        </w:rPr>
        <w:t>e r</w:t>
      </w:r>
      <w:r w:rsidR="0093582D" w:rsidRPr="00E0516A">
        <w:rPr>
          <w:rFonts w:ascii="Arial" w:hAnsi="Arial" w:cs="Arial" w:hint="eastAsia"/>
          <w:bCs/>
          <w:i/>
          <w:iCs/>
          <w:sz w:val="22"/>
          <w:szCs w:val="22"/>
          <w:shd w:val="clear" w:color="auto" w:fill="FFFFFF"/>
        </w:rPr>
        <w:t>í</w:t>
      </w:r>
      <w:r w:rsidR="0093582D" w:rsidRPr="00E0516A">
        <w:rPr>
          <w:rFonts w:ascii="Arial" w:hAnsi="Arial" w:cs="Arial"/>
          <w:bCs/>
          <w:i/>
          <w:iCs/>
          <w:sz w:val="22"/>
          <w:szCs w:val="22"/>
          <w:shd w:val="clear" w:color="auto" w:fill="FFFFFF"/>
        </w:rPr>
        <w:t>os que se transfor</w:t>
      </w:r>
      <w:r w:rsidR="002A1B94" w:rsidRPr="00E0516A">
        <w:rPr>
          <w:rFonts w:ascii="Arial" w:hAnsi="Arial" w:cs="Arial"/>
          <w:bCs/>
          <w:i/>
          <w:iCs/>
          <w:sz w:val="22"/>
          <w:szCs w:val="22"/>
          <w:shd w:val="clear" w:color="auto" w:fill="FFFFFF"/>
        </w:rPr>
        <w:t>man en tiempo con el tiempo</w:t>
      </w:r>
      <w:r w:rsidR="00BC63B8" w:rsidRPr="00E0516A">
        <w:rPr>
          <w:rFonts w:ascii="Arial" w:hAnsi="Arial" w:cs="Arial"/>
          <w:bCs/>
          <w:i/>
          <w:iCs/>
          <w:sz w:val="22"/>
          <w:szCs w:val="22"/>
          <w:shd w:val="clear" w:color="auto" w:fill="FFFFFF"/>
        </w:rPr>
        <w:t xml:space="preserve">// y </w:t>
      </w:r>
      <w:r w:rsidR="002A1B94" w:rsidRPr="00E0516A">
        <w:rPr>
          <w:rFonts w:ascii="Arial" w:hAnsi="Arial" w:cs="Arial" w:hint="eastAsia"/>
          <w:bCs/>
          <w:i/>
          <w:iCs/>
          <w:sz w:val="22"/>
          <w:szCs w:val="22"/>
          <w:shd w:val="clear" w:color="auto" w:fill="FFFFFF"/>
        </w:rPr>
        <w:t>á</w:t>
      </w:r>
      <w:r w:rsidR="002A1B94" w:rsidRPr="00E0516A">
        <w:rPr>
          <w:rFonts w:ascii="Arial" w:hAnsi="Arial" w:cs="Arial"/>
          <w:bCs/>
          <w:i/>
          <w:iCs/>
          <w:sz w:val="22"/>
          <w:szCs w:val="22"/>
          <w:shd w:val="clear" w:color="auto" w:fill="FFFFFF"/>
        </w:rPr>
        <w:t xml:space="preserve">rboles </w:t>
      </w:r>
      <w:r w:rsidR="00F136FF" w:rsidRPr="00E0516A">
        <w:rPr>
          <w:rFonts w:ascii="Arial" w:hAnsi="Arial" w:cs="Arial"/>
          <w:bCs/>
          <w:i/>
          <w:iCs/>
          <w:sz w:val="22"/>
          <w:szCs w:val="22"/>
          <w:shd w:val="clear" w:color="auto" w:fill="FFFFFF"/>
        </w:rPr>
        <w:t>que</w:t>
      </w:r>
      <w:r w:rsidR="002A1B94" w:rsidRPr="00E0516A">
        <w:rPr>
          <w:rFonts w:ascii="Arial" w:hAnsi="Arial" w:cs="Arial"/>
          <w:bCs/>
          <w:i/>
          <w:iCs/>
          <w:sz w:val="22"/>
          <w:szCs w:val="22"/>
          <w:shd w:val="clear" w:color="auto" w:fill="FFFFFF"/>
        </w:rPr>
        <w:t xml:space="preserve"> crecen cada a</w:t>
      </w:r>
      <w:r w:rsidR="002A1B94" w:rsidRPr="00E0516A">
        <w:rPr>
          <w:rFonts w:ascii="Arial" w:hAnsi="Arial" w:cs="Arial" w:hint="eastAsia"/>
          <w:bCs/>
          <w:i/>
          <w:iCs/>
          <w:sz w:val="22"/>
          <w:szCs w:val="22"/>
          <w:shd w:val="clear" w:color="auto" w:fill="FFFFFF"/>
        </w:rPr>
        <w:t>ñ</w:t>
      </w:r>
      <w:r w:rsidR="002A1B94" w:rsidRPr="00E0516A">
        <w:rPr>
          <w:rFonts w:ascii="Arial" w:hAnsi="Arial" w:cs="Arial"/>
          <w:bCs/>
          <w:i/>
          <w:iCs/>
          <w:sz w:val="22"/>
          <w:szCs w:val="22"/>
          <w:shd w:val="clear" w:color="auto" w:fill="FFFFFF"/>
        </w:rPr>
        <w:t>o su huella</w:t>
      </w:r>
      <w:r w:rsidR="00BC63B8" w:rsidRPr="00E0516A">
        <w:rPr>
          <w:rFonts w:ascii="Arial" w:hAnsi="Arial" w:cs="Arial"/>
          <w:bCs/>
          <w:i/>
          <w:iCs/>
          <w:sz w:val="22"/>
          <w:szCs w:val="22"/>
          <w:shd w:val="clear" w:color="auto" w:fill="FFFFFF"/>
        </w:rPr>
        <w:t xml:space="preserve">. </w:t>
      </w:r>
    </w:p>
    <w:p w14:paraId="10AC70D6" w14:textId="77777777" w:rsidR="00BC63B8" w:rsidRPr="00E0516A" w:rsidRDefault="00BC63B8" w:rsidP="00BC63B8">
      <w:pPr>
        <w:ind w:left="3402"/>
        <w:jc w:val="both"/>
        <w:rPr>
          <w:rFonts w:ascii="Arial" w:hAnsi="Arial" w:cs="Arial"/>
          <w:bCs/>
          <w:i/>
          <w:iCs/>
          <w:sz w:val="22"/>
          <w:szCs w:val="22"/>
          <w:shd w:val="clear" w:color="auto" w:fill="FFFFFF"/>
        </w:rPr>
      </w:pPr>
    </w:p>
    <w:p w14:paraId="74B5169B" w14:textId="77777777" w:rsidR="001E186B" w:rsidRPr="00E0516A" w:rsidRDefault="002A1B94" w:rsidP="00162E80">
      <w:pPr>
        <w:ind w:left="3402"/>
        <w:jc w:val="right"/>
        <w:rPr>
          <w:rFonts w:ascii="Arial" w:hAnsi="Arial" w:cs="Arial"/>
          <w:bCs/>
          <w:sz w:val="22"/>
          <w:szCs w:val="22"/>
          <w:shd w:val="clear" w:color="auto" w:fill="FFFFFF"/>
        </w:rPr>
      </w:pPr>
      <w:r w:rsidRPr="00E0516A">
        <w:rPr>
          <w:rFonts w:ascii="Arial" w:hAnsi="Arial" w:cs="Arial"/>
          <w:bCs/>
          <w:i/>
          <w:iCs/>
          <w:sz w:val="22"/>
          <w:szCs w:val="22"/>
          <w:shd w:val="clear" w:color="auto" w:fill="FFFFFF"/>
        </w:rPr>
        <w:t xml:space="preserve"> </w:t>
      </w:r>
      <w:r w:rsidR="00881816" w:rsidRPr="00E0516A">
        <w:rPr>
          <w:rFonts w:ascii="Arial" w:hAnsi="Arial" w:cs="Arial"/>
          <w:bCs/>
          <w:i/>
          <w:iCs/>
          <w:sz w:val="22"/>
          <w:szCs w:val="22"/>
          <w:shd w:val="clear" w:color="auto" w:fill="FFFFFF"/>
        </w:rPr>
        <w:t>“</w:t>
      </w:r>
      <w:r w:rsidR="000E1293" w:rsidRPr="00E0516A">
        <w:rPr>
          <w:rFonts w:ascii="Arial" w:hAnsi="Arial" w:cs="Arial"/>
          <w:bCs/>
          <w:sz w:val="22"/>
          <w:szCs w:val="22"/>
          <w:shd w:val="clear" w:color="auto" w:fill="FFFFFF"/>
        </w:rPr>
        <w:t>Paisaje f</w:t>
      </w:r>
      <w:r w:rsidR="000E1293" w:rsidRPr="00E0516A">
        <w:rPr>
          <w:rFonts w:ascii="Arial" w:hAnsi="Arial" w:cs="Arial" w:hint="eastAsia"/>
          <w:bCs/>
          <w:sz w:val="22"/>
          <w:szCs w:val="22"/>
          <w:shd w:val="clear" w:color="auto" w:fill="FFFFFF"/>
        </w:rPr>
        <w:t>ó</w:t>
      </w:r>
      <w:r w:rsidR="000E1293" w:rsidRPr="00E0516A">
        <w:rPr>
          <w:rFonts w:ascii="Arial" w:hAnsi="Arial" w:cs="Arial"/>
          <w:bCs/>
          <w:sz w:val="22"/>
          <w:szCs w:val="22"/>
          <w:shd w:val="clear" w:color="auto" w:fill="FFFFFF"/>
        </w:rPr>
        <w:t>sil</w:t>
      </w:r>
      <w:r w:rsidR="00881816" w:rsidRPr="00E0516A">
        <w:rPr>
          <w:rFonts w:ascii="Arial" w:hAnsi="Arial" w:cs="Arial"/>
          <w:bCs/>
          <w:sz w:val="22"/>
          <w:szCs w:val="22"/>
          <w:shd w:val="clear" w:color="auto" w:fill="FFFFFF"/>
        </w:rPr>
        <w:t>”</w:t>
      </w:r>
    </w:p>
    <w:p w14:paraId="24B195EE" w14:textId="30E11154" w:rsidR="002A1B94" w:rsidRPr="00E0516A" w:rsidRDefault="001E186B" w:rsidP="00162E80">
      <w:pPr>
        <w:ind w:left="3402"/>
        <w:jc w:val="right"/>
        <w:rPr>
          <w:rFonts w:ascii="Arial" w:hAnsi="Arial" w:cs="Arial"/>
          <w:bCs/>
          <w:sz w:val="22"/>
          <w:szCs w:val="22"/>
          <w:shd w:val="clear" w:color="auto" w:fill="FFFFFF"/>
        </w:rPr>
      </w:pPr>
      <w:r w:rsidRPr="00E0516A">
        <w:rPr>
          <w:rFonts w:ascii="Arial" w:hAnsi="Arial" w:cs="Arial"/>
          <w:bCs/>
          <w:sz w:val="22"/>
          <w:szCs w:val="22"/>
          <w:shd w:val="clear" w:color="auto" w:fill="FFFFFF"/>
        </w:rPr>
        <w:t>Verónica</w:t>
      </w:r>
      <w:r w:rsidR="000E1293" w:rsidRPr="00E0516A">
        <w:rPr>
          <w:rFonts w:ascii="Arial" w:hAnsi="Arial" w:cs="Arial"/>
          <w:bCs/>
          <w:sz w:val="22"/>
          <w:szCs w:val="22"/>
          <w:shd w:val="clear" w:color="auto" w:fill="FFFFFF"/>
        </w:rPr>
        <w:t xml:space="preserve"> Volkow</w:t>
      </w:r>
    </w:p>
    <w:p w14:paraId="65B93C32" w14:textId="77777777" w:rsidR="001E186B" w:rsidRPr="00847234" w:rsidRDefault="001E186B" w:rsidP="00D738AB">
      <w:pPr>
        <w:tabs>
          <w:tab w:val="left" w:pos="0"/>
        </w:tabs>
        <w:spacing w:line="360" w:lineRule="auto"/>
        <w:jc w:val="both"/>
        <w:rPr>
          <w:rFonts w:ascii="Arial" w:hAnsi="Arial" w:cs="Arial"/>
          <w:bCs/>
        </w:rPr>
      </w:pPr>
    </w:p>
    <w:p w14:paraId="198E52AD" w14:textId="00CB8498" w:rsidR="00123B55" w:rsidRPr="00847234" w:rsidRDefault="00123B55" w:rsidP="00D738AB">
      <w:pPr>
        <w:tabs>
          <w:tab w:val="left" w:pos="0"/>
        </w:tabs>
        <w:spacing w:line="360" w:lineRule="auto"/>
        <w:jc w:val="both"/>
        <w:rPr>
          <w:rFonts w:ascii="Arial" w:hAnsi="Arial" w:cs="Arial"/>
          <w:bCs/>
        </w:rPr>
      </w:pPr>
      <w:r w:rsidRPr="00847234">
        <w:rPr>
          <w:rFonts w:ascii="Arial" w:hAnsi="Arial" w:cs="Arial"/>
          <w:bCs/>
        </w:rPr>
        <w:t xml:space="preserve">En las sesiones de </w:t>
      </w:r>
      <w:r w:rsidR="00455F26" w:rsidRPr="00847234">
        <w:rPr>
          <w:rFonts w:ascii="Arial" w:hAnsi="Arial" w:cs="Arial"/>
          <w:bCs/>
        </w:rPr>
        <w:t xml:space="preserve">5 y 7 </w:t>
      </w:r>
      <w:r w:rsidR="00017DF6" w:rsidRPr="00847234">
        <w:rPr>
          <w:rFonts w:ascii="Arial" w:hAnsi="Arial" w:cs="Arial"/>
          <w:bCs/>
        </w:rPr>
        <w:t>de abril</w:t>
      </w:r>
      <w:r w:rsidR="00D55BB5" w:rsidRPr="00847234">
        <w:rPr>
          <w:rFonts w:ascii="Arial" w:hAnsi="Arial" w:cs="Arial"/>
          <w:bCs/>
        </w:rPr>
        <w:t xml:space="preserve"> de </w:t>
      </w:r>
      <w:r w:rsidR="00D71387" w:rsidRPr="00847234">
        <w:rPr>
          <w:rFonts w:ascii="Arial" w:hAnsi="Arial" w:cs="Arial"/>
          <w:bCs/>
        </w:rPr>
        <w:t>2022,</w:t>
      </w:r>
      <w:r w:rsidR="00017DF6" w:rsidRPr="00847234">
        <w:rPr>
          <w:rFonts w:ascii="Arial" w:hAnsi="Arial" w:cs="Arial"/>
          <w:bCs/>
        </w:rPr>
        <w:t xml:space="preserve"> este Tribunal Pleno resolvió la acción de inconstitucionalidad </w:t>
      </w:r>
      <w:r w:rsidR="00862F76" w:rsidRPr="00847234">
        <w:rPr>
          <w:rFonts w:ascii="Arial" w:hAnsi="Arial" w:cs="Arial"/>
          <w:bCs/>
        </w:rPr>
        <w:t xml:space="preserve">64/2021, </w:t>
      </w:r>
      <w:r w:rsidR="00017DF6" w:rsidRPr="00847234">
        <w:rPr>
          <w:rFonts w:ascii="Arial" w:hAnsi="Arial" w:cs="Arial"/>
          <w:bCs/>
        </w:rPr>
        <w:t xml:space="preserve">promovida por una minoría de senadores contra </w:t>
      </w:r>
      <w:r w:rsidR="00780952" w:rsidRPr="00847234">
        <w:rPr>
          <w:rFonts w:ascii="Arial" w:hAnsi="Arial" w:cs="Arial"/>
          <w:bCs/>
        </w:rPr>
        <w:t xml:space="preserve">el </w:t>
      </w:r>
      <w:r w:rsidR="00017DF6" w:rsidRPr="00847234">
        <w:rPr>
          <w:rFonts w:ascii="Arial" w:hAnsi="Arial" w:cs="Arial"/>
          <w:bCs/>
        </w:rPr>
        <w:t xml:space="preserve">Decreto </w:t>
      </w:r>
      <w:r w:rsidR="00D23CAA" w:rsidRPr="00847234">
        <w:rPr>
          <w:rFonts w:ascii="Arial" w:hAnsi="Arial" w:cs="Arial"/>
          <w:bCs/>
        </w:rPr>
        <w:t xml:space="preserve">con el cual </w:t>
      </w:r>
      <w:r w:rsidR="00017DF6" w:rsidRPr="00847234">
        <w:rPr>
          <w:rFonts w:ascii="Arial" w:hAnsi="Arial" w:cs="Arial"/>
          <w:bCs/>
        </w:rPr>
        <w:t xml:space="preserve">se reforman y adicionan diversas disposiciones de la Ley de la Industria Eléctrica, publicado el </w:t>
      </w:r>
      <w:r w:rsidR="00AA57EF" w:rsidRPr="00847234">
        <w:rPr>
          <w:rFonts w:ascii="Arial" w:hAnsi="Arial" w:cs="Arial"/>
          <w:bCs/>
        </w:rPr>
        <w:t xml:space="preserve">9 </w:t>
      </w:r>
      <w:r w:rsidR="00017DF6" w:rsidRPr="00847234">
        <w:rPr>
          <w:rFonts w:ascii="Arial" w:hAnsi="Arial" w:cs="Arial"/>
          <w:bCs/>
        </w:rPr>
        <w:t xml:space="preserve">de marzo de </w:t>
      </w:r>
      <w:r w:rsidR="00AA57EF" w:rsidRPr="00847234">
        <w:rPr>
          <w:rFonts w:ascii="Arial" w:hAnsi="Arial" w:cs="Arial"/>
          <w:bCs/>
        </w:rPr>
        <w:t xml:space="preserve">2021 </w:t>
      </w:r>
      <w:r w:rsidR="00017DF6" w:rsidRPr="00847234">
        <w:rPr>
          <w:rFonts w:ascii="Arial" w:hAnsi="Arial" w:cs="Arial"/>
          <w:bCs/>
        </w:rPr>
        <w:t>en el Diario Oficial de la Federación.</w:t>
      </w:r>
    </w:p>
    <w:p w14:paraId="0801031C" w14:textId="77777777" w:rsidR="00123B55" w:rsidRPr="00847234" w:rsidRDefault="00123B55" w:rsidP="00D738AB">
      <w:pPr>
        <w:tabs>
          <w:tab w:val="left" w:pos="0"/>
        </w:tabs>
        <w:spacing w:line="360" w:lineRule="auto"/>
        <w:jc w:val="both"/>
        <w:rPr>
          <w:rFonts w:ascii="Arial" w:hAnsi="Arial" w:cs="Arial"/>
          <w:bCs/>
        </w:rPr>
      </w:pPr>
    </w:p>
    <w:p w14:paraId="44E3854C" w14:textId="77777777" w:rsidR="00780952" w:rsidRPr="00847234" w:rsidRDefault="00B27396" w:rsidP="00D738AB">
      <w:pPr>
        <w:tabs>
          <w:tab w:val="left" w:pos="0"/>
        </w:tabs>
        <w:spacing w:line="360" w:lineRule="auto"/>
        <w:jc w:val="both"/>
        <w:rPr>
          <w:rFonts w:ascii="Arial" w:hAnsi="Arial" w:cs="Arial"/>
          <w:bCs/>
        </w:rPr>
      </w:pPr>
      <w:r w:rsidRPr="00847234">
        <w:rPr>
          <w:rFonts w:ascii="Arial" w:hAnsi="Arial" w:cs="Arial"/>
          <w:bCs/>
        </w:rPr>
        <w:t xml:space="preserve">En la ejecutoria </w:t>
      </w:r>
      <w:r w:rsidR="00017DF6" w:rsidRPr="00847234">
        <w:rPr>
          <w:rFonts w:ascii="Arial" w:hAnsi="Arial" w:cs="Arial"/>
          <w:bCs/>
        </w:rPr>
        <w:t>finalmente aprobada</w:t>
      </w:r>
      <w:r w:rsidRPr="00847234">
        <w:rPr>
          <w:rFonts w:ascii="Arial" w:hAnsi="Arial" w:cs="Arial"/>
          <w:bCs/>
        </w:rPr>
        <w:t>, e</w:t>
      </w:r>
      <w:r w:rsidR="00B32D7F" w:rsidRPr="00847234">
        <w:rPr>
          <w:rFonts w:ascii="Arial" w:hAnsi="Arial" w:cs="Arial"/>
          <w:bCs/>
        </w:rPr>
        <w:t>l</w:t>
      </w:r>
      <w:r w:rsidRPr="00847234">
        <w:rPr>
          <w:rFonts w:ascii="Arial" w:hAnsi="Arial" w:cs="Arial"/>
          <w:bCs/>
        </w:rPr>
        <w:t xml:space="preserve"> Tribunal Pleno de esta Suprema Corte de Justicia de la Nación tomó d</w:t>
      </w:r>
      <w:r w:rsidR="00906E6D" w:rsidRPr="00847234">
        <w:rPr>
          <w:rFonts w:ascii="Arial" w:hAnsi="Arial" w:cs="Arial"/>
          <w:bCs/>
        </w:rPr>
        <w:t>os</w:t>
      </w:r>
      <w:r w:rsidRPr="00847234">
        <w:rPr>
          <w:rFonts w:ascii="Arial" w:hAnsi="Arial" w:cs="Arial"/>
          <w:bCs/>
        </w:rPr>
        <w:t xml:space="preserve"> decisiones</w:t>
      </w:r>
      <w:r w:rsidR="0023127E" w:rsidRPr="00847234">
        <w:rPr>
          <w:rFonts w:ascii="Arial" w:hAnsi="Arial" w:cs="Arial"/>
          <w:bCs/>
        </w:rPr>
        <w:t xml:space="preserve"> en el fondo del asunt</w:t>
      </w:r>
      <w:r w:rsidR="00B32D7F" w:rsidRPr="00847234">
        <w:rPr>
          <w:rFonts w:ascii="Arial" w:hAnsi="Arial" w:cs="Arial"/>
          <w:bCs/>
        </w:rPr>
        <w:t>o</w:t>
      </w:r>
      <w:r w:rsidRPr="00847234">
        <w:rPr>
          <w:rFonts w:ascii="Arial" w:hAnsi="Arial" w:cs="Arial"/>
          <w:bCs/>
        </w:rPr>
        <w:t xml:space="preserve">: </w:t>
      </w:r>
    </w:p>
    <w:p w14:paraId="47571B18" w14:textId="77777777" w:rsidR="006B388E" w:rsidRPr="00847234" w:rsidRDefault="006B388E" w:rsidP="006B388E">
      <w:pPr>
        <w:pStyle w:val="Prrafodelista"/>
        <w:tabs>
          <w:tab w:val="left" w:pos="0"/>
        </w:tabs>
        <w:spacing w:line="360" w:lineRule="auto"/>
        <w:ind w:left="720"/>
        <w:jc w:val="both"/>
        <w:rPr>
          <w:rFonts w:ascii="Arial" w:hAnsi="Arial" w:cs="Arial"/>
          <w:bCs/>
        </w:rPr>
      </w:pPr>
    </w:p>
    <w:p w14:paraId="4DE087DD" w14:textId="5EA21BD8" w:rsidR="00780952" w:rsidRPr="00847234" w:rsidRDefault="00780952" w:rsidP="00780952">
      <w:pPr>
        <w:pStyle w:val="Prrafodelista"/>
        <w:numPr>
          <w:ilvl w:val="0"/>
          <w:numId w:val="14"/>
        </w:numPr>
        <w:tabs>
          <w:tab w:val="left" w:pos="0"/>
        </w:tabs>
        <w:spacing w:line="360" w:lineRule="auto"/>
        <w:jc w:val="both"/>
        <w:rPr>
          <w:rFonts w:ascii="Arial" w:hAnsi="Arial" w:cs="Arial"/>
          <w:bCs/>
        </w:rPr>
      </w:pPr>
      <w:r w:rsidRPr="00847234">
        <w:rPr>
          <w:rFonts w:ascii="Arial" w:hAnsi="Arial" w:cs="Arial"/>
          <w:bCs/>
        </w:rPr>
        <w:t>Desestimó la</w:t>
      </w:r>
      <w:r w:rsidR="0023127E" w:rsidRPr="00847234">
        <w:rPr>
          <w:rFonts w:ascii="Arial" w:hAnsi="Arial" w:cs="Arial"/>
          <w:bCs/>
        </w:rPr>
        <w:t xml:space="preserve"> acción de inconstitucionalidad respecto de los artículos 3, fracción V, 4</w:t>
      </w:r>
      <w:r w:rsidR="004E4532" w:rsidRPr="00847234">
        <w:rPr>
          <w:rFonts w:ascii="Arial" w:hAnsi="Arial" w:cs="Arial"/>
          <w:bCs/>
        </w:rPr>
        <w:t>,</w:t>
      </w:r>
      <w:r w:rsidR="0023127E" w:rsidRPr="00847234">
        <w:rPr>
          <w:rFonts w:ascii="Arial" w:hAnsi="Arial" w:cs="Arial"/>
          <w:bCs/>
        </w:rPr>
        <w:t xml:space="preserve"> fracción VI, 26, 53, 101, 108, fracción VI</w:t>
      </w:r>
      <w:r w:rsidR="004E4532" w:rsidRPr="00847234">
        <w:rPr>
          <w:rFonts w:ascii="Arial" w:hAnsi="Arial" w:cs="Arial"/>
          <w:bCs/>
        </w:rPr>
        <w:t>,</w:t>
      </w:r>
      <w:r w:rsidR="0023127E" w:rsidRPr="00847234">
        <w:rPr>
          <w:rFonts w:ascii="Arial" w:hAnsi="Arial" w:cs="Arial"/>
          <w:bCs/>
        </w:rPr>
        <w:t xml:space="preserve"> y 126</w:t>
      </w:r>
      <w:r w:rsidR="00C43811">
        <w:rPr>
          <w:rFonts w:ascii="Arial" w:hAnsi="Arial" w:cs="Arial"/>
          <w:bCs/>
        </w:rPr>
        <w:t>,</w:t>
      </w:r>
      <w:r w:rsidR="0023127E" w:rsidRPr="00847234">
        <w:rPr>
          <w:rFonts w:ascii="Arial" w:hAnsi="Arial" w:cs="Arial"/>
          <w:bCs/>
        </w:rPr>
        <w:t xml:space="preserve"> fracción II,</w:t>
      </w:r>
      <w:r w:rsidR="00B32D7F" w:rsidRPr="00847234">
        <w:rPr>
          <w:rFonts w:ascii="Arial" w:hAnsi="Arial" w:cs="Arial"/>
          <w:bCs/>
        </w:rPr>
        <w:t xml:space="preserve"> </w:t>
      </w:r>
      <w:r w:rsidR="004E4532" w:rsidRPr="00847234">
        <w:rPr>
          <w:rFonts w:ascii="Arial" w:hAnsi="Arial" w:cs="Arial"/>
          <w:bCs/>
        </w:rPr>
        <w:t>y</w:t>
      </w:r>
    </w:p>
    <w:p w14:paraId="48DB5E98" w14:textId="77777777" w:rsidR="006B388E" w:rsidRPr="00847234" w:rsidRDefault="006B388E" w:rsidP="006B388E">
      <w:pPr>
        <w:pStyle w:val="Prrafodelista"/>
        <w:tabs>
          <w:tab w:val="left" w:pos="0"/>
        </w:tabs>
        <w:spacing w:line="360" w:lineRule="auto"/>
        <w:ind w:left="720"/>
        <w:jc w:val="both"/>
        <w:rPr>
          <w:rFonts w:ascii="Arial" w:hAnsi="Arial" w:cs="Arial"/>
          <w:bCs/>
        </w:rPr>
      </w:pPr>
    </w:p>
    <w:p w14:paraId="4C52778D" w14:textId="0C13061D" w:rsidR="006D5B74" w:rsidRPr="00847234" w:rsidRDefault="004104DC" w:rsidP="00567EFC">
      <w:pPr>
        <w:pStyle w:val="Prrafodelista"/>
        <w:numPr>
          <w:ilvl w:val="0"/>
          <w:numId w:val="14"/>
        </w:numPr>
        <w:tabs>
          <w:tab w:val="left" w:pos="0"/>
        </w:tabs>
        <w:spacing w:line="360" w:lineRule="auto"/>
        <w:jc w:val="both"/>
        <w:rPr>
          <w:rFonts w:ascii="Arial" w:hAnsi="Arial" w:cs="Arial"/>
          <w:bCs/>
        </w:rPr>
      </w:pPr>
      <w:r w:rsidRPr="00847234">
        <w:rPr>
          <w:rFonts w:ascii="Arial" w:hAnsi="Arial" w:cs="Arial"/>
          <w:bCs/>
        </w:rPr>
        <w:t>R</w:t>
      </w:r>
      <w:r w:rsidR="00B27396" w:rsidRPr="00847234">
        <w:rPr>
          <w:rFonts w:ascii="Arial" w:hAnsi="Arial" w:cs="Arial"/>
          <w:bCs/>
        </w:rPr>
        <w:t>econ</w:t>
      </w:r>
      <w:r w:rsidR="00B32D7F" w:rsidRPr="00847234">
        <w:rPr>
          <w:rFonts w:ascii="Arial" w:hAnsi="Arial" w:cs="Arial"/>
          <w:bCs/>
        </w:rPr>
        <w:t>oció</w:t>
      </w:r>
      <w:r w:rsidR="0023127E" w:rsidRPr="00847234">
        <w:rPr>
          <w:rFonts w:ascii="Arial" w:hAnsi="Arial" w:cs="Arial"/>
          <w:bCs/>
        </w:rPr>
        <w:t xml:space="preserve"> la validez de los artículos 3, fracciones XII, XII Bis y XIV, 4, fracción I, 12, fracción I, 35, párrafo primer</w:t>
      </w:r>
      <w:r w:rsidR="00C43811">
        <w:rPr>
          <w:rFonts w:ascii="Arial" w:hAnsi="Arial" w:cs="Arial"/>
          <w:bCs/>
        </w:rPr>
        <w:t>o</w:t>
      </w:r>
      <w:r w:rsidR="0023127E" w:rsidRPr="00847234">
        <w:rPr>
          <w:rFonts w:ascii="Arial" w:hAnsi="Arial" w:cs="Arial"/>
          <w:bCs/>
        </w:rPr>
        <w:t xml:space="preserve"> y 108, fracción V</w:t>
      </w:r>
      <w:r w:rsidR="00B32D7F" w:rsidRPr="00847234">
        <w:rPr>
          <w:rFonts w:ascii="Arial" w:hAnsi="Arial" w:cs="Arial"/>
          <w:bCs/>
        </w:rPr>
        <w:t>, así como de los artículos transitorios cuarto y quinto</w:t>
      </w:r>
      <w:r w:rsidR="00D2717A" w:rsidRPr="00847234">
        <w:rPr>
          <w:rFonts w:ascii="Arial" w:hAnsi="Arial" w:cs="Arial"/>
          <w:bCs/>
        </w:rPr>
        <w:t>, todos</w:t>
      </w:r>
      <w:r w:rsidR="00B32D7F" w:rsidRPr="00847234">
        <w:rPr>
          <w:rFonts w:ascii="Arial" w:hAnsi="Arial" w:cs="Arial"/>
          <w:bCs/>
        </w:rPr>
        <w:t xml:space="preserve"> del</w:t>
      </w:r>
      <w:r w:rsidR="00017DF6" w:rsidRPr="00847234">
        <w:rPr>
          <w:rFonts w:ascii="Arial" w:hAnsi="Arial" w:cs="Arial"/>
          <w:bCs/>
        </w:rPr>
        <w:t xml:space="preserve"> referido decreto legislativo</w:t>
      </w:r>
      <w:r w:rsidR="00CE7C56" w:rsidRPr="00847234">
        <w:rPr>
          <w:rFonts w:ascii="Arial" w:hAnsi="Arial" w:cs="Arial"/>
          <w:bCs/>
        </w:rPr>
        <w:t xml:space="preserve"> que contiene las reformas y adiciones a la Ley de la Industria Eléctrica</w:t>
      </w:r>
      <w:r w:rsidR="00434206" w:rsidRPr="00847234">
        <w:rPr>
          <w:rFonts w:ascii="Arial" w:hAnsi="Arial" w:cs="Arial"/>
          <w:bCs/>
        </w:rPr>
        <w:t>.</w:t>
      </w:r>
    </w:p>
    <w:p w14:paraId="7082144D" w14:textId="4951B2AD" w:rsidR="00B32D7F" w:rsidRPr="00847234" w:rsidRDefault="00B32D7F" w:rsidP="00D738AB">
      <w:pPr>
        <w:tabs>
          <w:tab w:val="left" w:pos="0"/>
        </w:tabs>
        <w:spacing w:line="360" w:lineRule="auto"/>
        <w:jc w:val="both"/>
        <w:rPr>
          <w:rFonts w:ascii="Arial" w:hAnsi="Arial" w:cs="Arial"/>
          <w:bCs/>
        </w:rPr>
      </w:pPr>
    </w:p>
    <w:p w14:paraId="05681965" w14:textId="3EB1BE3D" w:rsidR="00471E20" w:rsidRPr="00847234" w:rsidRDefault="00B32D7F" w:rsidP="00D738AB">
      <w:pPr>
        <w:tabs>
          <w:tab w:val="left" w:pos="0"/>
        </w:tabs>
        <w:spacing w:line="360" w:lineRule="auto"/>
        <w:jc w:val="both"/>
        <w:rPr>
          <w:rFonts w:ascii="Arial" w:hAnsi="Arial" w:cs="Arial"/>
          <w:bCs/>
        </w:rPr>
      </w:pPr>
      <w:r w:rsidRPr="00847234">
        <w:rPr>
          <w:rFonts w:ascii="Arial" w:hAnsi="Arial" w:cs="Arial"/>
          <w:bCs/>
        </w:rPr>
        <w:t xml:space="preserve">La desestimación de la acción de inconstitucionalidad </w:t>
      </w:r>
      <w:r w:rsidR="00D17B4D" w:rsidRPr="00847234">
        <w:rPr>
          <w:rFonts w:ascii="Arial" w:hAnsi="Arial" w:cs="Arial"/>
          <w:bCs/>
        </w:rPr>
        <w:t xml:space="preserve">obedeció </w:t>
      </w:r>
      <w:r w:rsidR="009A2653" w:rsidRPr="00847234">
        <w:rPr>
          <w:rFonts w:ascii="Arial" w:hAnsi="Arial" w:cs="Arial"/>
          <w:bCs/>
        </w:rPr>
        <w:t>a</w:t>
      </w:r>
      <w:r w:rsidR="00D2717A" w:rsidRPr="00847234">
        <w:rPr>
          <w:rFonts w:ascii="Arial" w:hAnsi="Arial" w:cs="Arial"/>
          <w:bCs/>
        </w:rPr>
        <w:t xml:space="preserve"> que</w:t>
      </w:r>
      <w:r w:rsidRPr="00847234">
        <w:rPr>
          <w:rFonts w:ascii="Arial" w:hAnsi="Arial" w:cs="Arial"/>
          <w:bCs/>
        </w:rPr>
        <w:t xml:space="preserve"> </w:t>
      </w:r>
      <w:r w:rsidR="000B7D18" w:rsidRPr="00847234">
        <w:rPr>
          <w:rFonts w:ascii="Arial" w:hAnsi="Arial" w:cs="Arial"/>
          <w:bCs/>
        </w:rPr>
        <w:t>la invalidez de los artículos impugnados</w:t>
      </w:r>
      <w:r w:rsidR="002F5AD6" w:rsidRPr="00847234">
        <w:rPr>
          <w:rFonts w:ascii="Arial" w:hAnsi="Arial" w:cs="Arial"/>
          <w:bCs/>
        </w:rPr>
        <w:t xml:space="preserve"> fue sostenida por </w:t>
      </w:r>
      <w:r w:rsidR="00C02216" w:rsidRPr="00847234">
        <w:rPr>
          <w:rFonts w:ascii="Arial" w:hAnsi="Arial" w:cs="Arial"/>
          <w:bCs/>
        </w:rPr>
        <w:t xml:space="preserve">una </w:t>
      </w:r>
      <w:r w:rsidR="000B7D18" w:rsidRPr="00847234">
        <w:rPr>
          <w:rFonts w:ascii="Arial" w:hAnsi="Arial" w:cs="Arial"/>
          <w:bCs/>
        </w:rPr>
        <w:t>mayoría</w:t>
      </w:r>
      <w:r w:rsidR="009D1541" w:rsidRPr="00847234">
        <w:rPr>
          <w:rFonts w:ascii="Arial" w:hAnsi="Arial" w:cs="Arial"/>
          <w:bCs/>
        </w:rPr>
        <w:t xml:space="preserve"> no</w:t>
      </w:r>
      <w:r w:rsidR="000B7D18" w:rsidRPr="00847234">
        <w:rPr>
          <w:rFonts w:ascii="Arial" w:hAnsi="Arial" w:cs="Arial"/>
          <w:bCs/>
        </w:rPr>
        <w:t xml:space="preserve"> calificada</w:t>
      </w:r>
      <w:r w:rsidR="00D05677" w:rsidRPr="00847234">
        <w:rPr>
          <w:rFonts w:ascii="Arial" w:hAnsi="Arial" w:cs="Arial"/>
          <w:bCs/>
        </w:rPr>
        <w:t xml:space="preserve">, tal como lo exige </w:t>
      </w:r>
      <w:r w:rsidR="00C43811">
        <w:rPr>
          <w:rFonts w:ascii="Arial" w:hAnsi="Arial" w:cs="Arial"/>
          <w:bCs/>
        </w:rPr>
        <w:t xml:space="preserve">la </w:t>
      </w:r>
      <w:r w:rsidR="000B7D18" w:rsidRPr="00847234">
        <w:rPr>
          <w:rFonts w:ascii="Arial" w:hAnsi="Arial" w:cs="Arial"/>
          <w:bCs/>
        </w:rPr>
        <w:t>Constitución</w:t>
      </w:r>
      <w:r w:rsidR="00D05677" w:rsidRPr="00847234">
        <w:rPr>
          <w:rFonts w:ascii="Arial" w:hAnsi="Arial" w:cs="Arial"/>
          <w:bCs/>
        </w:rPr>
        <w:t xml:space="preserve">. </w:t>
      </w:r>
      <w:r w:rsidR="000B7D18" w:rsidRPr="00847234">
        <w:rPr>
          <w:rFonts w:ascii="Arial" w:hAnsi="Arial" w:cs="Arial"/>
          <w:bCs/>
        </w:rPr>
        <w:t>En cuanto a los artículos 3, fracciones XII, XII Bis y XIV, 4, fracción I, 12, fracción I, 35, párrafo primer</w:t>
      </w:r>
      <w:r w:rsidR="007123E8">
        <w:rPr>
          <w:rFonts w:ascii="Arial" w:hAnsi="Arial" w:cs="Arial"/>
          <w:bCs/>
        </w:rPr>
        <w:t>o</w:t>
      </w:r>
      <w:r w:rsidR="000B7D18" w:rsidRPr="00847234">
        <w:rPr>
          <w:rFonts w:ascii="Arial" w:hAnsi="Arial" w:cs="Arial"/>
          <w:bCs/>
        </w:rPr>
        <w:t xml:space="preserve"> y 108, fracción V, así como de los artículos transitorios cuarto y quinto, la mayoría de los integrantes de este Pleno </w:t>
      </w:r>
      <w:r w:rsidR="00D14B6C" w:rsidRPr="00847234">
        <w:rPr>
          <w:rFonts w:ascii="Arial" w:hAnsi="Arial" w:cs="Arial"/>
          <w:bCs/>
        </w:rPr>
        <w:t>afirmó</w:t>
      </w:r>
      <w:r w:rsidR="000B7D18" w:rsidRPr="00847234">
        <w:rPr>
          <w:rFonts w:ascii="Arial" w:hAnsi="Arial" w:cs="Arial"/>
          <w:bCs/>
        </w:rPr>
        <w:t xml:space="preserve"> </w:t>
      </w:r>
      <w:r w:rsidR="00D14B6C" w:rsidRPr="00847234">
        <w:rPr>
          <w:rFonts w:ascii="Arial" w:hAnsi="Arial" w:cs="Arial"/>
          <w:bCs/>
        </w:rPr>
        <w:t>su</w:t>
      </w:r>
      <w:r w:rsidR="000B7D18" w:rsidRPr="00847234">
        <w:rPr>
          <w:rFonts w:ascii="Arial" w:hAnsi="Arial" w:cs="Arial"/>
          <w:bCs/>
        </w:rPr>
        <w:t xml:space="preserve"> compatibilidad constitucional</w:t>
      </w:r>
      <w:r w:rsidR="00E11991" w:rsidRPr="00847234">
        <w:rPr>
          <w:rFonts w:ascii="Arial" w:hAnsi="Arial" w:cs="Arial"/>
          <w:bCs/>
        </w:rPr>
        <w:t xml:space="preserve">. </w:t>
      </w:r>
    </w:p>
    <w:p w14:paraId="075C7701" w14:textId="77777777" w:rsidR="00471E20" w:rsidRPr="00847234" w:rsidRDefault="00471E20" w:rsidP="00D738AB">
      <w:pPr>
        <w:tabs>
          <w:tab w:val="left" w:pos="0"/>
        </w:tabs>
        <w:spacing w:line="360" w:lineRule="auto"/>
        <w:jc w:val="both"/>
        <w:rPr>
          <w:rFonts w:ascii="Arial" w:hAnsi="Arial" w:cs="Arial"/>
          <w:bCs/>
        </w:rPr>
      </w:pPr>
    </w:p>
    <w:p w14:paraId="29DC81F9" w14:textId="4AFF61EA" w:rsidR="002459BB" w:rsidRPr="00847234" w:rsidRDefault="00471E20" w:rsidP="00D738AB">
      <w:pPr>
        <w:tabs>
          <w:tab w:val="left" w:pos="0"/>
        </w:tabs>
        <w:spacing w:line="360" w:lineRule="auto"/>
        <w:jc w:val="both"/>
        <w:rPr>
          <w:rFonts w:ascii="Arial" w:hAnsi="Arial" w:cs="Arial"/>
          <w:bCs/>
        </w:rPr>
      </w:pPr>
      <w:r w:rsidRPr="00847234">
        <w:rPr>
          <w:rFonts w:ascii="Arial" w:hAnsi="Arial" w:cs="Arial"/>
          <w:bCs/>
        </w:rPr>
        <w:t xml:space="preserve">Concuerdo </w:t>
      </w:r>
      <w:r w:rsidR="00E80414" w:rsidRPr="00847234">
        <w:rPr>
          <w:rFonts w:ascii="Arial" w:hAnsi="Arial" w:cs="Arial"/>
          <w:bCs/>
        </w:rPr>
        <w:t>p</w:t>
      </w:r>
      <w:r w:rsidR="00D14B6C" w:rsidRPr="00847234">
        <w:rPr>
          <w:rFonts w:ascii="Arial" w:hAnsi="Arial" w:cs="Arial"/>
          <w:bCs/>
        </w:rPr>
        <w:t>arcialmente con ambas decisiones.</w:t>
      </w:r>
      <w:r w:rsidRPr="00847234">
        <w:rPr>
          <w:rFonts w:ascii="Arial" w:hAnsi="Arial" w:cs="Arial"/>
          <w:bCs/>
        </w:rPr>
        <w:t xml:space="preserve"> </w:t>
      </w:r>
      <w:r w:rsidR="006B114F" w:rsidRPr="00847234">
        <w:rPr>
          <w:rFonts w:ascii="Arial" w:hAnsi="Arial" w:cs="Arial"/>
          <w:bCs/>
        </w:rPr>
        <w:t xml:space="preserve">Este voto tiene justo el propósito </w:t>
      </w:r>
      <w:r w:rsidR="00CA47A2" w:rsidRPr="00847234">
        <w:rPr>
          <w:rFonts w:ascii="Arial" w:hAnsi="Arial" w:cs="Arial"/>
          <w:bCs/>
        </w:rPr>
        <w:t xml:space="preserve">de </w:t>
      </w:r>
      <w:r w:rsidRPr="00847234">
        <w:rPr>
          <w:rFonts w:ascii="Arial" w:hAnsi="Arial" w:cs="Arial"/>
          <w:bCs/>
        </w:rPr>
        <w:t xml:space="preserve">explicar los términos de </w:t>
      </w:r>
      <w:r w:rsidR="00CA47A2" w:rsidRPr="00847234">
        <w:rPr>
          <w:rFonts w:ascii="Arial" w:hAnsi="Arial" w:cs="Arial"/>
          <w:bCs/>
        </w:rPr>
        <w:t>esa coincidencia parcial</w:t>
      </w:r>
      <w:r w:rsidR="00253A78" w:rsidRPr="00847234">
        <w:rPr>
          <w:rFonts w:ascii="Arial" w:hAnsi="Arial" w:cs="Arial"/>
          <w:bCs/>
        </w:rPr>
        <w:t>.</w:t>
      </w:r>
      <w:r w:rsidR="00D90697" w:rsidRPr="00847234">
        <w:rPr>
          <w:rFonts w:ascii="Arial" w:hAnsi="Arial" w:cs="Arial"/>
          <w:bCs/>
        </w:rPr>
        <w:t xml:space="preserve"> Después de exponer los lineamientos metodológicos que enmarcar</w:t>
      </w:r>
      <w:r w:rsidR="00B05C28" w:rsidRPr="00847234">
        <w:rPr>
          <w:rFonts w:ascii="Arial" w:hAnsi="Arial" w:cs="Arial"/>
          <w:bCs/>
        </w:rPr>
        <w:t xml:space="preserve">án </w:t>
      </w:r>
      <w:r w:rsidR="00D90697" w:rsidRPr="00847234">
        <w:rPr>
          <w:rFonts w:ascii="Arial" w:hAnsi="Arial" w:cs="Arial"/>
          <w:bCs/>
        </w:rPr>
        <w:t>mi análisis, en primer lugar, desarrollaré l</w:t>
      </w:r>
      <w:r w:rsidR="00B53D5F" w:rsidRPr="00847234">
        <w:rPr>
          <w:rFonts w:ascii="Arial" w:hAnsi="Arial" w:cs="Arial"/>
          <w:bCs/>
        </w:rPr>
        <w:t xml:space="preserve">as razones </w:t>
      </w:r>
      <w:r w:rsidR="00EA16FE" w:rsidRPr="00847234">
        <w:rPr>
          <w:rFonts w:ascii="Arial" w:hAnsi="Arial" w:cs="Arial"/>
          <w:bCs/>
        </w:rPr>
        <w:t xml:space="preserve">por las cuales sostengo la invalidez </w:t>
      </w:r>
      <w:r w:rsidR="007C2AAF" w:rsidRPr="00847234">
        <w:rPr>
          <w:rFonts w:ascii="Arial" w:hAnsi="Arial" w:cs="Arial"/>
          <w:bCs/>
        </w:rPr>
        <w:t xml:space="preserve">de </w:t>
      </w:r>
      <w:r w:rsidR="002459BB" w:rsidRPr="00847234">
        <w:rPr>
          <w:rFonts w:ascii="Arial" w:hAnsi="Arial" w:cs="Arial"/>
          <w:bCs/>
        </w:rPr>
        <w:t>los</w:t>
      </w:r>
      <w:r w:rsidR="00906E6D" w:rsidRPr="00847234">
        <w:rPr>
          <w:rFonts w:ascii="Arial" w:hAnsi="Arial" w:cs="Arial"/>
          <w:bCs/>
        </w:rPr>
        <w:t xml:space="preserve"> artículos</w:t>
      </w:r>
      <w:r w:rsidR="009A2653" w:rsidRPr="00847234">
        <w:rPr>
          <w:rFonts w:ascii="Arial" w:hAnsi="Arial" w:cs="Arial"/>
          <w:bCs/>
        </w:rPr>
        <w:t xml:space="preserve"> 4, </w:t>
      </w:r>
      <w:r w:rsidR="009A2653" w:rsidRPr="00847234">
        <w:rPr>
          <w:rFonts w:ascii="Arial" w:hAnsi="Arial" w:cs="Arial"/>
          <w:bCs/>
        </w:rPr>
        <w:lastRenderedPageBreak/>
        <w:t>fracción VI, 26 y 126</w:t>
      </w:r>
      <w:r w:rsidR="008F6415" w:rsidRPr="00847234">
        <w:rPr>
          <w:rFonts w:ascii="Arial" w:hAnsi="Arial" w:cs="Arial"/>
          <w:bCs/>
        </w:rPr>
        <w:t xml:space="preserve">, la cual fue desestimada, así como </w:t>
      </w:r>
      <w:r w:rsidR="009026EC" w:rsidRPr="00847234">
        <w:rPr>
          <w:rFonts w:ascii="Arial" w:hAnsi="Arial" w:cs="Arial"/>
          <w:bCs/>
        </w:rPr>
        <w:t xml:space="preserve">las razones </w:t>
      </w:r>
      <w:r w:rsidR="002459BB" w:rsidRPr="00847234">
        <w:rPr>
          <w:rFonts w:ascii="Arial" w:hAnsi="Arial" w:cs="Arial"/>
          <w:bCs/>
        </w:rPr>
        <w:t>de mi desacuerdo con el reconocimiento de validez de los artículo</w:t>
      </w:r>
      <w:r w:rsidR="00133F39" w:rsidRPr="00847234">
        <w:rPr>
          <w:rFonts w:ascii="Arial" w:hAnsi="Arial" w:cs="Arial"/>
          <w:bCs/>
        </w:rPr>
        <w:t>s</w:t>
      </w:r>
      <w:r w:rsidR="002459BB" w:rsidRPr="00847234">
        <w:rPr>
          <w:rFonts w:ascii="Arial" w:hAnsi="Arial" w:cs="Arial"/>
          <w:bCs/>
        </w:rPr>
        <w:t xml:space="preserve"> cuarto y quinto transitorio</w:t>
      </w:r>
      <w:r w:rsidR="009A2653" w:rsidRPr="00847234">
        <w:rPr>
          <w:rFonts w:ascii="Arial" w:hAnsi="Arial" w:cs="Arial"/>
          <w:bCs/>
        </w:rPr>
        <w:t>, del citado decreto legislativo</w:t>
      </w:r>
      <w:r w:rsidR="002459BB" w:rsidRPr="00847234">
        <w:rPr>
          <w:rFonts w:ascii="Arial" w:hAnsi="Arial" w:cs="Arial"/>
          <w:bCs/>
        </w:rPr>
        <w:t xml:space="preserve">. </w:t>
      </w:r>
      <w:r w:rsidR="00727358" w:rsidRPr="00847234">
        <w:rPr>
          <w:rFonts w:ascii="Arial" w:hAnsi="Arial" w:cs="Arial"/>
          <w:bCs/>
        </w:rPr>
        <w:t>Esto significa, entonces, que respecto de la desestimación a la que finalmente llegara el Pleno, emitiré un voto concurrente</w:t>
      </w:r>
      <w:r w:rsidR="00A54B39" w:rsidRPr="00847234">
        <w:rPr>
          <w:rFonts w:ascii="Arial" w:hAnsi="Arial" w:cs="Arial"/>
          <w:bCs/>
        </w:rPr>
        <w:t xml:space="preserve">. Para el </w:t>
      </w:r>
      <w:r w:rsidR="00727358" w:rsidRPr="00847234">
        <w:rPr>
          <w:rFonts w:ascii="Arial" w:hAnsi="Arial" w:cs="Arial"/>
          <w:bCs/>
        </w:rPr>
        <w:t xml:space="preserve">caso de la declaratoria de validez, me distanciaré con un voto </w:t>
      </w:r>
      <w:r w:rsidR="00123B55" w:rsidRPr="00847234">
        <w:rPr>
          <w:rFonts w:ascii="Arial" w:hAnsi="Arial" w:cs="Arial"/>
          <w:bCs/>
        </w:rPr>
        <w:t>particular.</w:t>
      </w:r>
      <w:r w:rsidR="00017DF6" w:rsidRPr="00847234">
        <w:rPr>
          <w:rFonts w:ascii="Arial" w:hAnsi="Arial" w:cs="Arial"/>
          <w:bCs/>
        </w:rPr>
        <w:t xml:space="preserve"> Finalmente, aunque coincidí con el reconocimiento de validez de los artículos </w:t>
      </w:r>
      <w:r w:rsidR="00CD71A7" w:rsidRPr="00847234">
        <w:rPr>
          <w:rFonts w:ascii="Arial" w:hAnsi="Arial" w:cs="Arial"/>
          <w:bCs/>
        </w:rPr>
        <w:t>4, fracción I</w:t>
      </w:r>
      <w:r w:rsidR="007E1365" w:rsidRPr="00847234">
        <w:rPr>
          <w:rFonts w:ascii="Arial" w:hAnsi="Arial" w:cs="Arial"/>
          <w:bCs/>
        </w:rPr>
        <w:t>,</w:t>
      </w:r>
      <w:r w:rsidR="00CD71A7" w:rsidRPr="00847234">
        <w:rPr>
          <w:rFonts w:ascii="Arial" w:hAnsi="Arial" w:cs="Arial"/>
          <w:bCs/>
        </w:rPr>
        <w:t xml:space="preserve"> y 12, fracción I,</w:t>
      </w:r>
      <w:r w:rsidR="00017DF6" w:rsidRPr="00847234">
        <w:rPr>
          <w:rFonts w:ascii="Arial" w:hAnsi="Arial" w:cs="Arial"/>
          <w:bCs/>
        </w:rPr>
        <w:t xml:space="preserve"> </w:t>
      </w:r>
      <w:r w:rsidR="00103460" w:rsidRPr="00847234">
        <w:rPr>
          <w:rFonts w:ascii="Arial" w:hAnsi="Arial" w:cs="Arial"/>
          <w:bCs/>
        </w:rPr>
        <w:t xml:space="preserve">enumeraré </w:t>
      </w:r>
      <w:r w:rsidR="00EA3E45" w:rsidRPr="00847234">
        <w:rPr>
          <w:rFonts w:ascii="Arial" w:hAnsi="Arial" w:cs="Arial"/>
          <w:bCs/>
        </w:rPr>
        <w:t xml:space="preserve">las </w:t>
      </w:r>
      <w:r w:rsidR="00017DF6" w:rsidRPr="00847234">
        <w:rPr>
          <w:rFonts w:ascii="Arial" w:hAnsi="Arial" w:cs="Arial"/>
          <w:bCs/>
        </w:rPr>
        <w:t>razones que, en mi opinión, debieron agregarse a la ejecutoria</w:t>
      </w:r>
      <w:r w:rsidR="00EA3E45" w:rsidRPr="00847234">
        <w:rPr>
          <w:rFonts w:ascii="Arial" w:hAnsi="Arial" w:cs="Arial"/>
          <w:bCs/>
        </w:rPr>
        <w:t xml:space="preserve">. Es decir, en este caso emitiré nuevamente un voto concurrente. </w:t>
      </w:r>
      <w:r w:rsidR="006A434C" w:rsidRPr="00847234">
        <w:rPr>
          <w:rFonts w:ascii="Arial" w:hAnsi="Arial" w:cs="Arial"/>
          <w:bCs/>
        </w:rPr>
        <w:t xml:space="preserve">Durante la redacción de este voto, </w:t>
      </w:r>
      <w:r w:rsidR="00C807EA" w:rsidRPr="00847234">
        <w:rPr>
          <w:rFonts w:ascii="Arial" w:hAnsi="Arial" w:cs="Arial"/>
          <w:bCs/>
        </w:rPr>
        <w:t xml:space="preserve">señalaré los argumentos de la sentencia </w:t>
      </w:r>
      <w:r w:rsidR="007A51F1" w:rsidRPr="00847234">
        <w:rPr>
          <w:rFonts w:ascii="Arial" w:hAnsi="Arial" w:cs="Arial"/>
          <w:bCs/>
        </w:rPr>
        <w:t xml:space="preserve">de los que me aparto. </w:t>
      </w:r>
      <w:r w:rsidR="00B75597" w:rsidRPr="00847234">
        <w:rPr>
          <w:rFonts w:ascii="Arial" w:hAnsi="Arial" w:cs="Arial"/>
          <w:bCs/>
        </w:rPr>
        <w:t>Aprovecharé esta oportunidad para precisar</w:t>
      </w:r>
      <w:r w:rsidR="007B4DB8" w:rsidRPr="00847234">
        <w:rPr>
          <w:rFonts w:ascii="Arial" w:hAnsi="Arial" w:cs="Arial"/>
          <w:bCs/>
        </w:rPr>
        <w:t xml:space="preserve"> </w:t>
      </w:r>
      <w:r w:rsidR="00FB44DF" w:rsidRPr="00847234">
        <w:rPr>
          <w:rFonts w:ascii="Arial" w:hAnsi="Arial" w:cs="Arial"/>
          <w:bCs/>
        </w:rPr>
        <w:t>y aclarar</w:t>
      </w:r>
      <w:r w:rsidR="007B4DB8" w:rsidRPr="00847234">
        <w:rPr>
          <w:rFonts w:ascii="Arial" w:hAnsi="Arial" w:cs="Arial"/>
          <w:bCs/>
        </w:rPr>
        <w:t xml:space="preserve"> mi criterio en lo relativo </w:t>
      </w:r>
      <w:r w:rsidR="00330EE1" w:rsidRPr="00847234">
        <w:rPr>
          <w:rFonts w:ascii="Arial" w:hAnsi="Arial" w:cs="Arial"/>
          <w:bCs/>
        </w:rPr>
        <w:t xml:space="preserve">a </w:t>
      </w:r>
      <w:r w:rsidR="003B0D5A" w:rsidRPr="00847234">
        <w:rPr>
          <w:rFonts w:ascii="Arial" w:hAnsi="Arial" w:cs="Arial"/>
          <w:bCs/>
        </w:rPr>
        <w:t xml:space="preserve">algunas de las </w:t>
      </w:r>
      <w:r w:rsidR="00330EE1" w:rsidRPr="00847234">
        <w:rPr>
          <w:rFonts w:ascii="Arial" w:hAnsi="Arial" w:cs="Arial"/>
          <w:bCs/>
        </w:rPr>
        <w:t xml:space="preserve">cuestiones que fueron discutidas por el Tribunal Pleno. </w:t>
      </w:r>
      <w:r w:rsidR="00B75597" w:rsidRPr="00847234">
        <w:rPr>
          <w:rFonts w:ascii="Arial" w:hAnsi="Arial" w:cs="Arial"/>
          <w:bCs/>
        </w:rPr>
        <w:t xml:space="preserve"> </w:t>
      </w:r>
    </w:p>
    <w:p w14:paraId="5368E049" w14:textId="77777777" w:rsidR="001231E1" w:rsidRPr="00847234" w:rsidRDefault="001231E1" w:rsidP="00D738AB">
      <w:pPr>
        <w:tabs>
          <w:tab w:val="left" w:pos="0"/>
        </w:tabs>
        <w:spacing w:line="360" w:lineRule="auto"/>
        <w:jc w:val="both"/>
        <w:rPr>
          <w:rFonts w:ascii="Arial" w:hAnsi="Arial" w:cs="Arial"/>
          <w:bCs/>
        </w:rPr>
      </w:pPr>
    </w:p>
    <w:p w14:paraId="3D41AD70" w14:textId="68E31912" w:rsidR="00772803" w:rsidRPr="00847234" w:rsidRDefault="00FA5B2C" w:rsidP="00D738AB">
      <w:pPr>
        <w:tabs>
          <w:tab w:val="left" w:pos="0"/>
        </w:tabs>
        <w:spacing w:line="360" w:lineRule="auto"/>
        <w:jc w:val="both"/>
        <w:rPr>
          <w:rFonts w:ascii="Arial" w:hAnsi="Arial" w:cs="Arial"/>
          <w:bCs/>
        </w:rPr>
      </w:pPr>
      <w:r w:rsidRPr="00847234">
        <w:rPr>
          <w:rFonts w:ascii="Arial" w:hAnsi="Arial" w:cs="Arial"/>
          <w:bCs/>
        </w:rPr>
        <w:t>Ahora bien, dada la complejidad de la sentencia y la forma en que el Pleno decidió abordar las diversas preguntas que planteaba, conviene</w:t>
      </w:r>
      <w:r w:rsidR="00FD7BA0" w:rsidRPr="00847234">
        <w:rPr>
          <w:rFonts w:ascii="Arial" w:hAnsi="Arial" w:cs="Arial"/>
          <w:bCs/>
        </w:rPr>
        <w:t xml:space="preserve">, antes </w:t>
      </w:r>
      <w:r w:rsidR="00772803" w:rsidRPr="00847234">
        <w:rPr>
          <w:rFonts w:ascii="Arial" w:hAnsi="Arial" w:cs="Arial"/>
          <w:bCs/>
        </w:rPr>
        <w:t xml:space="preserve">de profundizar sobre </w:t>
      </w:r>
      <w:r w:rsidR="00AD12A5" w:rsidRPr="00847234">
        <w:rPr>
          <w:rFonts w:ascii="Arial" w:hAnsi="Arial" w:cs="Arial"/>
          <w:bCs/>
        </w:rPr>
        <w:t xml:space="preserve">las razones de mis coincidencias, disidencias, </w:t>
      </w:r>
      <w:r w:rsidR="00E66782" w:rsidRPr="00847234">
        <w:rPr>
          <w:rFonts w:ascii="Arial" w:hAnsi="Arial" w:cs="Arial"/>
          <w:bCs/>
        </w:rPr>
        <w:t>adiciones y</w:t>
      </w:r>
      <w:r w:rsidR="00AD12A5" w:rsidRPr="00847234">
        <w:rPr>
          <w:rFonts w:ascii="Arial" w:hAnsi="Arial" w:cs="Arial"/>
          <w:bCs/>
        </w:rPr>
        <w:t xml:space="preserve"> aclaraciones, </w:t>
      </w:r>
      <w:r w:rsidR="00CF6AC3" w:rsidRPr="00847234">
        <w:rPr>
          <w:rFonts w:ascii="Arial" w:hAnsi="Arial" w:cs="Arial"/>
          <w:bCs/>
        </w:rPr>
        <w:t>describir</w:t>
      </w:r>
      <w:r w:rsidR="00895F74" w:rsidRPr="00847234">
        <w:rPr>
          <w:rFonts w:ascii="Arial" w:hAnsi="Arial" w:cs="Arial"/>
          <w:bCs/>
        </w:rPr>
        <w:t xml:space="preserve"> la </w:t>
      </w:r>
      <w:r w:rsidR="000B36FD" w:rsidRPr="00847234">
        <w:rPr>
          <w:rFonts w:ascii="Arial" w:hAnsi="Arial" w:cs="Arial"/>
          <w:bCs/>
        </w:rPr>
        <w:t>metodología de mis p</w:t>
      </w:r>
      <w:r w:rsidR="00830BF3" w:rsidRPr="00847234">
        <w:rPr>
          <w:rFonts w:ascii="Arial" w:hAnsi="Arial" w:cs="Arial"/>
          <w:bCs/>
        </w:rPr>
        <w:t>ronunciamientos durante la discusión</w:t>
      </w:r>
      <w:r w:rsidR="00895F74" w:rsidRPr="00847234">
        <w:rPr>
          <w:rFonts w:ascii="Arial" w:hAnsi="Arial" w:cs="Arial"/>
          <w:bCs/>
        </w:rPr>
        <w:t xml:space="preserve"> de la acción de </w:t>
      </w:r>
      <w:r w:rsidR="007123E8">
        <w:rPr>
          <w:rFonts w:ascii="Arial" w:hAnsi="Arial" w:cs="Arial"/>
          <w:bCs/>
        </w:rPr>
        <w:t>in</w:t>
      </w:r>
      <w:r w:rsidR="00895F74" w:rsidRPr="00847234">
        <w:rPr>
          <w:rFonts w:ascii="Arial" w:hAnsi="Arial" w:cs="Arial"/>
          <w:bCs/>
        </w:rPr>
        <w:t xml:space="preserve">constitucionalidad </w:t>
      </w:r>
      <w:r w:rsidR="002B0DC6" w:rsidRPr="00847234">
        <w:rPr>
          <w:rFonts w:ascii="Arial" w:hAnsi="Arial" w:cs="Arial"/>
          <w:bCs/>
        </w:rPr>
        <w:t>a</w:t>
      </w:r>
      <w:r w:rsidR="00E66782" w:rsidRPr="00847234">
        <w:rPr>
          <w:rFonts w:ascii="Arial" w:hAnsi="Arial" w:cs="Arial"/>
          <w:bCs/>
        </w:rPr>
        <w:t>ludida</w:t>
      </w:r>
      <w:r w:rsidR="003426BB" w:rsidRPr="00847234">
        <w:rPr>
          <w:rFonts w:ascii="Arial" w:hAnsi="Arial" w:cs="Arial"/>
          <w:bCs/>
        </w:rPr>
        <w:t xml:space="preserve">. Mi acercamiento metodológico </w:t>
      </w:r>
      <w:r w:rsidR="00354C88" w:rsidRPr="00847234">
        <w:rPr>
          <w:rFonts w:ascii="Arial" w:hAnsi="Arial" w:cs="Arial"/>
          <w:bCs/>
        </w:rPr>
        <w:t>y la decisión sobre el parámetro de control</w:t>
      </w:r>
      <w:r w:rsidR="00BB4563" w:rsidRPr="00847234">
        <w:rPr>
          <w:rStyle w:val="Refdenotaalpie"/>
          <w:rFonts w:ascii="Arial" w:hAnsi="Arial" w:cs="Arial"/>
          <w:bCs/>
        </w:rPr>
        <w:footnoteReference w:id="1"/>
      </w:r>
      <w:r w:rsidR="00354C88" w:rsidRPr="00847234">
        <w:rPr>
          <w:rFonts w:ascii="Arial" w:hAnsi="Arial" w:cs="Arial"/>
          <w:bCs/>
        </w:rPr>
        <w:t xml:space="preserve"> </w:t>
      </w:r>
      <w:r w:rsidR="003426BB" w:rsidRPr="00847234">
        <w:rPr>
          <w:rFonts w:ascii="Arial" w:hAnsi="Arial" w:cs="Arial"/>
          <w:bCs/>
        </w:rPr>
        <w:t>me o</w:t>
      </w:r>
      <w:r w:rsidR="002B0DC6" w:rsidRPr="00847234">
        <w:rPr>
          <w:rFonts w:ascii="Arial" w:hAnsi="Arial" w:cs="Arial"/>
          <w:bCs/>
        </w:rPr>
        <w:t xml:space="preserve">bligó nuevamente a discrepar del apartado denominado “consideraciones previas” </w:t>
      </w:r>
      <w:r w:rsidR="00E66782" w:rsidRPr="00847234">
        <w:rPr>
          <w:rFonts w:ascii="Arial" w:hAnsi="Arial" w:cs="Arial"/>
          <w:bCs/>
        </w:rPr>
        <w:t xml:space="preserve">en el proyecto original. </w:t>
      </w:r>
    </w:p>
    <w:p w14:paraId="05BDCB0B" w14:textId="5D2306B6" w:rsidR="002459BB" w:rsidRPr="00847234" w:rsidRDefault="002459BB" w:rsidP="00D738AB">
      <w:pPr>
        <w:tabs>
          <w:tab w:val="left" w:pos="0"/>
        </w:tabs>
        <w:spacing w:line="360" w:lineRule="auto"/>
        <w:jc w:val="both"/>
        <w:rPr>
          <w:rFonts w:ascii="Arial" w:hAnsi="Arial" w:cs="Arial"/>
          <w:bCs/>
        </w:rPr>
      </w:pPr>
    </w:p>
    <w:p w14:paraId="0A66522E" w14:textId="5DE3971B" w:rsidR="00DD7B26" w:rsidRPr="00847234" w:rsidRDefault="00DD7B26" w:rsidP="00D738AB">
      <w:pPr>
        <w:tabs>
          <w:tab w:val="left" w:pos="0"/>
        </w:tabs>
        <w:spacing w:line="360" w:lineRule="auto"/>
        <w:jc w:val="both"/>
        <w:rPr>
          <w:rFonts w:ascii="Arial" w:hAnsi="Arial" w:cs="Arial"/>
          <w:bCs/>
        </w:rPr>
      </w:pPr>
      <w:r w:rsidRPr="00847234">
        <w:rPr>
          <w:rFonts w:ascii="Arial" w:hAnsi="Arial" w:cs="Arial"/>
          <w:bCs/>
        </w:rPr>
        <w:t xml:space="preserve"> </w:t>
      </w:r>
    </w:p>
    <w:p w14:paraId="7BA7B5AE" w14:textId="5F83A7A8" w:rsidR="00492B80" w:rsidRPr="00A9402C" w:rsidRDefault="00DD7B26" w:rsidP="00492B80">
      <w:pPr>
        <w:tabs>
          <w:tab w:val="left" w:pos="0"/>
        </w:tabs>
        <w:spacing w:line="360" w:lineRule="auto"/>
        <w:jc w:val="center"/>
        <w:rPr>
          <w:rFonts w:ascii="Arial" w:hAnsi="Arial" w:cs="Arial"/>
          <w:b/>
        </w:rPr>
      </w:pPr>
      <w:r w:rsidRPr="00A9402C">
        <w:rPr>
          <w:rFonts w:ascii="Arial" w:hAnsi="Arial" w:cs="Arial"/>
          <w:b/>
        </w:rPr>
        <w:t>Metodología</w:t>
      </w:r>
    </w:p>
    <w:p w14:paraId="377A37BD" w14:textId="6C383625" w:rsidR="00492B80" w:rsidRPr="00A9402C" w:rsidRDefault="00492B80" w:rsidP="006A2626">
      <w:pPr>
        <w:tabs>
          <w:tab w:val="left" w:pos="0"/>
        </w:tabs>
        <w:spacing w:line="360" w:lineRule="auto"/>
        <w:jc w:val="both"/>
        <w:rPr>
          <w:rFonts w:ascii="Arial" w:hAnsi="Arial" w:cs="Arial"/>
          <w:b/>
        </w:rPr>
      </w:pPr>
    </w:p>
    <w:p w14:paraId="438217F6" w14:textId="6E5F8BB0" w:rsidR="00492B80" w:rsidRPr="00847234" w:rsidRDefault="00492B80" w:rsidP="006A2626">
      <w:pPr>
        <w:tabs>
          <w:tab w:val="left" w:pos="0"/>
        </w:tabs>
        <w:spacing w:line="360" w:lineRule="auto"/>
        <w:jc w:val="both"/>
        <w:rPr>
          <w:rFonts w:ascii="Arial" w:hAnsi="Arial" w:cs="Arial"/>
          <w:bCs/>
        </w:rPr>
      </w:pPr>
      <w:r w:rsidRPr="00847234">
        <w:rPr>
          <w:rFonts w:ascii="Arial" w:hAnsi="Arial" w:cs="Arial"/>
          <w:bCs/>
        </w:rPr>
        <w:t xml:space="preserve">¿Cómo surgieron las preguntas constitucionales </w:t>
      </w:r>
      <w:r w:rsidR="00EF0123" w:rsidRPr="00847234">
        <w:rPr>
          <w:rFonts w:ascii="Arial" w:hAnsi="Arial" w:cs="Arial"/>
          <w:bCs/>
        </w:rPr>
        <w:t xml:space="preserve">planteadas ante </w:t>
      </w:r>
      <w:r w:rsidRPr="00847234">
        <w:rPr>
          <w:rFonts w:ascii="Arial" w:hAnsi="Arial" w:cs="Arial"/>
          <w:bCs/>
        </w:rPr>
        <w:t xml:space="preserve">esta Suprema Corte de Justicia de la Nación? </w:t>
      </w:r>
      <w:r w:rsidR="00111BBE" w:rsidRPr="00847234">
        <w:rPr>
          <w:rFonts w:ascii="Arial" w:hAnsi="Arial" w:cs="Arial"/>
          <w:bCs/>
        </w:rPr>
        <w:t>En principio, identificaremos</w:t>
      </w:r>
      <w:r w:rsidR="007B00F4" w:rsidRPr="00847234">
        <w:rPr>
          <w:rFonts w:ascii="Arial" w:hAnsi="Arial" w:cs="Arial"/>
          <w:bCs/>
        </w:rPr>
        <w:t xml:space="preserve">, para efectos </w:t>
      </w:r>
      <w:r w:rsidR="000219C7" w:rsidRPr="00847234">
        <w:rPr>
          <w:rFonts w:ascii="Arial" w:hAnsi="Arial" w:cs="Arial"/>
          <w:bCs/>
        </w:rPr>
        <w:t>expositivos,</w:t>
      </w:r>
      <w:r w:rsidRPr="00847234">
        <w:rPr>
          <w:rFonts w:ascii="Arial" w:hAnsi="Arial" w:cs="Arial"/>
          <w:bCs/>
        </w:rPr>
        <w:t xml:space="preserve"> dos momentos constitucionales relevantes: 1) el modelo constitucional pre-2013</w:t>
      </w:r>
      <w:r w:rsidR="000219C7" w:rsidRPr="00847234">
        <w:rPr>
          <w:rFonts w:ascii="Arial" w:hAnsi="Arial" w:cs="Arial"/>
          <w:bCs/>
        </w:rPr>
        <w:t>,</w:t>
      </w:r>
      <w:r w:rsidRPr="00847234">
        <w:rPr>
          <w:rFonts w:ascii="Arial" w:hAnsi="Arial" w:cs="Arial"/>
          <w:bCs/>
        </w:rPr>
        <w:t xml:space="preserve"> y 2) el modelo constitucional post- 2013</w:t>
      </w:r>
      <w:r w:rsidR="000219C7" w:rsidRPr="00847234">
        <w:rPr>
          <w:rFonts w:ascii="Arial" w:hAnsi="Arial" w:cs="Arial"/>
          <w:bCs/>
        </w:rPr>
        <w:t xml:space="preserve">. </w:t>
      </w:r>
      <w:r w:rsidR="00DD20D5" w:rsidRPr="00847234">
        <w:rPr>
          <w:rFonts w:ascii="Arial" w:hAnsi="Arial" w:cs="Arial"/>
          <w:bCs/>
        </w:rPr>
        <w:t xml:space="preserve">A su vez, </w:t>
      </w:r>
      <w:r w:rsidR="000219C7" w:rsidRPr="00847234">
        <w:rPr>
          <w:rFonts w:ascii="Arial" w:hAnsi="Arial" w:cs="Arial"/>
          <w:bCs/>
        </w:rPr>
        <w:t>en el</w:t>
      </w:r>
      <w:r w:rsidRPr="00847234">
        <w:rPr>
          <w:rFonts w:ascii="Arial" w:hAnsi="Arial" w:cs="Arial"/>
          <w:bCs/>
        </w:rPr>
        <w:t xml:space="preserve"> segundo momento constitucional, </w:t>
      </w:r>
      <w:r w:rsidR="000C531A" w:rsidRPr="00847234">
        <w:rPr>
          <w:rFonts w:ascii="Arial" w:hAnsi="Arial" w:cs="Arial"/>
          <w:bCs/>
        </w:rPr>
        <w:t xml:space="preserve">precisamente </w:t>
      </w:r>
      <w:r w:rsidR="000219C7" w:rsidRPr="00847234">
        <w:rPr>
          <w:rFonts w:ascii="Arial" w:hAnsi="Arial" w:cs="Arial"/>
          <w:bCs/>
        </w:rPr>
        <w:t xml:space="preserve">donde nos </w:t>
      </w:r>
      <w:r w:rsidRPr="00847234">
        <w:rPr>
          <w:rFonts w:ascii="Arial" w:hAnsi="Arial" w:cs="Arial"/>
          <w:bCs/>
        </w:rPr>
        <w:t xml:space="preserve">encontramos </w:t>
      </w:r>
      <w:r w:rsidR="00111BBE" w:rsidRPr="00847234">
        <w:rPr>
          <w:rFonts w:ascii="Arial" w:hAnsi="Arial" w:cs="Arial"/>
          <w:bCs/>
        </w:rPr>
        <w:t xml:space="preserve">al </w:t>
      </w:r>
      <w:r w:rsidR="000C531A" w:rsidRPr="00847234">
        <w:rPr>
          <w:rFonts w:ascii="Arial" w:hAnsi="Arial" w:cs="Arial"/>
          <w:bCs/>
        </w:rPr>
        <w:t>resolv</w:t>
      </w:r>
      <w:r w:rsidR="00111BBE" w:rsidRPr="00847234">
        <w:rPr>
          <w:rFonts w:ascii="Arial" w:hAnsi="Arial" w:cs="Arial"/>
          <w:bCs/>
        </w:rPr>
        <w:t>er</w:t>
      </w:r>
      <w:r w:rsidR="000C531A" w:rsidRPr="00847234">
        <w:rPr>
          <w:rFonts w:ascii="Arial" w:hAnsi="Arial" w:cs="Arial"/>
          <w:bCs/>
        </w:rPr>
        <w:t xml:space="preserve"> </w:t>
      </w:r>
      <w:r w:rsidRPr="00847234">
        <w:rPr>
          <w:rFonts w:ascii="Arial" w:hAnsi="Arial" w:cs="Arial"/>
          <w:bCs/>
        </w:rPr>
        <w:t xml:space="preserve">el </w:t>
      </w:r>
      <w:r w:rsidRPr="00847234">
        <w:rPr>
          <w:rFonts w:ascii="Arial" w:hAnsi="Arial" w:cs="Arial"/>
          <w:bCs/>
        </w:rPr>
        <w:lastRenderedPageBreak/>
        <w:t xml:space="preserve">presente asunto, </w:t>
      </w:r>
      <w:r w:rsidR="00A5476D" w:rsidRPr="00847234">
        <w:rPr>
          <w:rFonts w:ascii="Arial" w:hAnsi="Arial" w:cs="Arial"/>
          <w:bCs/>
        </w:rPr>
        <w:t xml:space="preserve">se </w:t>
      </w:r>
      <w:r w:rsidR="00BB3DD1" w:rsidRPr="00847234">
        <w:rPr>
          <w:rFonts w:ascii="Arial" w:hAnsi="Arial" w:cs="Arial"/>
          <w:bCs/>
        </w:rPr>
        <w:t>observa</w:t>
      </w:r>
      <w:r w:rsidR="00A5476D" w:rsidRPr="00847234">
        <w:rPr>
          <w:rFonts w:ascii="Arial" w:hAnsi="Arial" w:cs="Arial"/>
          <w:bCs/>
        </w:rPr>
        <w:t>n</w:t>
      </w:r>
      <w:r w:rsidR="00BB3DD1" w:rsidRPr="00847234">
        <w:rPr>
          <w:rFonts w:ascii="Arial" w:hAnsi="Arial" w:cs="Arial"/>
          <w:bCs/>
        </w:rPr>
        <w:t xml:space="preserve"> dos </w:t>
      </w:r>
      <w:r w:rsidRPr="00847234">
        <w:rPr>
          <w:rFonts w:ascii="Arial" w:hAnsi="Arial" w:cs="Arial"/>
          <w:bCs/>
        </w:rPr>
        <w:t>momentos legislativos distintos: 1) el primer modelo reglamentario de 2013</w:t>
      </w:r>
      <w:r w:rsidR="002E4C56" w:rsidRPr="00847234">
        <w:rPr>
          <w:rFonts w:ascii="Arial" w:hAnsi="Arial" w:cs="Arial"/>
          <w:bCs/>
        </w:rPr>
        <w:t>,</w:t>
      </w:r>
      <w:r w:rsidRPr="00847234">
        <w:rPr>
          <w:rFonts w:ascii="Arial" w:hAnsi="Arial" w:cs="Arial"/>
          <w:bCs/>
        </w:rPr>
        <w:t xml:space="preserve"> y 2) el segundo modelo reglamentario de 2021. </w:t>
      </w:r>
      <w:r w:rsidR="00303EDF" w:rsidRPr="00847234">
        <w:rPr>
          <w:rFonts w:ascii="Arial" w:hAnsi="Arial" w:cs="Arial"/>
          <w:bCs/>
        </w:rPr>
        <w:t xml:space="preserve">En la acción se combate </w:t>
      </w:r>
      <w:r w:rsidRPr="00847234">
        <w:rPr>
          <w:rFonts w:ascii="Arial" w:hAnsi="Arial" w:cs="Arial"/>
          <w:bCs/>
        </w:rPr>
        <w:t>el segundo de los modelos reglamentarios.</w:t>
      </w:r>
      <w:r w:rsidR="002E4C56" w:rsidRPr="00847234">
        <w:rPr>
          <w:rFonts w:ascii="Arial" w:hAnsi="Arial" w:cs="Arial"/>
          <w:bCs/>
        </w:rPr>
        <w:t xml:space="preserve"> Es conveniente tener estas diferencias y precisiones en mente a lo largo de esta lectura. </w:t>
      </w:r>
    </w:p>
    <w:p w14:paraId="4EE486C5" w14:textId="77777777" w:rsidR="0034541E" w:rsidRPr="00847234" w:rsidRDefault="0034541E" w:rsidP="006A2626">
      <w:pPr>
        <w:tabs>
          <w:tab w:val="left" w:pos="0"/>
        </w:tabs>
        <w:spacing w:line="360" w:lineRule="auto"/>
        <w:jc w:val="both"/>
        <w:rPr>
          <w:rFonts w:ascii="Arial" w:hAnsi="Arial" w:cs="Arial"/>
          <w:bCs/>
        </w:rPr>
      </w:pPr>
    </w:p>
    <w:p w14:paraId="688582F7" w14:textId="7DF6E023" w:rsidR="0034541E" w:rsidRPr="00A9402C" w:rsidRDefault="0034541E" w:rsidP="006A2626">
      <w:pPr>
        <w:tabs>
          <w:tab w:val="left" w:pos="0"/>
        </w:tabs>
        <w:spacing w:line="360" w:lineRule="auto"/>
        <w:jc w:val="both"/>
        <w:rPr>
          <w:rFonts w:ascii="Arial" w:hAnsi="Arial" w:cs="Arial"/>
          <w:b/>
          <w:i/>
          <w:iCs/>
        </w:rPr>
      </w:pPr>
      <w:r w:rsidRPr="00A9402C">
        <w:rPr>
          <w:rFonts w:ascii="Arial" w:hAnsi="Arial" w:cs="Arial"/>
          <w:b/>
          <w:i/>
          <w:iCs/>
        </w:rPr>
        <w:t>Modelo pre-2013</w:t>
      </w:r>
    </w:p>
    <w:p w14:paraId="06E9D521" w14:textId="53A206B0" w:rsidR="00492B80" w:rsidRPr="00A9402C" w:rsidRDefault="00492B80" w:rsidP="006A2626">
      <w:pPr>
        <w:tabs>
          <w:tab w:val="left" w:pos="0"/>
        </w:tabs>
        <w:spacing w:line="360" w:lineRule="auto"/>
        <w:jc w:val="both"/>
        <w:rPr>
          <w:rFonts w:ascii="Arial" w:hAnsi="Arial" w:cs="Arial"/>
          <w:b/>
        </w:rPr>
      </w:pPr>
    </w:p>
    <w:p w14:paraId="1207A117" w14:textId="55C6A053" w:rsidR="00492B80" w:rsidRPr="00847234" w:rsidRDefault="002E4C56" w:rsidP="00492B80">
      <w:pPr>
        <w:spacing w:line="360" w:lineRule="auto"/>
        <w:jc w:val="both"/>
        <w:rPr>
          <w:rFonts w:ascii="Arial" w:hAnsi="Arial" w:cs="Arial"/>
          <w:bCs/>
          <w:lang w:val="es-ES_tradnl"/>
        </w:rPr>
      </w:pPr>
      <w:r w:rsidRPr="00847234">
        <w:rPr>
          <w:rFonts w:ascii="Arial" w:hAnsi="Arial" w:cs="Arial"/>
          <w:bCs/>
          <w:lang w:val="es-ES_tradnl"/>
        </w:rPr>
        <w:t xml:space="preserve">El </w:t>
      </w:r>
      <w:r w:rsidR="00492B80" w:rsidRPr="00847234">
        <w:rPr>
          <w:rFonts w:ascii="Arial" w:hAnsi="Arial" w:cs="Arial"/>
          <w:bCs/>
          <w:lang w:val="es-ES_tradnl"/>
        </w:rPr>
        <w:t>primero de los momentos constitucionales, es decir, aquel identificado como pre-2013</w:t>
      </w:r>
      <w:r w:rsidR="000D09A4" w:rsidRPr="00847234">
        <w:rPr>
          <w:rFonts w:ascii="Arial" w:hAnsi="Arial" w:cs="Arial"/>
          <w:bCs/>
          <w:lang w:val="es-ES_tradnl"/>
        </w:rPr>
        <w:t>,</w:t>
      </w:r>
      <w:r w:rsidR="002A6533" w:rsidRPr="00847234">
        <w:rPr>
          <w:rFonts w:ascii="Arial" w:hAnsi="Arial" w:cs="Arial"/>
          <w:bCs/>
          <w:lang w:val="es-ES_tradnl"/>
        </w:rPr>
        <w:t xml:space="preserve"> está derogado. En ese modelo </w:t>
      </w:r>
      <w:r w:rsidR="00492B80" w:rsidRPr="00847234">
        <w:rPr>
          <w:rFonts w:ascii="Arial" w:hAnsi="Arial" w:cs="Arial"/>
          <w:bCs/>
          <w:lang w:val="es-ES_tradnl"/>
        </w:rPr>
        <w:t xml:space="preserve">toda la cadena productiva de energía eléctrica era clasificada </w:t>
      </w:r>
      <w:r w:rsidR="0058141F" w:rsidRPr="00847234">
        <w:rPr>
          <w:rFonts w:ascii="Arial" w:hAnsi="Arial" w:cs="Arial"/>
          <w:bCs/>
          <w:lang w:val="es-ES_tradnl"/>
        </w:rPr>
        <w:t xml:space="preserve">por la </w:t>
      </w:r>
      <w:r w:rsidR="00492B80" w:rsidRPr="00847234">
        <w:rPr>
          <w:rFonts w:ascii="Arial" w:hAnsi="Arial" w:cs="Arial"/>
          <w:bCs/>
          <w:lang w:val="es-ES_tradnl"/>
        </w:rPr>
        <w:t xml:space="preserve">Constitución dentro del área estratégica. </w:t>
      </w:r>
      <w:r w:rsidR="0058141F" w:rsidRPr="00847234">
        <w:rPr>
          <w:rFonts w:ascii="Arial" w:hAnsi="Arial" w:cs="Arial"/>
          <w:bCs/>
          <w:lang w:val="es-ES_tradnl"/>
        </w:rPr>
        <w:t xml:space="preserve">Se trataba, entonces, </w:t>
      </w:r>
      <w:r w:rsidR="00492B80" w:rsidRPr="00847234">
        <w:rPr>
          <w:rFonts w:ascii="Arial" w:hAnsi="Arial" w:cs="Arial"/>
          <w:bCs/>
          <w:lang w:val="es-ES_tradnl"/>
        </w:rPr>
        <w:t>de una actividad asignada exclusivamente al Estado</w:t>
      </w:r>
      <w:r w:rsidR="00332509" w:rsidRPr="00847234">
        <w:rPr>
          <w:rFonts w:ascii="Arial" w:hAnsi="Arial" w:cs="Arial"/>
          <w:bCs/>
          <w:lang w:val="es-ES_tradnl"/>
        </w:rPr>
        <w:t xml:space="preserve"> vedada a los particulares. En</w:t>
      </w:r>
      <w:r w:rsidR="00842DC8" w:rsidRPr="00847234">
        <w:rPr>
          <w:rFonts w:ascii="Arial" w:hAnsi="Arial" w:cs="Arial"/>
          <w:bCs/>
          <w:lang w:val="es-ES_tradnl"/>
        </w:rPr>
        <w:t xml:space="preserve"> consecuencia, </w:t>
      </w:r>
      <w:r w:rsidR="00492B80" w:rsidRPr="00847234">
        <w:rPr>
          <w:rFonts w:ascii="Arial" w:hAnsi="Arial" w:cs="Arial"/>
          <w:bCs/>
          <w:lang w:val="es-ES_tradnl"/>
        </w:rPr>
        <w:t xml:space="preserve">no existía mercado </w:t>
      </w:r>
      <w:r w:rsidR="00842DC8" w:rsidRPr="00847234">
        <w:rPr>
          <w:rFonts w:ascii="Arial" w:hAnsi="Arial" w:cs="Arial"/>
          <w:bCs/>
          <w:lang w:val="es-ES_tradnl"/>
        </w:rPr>
        <w:t xml:space="preserve">regulado </w:t>
      </w:r>
      <w:r w:rsidR="00492B80" w:rsidRPr="00847234">
        <w:rPr>
          <w:rFonts w:ascii="Arial" w:hAnsi="Arial" w:cs="Arial"/>
          <w:bCs/>
          <w:lang w:val="es-ES_tradnl"/>
        </w:rPr>
        <w:t>por los principios de libre competencia y concurrencia.</w:t>
      </w:r>
      <w:r w:rsidR="00A43B64" w:rsidRPr="00847234">
        <w:rPr>
          <w:rFonts w:ascii="Arial" w:hAnsi="Arial" w:cs="Arial"/>
          <w:bCs/>
          <w:lang w:val="es-ES_tradnl"/>
        </w:rPr>
        <w:t xml:space="preserve"> </w:t>
      </w:r>
      <w:r w:rsidR="00092250" w:rsidRPr="00847234">
        <w:rPr>
          <w:rFonts w:ascii="Arial" w:hAnsi="Arial" w:cs="Arial"/>
          <w:bCs/>
          <w:lang w:val="es-ES_tradnl"/>
        </w:rPr>
        <w:t xml:space="preserve">El </w:t>
      </w:r>
      <w:r w:rsidR="00492B80" w:rsidRPr="00847234">
        <w:rPr>
          <w:rFonts w:ascii="Arial" w:hAnsi="Arial" w:cs="Arial"/>
          <w:bCs/>
          <w:lang w:val="es-ES_tradnl"/>
        </w:rPr>
        <w:t>artículo 27 constitucional</w:t>
      </w:r>
      <w:r w:rsidR="00863FA5" w:rsidRPr="00847234">
        <w:rPr>
          <w:rFonts w:ascii="Arial" w:hAnsi="Arial" w:cs="Arial"/>
          <w:bCs/>
          <w:lang w:val="es-ES_tradnl"/>
        </w:rPr>
        <w:t xml:space="preserve"> </w:t>
      </w:r>
      <w:r w:rsidR="00332509" w:rsidRPr="00847234">
        <w:rPr>
          <w:rFonts w:ascii="Arial" w:hAnsi="Arial" w:cs="Arial"/>
          <w:bCs/>
          <w:lang w:val="es-ES_tradnl"/>
        </w:rPr>
        <w:t>constituía la</w:t>
      </w:r>
      <w:r w:rsidR="00863FA5" w:rsidRPr="00847234">
        <w:rPr>
          <w:rFonts w:ascii="Arial" w:hAnsi="Arial" w:cs="Arial"/>
          <w:bCs/>
          <w:lang w:val="es-ES_tradnl"/>
        </w:rPr>
        <w:t xml:space="preserve"> b</w:t>
      </w:r>
      <w:r w:rsidR="00492B80" w:rsidRPr="00847234">
        <w:rPr>
          <w:rFonts w:ascii="Arial" w:hAnsi="Arial" w:cs="Arial"/>
          <w:bCs/>
          <w:lang w:val="es-ES_tradnl"/>
        </w:rPr>
        <w:t xml:space="preserve">ase normativa de </w:t>
      </w:r>
      <w:r w:rsidR="00EB278B" w:rsidRPr="00847234">
        <w:rPr>
          <w:rFonts w:ascii="Arial" w:hAnsi="Arial" w:cs="Arial"/>
          <w:bCs/>
          <w:lang w:val="es-ES_tradnl"/>
        </w:rPr>
        <w:t xml:space="preserve">ese </w:t>
      </w:r>
      <w:r w:rsidR="007A0604" w:rsidRPr="00847234">
        <w:rPr>
          <w:rFonts w:ascii="Arial" w:hAnsi="Arial" w:cs="Arial"/>
          <w:bCs/>
          <w:lang w:val="es-ES_tradnl"/>
        </w:rPr>
        <w:t>modelo:</w:t>
      </w:r>
      <w:r w:rsidR="00492B80" w:rsidRPr="00847234">
        <w:rPr>
          <w:rFonts w:ascii="Arial" w:hAnsi="Arial" w:cs="Arial"/>
          <w:bCs/>
          <w:lang w:val="es-ES_tradnl"/>
        </w:rPr>
        <w:t xml:space="preserve"> “[c]</w:t>
      </w:r>
      <w:proofErr w:type="spellStart"/>
      <w:r w:rsidR="00492B80" w:rsidRPr="00847234">
        <w:rPr>
          <w:rFonts w:ascii="Arial" w:hAnsi="Arial" w:cs="Arial"/>
          <w:bCs/>
          <w:lang w:val="es-ES_tradnl"/>
        </w:rPr>
        <w:t>orresponde</w:t>
      </w:r>
      <w:proofErr w:type="spellEnd"/>
      <w:r w:rsidR="00492B80" w:rsidRPr="00847234">
        <w:rPr>
          <w:rFonts w:ascii="Arial" w:hAnsi="Arial" w:cs="Arial"/>
          <w:bCs/>
          <w:lang w:val="es-ES_tradnl"/>
        </w:rPr>
        <w:t xml:space="preserve"> exclusivamente a la Nación generar, conducir, transformar, distribuir y abastecer</w:t>
      </w:r>
      <w:r w:rsidR="00DF6412" w:rsidRPr="00847234">
        <w:rPr>
          <w:rFonts w:ascii="Arial" w:hAnsi="Arial" w:cs="Arial"/>
          <w:bCs/>
          <w:lang w:val="es-ES_tradnl"/>
        </w:rPr>
        <w:t xml:space="preserve"> </w:t>
      </w:r>
      <w:r w:rsidR="00492B80" w:rsidRPr="00847234">
        <w:rPr>
          <w:rFonts w:ascii="Arial" w:hAnsi="Arial" w:cs="Arial"/>
          <w:bCs/>
          <w:lang w:val="es-ES_tradnl"/>
        </w:rPr>
        <w:t>energía eléctrica que tenga por objeto la prestación del servicio público de energía eléctrica, no se otorgarán concesiones a los particulares y la Nación aprovechará los bienes y recursos naturales en los términos que establezcan las leyes, mismas que determinarán la forma en que se requieran para dichos fines.”</w:t>
      </w:r>
    </w:p>
    <w:p w14:paraId="601CABB3" w14:textId="77777777" w:rsidR="009572C2" w:rsidRPr="00847234" w:rsidRDefault="009572C2" w:rsidP="00492B80">
      <w:pPr>
        <w:spacing w:line="360" w:lineRule="auto"/>
        <w:jc w:val="both"/>
        <w:rPr>
          <w:rFonts w:ascii="Arial" w:hAnsi="Arial" w:cs="Arial"/>
          <w:bCs/>
          <w:lang w:val="es-ES_tradnl"/>
        </w:rPr>
      </w:pPr>
    </w:p>
    <w:p w14:paraId="16CEBC8D" w14:textId="1B06F5CA" w:rsidR="009572C2" w:rsidRPr="00A9402C" w:rsidRDefault="009572C2" w:rsidP="00492B80">
      <w:pPr>
        <w:spacing w:line="360" w:lineRule="auto"/>
        <w:jc w:val="both"/>
        <w:rPr>
          <w:rFonts w:ascii="Arial" w:hAnsi="Arial" w:cs="Arial"/>
          <w:b/>
          <w:i/>
          <w:iCs/>
          <w:lang w:val="es-ES_tradnl"/>
        </w:rPr>
      </w:pPr>
      <w:r w:rsidRPr="00A9402C">
        <w:rPr>
          <w:rFonts w:ascii="Arial" w:hAnsi="Arial" w:cs="Arial"/>
          <w:b/>
          <w:i/>
          <w:iCs/>
          <w:lang w:val="es-ES_tradnl"/>
        </w:rPr>
        <w:t xml:space="preserve">Modelo post </w:t>
      </w:r>
      <w:r w:rsidR="003B1B31" w:rsidRPr="00A9402C">
        <w:rPr>
          <w:rFonts w:ascii="Arial" w:hAnsi="Arial" w:cs="Arial"/>
          <w:b/>
          <w:i/>
          <w:iCs/>
          <w:lang w:val="es-ES_tradnl"/>
        </w:rPr>
        <w:t>2013</w:t>
      </w:r>
    </w:p>
    <w:p w14:paraId="08488BC6" w14:textId="77777777" w:rsidR="00492B80" w:rsidRPr="00847234" w:rsidRDefault="00492B80" w:rsidP="00492B80">
      <w:pPr>
        <w:spacing w:line="360" w:lineRule="auto"/>
        <w:jc w:val="both"/>
        <w:rPr>
          <w:rFonts w:ascii="Arial" w:hAnsi="Arial" w:cs="Arial"/>
          <w:bCs/>
          <w:lang w:val="es-ES_tradnl"/>
        </w:rPr>
      </w:pPr>
    </w:p>
    <w:p w14:paraId="4614F594" w14:textId="4E12F102" w:rsidR="00492B80" w:rsidRPr="00847234" w:rsidRDefault="00492B80" w:rsidP="00492B80">
      <w:pPr>
        <w:spacing w:line="360" w:lineRule="auto"/>
        <w:jc w:val="both"/>
        <w:rPr>
          <w:rFonts w:ascii="Arial" w:hAnsi="Arial" w:cs="Arial"/>
          <w:bCs/>
          <w:lang w:val="es-ES_tradnl"/>
        </w:rPr>
      </w:pPr>
      <w:r w:rsidRPr="00847234">
        <w:rPr>
          <w:rFonts w:ascii="Arial" w:hAnsi="Arial" w:cs="Arial"/>
          <w:bCs/>
          <w:lang w:val="es-ES_tradnl"/>
        </w:rPr>
        <w:t xml:space="preserve">El segundo de los momentos constitucionales </w:t>
      </w:r>
      <w:r w:rsidR="00286CAD" w:rsidRPr="00847234">
        <w:rPr>
          <w:rFonts w:ascii="Arial" w:hAnsi="Arial" w:cs="Arial"/>
          <w:bCs/>
          <w:lang w:val="es-ES_tradnl"/>
        </w:rPr>
        <w:t xml:space="preserve">se inaugura </w:t>
      </w:r>
      <w:r w:rsidRPr="00847234">
        <w:rPr>
          <w:rFonts w:ascii="Arial" w:hAnsi="Arial" w:cs="Arial"/>
          <w:bCs/>
          <w:lang w:val="es-ES_tradnl"/>
        </w:rPr>
        <w:t>con las reformas aprobadas y publicadas en 2013</w:t>
      </w:r>
      <w:r w:rsidR="00286CAD" w:rsidRPr="00847234">
        <w:rPr>
          <w:rFonts w:ascii="Arial" w:hAnsi="Arial" w:cs="Arial"/>
          <w:bCs/>
          <w:lang w:val="es-ES_tradnl"/>
        </w:rPr>
        <w:t xml:space="preserve">. Esas reformas impactaron </w:t>
      </w:r>
      <w:r w:rsidR="00534A7B" w:rsidRPr="00847234">
        <w:rPr>
          <w:rFonts w:ascii="Arial" w:hAnsi="Arial" w:cs="Arial"/>
          <w:bCs/>
          <w:lang w:val="es-ES_tradnl"/>
        </w:rPr>
        <w:t>varias disposiciones</w:t>
      </w:r>
      <w:r w:rsidR="00BB4563" w:rsidRPr="00847234">
        <w:rPr>
          <w:rFonts w:ascii="Arial" w:hAnsi="Arial" w:cs="Arial"/>
          <w:bCs/>
          <w:lang w:val="es-ES_tradnl"/>
        </w:rPr>
        <w:t>,</w:t>
      </w:r>
      <w:r w:rsidRPr="00847234">
        <w:rPr>
          <w:rFonts w:ascii="Arial" w:hAnsi="Arial" w:cs="Arial"/>
          <w:bCs/>
          <w:lang w:val="es-ES_tradnl"/>
        </w:rPr>
        <w:t xml:space="preserve"> entre ellas, los artículos 25, 27 y 28 constitucionales</w:t>
      </w:r>
      <w:r w:rsidR="00534A7B" w:rsidRPr="00847234">
        <w:rPr>
          <w:rFonts w:ascii="Arial" w:hAnsi="Arial" w:cs="Arial"/>
          <w:bCs/>
          <w:lang w:val="es-ES_tradnl"/>
        </w:rPr>
        <w:t xml:space="preserve"> para crear </w:t>
      </w:r>
      <w:r w:rsidRPr="00847234">
        <w:rPr>
          <w:rFonts w:ascii="Arial" w:hAnsi="Arial" w:cs="Arial"/>
          <w:bCs/>
          <w:lang w:val="es-ES_tradnl"/>
        </w:rPr>
        <w:t xml:space="preserve">un nuevo modelo constitucional aplicable a la energía eléctrica, entre otros rubros. </w:t>
      </w:r>
      <w:r w:rsidR="00534A7B" w:rsidRPr="00847234">
        <w:rPr>
          <w:rFonts w:ascii="Arial" w:hAnsi="Arial" w:cs="Arial"/>
          <w:bCs/>
          <w:lang w:val="es-ES_tradnl"/>
        </w:rPr>
        <w:t xml:space="preserve">Las nuevas </w:t>
      </w:r>
      <w:r w:rsidRPr="00847234">
        <w:rPr>
          <w:rFonts w:ascii="Arial" w:hAnsi="Arial" w:cs="Arial"/>
          <w:bCs/>
          <w:lang w:val="es-ES_tradnl"/>
        </w:rPr>
        <w:t xml:space="preserve">disposiciones </w:t>
      </w:r>
      <w:r w:rsidR="00CD2EBB" w:rsidRPr="00847234">
        <w:rPr>
          <w:rFonts w:ascii="Arial" w:hAnsi="Arial" w:cs="Arial"/>
          <w:bCs/>
          <w:lang w:val="es-ES_tradnl"/>
        </w:rPr>
        <w:t>suprimen parcialmente</w:t>
      </w:r>
      <w:r w:rsidRPr="00847234">
        <w:rPr>
          <w:rFonts w:ascii="Arial" w:hAnsi="Arial" w:cs="Arial"/>
          <w:bCs/>
          <w:lang w:val="es-ES_tradnl"/>
        </w:rPr>
        <w:t xml:space="preserve"> el monopolio estatal sobre los eslabones de producción de la energía eléctrica</w:t>
      </w:r>
      <w:r w:rsidR="00E50EC5" w:rsidRPr="00847234">
        <w:rPr>
          <w:rFonts w:ascii="Arial" w:hAnsi="Arial" w:cs="Arial"/>
          <w:bCs/>
          <w:lang w:val="es-ES_tradnl"/>
        </w:rPr>
        <w:t xml:space="preserve">. El </w:t>
      </w:r>
      <w:r w:rsidR="00A41309" w:rsidRPr="00847234">
        <w:rPr>
          <w:rFonts w:ascii="Arial" w:hAnsi="Arial" w:cs="Arial"/>
          <w:bCs/>
          <w:lang w:val="es-ES_tradnl"/>
        </w:rPr>
        <w:t>Estado conserva</w:t>
      </w:r>
      <w:r w:rsidR="00A97CC6" w:rsidRPr="00847234">
        <w:rPr>
          <w:rFonts w:ascii="Arial" w:hAnsi="Arial" w:cs="Arial"/>
          <w:bCs/>
          <w:lang w:val="es-ES_tradnl"/>
        </w:rPr>
        <w:t>ría</w:t>
      </w:r>
      <w:r w:rsidR="00A41309" w:rsidRPr="00847234">
        <w:rPr>
          <w:rFonts w:ascii="Arial" w:hAnsi="Arial" w:cs="Arial"/>
          <w:bCs/>
          <w:lang w:val="es-ES_tradnl"/>
        </w:rPr>
        <w:t xml:space="preserve"> el control sobre </w:t>
      </w:r>
      <w:r w:rsidR="001F5CD8" w:rsidRPr="00847234">
        <w:rPr>
          <w:rFonts w:ascii="Arial" w:hAnsi="Arial" w:cs="Arial"/>
          <w:bCs/>
          <w:lang w:val="es-ES_tradnl"/>
        </w:rPr>
        <w:t xml:space="preserve">su </w:t>
      </w:r>
      <w:r w:rsidR="007D0CC5" w:rsidRPr="00847234">
        <w:rPr>
          <w:rFonts w:ascii="Arial" w:hAnsi="Arial" w:cs="Arial"/>
          <w:bCs/>
          <w:lang w:val="es-ES_tradnl"/>
        </w:rPr>
        <w:t>trasmisión y distribución</w:t>
      </w:r>
      <w:r w:rsidR="004A205E" w:rsidRPr="00847234">
        <w:rPr>
          <w:rFonts w:ascii="Arial" w:hAnsi="Arial" w:cs="Arial"/>
          <w:bCs/>
          <w:lang w:val="es-ES_tradnl"/>
        </w:rPr>
        <w:t xml:space="preserve">; </w:t>
      </w:r>
      <w:r w:rsidR="00C77DBF" w:rsidRPr="00847234">
        <w:rPr>
          <w:rFonts w:ascii="Arial" w:hAnsi="Arial" w:cs="Arial"/>
          <w:bCs/>
          <w:lang w:val="es-ES_tradnl"/>
        </w:rPr>
        <w:t xml:space="preserve">estas </w:t>
      </w:r>
      <w:r w:rsidR="00AD04D8" w:rsidRPr="00847234">
        <w:rPr>
          <w:rFonts w:ascii="Arial" w:hAnsi="Arial" w:cs="Arial"/>
          <w:bCs/>
          <w:lang w:val="es-ES_tradnl"/>
        </w:rPr>
        <w:t>actividades persistirían</w:t>
      </w:r>
      <w:r w:rsidR="004A205E" w:rsidRPr="00847234">
        <w:rPr>
          <w:rFonts w:ascii="Arial" w:hAnsi="Arial" w:cs="Arial"/>
          <w:bCs/>
          <w:lang w:val="es-ES_tradnl"/>
        </w:rPr>
        <w:t>, entonces,</w:t>
      </w:r>
      <w:r w:rsidR="00AD04D8" w:rsidRPr="00847234">
        <w:rPr>
          <w:rFonts w:ascii="Arial" w:hAnsi="Arial" w:cs="Arial"/>
          <w:bCs/>
          <w:lang w:val="es-ES_tradnl"/>
        </w:rPr>
        <w:t xml:space="preserve"> como servicios público</w:t>
      </w:r>
      <w:r w:rsidR="00A73B91" w:rsidRPr="00847234">
        <w:rPr>
          <w:rFonts w:ascii="Arial" w:hAnsi="Arial" w:cs="Arial"/>
          <w:bCs/>
          <w:lang w:val="es-ES_tradnl"/>
        </w:rPr>
        <w:t>s</w:t>
      </w:r>
      <w:r w:rsidR="00AD04D8" w:rsidRPr="00847234">
        <w:rPr>
          <w:rFonts w:ascii="Arial" w:hAnsi="Arial" w:cs="Arial"/>
          <w:bCs/>
          <w:lang w:val="es-ES_tradnl"/>
        </w:rPr>
        <w:t xml:space="preserve"> y </w:t>
      </w:r>
      <w:r w:rsidR="00A73B91" w:rsidRPr="00847234">
        <w:rPr>
          <w:rFonts w:ascii="Arial" w:hAnsi="Arial" w:cs="Arial"/>
          <w:bCs/>
          <w:lang w:val="es-ES_tradnl"/>
        </w:rPr>
        <w:t>preservarían su l</w:t>
      </w:r>
      <w:r w:rsidRPr="00847234">
        <w:rPr>
          <w:rFonts w:ascii="Arial" w:hAnsi="Arial" w:cs="Arial"/>
          <w:bCs/>
          <w:lang w:val="es-ES_tradnl"/>
        </w:rPr>
        <w:t>ugar dentro del área de actividades estratégicas</w:t>
      </w:r>
      <w:r w:rsidR="00E50EC5" w:rsidRPr="00847234">
        <w:rPr>
          <w:rFonts w:ascii="Arial" w:hAnsi="Arial" w:cs="Arial"/>
          <w:bCs/>
          <w:lang w:val="es-ES_tradnl"/>
        </w:rPr>
        <w:t>. La</w:t>
      </w:r>
      <w:r w:rsidR="00A73B91" w:rsidRPr="00847234">
        <w:rPr>
          <w:rFonts w:ascii="Arial" w:hAnsi="Arial" w:cs="Arial"/>
          <w:bCs/>
          <w:lang w:val="es-ES_tradnl"/>
        </w:rPr>
        <w:t xml:space="preserve"> </w:t>
      </w:r>
      <w:r w:rsidR="002E2612" w:rsidRPr="00847234">
        <w:rPr>
          <w:rFonts w:ascii="Arial" w:hAnsi="Arial" w:cs="Arial"/>
          <w:bCs/>
          <w:lang w:val="es-ES_tradnl"/>
        </w:rPr>
        <w:t>generación y la comercialización de la energía elé</w:t>
      </w:r>
      <w:r w:rsidR="00986BF1" w:rsidRPr="00847234">
        <w:rPr>
          <w:rFonts w:ascii="Arial" w:hAnsi="Arial" w:cs="Arial"/>
          <w:bCs/>
          <w:lang w:val="es-ES_tradnl"/>
        </w:rPr>
        <w:t xml:space="preserve">ctrica se abrirían a los particulares, lo que las convertiría </w:t>
      </w:r>
      <w:r w:rsidR="00632C44" w:rsidRPr="00847234">
        <w:rPr>
          <w:rFonts w:ascii="Arial" w:hAnsi="Arial" w:cs="Arial"/>
          <w:bCs/>
          <w:lang w:val="es-ES_tradnl"/>
        </w:rPr>
        <w:t xml:space="preserve">en </w:t>
      </w:r>
      <w:r w:rsidRPr="00847234">
        <w:rPr>
          <w:rFonts w:ascii="Arial" w:hAnsi="Arial" w:cs="Arial"/>
          <w:bCs/>
          <w:lang w:val="es-ES_tradnl"/>
        </w:rPr>
        <w:t>actividades prioritarias</w:t>
      </w:r>
      <w:r w:rsidR="00632C44" w:rsidRPr="00847234">
        <w:rPr>
          <w:rFonts w:ascii="Arial" w:hAnsi="Arial" w:cs="Arial"/>
          <w:bCs/>
          <w:lang w:val="es-ES_tradnl"/>
        </w:rPr>
        <w:t xml:space="preserve">. </w:t>
      </w:r>
      <w:r w:rsidR="00A7257F" w:rsidRPr="00847234">
        <w:rPr>
          <w:rFonts w:ascii="Arial" w:hAnsi="Arial" w:cs="Arial"/>
          <w:bCs/>
          <w:lang w:val="es-ES_tradnl"/>
        </w:rPr>
        <w:t xml:space="preserve"> </w:t>
      </w:r>
      <w:r w:rsidRPr="00847234">
        <w:rPr>
          <w:rFonts w:ascii="Arial" w:hAnsi="Arial" w:cs="Arial"/>
          <w:bCs/>
          <w:lang w:val="es-ES_tradnl"/>
        </w:rPr>
        <w:t>Desde entonces, el sistema eléctrico nacional opera con esta naturaleza híbrida: la transmisión y distribución son servicios públicos estatales</w:t>
      </w:r>
      <w:r w:rsidR="00BB4563" w:rsidRPr="00847234">
        <w:rPr>
          <w:rFonts w:ascii="Arial" w:hAnsi="Arial" w:cs="Arial"/>
          <w:bCs/>
          <w:lang w:val="es-ES_tradnl"/>
        </w:rPr>
        <w:t xml:space="preserve">, </w:t>
      </w:r>
      <w:r w:rsidR="008C4FCF" w:rsidRPr="00847234">
        <w:rPr>
          <w:rFonts w:ascii="Arial" w:hAnsi="Arial" w:cs="Arial"/>
          <w:bCs/>
          <w:lang w:val="es-ES_tradnl"/>
        </w:rPr>
        <w:t xml:space="preserve">de ejercicio exclusivo del </w:t>
      </w:r>
      <w:r w:rsidR="00BB4563" w:rsidRPr="00847234">
        <w:rPr>
          <w:rFonts w:ascii="Arial" w:hAnsi="Arial" w:cs="Arial"/>
          <w:bCs/>
          <w:lang w:val="es-ES_tradnl"/>
        </w:rPr>
        <w:t>Estado</w:t>
      </w:r>
      <w:r w:rsidRPr="00847234">
        <w:rPr>
          <w:rFonts w:ascii="Arial" w:hAnsi="Arial" w:cs="Arial"/>
          <w:bCs/>
          <w:lang w:val="es-ES_tradnl"/>
        </w:rPr>
        <w:t xml:space="preserve">; la generación y comercialización son actividades </w:t>
      </w:r>
      <w:r w:rsidR="008C4FCF" w:rsidRPr="00847234">
        <w:rPr>
          <w:rFonts w:ascii="Arial" w:hAnsi="Arial" w:cs="Arial"/>
          <w:bCs/>
          <w:lang w:val="es-ES_tradnl"/>
        </w:rPr>
        <w:t xml:space="preserve">sujetas al </w:t>
      </w:r>
      <w:r w:rsidRPr="00847234">
        <w:rPr>
          <w:rFonts w:ascii="Arial" w:hAnsi="Arial" w:cs="Arial"/>
          <w:bCs/>
          <w:lang w:val="es-ES_tradnl"/>
        </w:rPr>
        <w:t xml:space="preserve">mercado. Todo la planeación y control </w:t>
      </w:r>
      <w:r w:rsidR="00F42295" w:rsidRPr="00847234">
        <w:rPr>
          <w:rFonts w:ascii="Arial" w:hAnsi="Arial" w:cs="Arial"/>
          <w:bCs/>
          <w:lang w:val="es-ES_tradnl"/>
        </w:rPr>
        <w:t>de sistema “híbrido” recae en el</w:t>
      </w:r>
      <w:r w:rsidRPr="00847234">
        <w:rPr>
          <w:rFonts w:ascii="Arial" w:hAnsi="Arial" w:cs="Arial"/>
          <w:bCs/>
          <w:lang w:val="es-ES_tradnl"/>
        </w:rPr>
        <w:t xml:space="preserve"> Sistema Eléctrico Nacional. </w:t>
      </w:r>
    </w:p>
    <w:p w14:paraId="712DCEBA" w14:textId="0560A691" w:rsidR="00492B80" w:rsidRPr="00847234" w:rsidRDefault="00492B80" w:rsidP="00492B80">
      <w:pPr>
        <w:spacing w:line="360" w:lineRule="auto"/>
        <w:jc w:val="both"/>
        <w:rPr>
          <w:rFonts w:ascii="Arial" w:hAnsi="Arial" w:cs="Arial"/>
          <w:bCs/>
          <w:lang w:val="es-ES_tradnl"/>
        </w:rPr>
      </w:pPr>
    </w:p>
    <w:p w14:paraId="67E2B8DA" w14:textId="4A7E683A" w:rsidR="00492B80" w:rsidRPr="00847234" w:rsidRDefault="00BF3442" w:rsidP="00492B80">
      <w:pPr>
        <w:spacing w:line="360" w:lineRule="auto"/>
        <w:jc w:val="both"/>
        <w:rPr>
          <w:rFonts w:ascii="Arial" w:hAnsi="Arial" w:cs="Arial"/>
          <w:bCs/>
          <w:lang w:val="es-ES_tradnl"/>
        </w:rPr>
      </w:pPr>
      <w:r w:rsidRPr="00847234">
        <w:rPr>
          <w:rFonts w:ascii="Arial" w:hAnsi="Arial" w:cs="Arial"/>
          <w:bCs/>
          <w:lang w:val="es-ES_tradnl"/>
        </w:rPr>
        <w:lastRenderedPageBreak/>
        <w:t xml:space="preserve">El </w:t>
      </w:r>
      <w:r w:rsidR="00492B80" w:rsidRPr="00847234">
        <w:rPr>
          <w:rFonts w:ascii="Arial" w:hAnsi="Arial" w:cs="Arial"/>
          <w:bCs/>
          <w:lang w:val="es-ES_tradnl"/>
        </w:rPr>
        <w:t>artículo 27 constitucional</w:t>
      </w:r>
      <w:r w:rsidR="00EA5730" w:rsidRPr="00847234">
        <w:rPr>
          <w:rFonts w:ascii="Arial" w:hAnsi="Arial" w:cs="Arial"/>
          <w:bCs/>
          <w:lang w:val="es-ES_tradnl"/>
        </w:rPr>
        <w:t>, actualmente vigente,</w:t>
      </w:r>
      <w:r w:rsidRPr="00847234">
        <w:rPr>
          <w:rFonts w:ascii="Arial" w:hAnsi="Arial" w:cs="Arial"/>
          <w:bCs/>
          <w:lang w:val="es-ES_tradnl"/>
        </w:rPr>
        <w:t xml:space="preserve"> </w:t>
      </w:r>
      <w:r w:rsidR="008220C4" w:rsidRPr="00847234">
        <w:rPr>
          <w:rFonts w:ascii="Arial" w:hAnsi="Arial" w:cs="Arial"/>
          <w:bCs/>
          <w:lang w:val="es-ES_tradnl"/>
        </w:rPr>
        <w:t xml:space="preserve">describe </w:t>
      </w:r>
      <w:r w:rsidR="001B0323" w:rsidRPr="00847234">
        <w:rPr>
          <w:rFonts w:ascii="Arial" w:hAnsi="Arial" w:cs="Arial"/>
          <w:bCs/>
          <w:lang w:val="es-ES_tradnl"/>
        </w:rPr>
        <w:t>el</w:t>
      </w:r>
      <w:r w:rsidR="00492B80" w:rsidRPr="00847234">
        <w:rPr>
          <w:rFonts w:ascii="Arial" w:hAnsi="Arial" w:cs="Arial"/>
          <w:bCs/>
          <w:lang w:val="es-ES_tradnl"/>
        </w:rPr>
        <w:t xml:space="preserve"> nuevo modelo: “[c]</w:t>
      </w:r>
      <w:proofErr w:type="spellStart"/>
      <w:r w:rsidR="00492B80" w:rsidRPr="00847234">
        <w:rPr>
          <w:rFonts w:ascii="Arial" w:hAnsi="Arial" w:cs="Arial"/>
          <w:bCs/>
          <w:lang w:val="es-ES_tradnl"/>
        </w:rPr>
        <w:t>orresponde</w:t>
      </w:r>
      <w:proofErr w:type="spellEnd"/>
      <w:r w:rsidR="00492B80" w:rsidRPr="00847234">
        <w:rPr>
          <w:rFonts w:ascii="Arial" w:hAnsi="Arial" w:cs="Arial"/>
          <w:bCs/>
          <w:lang w:val="es-ES_tradnl"/>
        </w:rPr>
        <w:t xml:space="preserve"> exclusivamente a la Nación la planeación y el control del sistema eléctrico nacional, así como el servicio público de transmisión y distribución de energía eléctrica, en estas actividades no se otorgarán concesiones, sin perjuicio de que el Estado pueda celebrar contratos con particulares en los términos que establezcan las leyes, mismas que determinarán la forma en que los particulares podrán participar en las demás actividades de la industria eléctrica”.</w:t>
      </w:r>
    </w:p>
    <w:p w14:paraId="2D1DFA72" w14:textId="77777777" w:rsidR="00492B80" w:rsidRPr="00847234" w:rsidRDefault="00492B80" w:rsidP="00492B80">
      <w:pPr>
        <w:spacing w:line="360" w:lineRule="auto"/>
        <w:jc w:val="both"/>
        <w:rPr>
          <w:rFonts w:ascii="Arial" w:hAnsi="Arial" w:cs="Arial"/>
          <w:bCs/>
          <w:lang w:val="es-ES_tradnl"/>
        </w:rPr>
      </w:pPr>
    </w:p>
    <w:p w14:paraId="60EF1A2B" w14:textId="7594845F" w:rsidR="00492B80" w:rsidRPr="00847234" w:rsidRDefault="00681C69" w:rsidP="00492B80">
      <w:pPr>
        <w:spacing w:line="360" w:lineRule="auto"/>
        <w:jc w:val="both"/>
        <w:rPr>
          <w:rFonts w:ascii="Arial" w:hAnsi="Arial" w:cs="Arial"/>
          <w:bCs/>
          <w:lang w:val="es-ES_tradnl"/>
        </w:rPr>
      </w:pPr>
      <w:r w:rsidRPr="00847234">
        <w:rPr>
          <w:rFonts w:ascii="Arial" w:hAnsi="Arial" w:cs="Arial"/>
          <w:bCs/>
          <w:lang w:val="es-ES_tradnl"/>
        </w:rPr>
        <w:t>E</w:t>
      </w:r>
      <w:r w:rsidR="00D76E35" w:rsidRPr="00847234">
        <w:rPr>
          <w:rFonts w:ascii="Arial" w:hAnsi="Arial" w:cs="Arial"/>
          <w:bCs/>
          <w:lang w:val="es-ES_tradnl"/>
        </w:rPr>
        <w:t xml:space="preserve">ste </w:t>
      </w:r>
      <w:r w:rsidR="00E84CEB" w:rsidRPr="00847234">
        <w:rPr>
          <w:rFonts w:ascii="Arial" w:hAnsi="Arial" w:cs="Arial"/>
          <w:bCs/>
          <w:lang w:val="es-ES_tradnl"/>
        </w:rPr>
        <w:t>segundo modelo constitucional</w:t>
      </w:r>
      <w:r w:rsidRPr="00847234">
        <w:rPr>
          <w:rFonts w:ascii="Arial" w:hAnsi="Arial" w:cs="Arial"/>
          <w:bCs/>
          <w:lang w:val="es-ES_tradnl"/>
        </w:rPr>
        <w:t xml:space="preserve"> </w:t>
      </w:r>
      <w:r w:rsidR="003557A8" w:rsidRPr="00847234">
        <w:rPr>
          <w:rFonts w:ascii="Arial" w:hAnsi="Arial" w:cs="Arial"/>
          <w:bCs/>
          <w:lang w:val="es-ES_tradnl"/>
        </w:rPr>
        <w:t xml:space="preserve">reconfiguró </w:t>
      </w:r>
      <w:r w:rsidR="00492B80" w:rsidRPr="00847234">
        <w:rPr>
          <w:rFonts w:ascii="Arial" w:hAnsi="Arial" w:cs="Arial"/>
          <w:bCs/>
          <w:lang w:val="es-ES_tradnl"/>
        </w:rPr>
        <w:t>los participantes o agentes económicos</w:t>
      </w:r>
      <w:r w:rsidR="00FB3913" w:rsidRPr="00847234">
        <w:rPr>
          <w:rFonts w:ascii="Arial" w:hAnsi="Arial" w:cs="Arial"/>
          <w:bCs/>
          <w:lang w:val="es-ES_tradnl"/>
        </w:rPr>
        <w:t>. Est</w:t>
      </w:r>
      <w:r w:rsidR="00034406" w:rsidRPr="00847234">
        <w:rPr>
          <w:rFonts w:ascii="Arial" w:hAnsi="Arial" w:cs="Arial"/>
          <w:bCs/>
          <w:lang w:val="es-ES_tradnl"/>
        </w:rPr>
        <w:t xml:space="preserve">a </w:t>
      </w:r>
      <w:r w:rsidR="003557A8" w:rsidRPr="00847234">
        <w:rPr>
          <w:rFonts w:ascii="Arial" w:hAnsi="Arial" w:cs="Arial"/>
          <w:bCs/>
          <w:lang w:val="es-ES_tradnl"/>
        </w:rPr>
        <w:t xml:space="preserve">reconfiguración </w:t>
      </w:r>
      <w:r w:rsidR="00034406" w:rsidRPr="00847234">
        <w:rPr>
          <w:rFonts w:ascii="Arial" w:hAnsi="Arial" w:cs="Arial"/>
          <w:bCs/>
          <w:lang w:val="es-ES_tradnl"/>
        </w:rPr>
        <w:t>r</w:t>
      </w:r>
      <w:r w:rsidR="00FB3913" w:rsidRPr="00847234">
        <w:rPr>
          <w:rFonts w:ascii="Arial" w:hAnsi="Arial" w:cs="Arial"/>
          <w:bCs/>
          <w:lang w:val="es-ES_tradnl"/>
        </w:rPr>
        <w:t xml:space="preserve">esultó </w:t>
      </w:r>
      <w:r w:rsidR="005A4688" w:rsidRPr="00847234">
        <w:rPr>
          <w:rFonts w:ascii="Arial" w:hAnsi="Arial" w:cs="Arial"/>
          <w:bCs/>
          <w:lang w:val="es-ES_tradnl"/>
        </w:rPr>
        <w:t>especialmente crític</w:t>
      </w:r>
      <w:r w:rsidR="00034406" w:rsidRPr="00847234">
        <w:rPr>
          <w:rFonts w:ascii="Arial" w:hAnsi="Arial" w:cs="Arial"/>
          <w:bCs/>
          <w:lang w:val="es-ES_tradnl"/>
        </w:rPr>
        <w:t>a</w:t>
      </w:r>
      <w:r w:rsidR="005A4688" w:rsidRPr="00847234">
        <w:rPr>
          <w:rFonts w:ascii="Arial" w:hAnsi="Arial" w:cs="Arial"/>
          <w:bCs/>
          <w:lang w:val="es-ES_tradnl"/>
        </w:rPr>
        <w:t xml:space="preserve"> </w:t>
      </w:r>
      <w:r w:rsidR="00034406" w:rsidRPr="00847234">
        <w:rPr>
          <w:rFonts w:ascii="Arial" w:hAnsi="Arial" w:cs="Arial"/>
          <w:bCs/>
          <w:lang w:val="es-ES_tradnl"/>
        </w:rPr>
        <w:t>para la Comisión Federal de Electricidad (CFE)</w:t>
      </w:r>
      <w:r w:rsidR="003557A8" w:rsidRPr="00847234">
        <w:rPr>
          <w:rFonts w:ascii="Arial" w:hAnsi="Arial" w:cs="Arial"/>
          <w:bCs/>
          <w:lang w:val="es-ES_tradnl"/>
        </w:rPr>
        <w:t>,</w:t>
      </w:r>
      <w:r w:rsidR="00034406" w:rsidRPr="00847234">
        <w:rPr>
          <w:rFonts w:ascii="Arial" w:hAnsi="Arial" w:cs="Arial"/>
          <w:bCs/>
          <w:lang w:val="es-ES_tradnl"/>
        </w:rPr>
        <w:t xml:space="preserve"> como </w:t>
      </w:r>
      <w:r w:rsidR="00492B80" w:rsidRPr="00847234">
        <w:rPr>
          <w:rFonts w:ascii="Arial" w:hAnsi="Arial" w:cs="Arial"/>
          <w:bCs/>
          <w:lang w:val="es-ES_tradnl"/>
        </w:rPr>
        <w:t>entidad encargada de realizar las funciones estratégicas que previamente abarcaban la totalidad de la cadena productiva de la energía eléctrica</w:t>
      </w:r>
      <w:r w:rsidR="00750384" w:rsidRPr="00847234">
        <w:rPr>
          <w:rFonts w:ascii="Arial" w:hAnsi="Arial" w:cs="Arial"/>
          <w:bCs/>
          <w:lang w:val="es-ES_tradnl"/>
        </w:rPr>
        <w:t xml:space="preserve">. </w:t>
      </w:r>
      <w:r w:rsidR="00D5634F" w:rsidRPr="00847234">
        <w:rPr>
          <w:rFonts w:ascii="Arial" w:hAnsi="Arial" w:cs="Arial"/>
          <w:bCs/>
          <w:lang w:val="es-ES_tradnl"/>
        </w:rPr>
        <w:t xml:space="preserve">Sabemos que la </w:t>
      </w:r>
      <w:r w:rsidR="00492B80" w:rsidRPr="00847234">
        <w:rPr>
          <w:rFonts w:ascii="Arial" w:hAnsi="Arial" w:cs="Arial"/>
          <w:bCs/>
          <w:lang w:val="es-ES_tradnl"/>
        </w:rPr>
        <w:t>existencia de este organismo se fundamentaba</w:t>
      </w:r>
      <w:r w:rsidR="00D95A71" w:rsidRPr="00847234">
        <w:rPr>
          <w:rFonts w:ascii="Arial" w:hAnsi="Arial" w:cs="Arial"/>
          <w:bCs/>
          <w:lang w:val="es-ES_tradnl"/>
        </w:rPr>
        <w:t xml:space="preserve"> en el texto anterior del </w:t>
      </w:r>
      <w:r w:rsidR="00492B80" w:rsidRPr="00847234">
        <w:rPr>
          <w:rFonts w:ascii="Arial" w:hAnsi="Arial" w:cs="Arial"/>
          <w:bCs/>
          <w:lang w:val="es-ES_tradnl"/>
        </w:rPr>
        <w:t>artículo 28 constituciona</w:t>
      </w:r>
      <w:r w:rsidR="00D95A71" w:rsidRPr="00847234">
        <w:rPr>
          <w:rFonts w:ascii="Arial" w:hAnsi="Arial" w:cs="Arial"/>
          <w:bCs/>
          <w:lang w:val="es-ES_tradnl"/>
        </w:rPr>
        <w:t xml:space="preserve">l: </w:t>
      </w:r>
      <w:r w:rsidR="00492B80" w:rsidRPr="00847234">
        <w:rPr>
          <w:rFonts w:ascii="Arial" w:hAnsi="Arial" w:cs="Arial"/>
          <w:bCs/>
          <w:lang w:val="es-ES_tradnl"/>
        </w:rPr>
        <w:t>“[e]l Estado contará con los organismos y empresas que requiera para el eficaz manejo de las áreas estratégicas a su cargo y en las actividades de carácter prioritario donde, de acuerdo con las leyes, participe por sí o con los sectores social y privado.”</w:t>
      </w:r>
    </w:p>
    <w:p w14:paraId="5A4F1A13" w14:textId="77777777" w:rsidR="00492B80" w:rsidRPr="00847234" w:rsidRDefault="00492B80" w:rsidP="00492B80">
      <w:pPr>
        <w:spacing w:line="360" w:lineRule="auto"/>
        <w:jc w:val="both"/>
        <w:rPr>
          <w:rFonts w:ascii="Arial" w:hAnsi="Arial" w:cs="Arial"/>
          <w:bCs/>
          <w:lang w:val="es-ES_tradnl"/>
        </w:rPr>
      </w:pPr>
    </w:p>
    <w:p w14:paraId="776C903C" w14:textId="0A7FBA3A" w:rsidR="00492B80" w:rsidRPr="00847234" w:rsidRDefault="00492B80" w:rsidP="00492B80">
      <w:pPr>
        <w:spacing w:line="360" w:lineRule="auto"/>
        <w:jc w:val="both"/>
        <w:rPr>
          <w:rFonts w:ascii="Arial" w:hAnsi="Arial" w:cs="Arial"/>
          <w:bCs/>
          <w:lang w:val="es-ES_tradnl"/>
        </w:rPr>
      </w:pPr>
      <w:r w:rsidRPr="00847234">
        <w:rPr>
          <w:rFonts w:ascii="Arial" w:hAnsi="Arial" w:cs="Arial"/>
          <w:bCs/>
          <w:lang w:val="es-ES_tradnl"/>
        </w:rPr>
        <w:t>Con las nuevas disposiciones constitucionales de 2013, la CFE</w:t>
      </w:r>
      <w:r w:rsidR="00BB4563" w:rsidRPr="00847234">
        <w:rPr>
          <w:rFonts w:ascii="Arial" w:hAnsi="Arial" w:cs="Arial"/>
          <w:bCs/>
          <w:lang w:val="es-ES_tradnl"/>
        </w:rPr>
        <w:t xml:space="preserve"> ya no </w:t>
      </w:r>
      <w:r w:rsidR="003B1C95" w:rsidRPr="00847234">
        <w:rPr>
          <w:rFonts w:ascii="Arial" w:hAnsi="Arial" w:cs="Arial"/>
          <w:bCs/>
          <w:lang w:val="es-ES_tradnl"/>
        </w:rPr>
        <w:t xml:space="preserve">realizaría </w:t>
      </w:r>
      <w:r w:rsidR="00BB4563" w:rsidRPr="00847234">
        <w:rPr>
          <w:rFonts w:ascii="Arial" w:hAnsi="Arial" w:cs="Arial"/>
          <w:bCs/>
          <w:lang w:val="es-ES_tradnl"/>
        </w:rPr>
        <w:t xml:space="preserve">únicamente las actividades del área estratégica, sino que competiría con los particulares en las otras dos actividades </w:t>
      </w:r>
      <w:r w:rsidR="006E277E" w:rsidRPr="00847234">
        <w:rPr>
          <w:rFonts w:ascii="Arial" w:hAnsi="Arial" w:cs="Arial"/>
          <w:bCs/>
          <w:lang w:val="es-ES_tradnl"/>
        </w:rPr>
        <w:t xml:space="preserve">abiertas al mercado: la </w:t>
      </w:r>
      <w:r w:rsidR="00BB4563" w:rsidRPr="00847234">
        <w:rPr>
          <w:rFonts w:ascii="Arial" w:hAnsi="Arial" w:cs="Arial"/>
          <w:bCs/>
          <w:lang w:val="es-ES_tradnl"/>
        </w:rPr>
        <w:t>generación y comercialización de energía eléctrica</w:t>
      </w:r>
      <w:r w:rsidR="006E277E" w:rsidRPr="00847234">
        <w:rPr>
          <w:rFonts w:ascii="Arial" w:hAnsi="Arial" w:cs="Arial"/>
          <w:bCs/>
          <w:lang w:val="es-ES_tradnl"/>
        </w:rPr>
        <w:t xml:space="preserve">. Esto significa que la Constitución la convirtió en una empresa </w:t>
      </w:r>
      <w:r w:rsidRPr="00847234">
        <w:rPr>
          <w:rFonts w:ascii="Arial" w:hAnsi="Arial" w:cs="Arial"/>
          <w:bCs/>
          <w:lang w:val="es-ES_tradnl"/>
        </w:rPr>
        <w:t xml:space="preserve">productiva </w:t>
      </w:r>
      <w:r w:rsidR="00D5634F" w:rsidRPr="00847234">
        <w:rPr>
          <w:rFonts w:ascii="Arial" w:hAnsi="Arial" w:cs="Arial"/>
          <w:bCs/>
          <w:lang w:val="es-ES_tradnl"/>
        </w:rPr>
        <w:t xml:space="preserve">del Estado </w:t>
      </w:r>
      <w:r w:rsidRPr="00847234">
        <w:rPr>
          <w:rFonts w:ascii="Arial" w:hAnsi="Arial" w:cs="Arial"/>
          <w:bCs/>
          <w:lang w:val="es-ES_tradnl"/>
        </w:rPr>
        <w:t>y facultó al legislador secundario para reglamentar</w:t>
      </w:r>
      <w:r w:rsidR="00A11388" w:rsidRPr="00847234">
        <w:rPr>
          <w:rFonts w:ascii="Arial" w:hAnsi="Arial" w:cs="Arial"/>
          <w:bCs/>
          <w:lang w:val="es-ES_tradnl"/>
        </w:rPr>
        <w:t xml:space="preserve"> esta nueva </w:t>
      </w:r>
      <w:r w:rsidR="00376C79" w:rsidRPr="00847234">
        <w:rPr>
          <w:rFonts w:ascii="Arial" w:hAnsi="Arial" w:cs="Arial"/>
          <w:bCs/>
          <w:lang w:val="es-ES_tradnl"/>
        </w:rPr>
        <w:t xml:space="preserve">condición. </w:t>
      </w:r>
    </w:p>
    <w:p w14:paraId="35C5B065" w14:textId="77777777" w:rsidR="00492B80" w:rsidRPr="00847234" w:rsidRDefault="00492B80" w:rsidP="00492B80">
      <w:pPr>
        <w:spacing w:line="360" w:lineRule="auto"/>
        <w:jc w:val="both"/>
        <w:rPr>
          <w:rFonts w:ascii="Arial" w:hAnsi="Arial" w:cs="Arial"/>
          <w:bCs/>
          <w:lang w:val="es-ES_tradnl"/>
        </w:rPr>
      </w:pPr>
    </w:p>
    <w:p w14:paraId="3E786822" w14:textId="6E326227" w:rsidR="00492B80" w:rsidRPr="00847234" w:rsidRDefault="00376C79" w:rsidP="00492B80">
      <w:pPr>
        <w:spacing w:line="360" w:lineRule="auto"/>
        <w:jc w:val="both"/>
        <w:rPr>
          <w:rFonts w:ascii="Arial" w:hAnsi="Arial" w:cs="Arial"/>
          <w:bCs/>
          <w:lang w:val="es-ES_tradnl"/>
        </w:rPr>
      </w:pPr>
      <w:r w:rsidRPr="00847234">
        <w:rPr>
          <w:rFonts w:ascii="Arial" w:hAnsi="Arial" w:cs="Arial"/>
          <w:bCs/>
          <w:lang w:val="es-ES_tradnl"/>
        </w:rPr>
        <w:t xml:space="preserve">Evidentemente, el </w:t>
      </w:r>
      <w:r w:rsidR="001F554C">
        <w:rPr>
          <w:rFonts w:ascii="Arial" w:hAnsi="Arial" w:cs="Arial"/>
          <w:bCs/>
          <w:lang w:val="es-ES_tradnl"/>
        </w:rPr>
        <w:t>C</w:t>
      </w:r>
      <w:r w:rsidRPr="00847234">
        <w:rPr>
          <w:rFonts w:ascii="Arial" w:hAnsi="Arial" w:cs="Arial"/>
          <w:bCs/>
          <w:lang w:val="es-ES_tradnl"/>
        </w:rPr>
        <w:t xml:space="preserve">onstituyente </w:t>
      </w:r>
      <w:r w:rsidR="001F554C">
        <w:rPr>
          <w:rFonts w:ascii="Arial" w:hAnsi="Arial" w:cs="Arial"/>
          <w:bCs/>
          <w:lang w:val="es-ES_tradnl"/>
        </w:rPr>
        <w:t>P</w:t>
      </w:r>
      <w:r w:rsidRPr="00847234">
        <w:rPr>
          <w:rFonts w:ascii="Arial" w:hAnsi="Arial" w:cs="Arial"/>
          <w:bCs/>
          <w:lang w:val="es-ES_tradnl"/>
        </w:rPr>
        <w:t>ermanente entendió que no bastaba prescribir la p</w:t>
      </w:r>
      <w:r w:rsidR="00492B80" w:rsidRPr="00847234">
        <w:rPr>
          <w:rFonts w:ascii="Arial" w:hAnsi="Arial" w:cs="Arial"/>
          <w:bCs/>
          <w:lang w:val="es-ES_tradnl"/>
        </w:rPr>
        <w:t xml:space="preserve">articipación de los particulares para </w:t>
      </w:r>
      <w:r w:rsidR="00110BD8" w:rsidRPr="00847234">
        <w:rPr>
          <w:rFonts w:ascii="Arial" w:hAnsi="Arial" w:cs="Arial"/>
          <w:bCs/>
          <w:lang w:val="es-ES_tradnl"/>
        </w:rPr>
        <w:t xml:space="preserve">asegurar el surgimiento </w:t>
      </w:r>
      <w:r w:rsidR="00C5331C">
        <w:rPr>
          <w:rFonts w:ascii="Arial" w:hAnsi="Arial" w:cs="Arial"/>
          <w:bCs/>
          <w:lang w:val="es-ES_tradnl"/>
        </w:rPr>
        <w:t xml:space="preserve">de </w:t>
      </w:r>
      <w:r w:rsidR="00492B80" w:rsidRPr="00847234">
        <w:rPr>
          <w:rFonts w:ascii="Arial" w:hAnsi="Arial" w:cs="Arial"/>
          <w:bCs/>
          <w:lang w:val="es-ES_tradnl"/>
        </w:rPr>
        <w:t xml:space="preserve">un mercado. Era necesario que el legislador </w:t>
      </w:r>
      <w:r w:rsidRPr="00847234">
        <w:rPr>
          <w:rFonts w:ascii="Arial" w:hAnsi="Arial" w:cs="Arial"/>
          <w:bCs/>
          <w:lang w:val="es-ES_tradnl"/>
        </w:rPr>
        <w:t xml:space="preserve">secundario </w:t>
      </w:r>
      <w:r w:rsidR="00204829" w:rsidRPr="00847234">
        <w:rPr>
          <w:rFonts w:ascii="Arial" w:hAnsi="Arial" w:cs="Arial"/>
          <w:bCs/>
          <w:lang w:val="es-ES_tradnl"/>
        </w:rPr>
        <w:t xml:space="preserve">adoptase </w:t>
      </w:r>
      <w:r w:rsidRPr="00847234">
        <w:rPr>
          <w:rFonts w:ascii="Arial" w:hAnsi="Arial" w:cs="Arial"/>
          <w:bCs/>
          <w:lang w:val="es-ES_tradnl"/>
        </w:rPr>
        <w:t>una l</w:t>
      </w:r>
      <w:r w:rsidR="00492B80" w:rsidRPr="00847234">
        <w:rPr>
          <w:rFonts w:ascii="Arial" w:hAnsi="Arial" w:cs="Arial"/>
          <w:bCs/>
          <w:lang w:val="es-ES_tradnl"/>
        </w:rPr>
        <w:t xml:space="preserve">ey </w:t>
      </w:r>
      <w:r w:rsidRPr="00847234">
        <w:rPr>
          <w:rFonts w:ascii="Arial" w:hAnsi="Arial" w:cs="Arial"/>
          <w:bCs/>
          <w:lang w:val="es-ES_tradnl"/>
        </w:rPr>
        <w:t xml:space="preserve">donde </w:t>
      </w:r>
      <w:r w:rsidR="002D5E76" w:rsidRPr="00847234">
        <w:rPr>
          <w:rFonts w:ascii="Arial" w:hAnsi="Arial" w:cs="Arial"/>
          <w:bCs/>
          <w:lang w:val="es-ES_tradnl"/>
        </w:rPr>
        <w:t xml:space="preserve">aparecieran </w:t>
      </w:r>
      <w:r w:rsidR="00492B80" w:rsidRPr="00847234">
        <w:rPr>
          <w:rFonts w:ascii="Arial" w:hAnsi="Arial" w:cs="Arial"/>
          <w:bCs/>
          <w:lang w:val="es-ES_tradnl"/>
        </w:rPr>
        <w:t xml:space="preserve">reglas concretas para contrarrestar las ventajas competitivas que </w:t>
      </w:r>
      <w:r w:rsidRPr="00847234">
        <w:rPr>
          <w:rFonts w:ascii="Arial" w:hAnsi="Arial" w:cs="Arial"/>
          <w:bCs/>
          <w:lang w:val="es-ES_tradnl"/>
        </w:rPr>
        <w:t xml:space="preserve">seguiría teniendo </w:t>
      </w:r>
      <w:r w:rsidR="00492B80" w:rsidRPr="00847234">
        <w:rPr>
          <w:rFonts w:ascii="Arial" w:hAnsi="Arial" w:cs="Arial"/>
          <w:bCs/>
          <w:lang w:val="es-ES_tradnl"/>
        </w:rPr>
        <w:t>la</w:t>
      </w:r>
      <w:r w:rsidR="00BB4563" w:rsidRPr="00847234">
        <w:rPr>
          <w:rFonts w:ascii="Arial" w:hAnsi="Arial" w:cs="Arial"/>
          <w:bCs/>
          <w:lang w:val="es-ES_tradnl"/>
        </w:rPr>
        <w:t xml:space="preserve"> nueva</w:t>
      </w:r>
      <w:r w:rsidR="00492B80" w:rsidRPr="00847234">
        <w:rPr>
          <w:rFonts w:ascii="Arial" w:hAnsi="Arial" w:cs="Arial"/>
          <w:bCs/>
          <w:lang w:val="es-ES_tradnl"/>
        </w:rPr>
        <w:t xml:space="preserve"> empresa productiva del Estado,</w:t>
      </w:r>
      <w:r w:rsidR="00622092" w:rsidRPr="00847234">
        <w:rPr>
          <w:rFonts w:ascii="Arial" w:hAnsi="Arial" w:cs="Arial"/>
          <w:bCs/>
          <w:lang w:val="es-ES_tradnl"/>
        </w:rPr>
        <w:t xml:space="preserve"> la cual contaba -entre otras cosas- </w:t>
      </w:r>
      <w:r w:rsidR="00077FEC" w:rsidRPr="00847234">
        <w:rPr>
          <w:rFonts w:ascii="Arial" w:hAnsi="Arial" w:cs="Arial"/>
          <w:bCs/>
          <w:lang w:val="es-ES_tradnl"/>
        </w:rPr>
        <w:t>con infraestructura</w:t>
      </w:r>
      <w:r w:rsidR="00492B80" w:rsidRPr="00847234">
        <w:rPr>
          <w:rFonts w:ascii="Arial" w:hAnsi="Arial" w:cs="Arial"/>
          <w:bCs/>
          <w:lang w:val="es-ES_tradnl"/>
        </w:rPr>
        <w:t xml:space="preserve"> y</w:t>
      </w:r>
      <w:r w:rsidR="00622092" w:rsidRPr="00847234">
        <w:rPr>
          <w:rFonts w:ascii="Arial" w:hAnsi="Arial" w:cs="Arial"/>
          <w:bCs/>
          <w:lang w:val="es-ES_tradnl"/>
        </w:rPr>
        <w:t xml:space="preserve">, en consecuencia, no asumiría los </w:t>
      </w:r>
      <w:r w:rsidR="00492B80" w:rsidRPr="00847234">
        <w:rPr>
          <w:rFonts w:ascii="Arial" w:hAnsi="Arial" w:cs="Arial"/>
          <w:bCs/>
          <w:lang w:val="es-ES_tradnl"/>
        </w:rPr>
        <w:t>costos que</w:t>
      </w:r>
      <w:r w:rsidR="00622092" w:rsidRPr="00847234">
        <w:rPr>
          <w:rFonts w:ascii="Arial" w:hAnsi="Arial" w:cs="Arial"/>
          <w:bCs/>
          <w:lang w:val="es-ES_tradnl"/>
        </w:rPr>
        <w:t xml:space="preserve"> </w:t>
      </w:r>
      <w:r w:rsidR="000654BF" w:rsidRPr="00847234">
        <w:rPr>
          <w:rFonts w:ascii="Arial" w:hAnsi="Arial" w:cs="Arial"/>
          <w:bCs/>
          <w:lang w:val="es-ES_tradnl"/>
        </w:rPr>
        <w:t xml:space="preserve">sí </w:t>
      </w:r>
      <w:r w:rsidR="00622092" w:rsidRPr="00847234">
        <w:rPr>
          <w:rFonts w:ascii="Arial" w:hAnsi="Arial" w:cs="Arial"/>
          <w:bCs/>
          <w:lang w:val="es-ES_tradnl"/>
        </w:rPr>
        <w:t>asumirían los nu</w:t>
      </w:r>
      <w:r w:rsidR="00492B80" w:rsidRPr="00847234">
        <w:rPr>
          <w:rFonts w:ascii="Arial" w:hAnsi="Arial" w:cs="Arial"/>
          <w:bCs/>
          <w:lang w:val="es-ES_tradnl"/>
        </w:rPr>
        <w:t>evos competidores privados.</w:t>
      </w:r>
    </w:p>
    <w:p w14:paraId="710EB1C7" w14:textId="77777777" w:rsidR="00B9751A" w:rsidRPr="00847234" w:rsidRDefault="00B9751A" w:rsidP="00492B80">
      <w:pPr>
        <w:spacing w:line="360" w:lineRule="auto"/>
        <w:jc w:val="both"/>
        <w:rPr>
          <w:rFonts w:ascii="Arial" w:hAnsi="Arial" w:cs="Arial"/>
          <w:bCs/>
          <w:lang w:val="es-ES_tradnl"/>
        </w:rPr>
      </w:pPr>
    </w:p>
    <w:p w14:paraId="1FB5AD03" w14:textId="1B6AB0D6" w:rsidR="00492B80" w:rsidRPr="00847234" w:rsidRDefault="00B9751A" w:rsidP="00492B80">
      <w:pPr>
        <w:spacing w:line="360" w:lineRule="auto"/>
        <w:jc w:val="both"/>
        <w:rPr>
          <w:rFonts w:ascii="Arial" w:hAnsi="Arial" w:cs="Arial"/>
          <w:bCs/>
          <w:lang w:val="es-ES_tradnl"/>
        </w:rPr>
      </w:pPr>
      <w:r w:rsidRPr="00847234">
        <w:rPr>
          <w:rFonts w:ascii="Arial" w:hAnsi="Arial" w:cs="Arial"/>
          <w:bCs/>
          <w:lang w:val="es-ES_tradnl"/>
        </w:rPr>
        <w:t>Además, los</w:t>
      </w:r>
      <w:r w:rsidR="00492B80" w:rsidRPr="00847234">
        <w:rPr>
          <w:rFonts w:ascii="Arial" w:hAnsi="Arial" w:cs="Arial"/>
          <w:bCs/>
          <w:lang w:val="es-ES_tradnl"/>
        </w:rPr>
        <w:t xml:space="preserve"> autores de la reforma constitucional de 2013 </w:t>
      </w:r>
      <w:r w:rsidR="00C45CE2" w:rsidRPr="00847234">
        <w:rPr>
          <w:rFonts w:ascii="Arial" w:hAnsi="Arial" w:cs="Arial"/>
          <w:bCs/>
          <w:lang w:val="es-ES_tradnl"/>
        </w:rPr>
        <w:t>anticiparon l</w:t>
      </w:r>
      <w:r w:rsidR="00492B80" w:rsidRPr="00847234">
        <w:rPr>
          <w:rFonts w:ascii="Arial" w:hAnsi="Arial" w:cs="Arial"/>
          <w:bCs/>
          <w:lang w:val="es-ES_tradnl"/>
        </w:rPr>
        <w:t xml:space="preserve">a </w:t>
      </w:r>
      <w:r w:rsidR="00B02A5E" w:rsidRPr="00847234">
        <w:rPr>
          <w:rFonts w:ascii="Arial" w:hAnsi="Arial" w:cs="Arial"/>
          <w:bCs/>
          <w:lang w:val="es-ES_tradnl"/>
        </w:rPr>
        <w:t xml:space="preserve">necesidad de </w:t>
      </w:r>
      <w:r w:rsidR="00492B80" w:rsidRPr="00847234">
        <w:rPr>
          <w:rFonts w:ascii="Arial" w:hAnsi="Arial" w:cs="Arial"/>
          <w:bCs/>
          <w:lang w:val="es-ES_tradnl"/>
        </w:rPr>
        <w:t>reglas que incentivar</w:t>
      </w:r>
      <w:r w:rsidR="00BB4563" w:rsidRPr="00847234">
        <w:rPr>
          <w:rFonts w:ascii="Arial" w:hAnsi="Arial" w:cs="Arial"/>
          <w:bCs/>
          <w:lang w:val="es-ES_tradnl"/>
        </w:rPr>
        <w:t>a</w:t>
      </w:r>
      <w:r w:rsidR="00492B80" w:rsidRPr="00847234">
        <w:rPr>
          <w:rFonts w:ascii="Arial" w:hAnsi="Arial" w:cs="Arial"/>
          <w:bCs/>
          <w:lang w:val="es-ES_tradnl"/>
        </w:rPr>
        <w:t xml:space="preserve">n a los agentes económicos que competirían en el mercado de generación y comercialización de energía eléctrica a invertir </w:t>
      </w:r>
      <w:r w:rsidR="00026FB0" w:rsidRPr="00847234">
        <w:rPr>
          <w:rFonts w:ascii="Arial" w:hAnsi="Arial" w:cs="Arial"/>
          <w:bCs/>
          <w:lang w:val="es-ES_tradnl"/>
        </w:rPr>
        <w:t xml:space="preserve">en </w:t>
      </w:r>
      <w:r w:rsidR="00492B80" w:rsidRPr="00847234">
        <w:rPr>
          <w:rFonts w:ascii="Arial" w:hAnsi="Arial" w:cs="Arial"/>
          <w:bCs/>
          <w:lang w:val="es-ES_tradnl"/>
        </w:rPr>
        <w:t xml:space="preserve">tecnologías </w:t>
      </w:r>
      <w:r w:rsidR="00026FB0" w:rsidRPr="00847234">
        <w:rPr>
          <w:rFonts w:ascii="Arial" w:hAnsi="Arial" w:cs="Arial"/>
          <w:bCs/>
          <w:lang w:val="es-ES_tradnl"/>
        </w:rPr>
        <w:t xml:space="preserve">de </w:t>
      </w:r>
      <w:r w:rsidR="00026FB0" w:rsidRPr="00847234">
        <w:rPr>
          <w:rFonts w:ascii="Arial" w:hAnsi="Arial" w:cs="Arial"/>
          <w:bCs/>
          <w:lang w:val="es-ES_tradnl"/>
        </w:rPr>
        <w:lastRenderedPageBreak/>
        <w:t xml:space="preserve">producción de </w:t>
      </w:r>
      <w:r w:rsidR="00A95A83" w:rsidRPr="00847234">
        <w:rPr>
          <w:rFonts w:ascii="Arial" w:hAnsi="Arial" w:cs="Arial"/>
          <w:bCs/>
          <w:lang w:val="es-ES_tradnl"/>
        </w:rPr>
        <w:t>e</w:t>
      </w:r>
      <w:r w:rsidR="00492B80" w:rsidRPr="00847234">
        <w:rPr>
          <w:rFonts w:ascii="Arial" w:hAnsi="Arial" w:cs="Arial"/>
          <w:bCs/>
          <w:lang w:val="es-ES_tradnl"/>
        </w:rPr>
        <w:t>nergías limpias</w:t>
      </w:r>
      <w:r w:rsidR="00A95A83" w:rsidRPr="00847234">
        <w:rPr>
          <w:rFonts w:ascii="Arial" w:hAnsi="Arial" w:cs="Arial"/>
          <w:bCs/>
          <w:lang w:val="es-ES_tradnl"/>
        </w:rPr>
        <w:t>. Cuestión que, igualmente, correspond</w:t>
      </w:r>
      <w:r w:rsidR="003C7984" w:rsidRPr="00847234">
        <w:rPr>
          <w:rFonts w:ascii="Arial" w:hAnsi="Arial" w:cs="Arial"/>
          <w:bCs/>
          <w:lang w:val="es-ES_tradnl"/>
        </w:rPr>
        <w:t xml:space="preserve">ería </w:t>
      </w:r>
      <w:r w:rsidR="00532BCB" w:rsidRPr="00847234">
        <w:rPr>
          <w:rFonts w:ascii="Arial" w:hAnsi="Arial" w:cs="Arial"/>
          <w:bCs/>
          <w:lang w:val="es-ES_tradnl"/>
        </w:rPr>
        <w:t>al legislador</w:t>
      </w:r>
      <w:r w:rsidR="00A95A83" w:rsidRPr="00847234">
        <w:rPr>
          <w:rFonts w:ascii="Arial" w:hAnsi="Arial" w:cs="Arial"/>
          <w:bCs/>
          <w:lang w:val="es-ES_tradnl"/>
        </w:rPr>
        <w:t xml:space="preserve"> secundario</w:t>
      </w:r>
      <w:r w:rsidR="006C0B00" w:rsidRPr="00847234">
        <w:rPr>
          <w:rFonts w:ascii="Arial" w:hAnsi="Arial" w:cs="Arial"/>
          <w:bCs/>
          <w:lang w:val="es-ES_tradnl"/>
        </w:rPr>
        <w:t xml:space="preserve"> resolver en detalle y de manera específica. </w:t>
      </w:r>
    </w:p>
    <w:p w14:paraId="412272D5" w14:textId="619C1B6F" w:rsidR="00492B80" w:rsidRPr="00847234" w:rsidRDefault="00492B80" w:rsidP="00492B80">
      <w:pPr>
        <w:spacing w:line="360" w:lineRule="auto"/>
        <w:jc w:val="both"/>
        <w:rPr>
          <w:rFonts w:ascii="Arial" w:hAnsi="Arial" w:cs="Arial"/>
          <w:bCs/>
          <w:lang w:val="es-ES_tradnl"/>
        </w:rPr>
      </w:pPr>
    </w:p>
    <w:p w14:paraId="0F70B194" w14:textId="32D29EA8" w:rsidR="00492B80" w:rsidRPr="00847234" w:rsidRDefault="003215B3" w:rsidP="00492B80">
      <w:pPr>
        <w:spacing w:line="360" w:lineRule="auto"/>
        <w:jc w:val="both"/>
        <w:rPr>
          <w:rFonts w:ascii="Arial" w:hAnsi="Arial" w:cs="Arial"/>
          <w:bCs/>
          <w:lang w:val="es-ES_tradnl"/>
        </w:rPr>
      </w:pPr>
      <w:r w:rsidRPr="00847234">
        <w:rPr>
          <w:rFonts w:ascii="Arial" w:hAnsi="Arial" w:cs="Arial"/>
          <w:bCs/>
          <w:lang w:val="es-ES_tradnl"/>
        </w:rPr>
        <w:t xml:space="preserve">En conclusión, es evidente que la </w:t>
      </w:r>
      <w:r w:rsidR="00492B80" w:rsidRPr="00847234">
        <w:rPr>
          <w:rFonts w:ascii="Arial" w:hAnsi="Arial" w:cs="Arial"/>
          <w:bCs/>
          <w:lang w:val="es-ES_tradnl"/>
        </w:rPr>
        <w:t xml:space="preserve">Constitución no pretendía </w:t>
      </w:r>
      <w:r w:rsidR="00534C0A" w:rsidRPr="00847234">
        <w:rPr>
          <w:rFonts w:ascii="Arial" w:hAnsi="Arial" w:cs="Arial"/>
          <w:bCs/>
          <w:lang w:val="es-ES_tradnl"/>
        </w:rPr>
        <w:t xml:space="preserve">que el </w:t>
      </w:r>
      <w:r w:rsidRPr="00847234">
        <w:rPr>
          <w:rFonts w:ascii="Arial" w:hAnsi="Arial" w:cs="Arial"/>
          <w:bCs/>
          <w:lang w:val="es-ES_tradnl"/>
        </w:rPr>
        <w:t xml:space="preserve">mercado de energía eléctrica </w:t>
      </w:r>
      <w:r w:rsidR="00534C0A" w:rsidRPr="00847234">
        <w:rPr>
          <w:rFonts w:ascii="Arial" w:hAnsi="Arial" w:cs="Arial"/>
          <w:bCs/>
          <w:lang w:val="es-ES_tradnl"/>
        </w:rPr>
        <w:t xml:space="preserve">fuera dejado a </w:t>
      </w:r>
      <w:r w:rsidRPr="00847234">
        <w:rPr>
          <w:rFonts w:ascii="Arial" w:hAnsi="Arial" w:cs="Arial"/>
          <w:bCs/>
          <w:lang w:val="es-ES_tradnl"/>
        </w:rPr>
        <w:t>su suerte</w:t>
      </w:r>
      <w:r w:rsidR="00534C0A" w:rsidRPr="00847234">
        <w:rPr>
          <w:rFonts w:ascii="Arial" w:hAnsi="Arial" w:cs="Arial"/>
          <w:bCs/>
          <w:lang w:val="es-ES_tradnl"/>
        </w:rPr>
        <w:t xml:space="preserve">. Ante la posible e indeseable ausencia de leyes y </w:t>
      </w:r>
      <w:r w:rsidR="00492B80" w:rsidRPr="00847234">
        <w:rPr>
          <w:rFonts w:ascii="Arial" w:hAnsi="Arial" w:cs="Arial"/>
          <w:bCs/>
          <w:lang w:val="es-ES_tradnl"/>
        </w:rPr>
        <w:t>reglas secundarias que</w:t>
      </w:r>
      <w:r w:rsidR="00534C0A" w:rsidRPr="00847234">
        <w:rPr>
          <w:rFonts w:ascii="Arial" w:hAnsi="Arial" w:cs="Arial"/>
          <w:bCs/>
          <w:lang w:val="es-ES_tradnl"/>
        </w:rPr>
        <w:t xml:space="preserve"> limitasen </w:t>
      </w:r>
      <w:r w:rsidR="00492B80" w:rsidRPr="00847234">
        <w:rPr>
          <w:rFonts w:ascii="Arial" w:hAnsi="Arial" w:cs="Arial"/>
          <w:bCs/>
          <w:lang w:val="es-ES_tradnl"/>
        </w:rPr>
        <w:t xml:space="preserve">la CFE, </w:t>
      </w:r>
      <w:r w:rsidR="00534C0A" w:rsidRPr="00847234">
        <w:rPr>
          <w:rFonts w:ascii="Arial" w:hAnsi="Arial" w:cs="Arial"/>
          <w:bCs/>
          <w:lang w:val="es-ES_tradnl"/>
        </w:rPr>
        <w:t xml:space="preserve">la tendencia natural sería que ésta </w:t>
      </w:r>
      <w:r w:rsidR="00D15B27" w:rsidRPr="00847234">
        <w:rPr>
          <w:rFonts w:ascii="Arial" w:hAnsi="Arial" w:cs="Arial"/>
          <w:bCs/>
          <w:lang w:val="es-ES_tradnl"/>
        </w:rPr>
        <w:t>d</w:t>
      </w:r>
      <w:r w:rsidR="00492B80" w:rsidRPr="00847234">
        <w:rPr>
          <w:rFonts w:ascii="Arial" w:hAnsi="Arial" w:cs="Arial"/>
          <w:bCs/>
          <w:lang w:val="es-ES_tradnl"/>
        </w:rPr>
        <w:t>esplazar</w:t>
      </w:r>
      <w:r w:rsidR="00D15B27" w:rsidRPr="00847234">
        <w:rPr>
          <w:rFonts w:ascii="Arial" w:hAnsi="Arial" w:cs="Arial"/>
          <w:bCs/>
          <w:lang w:val="es-ES_tradnl"/>
        </w:rPr>
        <w:t>a</w:t>
      </w:r>
      <w:r w:rsidR="00492B80" w:rsidRPr="00847234">
        <w:rPr>
          <w:rFonts w:ascii="Arial" w:hAnsi="Arial" w:cs="Arial"/>
          <w:bCs/>
          <w:lang w:val="es-ES_tradnl"/>
        </w:rPr>
        <w:t xml:space="preserve"> a sus competidores</w:t>
      </w:r>
      <w:r w:rsidR="00D15B27" w:rsidRPr="00847234">
        <w:rPr>
          <w:rFonts w:ascii="Arial" w:hAnsi="Arial" w:cs="Arial"/>
          <w:bCs/>
          <w:lang w:val="es-ES_tradnl"/>
        </w:rPr>
        <w:t xml:space="preserve">. Sin reglas para </w:t>
      </w:r>
      <w:r w:rsidR="00CA5694" w:rsidRPr="00847234">
        <w:rPr>
          <w:rFonts w:ascii="Arial" w:hAnsi="Arial" w:cs="Arial"/>
          <w:bCs/>
          <w:lang w:val="es-ES_tradnl"/>
        </w:rPr>
        <w:t xml:space="preserve">incentivar </w:t>
      </w:r>
      <w:r w:rsidR="00492B80" w:rsidRPr="00847234">
        <w:rPr>
          <w:rFonts w:ascii="Arial" w:hAnsi="Arial" w:cs="Arial"/>
          <w:bCs/>
          <w:lang w:val="es-ES_tradnl"/>
        </w:rPr>
        <w:t xml:space="preserve">la sustitución de tecnologías, los nuevos agentes económicos </w:t>
      </w:r>
      <w:r w:rsidR="00A709CC" w:rsidRPr="00847234">
        <w:rPr>
          <w:rFonts w:ascii="Arial" w:hAnsi="Arial" w:cs="Arial"/>
          <w:bCs/>
          <w:lang w:val="es-ES_tradnl"/>
        </w:rPr>
        <w:t xml:space="preserve">adoptarían </w:t>
      </w:r>
      <w:r w:rsidR="00492B80" w:rsidRPr="00847234">
        <w:rPr>
          <w:rFonts w:ascii="Arial" w:hAnsi="Arial" w:cs="Arial"/>
          <w:bCs/>
          <w:lang w:val="es-ES_tradnl"/>
        </w:rPr>
        <w:t xml:space="preserve">estrategias competitivas </w:t>
      </w:r>
      <w:r w:rsidR="0000279B" w:rsidRPr="00847234">
        <w:rPr>
          <w:rFonts w:ascii="Arial" w:hAnsi="Arial" w:cs="Arial"/>
          <w:bCs/>
          <w:lang w:val="es-ES_tradnl"/>
        </w:rPr>
        <w:t>dañinas para</w:t>
      </w:r>
      <w:r w:rsidR="00492B80" w:rsidRPr="00847234">
        <w:rPr>
          <w:rFonts w:ascii="Arial" w:hAnsi="Arial" w:cs="Arial"/>
          <w:bCs/>
          <w:lang w:val="es-ES_tradnl"/>
        </w:rPr>
        <w:t xml:space="preserve"> el medio ambiente, dentro del fenómeno denominado “</w:t>
      </w:r>
      <w:proofErr w:type="spellStart"/>
      <w:r w:rsidR="00492B80" w:rsidRPr="00847234">
        <w:rPr>
          <w:rFonts w:ascii="Arial" w:hAnsi="Arial" w:cs="Arial"/>
          <w:bCs/>
          <w:lang w:val="es-ES_tradnl"/>
        </w:rPr>
        <w:t>race</w:t>
      </w:r>
      <w:proofErr w:type="spellEnd"/>
      <w:r w:rsidR="00492B80" w:rsidRPr="00847234">
        <w:rPr>
          <w:rFonts w:ascii="Arial" w:hAnsi="Arial" w:cs="Arial"/>
          <w:bCs/>
          <w:lang w:val="es-ES_tradnl"/>
        </w:rPr>
        <w:t xml:space="preserve"> </w:t>
      </w:r>
      <w:proofErr w:type="spellStart"/>
      <w:r w:rsidR="00492B80" w:rsidRPr="00847234">
        <w:rPr>
          <w:rFonts w:ascii="Arial" w:hAnsi="Arial" w:cs="Arial"/>
          <w:bCs/>
          <w:lang w:val="es-ES_tradnl"/>
        </w:rPr>
        <w:t>to</w:t>
      </w:r>
      <w:proofErr w:type="spellEnd"/>
      <w:r w:rsidR="00492B80" w:rsidRPr="00847234">
        <w:rPr>
          <w:rFonts w:ascii="Arial" w:hAnsi="Arial" w:cs="Arial"/>
          <w:bCs/>
          <w:lang w:val="es-ES_tradnl"/>
        </w:rPr>
        <w:t xml:space="preserve"> </w:t>
      </w:r>
      <w:proofErr w:type="spellStart"/>
      <w:r w:rsidR="00492B80" w:rsidRPr="00847234">
        <w:rPr>
          <w:rFonts w:ascii="Arial" w:hAnsi="Arial" w:cs="Arial"/>
          <w:bCs/>
          <w:lang w:val="es-ES_tradnl"/>
        </w:rPr>
        <w:t>the</w:t>
      </w:r>
      <w:proofErr w:type="spellEnd"/>
      <w:r w:rsidR="00492B80" w:rsidRPr="00847234">
        <w:rPr>
          <w:rFonts w:ascii="Arial" w:hAnsi="Arial" w:cs="Arial"/>
          <w:bCs/>
          <w:lang w:val="es-ES_tradnl"/>
        </w:rPr>
        <w:t xml:space="preserve"> bottom”.</w:t>
      </w:r>
      <w:r w:rsidR="00A735BB" w:rsidRPr="00847234">
        <w:rPr>
          <w:rStyle w:val="Refdenotaalpie"/>
          <w:rFonts w:ascii="Arial" w:hAnsi="Arial" w:cs="Arial"/>
          <w:bCs/>
          <w:lang w:val="es-ES_tradnl"/>
        </w:rPr>
        <w:footnoteReference w:id="2"/>
      </w:r>
    </w:p>
    <w:p w14:paraId="404184D5" w14:textId="77777777" w:rsidR="00BB4563" w:rsidRPr="00847234" w:rsidRDefault="00BB4563" w:rsidP="00492B80">
      <w:pPr>
        <w:spacing w:line="360" w:lineRule="auto"/>
        <w:jc w:val="both"/>
        <w:rPr>
          <w:rFonts w:ascii="Arial" w:hAnsi="Arial" w:cs="Arial"/>
          <w:bCs/>
          <w:lang w:val="es-ES_tradnl"/>
        </w:rPr>
      </w:pPr>
    </w:p>
    <w:p w14:paraId="71593B0D" w14:textId="3C47AE33" w:rsidR="00492B80" w:rsidRPr="00847234" w:rsidRDefault="00492B80" w:rsidP="00492B80">
      <w:pPr>
        <w:spacing w:line="360" w:lineRule="auto"/>
        <w:jc w:val="both"/>
        <w:rPr>
          <w:rFonts w:ascii="Arial" w:hAnsi="Arial" w:cs="Arial"/>
          <w:bCs/>
          <w:lang w:val="es-ES_tradnl"/>
        </w:rPr>
      </w:pPr>
      <w:r w:rsidRPr="00847234">
        <w:rPr>
          <w:rFonts w:ascii="Arial" w:hAnsi="Arial" w:cs="Arial"/>
          <w:bCs/>
          <w:lang w:val="es-ES_tradnl"/>
        </w:rPr>
        <w:t xml:space="preserve">Por tanto, </w:t>
      </w:r>
      <w:r w:rsidR="00955991" w:rsidRPr="00847234">
        <w:rPr>
          <w:rFonts w:ascii="Arial" w:hAnsi="Arial" w:cs="Arial"/>
          <w:bCs/>
          <w:lang w:val="es-ES_tradnl"/>
        </w:rPr>
        <w:t>e</w:t>
      </w:r>
      <w:r w:rsidRPr="00847234">
        <w:rPr>
          <w:rFonts w:ascii="Arial" w:hAnsi="Arial" w:cs="Arial"/>
          <w:bCs/>
          <w:lang w:val="es-ES_tradnl"/>
        </w:rPr>
        <w:t>l proceso de reforma constitucional plantea</w:t>
      </w:r>
      <w:r w:rsidR="00955991" w:rsidRPr="00847234">
        <w:rPr>
          <w:rFonts w:ascii="Arial" w:hAnsi="Arial" w:cs="Arial"/>
          <w:bCs/>
          <w:lang w:val="es-ES_tradnl"/>
        </w:rPr>
        <w:t xml:space="preserve">ba </w:t>
      </w:r>
      <w:r w:rsidRPr="00847234">
        <w:rPr>
          <w:rFonts w:ascii="Arial" w:hAnsi="Arial" w:cs="Arial"/>
          <w:bCs/>
          <w:lang w:val="es-ES_tradnl"/>
        </w:rPr>
        <w:t>dos dilemas</w:t>
      </w:r>
      <w:r w:rsidR="000748D4" w:rsidRPr="00847234">
        <w:rPr>
          <w:rFonts w:ascii="Arial" w:hAnsi="Arial" w:cs="Arial"/>
          <w:bCs/>
          <w:lang w:val="es-ES_tradnl"/>
        </w:rPr>
        <w:t xml:space="preserve"> para el legislador</w:t>
      </w:r>
      <w:r w:rsidRPr="00847234">
        <w:rPr>
          <w:rFonts w:ascii="Arial" w:hAnsi="Arial" w:cs="Arial"/>
          <w:bCs/>
          <w:lang w:val="es-ES_tradnl"/>
        </w:rPr>
        <w:t xml:space="preserve">: ¿Cómo hacer que los nuevos agentes económicos privados </w:t>
      </w:r>
      <w:r w:rsidR="00955991" w:rsidRPr="00847234">
        <w:rPr>
          <w:rFonts w:ascii="Arial" w:hAnsi="Arial" w:cs="Arial"/>
          <w:bCs/>
          <w:lang w:val="es-ES_tradnl"/>
        </w:rPr>
        <w:t xml:space="preserve">compitieran </w:t>
      </w:r>
      <w:r w:rsidRPr="00847234">
        <w:rPr>
          <w:rFonts w:ascii="Arial" w:hAnsi="Arial" w:cs="Arial"/>
          <w:bCs/>
          <w:lang w:val="es-ES_tradnl"/>
        </w:rPr>
        <w:t xml:space="preserve">con la CFE? ¿Cómo </w:t>
      </w:r>
      <w:r w:rsidR="00E52C4F" w:rsidRPr="00847234">
        <w:rPr>
          <w:rFonts w:ascii="Arial" w:hAnsi="Arial" w:cs="Arial"/>
          <w:bCs/>
          <w:lang w:val="es-ES_tradnl"/>
        </w:rPr>
        <w:t xml:space="preserve">proponer </w:t>
      </w:r>
      <w:r w:rsidR="00955991" w:rsidRPr="00847234">
        <w:rPr>
          <w:rFonts w:ascii="Arial" w:hAnsi="Arial" w:cs="Arial"/>
          <w:bCs/>
          <w:lang w:val="es-ES_tradnl"/>
        </w:rPr>
        <w:t xml:space="preserve">esa competencia en términos respetuosos </w:t>
      </w:r>
      <w:r w:rsidRPr="00847234">
        <w:rPr>
          <w:rFonts w:ascii="Arial" w:hAnsi="Arial" w:cs="Arial"/>
          <w:bCs/>
          <w:lang w:val="es-ES_tradnl"/>
        </w:rPr>
        <w:t xml:space="preserve">para el medio ambiente? </w:t>
      </w:r>
      <w:r w:rsidR="00BE0A29" w:rsidRPr="00847234">
        <w:rPr>
          <w:rFonts w:ascii="Arial" w:hAnsi="Arial" w:cs="Arial"/>
          <w:bCs/>
          <w:lang w:val="es-ES_tradnl"/>
        </w:rPr>
        <w:t xml:space="preserve">Como hemos dicho, para el primer problema, la solución fue transformar la </w:t>
      </w:r>
      <w:r w:rsidRPr="00847234">
        <w:rPr>
          <w:rFonts w:ascii="Arial" w:hAnsi="Arial" w:cs="Arial"/>
          <w:bCs/>
          <w:lang w:val="es-ES_tradnl"/>
        </w:rPr>
        <w:t>CFE</w:t>
      </w:r>
      <w:r w:rsidR="00D040E0" w:rsidRPr="00847234">
        <w:rPr>
          <w:rFonts w:ascii="Arial" w:hAnsi="Arial" w:cs="Arial"/>
          <w:bCs/>
          <w:lang w:val="es-ES_tradnl"/>
        </w:rPr>
        <w:t xml:space="preserve"> en empresa</w:t>
      </w:r>
      <w:r w:rsidRPr="00847234">
        <w:rPr>
          <w:rFonts w:ascii="Arial" w:hAnsi="Arial" w:cs="Arial"/>
          <w:bCs/>
          <w:lang w:val="es-ES_tradnl"/>
        </w:rPr>
        <w:t xml:space="preserve"> productiva del </w:t>
      </w:r>
      <w:r w:rsidR="00D040E0" w:rsidRPr="00847234">
        <w:rPr>
          <w:rFonts w:ascii="Arial" w:hAnsi="Arial" w:cs="Arial"/>
          <w:bCs/>
          <w:lang w:val="es-ES_tradnl"/>
        </w:rPr>
        <w:t>E</w:t>
      </w:r>
      <w:r w:rsidRPr="00847234">
        <w:rPr>
          <w:rFonts w:ascii="Arial" w:hAnsi="Arial" w:cs="Arial"/>
          <w:bCs/>
          <w:lang w:val="es-ES_tradnl"/>
        </w:rPr>
        <w:t xml:space="preserve">stado. </w:t>
      </w:r>
      <w:r w:rsidR="00D040E0" w:rsidRPr="00847234">
        <w:rPr>
          <w:rFonts w:ascii="Arial" w:hAnsi="Arial" w:cs="Arial"/>
          <w:bCs/>
          <w:lang w:val="es-ES_tradnl"/>
        </w:rPr>
        <w:t xml:space="preserve">Para el segundo, </w:t>
      </w:r>
      <w:r w:rsidR="00EB1DF4" w:rsidRPr="00847234">
        <w:rPr>
          <w:rFonts w:ascii="Arial" w:hAnsi="Arial" w:cs="Arial"/>
          <w:bCs/>
          <w:lang w:val="es-ES_tradnl"/>
        </w:rPr>
        <w:t xml:space="preserve">la respuesta fue </w:t>
      </w:r>
      <w:r w:rsidRPr="00847234">
        <w:rPr>
          <w:rFonts w:ascii="Arial" w:hAnsi="Arial" w:cs="Arial"/>
          <w:bCs/>
          <w:lang w:val="es-ES_tradnl"/>
        </w:rPr>
        <w:t xml:space="preserve">una regla de mercado: todos los agentes económicos </w:t>
      </w:r>
      <w:r w:rsidR="00EB1DF4" w:rsidRPr="00847234">
        <w:rPr>
          <w:rFonts w:ascii="Arial" w:hAnsi="Arial" w:cs="Arial"/>
          <w:bCs/>
          <w:lang w:val="es-ES_tradnl"/>
        </w:rPr>
        <w:t xml:space="preserve">cumplirían </w:t>
      </w:r>
      <w:r w:rsidRPr="00847234">
        <w:rPr>
          <w:rFonts w:ascii="Arial" w:hAnsi="Arial" w:cs="Arial"/>
          <w:bCs/>
          <w:lang w:val="es-ES_tradnl"/>
        </w:rPr>
        <w:t>con un paquete de obligaciones medio ambientales (entre ellas</w:t>
      </w:r>
      <w:r w:rsidR="00EB1DF4" w:rsidRPr="00847234">
        <w:rPr>
          <w:rFonts w:ascii="Arial" w:hAnsi="Arial" w:cs="Arial"/>
          <w:bCs/>
          <w:lang w:val="es-ES_tradnl"/>
        </w:rPr>
        <w:t>,</w:t>
      </w:r>
      <w:r w:rsidRPr="00847234">
        <w:rPr>
          <w:rFonts w:ascii="Arial" w:hAnsi="Arial" w:cs="Arial"/>
          <w:bCs/>
          <w:lang w:val="es-ES_tradnl"/>
        </w:rPr>
        <w:t xml:space="preserve"> </w:t>
      </w:r>
      <w:r w:rsidR="00EB1DF4" w:rsidRPr="00847234">
        <w:rPr>
          <w:rFonts w:ascii="Arial" w:hAnsi="Arial" w:cs="Arial"/>
          <w:bCs/>
          <w:lang w:val="es-ES_tradnl"/>
        </w:rPr>
        <w:t xml:space="preserve">recurrir a </w:t>
      </w:r>
      <w:r w:rsidR="008D3F4B" w:rsidRPr="00847234">
        <w:rPr>
          <w:rFonts w:ascii="Arial" w:hAnsi="Arial" w:cs="Arial"/>
          <w:bCs/>
          <w:lang w:val="es-ES_tradnl"/>
        </w:rPr>
        <w:t xml:space="preserve">un </w:t>
      </w:r>
      <w:r w:rsidRPr="00847234">
        <w:rPr>
          <w:rFonts w:ascii="Arial" w:hAnsi="Arial" w:cs="Arial"/>
          <w:bCs/>
          <w:lang w:val="es-ES_tradnl"/>
        </w:rPr>
        <w:t>cierto porcentaje</w:t>
      </w:r>
      <w:r w:rsidR="006725EC">
        <w:rPr>
          <w:rFonts w:ascii="Arial" w:hAnsi="Arial" w:cs="Arial"/>
          <w:bCs/>
          <w:lang w:val="es-ES_tradnl"/>
        </w:rPr>
        <w:t xml:space="preserve"> de</w:t>
      </w:r>
      <w:r w:rsidRPr="00847234">
        <w:rPr>
          <w:rFonts w:ascii="Arial" w:hAnsi="Arial" w:cs="Arial"/>
          <w:bCs/>
          <w:lang w:val="es-ES_tradnl"/>
        </w:rPr>
        <w:t xml:space="preserve"> energías limpias, lo</w:t>
      </w:r>
      <w:r w:rsidR="008D3F4B" w:rsidRPr="00847234">
        <w:rPr>
          <w:rFonts w:ascii="Arial" w:hAnsi="Arial" w:cs="Arial"/>
          <w:bCs/>
          <w:lang w:val="es-ES_tradnl"/>
        </w:rPr>
        <w:t xml:space="preserve"> </w:t>
      </w:r>
      <w:r w:rsidR="00262722" w:rsidRPr="00847234">
        <w:rPr>
          <w:rFonts w:ascii="Arial" w:hAnsi="Arial" w:cs="Arial"/>
          <w:bCs/>
          <w:lang w:val="es-ES_tradnl"/>
        </w:rPr>
        <w:t>cual se probaría con la entrega de certificados)</w:t>
      </w:r>
      <w:r w:rsidR="008D3F4B" w:rsidRPr="00847234">
        <w:rPr>
          <w:rFonts w:ascii="Arial" w:hAnsi="Arial" w:cs="Arial"/>
          <w:bCs/>
          <w:lang w:val="es-ES_tradnl"/>
        </w:rPr>
        <w:t xml:space="preserve">. </w:t>
      </w:r>
    </w:p>
    <w:p w14:paraId="47540812" w14:textId="7DC66B3C" w:rsidR="00492B80" w:rsidRPr="00847234" w:rsidRDefault="00492B80" w:rsidP="00492B80">
      <w:pPr>
        <w:spacing w:line="360" w:lineRule="auto"/>
        <w:jc w:val="both"/>
        <w:rPr>
          <w:rFonts w:ascii="Arial" w:hAnsi="Arial" w:cs="Arial"/>
          <w:bCs/>
          <w:lang w:val="es-ES_tradnl"/>
        </w:rPr>
      </w:pPr>
    </w:p>
    <w:p w14:paraId="400CCEB0" w14:textId="254BB104" w:rsidR="00492B80" w:rsidRPr="00847234" w:rsidRDefault="008D3F4B" w:rsidP="00492B80">
      <w:pPr>
        <w:spacing w:line="360" w:lineRule="auto"/>
        <w:jc w:val="both"/>
        <w:rPr>
          <w:rFonts w:ascii="Arial" w:hAnsi="Arial" w:cs="Arial"/>
          <w:bCs/>
          <w:lang w:val="es-ES_tradnl"/>
        </w:rPr>
      </w:pPr>
      <w:r w:rsidRPr="00847234">
        <w:rPr>
          <w:rFonts w:ascii="Arial" w:hAnsi="Arial" w:cs="Arial"/>
          <w:bCs/>
          <w:lang w:val="es-ES_tradnl"/>
        </w:rPr>
        <w:t xml:space="preserve">Es claro, entonces, que </w:t>
      </w:r>
      <w:r w:rsidR="00FC7F36" w:rsidRPr="00847234">
        <w:rPr>
          <w:rFonts w:ascii="Arial" w:hAnsi="Arial" w:cs="Arial"/>
          <w:bCs/>
          <w:lang w:val="es-ES_tradnl"/>
        </w:rPr>
        <w:t>la C</w:t>
      </w:r>
      <w:r w:rsidR="00BB4563" w:rsidRPr="00847234">
        <w:rPr>
          <w:rFonts w:ascii="Arial" w:hAnsi="Arial" w:cs="Arial"/>
          <w:bCs/>
          <w:lang w:val="es-ES_tradnl"/>
        </w:rPr>
        <w:t xml:space="preserve">onstitución </w:t>
      </w:r>
      <w:r w:rsidR="00F52A7B" w:rsidRPr="00847234">
        <w:rPr>
          <w:rFonts w:ascii="Arial" w:hAnsi="Arial" w:cs="Arial"/>
          <w:bCs/>
          <w:lang w:val="es-ES_tradnl"/>
        </w:rPr>
        <w:t xml:space="preserve">reconoce </w:t>
      </w:r>
      <w:r w:rsidR="00831855" w:rsidRPr="00847234">
        <w:rPr>
          <w:rFonts w:ascii="Arial" w:hAnsi="Arial" w:cs="Arial"/>
          <w:bCs/>
          <w:lang w:val="es-ES_tradnl"/>
        </w:rPr>
        <w:t xml:space="preserve">la </w:t>
      </w:r>
      <w:r w:rsidR="00287741" w:rsidRPr="00847234">
        <w:rPr>
          <w:rFonts w:ascii="Arial" w:hAnsi="Arial" w:cs="Arial"/>
          <w:bCs/>
          <w:lang w:val="es-ES_tradnl"/>
        </w:rPr>
        <w:t xml:space="preserve">pertinencia </w:t>
      </w:r>
      <w:r w:rsidR="00831855" w:rsidRPr="00847234">
        <w:rPr>
          <w:rFonts w:ascii="Arial" w:hAnsi="Arial" w:cs="Arial"/>
          <w:bCs/>
          <w:lang w:val="es-ES_tradnl"/>
        </w:rPr>
        <w:t xml:space="preserve">de una </w:t>
      </w:r>
      <w:r w:rsidRPr="00847234">
        <w:rPr>
          <w:rFonts w:ascii="Arial" w:hAnsi="Arial" w:cs="Arial"/>
          <w:bCs/>
          <w:lang w:val="es-ES_tradnl"/>
        </w:rPr>
        <w:t>ley</w:t>
      </w:r>
      <w:r w:rsidR="00492B80" w:rsidRPr="00847234">
        <w:rPr>
          <w:rFonts w:ascii="Arial" w:hAnsi="Arial" w:cs="Arial"/>
          <w:bCs/>
          <w:lang w:val="es-ES_tradnl"/>
        </w:rPr>
        <w:t xml:space="preserve"> reglamentaria que </w:t>
      </w:r>
      <w:r w:rsidR="00B001FF" w:rsidRPr="00847234">
        <w:rPr>
          <w:rFonts w:ascii="Arial" w:hAnsi="Arial" w:cs="Arial"/>
          <w:bCs/>
          <w:lang w:val="es-ES_tradnl"/>
        </w:rPr>
        <w:t>atenuara l</w:t>
      </w:r>
      <w:r w:rsidR="0072596B" w:rsidRPr="00847234">
        <w:rPr>
          <w:rFonts w:ascii="Arial" w:hAnsi="Arial" w:cs="Arial"/>
          <w:bCs/>
          <w:lang w:val="es-ES_tradnl"/>
        </w:rPr>
        <w:t xml:space="preserve">as ventajas competitivas </w:t>
      </w:r>
      <w:r w:rsidR="00B001FF" w:rsidRPr="00847234">
        <w:rPr>
          <w:rFonts w:ascii="Arial" w:hAnsi="Arial" w:cs="Arial"/>
          <w:bCs/>
          <w:lang w:val="es-ES_tradnl"/>
        </w:rPr>
        <w:t xml:space="preserve">de la </w:t>
      </w:r>
      <w:r w:rsidR="00492B80" w:rsidRPr="00847234">
        <w:rPr>
          <w:rFonts w:ascii="Arial" w:hAnsi="Arial" w:cs="Arial"/>
          <w:bCs/>
          <w:lang w:val="es-ES_tradnl"/>
        </w:rPr>
        <w:t>CFE y que regul</w:t>
      </w:r>
      <w:r w:rsidR="00700566" w:rsidRPr="00847234">
        <w:rPr>
          <w:rFonts w:ascii="Arial" w:hAnsi="Arial" w:cs="Arial"/>
          <w:bCs/>
          <w:lang w:val="es-ES_tradnl"/>
        </w:rPr>
        <w:t>ase</w:t>
      </w:r>
      <w:r w:rsidR="00492B80" w:rsidRPr="00847234">
        <w:rPr>
          <w:rFonts w:ascii="Arial" w:hAnsi="Arial" w:cs="Arial"/>
          <w:bCs/>
          <w:lang w:val="es-ES_tradnl"/>
        </w:rPr>
        <w:t xml:space="preserve"> los requisitos mínimos para garantizar </w:t>
      </w:r>
      <w:r w:rsidR="00700566" w:rsidRPr="00847234">
        <w:rPr>
          <w:rFonts w:ascii="Arial" w:hAnsi="Arial" w:cs="Arial"/>
          <w:bCs/>
          <w:lang w:val="es-ES_tradnl"/>
        </w:rPr>
        <w:t xml:space="preserve">el uso de </w:t>
      </w:r>
      <w:r w:rsidR="00492B80" w:rsidRPr="00847234">
        <w:rPr>
          <w:rFonts w:ascii="Arial" w:hAnsi="Arial" w:cs="Arial"/>
          <w:bCs/>
          <w:lang w:val="es-ES_tradnl"/>
        </w:rPr>
        <w:t>energías limpias. La inexistencia de una ley que abord</w:t>
      </w:r>
      <w:r w:rsidR="00F346D5" w:rsidRPr="00847234">
        <w:rPr>
          <w:rFonts w:ascii="Arial" w:hAnsi="Arial" w:cs="Arial"/>
          <w:bCs/>
          <w:lang w:val="es-ES_tradnl"/>
        </w:rPr>
        <w:t xml:space="preserve">ase </w:t>
      </w:r>
      <w:r w:rsidR="00492B80" w:rsidRPr="00847234">
        <w:rPr>
          <w:rFonts w:ascii="Arial" w:hAnsi="Arial" w:cs="Arial"/>
          <w:bCs/>
          <w:lang w:val="es-ES_tradnl"/>
        </w:rPr>
        <w:t>es</w:t>
      </w:r>
      <w:r w:rsidR="00F346D5" w:rsidRPr="00847234">
        <w:rPr>
          <w:rFonts w:ascii="Arial" w:hAnsi="Arial" w:cs="Arial"/>
          <w:bCs/>
          <w:lang w:val="es-ES_tradnl"/>
        </w:rPr>
        <w:t>t</w:t>
      </w:r>
      <w:r w:rsidR="002617B5" w:rsidRPr="00847234">
        <w:rPr>
          <w:rFonts w:ascii="Arial" w:hAnsi="Arial" w:cs="Arial"/>
          <w:bCs/>
          <w:lang w:val="es-ES_tradnl"/>
        </w:rPr>
        <w:t xml:space="preserve">os aspectos </w:t>
      </w:r>
      <w:r w:rsidR="00492B80" w:rsidRPr="00847234">
        <w:rPr>
          <w:rFonts w:ascii="Arial" w:hAnsi="Arial" w:cs="Arial"/>
          <w:bCs/>
          <w:lang w:val="es-ES_tradnl"/>
        </w:rPr>
        <w:t>dejaría a la CFE</w:t>
      </w:r>
      <w:r w:rsidR="002617B5" w:rsidRPr="00847234">
        <w:rPr>
          <w:rFonts w:ascii="Arial" w:hAnsi="Arial" w:cs="Arial"/>
          <w:bCs/>
          <w:lang w:val="es-ES_tradnl"/>
        </w:rPr>
        <w:t xml:space="preserve"> en libertad para valerse de sus </w:t>
      </w:r>
      <w:r w:rsidR="00492B80" w:rsidRPr="00847234">
        <w:rPr>
          <w:rFonts w:ascii="Arial" w:hAnsi="Arial" w:cs="Arial"/>
          <w:bCs/>
          <w:lang w:val="es-ES_tradnl"/>
        </w:rPr>
        <w:t>ventajas competitivas</w:t>
      </w:r>
      <w:r w:rsidR="002617B5" w:rsidRPr="00847234">
        <w:rPr>
          <w:rFonts w:ascii="Arial" w:hAnsi="Arial" w:cs="Arial"/>
          <w:bCs/>
          <w:lang w:val="es-ES_tradnl"/>
        </w:rPr>
        <w:t xml:space="preserve"> y </w:t>
      </w:r>
      <w:r w:rsidR="00492B80" w:rsidRPr="00847234">
        <w:rPr>
          <w:rFonts w:ascii="Arial" w:hAnsi="Arial" w:cs="Arial"/>
          <w:bCs/>
          <w:lang w:val="es-ES_tradnl"/>
        </w:rPr>
        <w:t>desplazar a sus competidores</w:t>
      </w:r>
      <w:r w:rsidR="002617B5" w:rsidRPr="00847234">
        <w:rPr>
          <w:rFonts w:ascii="Arial" w:hAnsi="Arial" w:cs="Arial"/>
          <w:bCs/>
          <w:lang w:val="es-ES_tradnl"/>
        </w:rPr>
        <w:t xml:space="preserve">, e, igualmente, </w:t>
      </w:r>
      <w:r w:rsidR="00492B80" w:rsidRPr="00847234">
        <w:rPr>
          <w:rFonts w:ascii="Arial" w:hAnsi="Arial" w:cs="Arial"/>
          <w:bCs/>
          <w:lang w:val="es-ES_tradnl"/>
        </w:rPr>
        <w:t xml:space="preserve">dejaría a todos los agentes </w:t>
      </w:r>
      <w:r w:rsidR="005672CC" w:rsidRPr="00847234">
        <w:rPr>
          <w:rFonts w:ascii="Arial" w:hAnsi="Arial" w:cs="Arial"/>
          <w:bCs/>
          <w:lang w:val="es-ES_tradnl"/>
        </w:rPr>
        <w:t xml:space="preserve">en libertad </w:t>
      </w:r>
      <w:r w:rsidR="00492B80" w:rsidRPr="00847234">
        <w:rPr>
          <w:rFonts w:ascii="Arial" w:hAnsi="Arial" w:cs="Arial"/>
          <w:bCs/>
          <w:lang w:val="es-ES_tradnl"/>
        </w:rPr>
        <w:t>para utilizar la tecnología productora de energías sucias.</w:t>
      </w:r>
    </w:p>
    <w:p w14:paraId="1B208522" w14:textId="53119751" w:rsidR="00C039A4" w:rsidRPr="00847234" w:rsidRDefault="00C039A4" w:rsidP="00492B80">
      <w:pPr>
        <w:spacing w:line="360" w:lineRule="auto"/>
        <w:jc w:val="both"/>
        <w:rPr>
          <w:rFonts w:ascii="Arial" w:hAnsi="Arial" w:cs="Arial"/>
          <w:bCs/>
          <w:lang w:val="es-ES_tradnl"/>
        </w:rPr>
      </w:pPr>
    </w:p>
    <w:p w14:paraId="0822ED72" w14:textId="3F758ED0" w:rsidR="00C039A4" w:rsidRPr="00A9402C" w:rsidRDefault="00C039A4" w:rsidP="00492B80">
      <w:pPr>
        <w:spacing w:line="360" w:lineRule="auto"/>
        <w:jc w:val="both"/>
        <w:rPr>
          <w:rFonts w:ascii="Arial" w:hAnsi="Arial" w:cs="Arial"/>
          <w:b/>
          <w:i/>
          <w:iCs/>
          <w:lang w:val="es-ES_tradnl"/>
        </w:rPr>
      </w:pPr>
      <w:r w:rsidRPr="00A9402C">
        <w:rPr>
          <w:rFonts w:ascii="Arial" w:hAnsi="Arial" w:cs="Arial"/>
          <w:b/>
          <w:i/>
          <w:iCs/>
          <w:lang w:val="es-ES_tradnl"/>
        </w:rPr>
        <w:t xml:space="preserve">Los momentos legislativos </w:t>
      </w:r>
    </w:p>
    <w:p w14:paraId="12A9E834" w14:textId="77777777" w:rsidR="00C039A4" w:rsidRPr="00847234" w:rsidRDefault="00C039A4" w:rsidP="00492B80">
      <w:pPr>
        <w:spacing w:line="360" w:lineRule="auto"/>
        <w:jc w:val="both"/>
        <w:rPr>
          <w:rFonts w:ascii="Arial" w:hAnsi="Arial" w:cs="Arial"/>
          <w:bCs/>
          <w:lang w:val="es-ES_tradnl"/>
        </w:rPr>
      </w:pPr>
    </w:p>
    <w:p w14:paraId="6655E278" w14:textId="743D91EF" w:rsidR="00407115" w:rsidRPr="00847234" w:rsidRDefault="00C039A4" w:rsidP="00492B80">
      <w:pPr>
        <w:spacing w:line="360" w:lineRule="auto"/>
        <w:jc w:val="both"/>
        <w:rPr>
          <w:rFonts w:ascii="Arial" w:hAnsi="Arial" w:cs="Arial"/>
          <w:bCs/>
          <w:lang w:val="es-ES_tradnl"/>
        </w:rPr>
      </w:pPr>
      <w:r w:rsidRPr="00847234">
        <w:rPr>
          <w:rFonts w:ascii="Arial" w:hAnsi="Arial" w:cs="Arial"/>
          <w:bCs/>
          <w:lang w:val="es-ES_tradnl"/>
        </w:rPr>
        <w:t xml:space="preserve">Ya he </w:t>
      </w:r>
      <w:r w:rsidR="00575035" w:rsidRPr="00847234">
        <w:rPr>
          <w:rFonts w:ascii="Arial" w:hAnsi="Arial" w:cs="Arial"/>
          <w:bCs/>
          <w:lang w:val="es-ES_tradnl"/>
        </w:rPr>
        <w:t xml:space="preserve">señalado la existencia de dos modelos </w:t>
      </w:r>
      <w:r w:rsidRPr="00847234">
        <w:rPr>
          <w:rFonts w:ascii="Arial" w:hAnsi="Arial" w:cs="Arial"/>
          <w:bCs/>
          <w:lang w:val="es-ES_tradnl"/>
        </w:rPr>
        <w:t xml:space="preserve">constitucionales. El primero de ellos ya derogado. </w:t>
      </w:r>
      <w:r w:rsidR="002E7475" w:rsidRPr="00847234">
        <w:rPr>
          <w:rFonts w:ascii="Arial" w:hAnsi="Arial" w:cs="Arial"/>
          <w:bCs/>
          <w:lang w:val="es-ES_tradnl"/>
        </w:rPr>
        <w:t xml:space="preserve">Analicemos ahora </w:t>
      </w:r>
      <w:r w:rsidR="00492B80" w:rsidRPr="00847234">
        <w:rPr>
          <w:rFonts w:ascii="Arial" w:hAnsi="Arial" w:cs="Arial"/>
          <w:bCs/>
          <w:lang w:val="es-ES_tradnl"/>
        </w:rPr>
        <w:t>los</w:t>
      </w:r>
      <w:r w:rsidR="007A5E67" w:rsidRPr="00847234">
        <w:rPr>
          <w:rFonts w:ascii="Arial" w:hAnsi="Arial" w:cs="Arial"/>
          <w:bCs/>
          <w:lang w:val="es-ES_tradnl"/>
        </w:rPr>
        <w:t xml:space="preserve"> dos</w:t>
      </w:r>
      <w:r w:rsidR="00492B80" w:rsidRPr="00847234">
        <w:rPr>
          <w:rFonts w:ascii="Arial" w:hAnsi="Arial" w:cs="Arial"/>
          <w:bCs/>
          <w:lang w:val="es-ES_tradnl"/>
        </w:rPr>
        <w:t xml:space="preserve"> momentos legislativos </w:t>
      </w:r>
      <w:r w:rsidR="00575035" w:rsidRPr="00847234">
        <w:rPr>
          <w:rFonts w:ascii="Arial" w:hAnsi="Arial" w:cs="Arial"/>
          <w:bCs/>
          <w:lang w:val="es-ES_tradnl"/>
        </w:rPr>
        <w:t xml:space="preserve">subsecuentes </w:t>
      </w:r>
      <w:r w:rsidR="00931119" w:rsidRPr="00847234">
        <w:rPr>
          <w:rFonts w:ascii="Arial" w:hAnsi="Arial" w:cs="Arial"/>
          <w:bCs/>
          <w:lang w:val="es-ES_tradnl"/>
        </w:rPr>
        <w:t>a</w:t>
      </w:r>
      <w:r w:rsidR="00492B80" w:rsidRPr="00847234">
        <w:rPr>
          <w:rFonts w:ascii="Arial" w:hAnsi="Arial" w:cs="Arial"/>
          <w:bCs/>
          <w:lang w:val="es-ES_tradnl"/>
        </w:rPr>
        <w:t>l segundo de los modelos constitucionales</w:t>
      </w:r>
      <w:r w:rsidR="007D69EE" w:rsidRPr="00847234">
        <w:rPr>
          <w:rFonts w:ascii="Arial" w:hAnsi="Arial" w:cs="Arial"/>
          <w:bCs/>
          <w:lang w:val="es-ES_tradnl"/>
        </w:rPr>
        <w:t xml:space="preserve"> que se encuentra vigente. </w:t>
      </w:r>
      <w:r w:rsidR="00BB4563" w:rsidRPr="00847234">
        <w:rPr>
          <w:rFonts w:ascii="Arial" w:hAnsi="Arial" w:cs="Arial"/>
          <w:bCs/>
          <w:lang w:val="es-ES_tradnl"/>
        </w:rPr>
        <w:t xml:space="preserve">Si bien </w:t>
      </w:r>
      <w:r w:rsidR="00FB34BE" w:rsidRPr="00847234">
        <w:rPr>
          <w:rFonts w:ascii="Arial" w:hAnsi="Arial" w:cs="Arial"/>
          <w:bCs/>
          <w:lang w:val="es-ES_tradnl"/>
        </w:rPr>
        <w:t>sólo ha</w:t>
      </w:r>
      <w:r w:rsidR="00BB4563" w:rsidRPr="00847234">
        <w:rPr>
          <w:rFonts w:ascii="Arial" w:hAnsi="Arial" w:cs="Arial"/>
          <w:bCs/>
          <w:lang w:val="es-ES_tradnl"/>
        </w:rPr>
        <w:t xml:space="preserve"> </w:t>
      </w:r>
      <w:r w:rsidR="00BB4563" w:rsidRPr="00847234">
        <w:rPr>
          <w:rFonts w:ascii="Arial" w:hAnsi="Arial" w:cs="Arial"/>
          <w:bCs/>
          <w:lang w:val="es-ES_tradnl"/>
        </w:rPr>
        <w:lastRenderedPageBreak/>
        <w:t xml:space="preserve">existido una sola Ley de la Industria Eléctrica, emitida inmediatamente después de la entrada en vigor de la reforma constitucional de 2013, el legislador la reformó para introducir cambios sustantivos en 2021. </w:t>
      </w:r>
    </w:p>
    <w:p w14:paraId="7914764E" w14:textId="77777777" w:rsidR="00FC2682" w:rsidRPr="00847234" w:rsidRDefault="00FC2682" w:rsidP="00492B80">
      <w:pPr>
        <w:spacing w:line="360" w:lineRule="auto"/>
        <w:jc w:val="both"/>
        <w:rPr>
          <w:rFonts w:ascii="Arial" w:hAnsi="Arial" w:cs="Arial"/>
          <w:bCs/>
          <w:lang w:val="es-ES_tradnl"/>
        </w:rPr>
      </w:pPr>
    </w:p>
    <w:p w14:paraId="29DD3569" w14:textId="4163C099" w:rsidR="00BB4563" w:rsidRPr="00847234" w:rsidRDefault="00BB4563" w:rsidP="00492B80">
      <w:pPr>
        <w:spacing w:line="360" w:lineRule="auto"/>
        <w:jc w:val="both"/>
        <w:rPr>
          <w:rFonts w:ascii="Arial" w:hAnsi="Arial" w:cs="Arial"/>
          <w:bCs/>
          <w:lang w:val="es-ES_tradnl"/>
        </w:rPr>
      </w:pPr>
      <w:r w:rsidRPr="00847234">
        <w:rPr>
          <w:rFonts w:ascii="Arial" w:hAnsi="Arial" w:cs="Arial"/>
          <w:bCs/>
          <w:lang w:val="es-ES_tradnl"/>
        </w:rPr>
        <w:t>Así, por lo que respecta al modelo de mercado en la generación de electricidad, existió un diseño legislativo de 2013 al 2021</w:t>
      </w:r>
      <w:r w:rsidR="005841C1" w:rsidRPr="00847234">
        <w:rPr>
          <w:rFonts w:ascii="Arial" w:hAnsi="Arial" w:cs="Arial"/>
          <w:bCs/>
          <w:lang w:val="es-ES_tradnl"/>
        </w:rPr>
        <w:t xml:space="preserve">, y otro que le sustituyó </w:t>
      </w:r>
      <w:r w:rsidRPr="00847234">
        <w:rPr>
          <w:rFonts w:ascii="Arial" w:hAnsi="Arial" w:cs="Arial"/>
          <w:bCs/>
          <w:lang w:val="es-ES_tradnl"/>
        </w:rPr>
        <w:t>en 2021</w:t>
      </w:r>
      <w:r w:rsidR="005841C1" w:rsidRPr="00847234">
        <w:rPr>
          <w:rFonts w:ascii="Arial" w:hAnsi="Arial" w:cs="Arial"/>
          <w:bCs/>
          <w:lang w:val="es-ES_tradnl"/>
        </w:rPr>
        <w:t xml:space="preserve">, </w:t>
      </w:r>
      <w:r w:rsidR="00946F62" w:rsidRPr="00847234">
        <w:rPr>
          <w:rFonts w:ascii="Arial" w:hAnsi="Arial" w:cs="Arial"/>
          <w:bCs/>
          <w:lang w:val="es-ES_tradnl"/>
        </w:rPr>
        <w:t xml:space="preserve">el cual </w:t>
      </w:r>
      <w:r w:rsidR="006F478E" w:rsidRPr="00847234">
        <w:rPr>
          <w:rFonts w:ascii="Arial" w:hAnsi="Arial" w:cs="Arial"/>
          <w:bCs/>
          <w:lang w:val="es-ES_tradnl"/>
        </w:rPr>
        <w:t xml:space="preserve">continúa vigente. </w:t>
      </w:r>
      <w:r w:rsidR="00E31311" w:rsidRPr="00847234">
        <w:rPr>
          <w:rFonts w:ascii="Arial" w:hAnsi="Arial" w:cs="Arial"/>
          <w:bCs/>
          <w:lang w:val="es-ES_tradnl"/>
        </w:rPr>
        <w:t xml:space="preserve">Otra vez, esta diferencia de diseños y momentos debe tenerse bien en cuenta para entender el alcance del caso resuelto </w:t>
      </w:r>
      <w:r w:rsidR="00136D4D" w:rsidRPr="00847234">
        <w:rPr>
          <w:rFonts w:ascii="Arial" w:hAnsi="Arial" w:cs="Arial"/>
          <w:bCs/>
          <w:lang w:val="es-ES_tradnl"/>
        </w:rPr>
        <w:t>por la Suprema Corte de Justicia de la Nación</w:t>
      </w:r>
      <w:r w:rsidR="00E03442" w:rsidRPr="00847234">
        <w:rPr>
          <w:rFonts w:ascii="Arial" w:hAnsi="Arial" w:cs="Arial"/>
          <w:bCs/>
          <w:lang w:val="es-ES_tradnl"/>
        </w:rPr>
        <w:t xml:space="preserve">, así como mi posición frente a </w:t>
      </w:r>
      <w:r w:rsidR="00C40231" w:rsidRPr="00847234">
        <w:rPr>
          <w:rFonts w:ascii="Arial" w:hAnsi="Arial" w:cs="Arial"/>
          <w:bCs/>
          <w:lang w:val="es-ES_tradnl"/>
        </w:rPr>
        <w:t xml:space="preserve">ello. </w:t>
      </w:r>
      <w:r w:rsidR="00E03442" w:rsidRPr="00847234">
        <w:rPr>
          <w:rFonts w:ascii="Arial" w:hAnsi="Arial" w:cs="Arial"/>
          <w:bCs/>
          <w:lang w:val="es-ES_tradnl"/>
        </w:rPr>
        <w:t xml:space="preserve"> </w:t>
      </w:r>
      <w:r w:rsidR="00136D4D" w:rsidRPr="00847234">
        <w:rPr>
          <w:rFonts w:ascii="Arial" w:hAnsi="Arial" w:cs="Arial"/>
          <w:bCs/>
          <w:lang w:val="es-ES_tradnl"/>
        </w:rPr>
        <w:t xml:space="preserve"> </w:t>
      </w:r>
    </w:p>
    <w:p w14:paraId="4EEBBF10" w14:textId="77777777" w:rsidR="00BB4563" w:rsidRPr="00847234" w:rsidRDefault="00BB4563" w:rsidP="00492B80">
      <w:pPr>
        <w:spacing w:line="360" w:lineRule="auto"/>
        <w:jc w:val="both"/>
        <w:rPr>
          <w:rFonts w:ascii="Arial" w:hAnsi="Arial" w:cs="Arial"/>
          <w:bCs/>
          <w:lang w:val="es-ES_tradnl"/>
        </w:rPr>
      </w:pPr>
    </w:p>
    <w:p w14:paraId="5A19F6C8" w14:textId="334602CC" w:rsidR="006F478E" w:rsidRPr="00A9402C" w:rsidRDefault="006F478E" w:rsidP="00492B80">
      <w:pPr>
        <w:spacing w:line="360" w:lineRule="auto"/>
        <w:jc w:val="both"/>
        <w:rPr>
          <w:rFonts w:ascii="Arial" w:hAnsi="Arial" w:cs="Arial"/>
          <w:b/>
          <w:i/>
          <w:iCs/>
          <w:lang w:val="es-ES_tradnl"/>
        </w:rPr>
      </w:pPr>
      <w:r w:rsidRPr="00A9402C">
        <w:rPr>
          <w:rFonts w:ascii="Arial" w:hAnsi="Arial" w:cs="Arial"/>
          <w:b/>
          <w:i/>
          <w:iCs/>
          <w:lang w:val="es-ES_tradnl"/>
        </w:rPr>
        <w:t>El primer momento legislativo</w:t>
      </w:r>
    </w:p>
    <w:p w14:paraId="4F706748" w14:textId="77777777" w:rsidR="006F478E" w:rsidRPr="00847234" w:rsidRDefault="006F478E" w:rsidP="00492B80">
      <w:pPr>
        <w:spacing w:line="360" w:lineRule="auto"/>
        <w:jc w:val="both"/>
        <w:rPr>
          <w:rFonts w:ascii="Arial" w:hAnsi="Arial" w:cs="Arial"/>
          <w:bCs/>
          <w:lang w:val="es-ES_tradnl"/>
        </w:rPr>
      </w:pPr>
    </w:p>
    <w:p w14:paraId="1E34474E" w14:textId="1BA3980B" w:rsidR="00492B80" w:rsidRPr="00847234" w:rsidRDefault="00492B80" w:rsidP="00492B80">
      <w:pPr>
        <w:spacing w:line="360" w:lineRule="auto"/>
        <w:jc w:val="both"/>
        <w:rPr>
          <w:rFonts w:ascii="Arial" w:hAnsi="Arial" w:cs="Arial"/>
          <w:bCs/>
          <w:lang w:val="es-ES_tradnl"/>
        </w:rPr>
      </w:pPr>
      <w:r w:rsidRPr="00847234">
        <w:rPr>
          <w:rFonts w:ascii="Arial" w:hAnsi="Arial" w:cs="Arial"/>
          <w:bCs/>
          <w:lang w:val="es-ES_tradnl"/>
        </w:rPr>
        <w:t xml:space="preserve">La ley emitida después de la reforma de 2013 </w:t>
      </w:r>
      <w:r w:rsidR="00747E4A" w:rsidRPr="00847234">
        <w:rPr>
          <w:rFonts w:ascii="Arial" w:hAnsi="Arial" w:cs="Arial"/>
          <w:bCs/>
          <w:lang w:val="es-ES_tradnl"/>
        </w:rPr>
        <w:t xml:space="preserve">adoptó una </w:t>
      </w:r>
      <w:r w:rsidRPr="00847234">
        <w:rPr>
          <w:rFonts w:ascii="Arial" w:hAnsi="Arial" w:cs="Arial"/>
          <w:bCs/>
          <w:lang w:val="es-ES_tradnl"/>
        </w:rPr>
        <w:t>reglamentación</w:t>
      </w:r>
      <w:r w:rsidR="00D0315C" w:rsidRPr="00847234">
        <w:rPr>
          <w:rFonts w:ascii="Arial" w:hAnsi="Arial" w:cs="Arial"/>
          <w:bCs/>
          <w:lang w:val="es-ES_tradnl"/>
        </w:rPr>
        <w:t xml:space="preserve"> que neutralizaría </w:t>
      </w:r>
      <w:r w:rsidRPr="00847234">
        <w:rPr>
          <w:rFonts w:ascii="Arial" w:hAnsi="Arial" w:cs="Arial"/>
          <w:bCs/>
          <w:lang w:val="es-ES_tradnl"/>
        </w:rPr>
        <w:t xml:space="preserve">la mayoría de las ventajas competitivas de la CFE </w:t>
      </w:r>
      <w:r w:rsidR="00D0315C" w:rsidRPr="00847234">
        <w:rPr>
          <w:rFonts w:ascii="Arial" w:hAnsi="Arial" w:cs="Arial"/>
          <w:bCs/>
          <w:lang w:val="es-ES_tradnl"/>
        </w:rPr>
        <w:t xml:space="preserve">y aceleraría </w:t>
      </w:r>
      <w:r w:rsidRPr="00847234">
        <w:rPr>
          <w:rFonts w:ascii="Arial" w:hAnsi="Arial" w:cs="Arial"/>
          <w:bCs/>
          <w:lang w:val="es-ES_tradnl"/>
        </w:rPr>
        <w:t xml:space="preserve">la transición a las energías limpias. </w:t>
      </w:r>
      <w:r w:rsidR="00873CCE" w:rsidRPr="00847234">
        <w:rPr>
          <w:rFonts w:ascii="Arial" w:hAnsi="Arial" w:cs="Arial"/>
          <w:bCs/>
          <w:lang w:val="es-ES_tradnl"/>
        </w:rPr>
        <w:t>E</w:t>
      </w:r>
      <w:r w:rsidR="008E5119" w:rsidRPr="00847234">
        <w:rPr>
          <w:rFonts w:ascii="Arial" w:hAnsi="Arial" w:cs="Arial"/>
          <w:bCs/>
          <w:lang w:val="es-ES_tradnl"/>
        </w:rPr>
        <w:t>sa ley -</w:t>
      </w:r>
      <w:r w:rsidRPr="00847234">
        <w:rPr>
          <w:rFonts w:ascii="Arial" w:hAnsi="Arial" w:cs="Arial"/>
          <w:bCs/>
          <w:lang w:val="es-ES_tradnl"/>
        </w:rPr>
        <w:t>ahora derogada en esta parte</w:t>
      </w:r>
      <w:r w:rsidR="006A311D" w:rsidRPr="00847234">
        <w:rPr>
          <w:rFonts w:ascii="Arial" w:hAnsi="Arial" w:cs="Arial"/>
          <w:bCs/>
          <w:lang w:val="es-ES_tradnl"/>
        </w:rPr>
        <w:t xml:space="preserve">- </w:t>
      </w:r>
      <w:r w:rsidR="00330BAB" w:rsidRPr="00847234">
        <w:rPr>
          <w:rFonts w:ascii="Arial" w:hAnsi="Arial" w:cs="Arial"/>
          <w:bCs/>
          <w:lang w:val="es-ES_tradnl"/>
        </w:rPr>
        <w:t xml:space="preserve">prescribía </w:t>
      </w:r>
      <w:r w:rsidRPr="00847234">
        <w:rPr>
          <w:rFonts w:ascii="Arial" w:hAnsi="Arial" w:cs="Arial"/>
          <w:bCs/>
          <w:lang w:val="es-ES_tradnl"/>
        </w:rPr>
        <w:t xml:space="preserve">que la compra de energía eléctrica se haría </w:t>
      </w:r>
      <w:r w:rsidR="008B7811" w:rsidRPr="00847234">
        <w:rPr>
          <w:rFonts w:ascii="Arial" w:hAnsi="Arial" w:cs="Arial"/>
          <w:bCs/>
          <w:lang w:val="es-ES_tradnl"/>
        </w:rPr>
        <w:t xml:space="preserve">mediante </w:t>
      </w:r>
      <w:r w:rsidRPr="00847234">
        <w:rPr>
          <w:rFonts w:ascii="Arial" w:hAnsi="Arial" w:cs="Arial"/>
          <w:bCs/>
          <w:lang w:val="es-ES_tradnl"/>
        </w:rPr>
        <w:t>un sistema de subastas en el mercado mayorista</w:t>
      </w:r>
      <w:r w:rsidR="00977D42" w:rsidRPr="00847234">
        <w:rPr>
          <w:rFonts w:ascii="Arial" w:hAnsi="Arial" w:cs="Arial"/>
          <w:bCs/>
          <w:lang w:val="es-ES_tradnl"/>
        </w:rPr>
        <w:t>;</w:t>
      </w:r>
      <w:r w:rsidRPr="00847234">
        <w:rPr>
          <w:rFonts w:ascii="Arial" w:hAnsi="Arial" w:cs="Arial"/>
          <w:bCs/>
          <w:lang w:val="es-ES_tradnl"/>
        </w:rPr>
        <w:t xml:space="preserve"> que los primeros en ofertar serían quienes produjeran a menor costo marginal</w:t>
      </w:r>
      <w:r w:rsidR="00C91BC5" w:rsidRPr="00847234">
        <w:rPr>
          <w:rStyle w:val="Refdenotaalpie"/>
          <w:rFonts w:ascii="Arial" w:hAnsi="Arial" w:cs="Arial"/>
          <w:bCs/>
        </w:rPr>
        <w:footnoteReference w:id="3"/>
      </w:r>
      <w:r w:rsidR="00977D42" w:rsidRPr="00847234">
        <w:rPr>
          <w:rFonts w:ascii="Arial" w:hAnsi="Arial" w:cs="Arial"/>
          <w:bCs/>
          <w:lang w:val="es-ES_tradnl"/>
        </w:rPr>
        <w:t>,</w:t>
      </w:r>
      <w:r w:rsidRPr="00847234">
        <w:rPr>
          <w:rFonts w:ascii="Arial" w:hAnsi="Arial" w:cs="Arial"/>
          <w:bCs/>
          <w:lang w:val="es-ES_tradnl"/>
        </w:rPr>
        <w:t xml:space="preserve"> y que todos debían contar con certificados de energías limpias, </w:t>
      </w:r>
      <w:r w:rsidR="00977D42" w:rsidRPr="00847234">
        <w:rPr>
          <w:rFonts w:ascii="Arial" w:hAnsi="Arial" w:cs="Arial"/>
          <w:bCs/>
          <w:lang w:val="es-ES_tradnl"/>
        </w:rPr>
        <w:t xml:space="preserve">los cuales </w:t>
      </w:r>
      <w:r w:rsidRPr="00847234">
        <w:rPr>
          <w:rFonts w:ascii="Arial" w:hAnsi="Arial" w:cs="Arial"/>
          <w:bCs/>
          <w:lang w:val="es-ES_tradnl"/>
        </w:rPr>
        <w:t>sólo se obtendrían con tecnología de reciente inversión.</w:t>
      </w:r>
    </w:p>
    <w:p w14:paraId="7909D7A8" w14:textId="77777777" w:rsidR="008B7811" w:rsidRPr="00847234" w:rsidRDefault="008B7811" w:rsidP="00492B80">
      <w:pPr>
        <w:spacing w:line="360" w:lineRule="auto"/>
        <w:jc w:val="both"/>
        <w:rPr>
          <w:rFonts w:ascii="Arial" w:hAnsi="Arial" w:cs="Arial"/>
          <w:bCs/>
          <w:lang w:val="es-ES_tradnl"/>
        </w:rPr>
      </w:pPr>
    </w:p>
    <w:p w14:paraId="59280B55" w14:textId="44AEBB3B" w:rsidR="008B7811" w:rsidRPr="00A9402C" w:rsidRDefault="008B7811" w:rsidP="00492B80">
      <w:pPr>
        <w:spacing w:line="360" w:lineRule="auto"/>
        <w:jc w:val="both"/>
        <w:rPr>
          <w:rFonts w:ascii="Arial" w:hAnsi="Arial" w:cs="Arial"/>
          <w:b/>
          <w:i/>
          <w:iCs/>
          <w:lang w:val="es-ES_tradnl"/>
        </w:rPr>
      </w:pPr>
      <w:r w:rsidRPr="00A9402C">
        <w:rPr>
          <w:rFonts w:ascii="Arial" w:hAnsi="Arial" w:cs="Arial"/>
          <w:b/>
          <w:i/>
          <w:iCs/>
          <w:lang w:val="es-ES_tradnl"/>
        </w:rPr>
        <w:t>El segundo momento legislativo</w:t>
      </w:r>
    </w:p>
    <w:p w14:paraId="12AB4925" w14:textId="77777777" w:rsidR="00492B80" w:rsidRPr="00847234" w:rsidRDefault="00492B80" w:rsidP="00492B80">
      <w:pPr>
        <w:spacing w:line="360" w:lineRule="auto"/>
        <w:jc w:val="both"/>
        <w:rPr>
          <w:rFonts w:ascii="Arial" w:hAnsi="Arial" w:cs="Arial"/>
          <w:bCs/>
          <w:lang w:val="es-ES_tradnl"/>
        </w:rPr>
      </w:pPr>
    </w:p>
    <w:p w14:paraId="5021B934" w14:textId="5F0D4882" w:rsidR="00492B80" w:rsidRPr="00847234" w:rsidRDefault="00492B80" w:rsidP="00492B80">
      <w:pPr>
        <w:spacing w:line="360" w:lineRule="auto"/>
        <w:jc w:val="both"/>
        <w:rPr>
          <w:rFonts w:ascii="Arial" w:hAnsi="Arial" w:cs="Arial"/>
          <w:bCs/>
          <w:lang w:val="es-ES_tradnl"/>
        </w:rPr>
      </w:pPr>
      <w:r w:rsidRPr="00847234">
        <w:rPr>
          <w:rFonts w:ascii="Arial" w:hAnsi="Arial" w:cs="Arial"/>
          <w:bCs/>
          <w:lang w:val="es-ES_tradnl"/>
        </w:rPr>
        <w:t>En 2021</w:t>
      </w:r>
      <w:r w:rsidR="000A7C9E" w:rsidRPr="00847234">
        <w:rPr>
          <w:rFonts w:ascii="Arial" w:hAnsi="Arial" w:cs="Arial"/>
          <w:bCs/>
          <w:lang w:val="es-ES_tradnl"/>
        </w:rPr>
        <w:t xml:space="preserve">, la Ley de Industria Eléctrica </w:t>
      </w:r>
      <w:r w:rsidRPr="00847234">
        <w:rPr>
          <w:rFonts w:ascii="Arial" w:hAnsi="Arial" w:cs="Arial"/>
          <w:bCs/>
          <w:lang w:val="es-ES_tradnl"/>
        </w:rPr>
        <w:t xml:space="preserve">se modificó </w:t>
      </w:r>
      <w:r w:rsidR="00280114" w:rsidRPr="00847234">
        <w:rPr>
          <w:rFonts w:ascii="Arial" w:hAnsi="Arial" w:cs="Arial"/>
          <w:bCs/>
          <w:lang w:val="es-ES_tradnl"/>
        </w:rPr>
        <w:t>e impactó e</w:t>
      </w:r>
      <w:r w:rsidRPr="00847234">
        <w:rPr>
          <w:rFonts w:ascii="Arial" w:hAnsi="Arial" w:cs="Arial"/>
          <w:bCs/>
          <w:lang w:val="es-ES_tradnl"/>
        </w:rPr>
        <w:t>stas reglas</w:t>
      </w:r>
      <w:r w:rsidR="00F90561" w:rsidRPr="00847234">
        <w:rPr>
          <w:rFonts w:ascii="Arial" w:hAnsi="Arial" w:cs="Arial"/>
          <w:bCs/>
          <w:lang w:val="es-ES_tradnl"/>
        </w:rPr>
        <w:t>. El propósito</w:t>
      </w:r>
      <w:r w:rsidR="002A3C30" w:rsidRPr="00847234">
        <w:rPr>
          <w:rFonts w:ascii="Arial" w:hAnsi="Arial" w:cs="Arial"/>
          <w:bCs/>
          <w:lang w:val="es-ES_tradnl"/>
        </w:rPr>
        <w:t xml:space="preserve">: </w:t>
      </w:r>
      <w:r w:rsidR="00CF0E9F" w:rsidRPr="00847234">
        <w:rPr>
          <w:rFonts w:ascii="Arial" w:hAnsi="Arial" w:cs="Arial"/>
          <w:bCs/>
          <w:lang w:val="es-ES_tradnl"/>
        </w:rPr>
        <w:t xml:space="preserve">atenuar las </w:t>
      </w:r>
      <w:r w:rsidR="00BB4563" w:rsidRPr="00847234">
        <w:rPr>
          <w:rFonts w:ascii="Arial" w:hAnsi="Arial" w:cs="Arial"/>
          <w:bCs/>
          <w:lang w:val="es-ES_tradnl"/>
        </w:rPr>
        <w:t>restricciones impuestas a las ventajas competitivas de la CFE</w:t>
      </w:r>
      <w:r w:rsidRPr="00847234">
        <w:rPr>
          <w:rFonts w:ascii="Arial" w:hAnsi="Arial" w:cs="Arial"/>
          <w:bCs/>
          <w:lang w:val="es-ES_tradnl"/>
        </w:rPr>
        <w:t xml:space="preserve">. </w:t>
      </w:r>
      <w:r w:rsidR="00E576AB" w:rsidRPr="00847234">
        <w:rPr>
          <w:rFonts w:ascii="Arial" w:hAnsi="Arial" w:cs="Arial"/>
          <w:bCs/>
          <w:lang w:val="es-ES_tradnl"/>
        </w:rPr>
        <w:t xml:space="preserve">Aunque </w:t>
      </w:r>
      <w:r w:rsidR="00CD793A" w:rsidRPr="00847234">
        <w:rPr>
          <w:rFonts w:ascii="Arial" w:hAnsi="Arial" w:cs="Arial"/>
          <w:bCs/>
          <w:lang w:val="es-ES_tradnl"/>
        </w:rPr>
        <w:t xml:space="preserve">mediante la </w:t>
      </w:r>
      <w:r w:rsidRPr="00847234">
        <w:rPr>
          <w:rFonts w:ascii="Arial" w:hAnsi="Arial" w:cs="Arial"/>
          <w:bCs/>
          <w:lang w:val="es-ES_tradnl"/>
        </w:rPr>
        <w:t xml:space="preserve">nueva legislación </w:t>
      </w:r>
      <w:r w:rsidR="00CD793A" w:rsidRPr="00847234">
        <w:rPr>
          <w:rFonts w:ascii="Arial" w:hAnsi="Arial" w:cs="Arial"/>
          <w:bCs/>
          <w:lang w:val="es-ES_tradnl"/>
        </w:rPr>
        <w:t xml:space="preserve">no </w:t>
      </w:r>
      <w:r w:rsidRPr="00847234">
        <w:rPr>
          <w:rFonts w:ascii="Arial" w:hAnsi="Arial" w:cs="Arial"/>
          <w:bCs/>
          <w:lang w:val="es-ES_tradnl"/>
        </w:rPr>
        <w:t>se eliminar</w:t>
      </w:r>
      <w:r w:rsidR="00BB4563" w:rsidRPr="00847234">
        <w:rPr>
          <w:rFonts w:ascii="Arial" w:hAnsi="Arial" w:cs="Arial"/>
          <w:bCs/>
          <w:lang w:val="es-ES_tradnl"/>
        </w:rPr>
        <w:t>a</w:t>
      </w:r>
      <w:r w:rsidRPr="00847234">
        <w:rPr>
          <w:rFonts w:ascii="Arial" w:hAnsi="Arial" w:cs="Arial"/>
          <w:bCs/>
          <w:lang w:val="es-ES_tradnl"/>
        </w:rPr>
        <w:t xml:space="preserve">n las medidas </w:t>
      </w:r>
      <w:r w:rsidR="00C700AB" w:rsidRPr="00847234">
        <w:rPr>
          <w:rFonts w:ascii="Arial" w:hAnsi="Arial" w:cs="Arial"/>
          <w:bCs/>
          <w:lang w:val="es-ES_tradnl"/>
        </w:rPr>
        <w:t xml:space="preserve">limitativas </w:t>
      </w:r>
      <w:r w:rsidRPr="00847234">
        <w:rPr>
          <w:rFonts w:ascii="Arial" w:hAnsi="Arial" w:cs="Arial"/>
          <w:bCs/>
          <w:lang w:val="es-ES_tradnl"/>
        </w:rPr>
        <w:t xml:space="preserve">establecidas sobre la CFE </w:t>
      </w:r>
      <w:r w:rsidR="00C700AB" w:rsidRPr="00847234">
        <w:rPr>
          <w:rFonts w:ascii="Arial" w:hAnsi="Arial" w:cs="Arial"/>
          <w:bCs/>
          <w:lang w:val="es-ES_tradnl"/>
        </w:rPr>
        <w:t xml:space="preserve">ni </w:t>
      </w:r>
      <w:r w:rsidR="00CD793A" w:rsidRPr="00847234">
        <w:rPr>
          <w:rFonts w:ascii="Arial" w:hAnsi="Arial" w:cs="Arial"/>
          <w:bCs/>
          <w:lang w:val="es-ES_tradnl"/>
        </w:rPr>
        <w:t xml:space="preserve">se </w:t>
      </w:r>
      <w:r w:rsidR="00BB4563" w:rsidRPr="00847234">
        <w:rPr>
          <w:rFonts w:ascii="Arial" w:hAnsi="Arial" w:cs="Arial"/>
          <w:bCs/>
          <w:lang w:val="es-ES_tradnl"/>
        </w:rPr>
        <w:t>suprimieran</w:t>
      </w:r>
      <w:r w:rsidRPr="00847234">
        <w:rPr>
          <w:rFonts w:ascii="Arial" w:hAnsi="Arial" w:cs="Arial"/>
          <w:bCs/>
          <w:lang w:val="es-ES_tradnl"/>
        </w:rPr>
        <w:t xml:space="preserve"> los incentivos para la transición a las energías limpias, las nuevas reglas </w:t>
      </w:r>
      <w:r w:rsidR="00C700AB" w:rsidRPr="00847234">
        <w:rPr>
          <w:rFonts w:ascii="Arial" w:hAnsi="Arial" w:cs="Arial"/>
          <w:bCs/>
          <w:lang w:val="es-ES_tradnl"/>
        </w:rPr>
        <w:t xml:space="preserve">sí </w:t>
      </w:r>
      <w:r w:rsidRPr="00847234">
        <w:rPr>
          <w:rFonts w:ascii="Arial" w:hAnsi="Arial" w:cs="Arial"/>
          <w:bCs/>
          <w:lang w:val="es-ES_tradnl"/>
        </w:rPr>
        <w:t xml:space="preserve">buscaron </w:t>
      </w:r>
      <w:r w:rsidR="00BB4563" w:rsidRPr="00847234">
        <w:rPr>
          <w:rFonts w:ascii="Arial" w:hAnsi="Arial" w:cs="Arial"/>
          <w:bCs/>
          <w:lang w:val="es-ES_tradnl"/>
        </w:rPr>
        <w:t xml:space="preserve">atemperar </w:t>
      </w:r>
      <w:r w:rsidR="006C2F5E" w:rsidRPr="00847234">
        <w:rPr>
          <w:rFonts w:ascii="Arial" w:hAnsi="Arial" w:cs="Arial"/>
          <w:bCs/>
          <w:lang w:val="es-ES_tradnl"/>
        </w:rPr>
        <w:t xml:space="preserve">esas decisiones. </w:t>
      </w:r>
      <w:r w:rsidR="00C700AB" w:rsidRPr="00847234">
        <w:rPr>
          <w:rFonts w:ascii="Arial" w:hAnsi="Arial" w:cs="Arial"/>
          <w:bCs/>
          <w:lang w:val="es-ES_tradnl"/>
        </w:rPr>
        <w:t xml:space="preserve">Por ejemplo, </w:t>
      </w:r>
      <w:r w:rsidR="00EC3016" w:rsidRPr="00847234">
        <w:rPr>
          <w:rFonts w:ascii="Arial" w:hAnsi="Arial" w:cs="Arial"/>
          <w:bCs/>
          <w:lang w:val="es-ES_tradnl"/>
        </w:rPr>
        <w:t xml:space="preserve">se dijo </w:t>
      </w:r>
      <w:r w:rsidRPr="00847234">
        <w:rPr>
          <w:rFonts w:ascii="Arial" w:hAnsi="Arial" w:cs="Arial"/>
          <w:bCs/>
          <w:lang w:val="es-ES_tradnl"/>
        </w:rPr>
        <w:t>que</w:t>
      </w:r>
      <w:r w:rsidR="00BB4563" w:rsidRPr="00847234">
        <w:rPr>
          <w:rFonts w:ascii="Arial" w:hAnsi="Arial" w:cs="Arial"/>
          <w:bCs/>
          <w:lang w:val="es-ES_tradnl"/>
        </w:rPr>
        <w:t>,</w:t>
      </w:r>
      <w:r w:rsidRPr="00847234">
        <w:rPr>
          <w:rFonts w:ascii="Arial" w:hAnsi="Arial" w:cs="Arial"/>
          <w:bCs/>
          <w:lang w:val="es-ES_tradnl"/>
        </w:rPr>
        <w:t xml:space="preserve"> por encima del sistema de subastas, se daría prioridad a la celebración de contratos que garanti</w:t>
      </w:r>
      <w:r w:rsidR="002A3C30" w:rsidRPr="00847234">
        <w:rPr>
          <w:rFonts w:ascii="Arial" w:hAnsi="Arial" w:cs="Arial"/>
          <w:bCs/>
          <w:lang w:val="es-ES_tradnl"/>
        </w:rPr>
        <w:t xml:space="preserve">zaran la </w:t>
      </w:r>
      <w:r w:rsidRPr="00847234">
        <w:rPr>
          <w:rFonts w:ascii="Arial" w:hAnsi="Arial" w:cs="Arial"/>
          <w:bCs/>
          <w:lang w:val="es-ES_tradnl"/>
        </w:rPr>
        <w:t>entrega física de energía, y</w:t>
      </w:r>
      <w:r w:rsidR="00BB4563" w:rsidRPr="00847234">
        <w:rPr>
          <w:rFonts w:ascii="Arial" w:hAnsi="Arial" w:cs="Arial"/>
          <w:bCs/>
          <w:lang w:val="es-ES_tradnl"/>
        </w:rPr>
        <w:t xml:space="preserve"> que</w:t>
      </w:r>
      <w:r w:rsidRPr="00847234">
        <w:rPr>
          <w:rFonts w:ascii="Arial" w:hAnsi="Arial" w:cs="Arial"/>
          <w:bCs/>
          <w:lang w:val="es-ES_tradnl"/>
        </w:rPr>
        <w:t xml:space="preserve"> los ofertantes </w:t>
      </w:r>
      <w:r w:rsidR="00EC3016" w:rsidRPr="00847234">
        <w:rPr>
          <w:rFonts w:ascii="Arial" w:hAnsi="Arial" w:cs="Arial"/>
          <w:bCs/>
          <w:lang w:val="es-ES_tradnl"/>
        </w:rPr>
        <w:t xml:space="preserve">con </w:t>
      </w:r>
      <w:r w:rsidRPr="00847234">
        <w:rPr>
          <w:rFonts w:ascii="Arial" w:hAnsi="Arial" w:cs="Arial"/>
          <w:bCs/>
          <w:lang w:val="es-ES_tradnl"/>
        </w:rPr>
        <w:t>prioridad para lograr los referidos contratos serían quienes presentaran menores costos unitarios y no marginales. Finalmente, se determinó que los certificados de energías limpias, que antes sólo se daban</w:t>
      </w:r>
      <w:r w:rsidR="00BF7224" w:rsidRPr="00847234">
        <w:rPr>
          <w:rFonts w:ascii="Arial" w:hAnsi="Arial" w:cs="Arial"/>
          <w:bCs/>
          <w:lang w:val="es-ES_tradnl"/>
        </w:rPr>
        <w:t xml:space="preserve"> por </w:t>
      </w:r>
      <w:r w:rsidRPr="00847234">
        <w:rPr>
          <w:rFonts w:ascii="Arial" w:hAnsi="Arial" w:cs="Arial"/>
          <w:bCs/>
          <w:lang w:val="es-ES_tradnl"/>
        </w:rPr>
        <w:t xml:space="preserve">nuevas inversiones, se otorgarían sin limitaciones temporales ni de propiedad. </w:t>
      </w:r>
    </w:p>
    <w:p w14:paraId="62C6E259" w14:textId="02E64FCB" w:rsidR="00BB4563" w:rsidRPr="00847234" w:rsidRDefault="00BB4563" w:rsidP="00492B80">
      <w:pPr>
        <w:spacing w:line="360" w:lineRule="auto"/>
        <w:jc w:val="both"/>
        <w:rPr>
          <w:rFonts w:ascii="Arial" w:hAnsi="Arial" w:cs="Arial"/>
          <w:bCs/>
          <w:lang w:val="es-ES_tradnl"/>
        </w:rPr>
      </w:pPr>
    </w:p>
    <w:p w14:paraId="22027F5E" w14:textId="61A81C36" w:rsidR="007179C5" w:rsidRPr="00847234" w:rsidRDefault="00BB4563" w:rsidP="007179C5">
      <w:pPr>
        <w:spacing w:line="360" w:lineRule="auto"/>
        <w:jc w:val="both"/>
        <w:rPr>
          <w:rFonts w:ascii="Arial" w:hAnsi="Arial" w:cs="Arial"/>
          <w:bCs/>
          <w:lang w:val="es-ES_tradnl"/>
        </w:rPr>
      </w:pPr>
      <w:r w:rsidRPr="00847234">
        <w:rPr>
          <w:rFonts w:ascii="Arial" w:hAnsi="Arial" w:cs="Arial"/>
          <w:bCs/>
          <w:lang w:val="es-ES_tradnl"/>
        </w:rPr>
        <w:lastRenderedPageBreak/>
        <w:t>Con las nuevas reglas</w:t>
      </w:r>
      <w:r w:rsidR="00A308F2">
        <w:rPr>
          <w:rFonts w:ascii="Arial" w:hAnsi="Arial" w:cs="Arial"/>
          <w:bCs/>
          <w:lang w:val="es-ES_tradnl"/>
        </w:rPr>
        <w:t>,</w:t>
      </w:r>
      <w:r w:rsidRPr="00847234">
        <w:rPr>
          <w:rFonts w:ascii="Arial" w:hAnsi="Arial" w:cs="Arial"/>
          <w:bCs/>
          <w:lang w:val="es-ES_tradnl"/>
        </w:rPr>
        <w:t xml:space="preserve"> es evidente que la CFE recupera algunas de sus ventajas competitivas</w:t>
      </w:r>
      <w:r w:rsidR="00BF7224" w:rsidRPr="00847234">
        <w:rPr>
          <w:rFonts w:ascii="Arial" w:hAnsi="Arial" w:cs="Arial"/>
          <w:bCs/>
          <w:lang w:val="es-ES_tradnl"/>
        </w:rPr>
        <w:t xml:space="preserve">. La CFE cuenta </w:t>
      </w:r>
      <w:r w:rsidR="00712D53" w:rsidRPr="00847234">
        <w:rPr>
          <w:rFonts w:ascii="Arial" w:hAnsi="Arial" w:cs="Arial"/>
          <w:bCs/>
          <w:lang w:val="es-ES_tradnl"/>
        </w:rPr>
        <w:t>ya con una estructura que</w:t>
      </w:r>
      <w:r w:rsidR="00F27C63" w:rsidRPr="00847234">
        <w:rPr>
          <w:rFonts w:ascii="Arial" w:hAnsi="Arial" w:cs="Arial"/>
          <w:bCs/>
          <w:lang w:val="es-ES_tradnl"/>
        </w:rPr>
        <w:t xml:space="preserve"> impide incurra en </w:t>
      </w:r>
      <w:r w:rsidRPr="00847234">
        <w:rPr>
          <w:rFonts w:ascii="Arial" w:hAnsi="Arial" w:cs="Arial"/>
          <w:bCs/>
          <w:lang w:val="es-ES_tradnl"/>
        </w:rPr>
        <w:t>costos de inversión considerables</w:t>
      </w:r>
      <w:r w:rsidR="00815E4D" w:rsidRPr="00847234">
        <w:rPr>
          <w:rFonts w:ascii="Arial" w:hAnsi="Arial" w:cs="Arial"/>
          <w:bCs/>
          <w:lang w:val="es-ES_tradnl"/>
        </w:rPr>
        <w:t xml:space="preserve">, y </w:t>
      </w:r>
      <w:r w:rsidRPr="00847234">
        <w:rPr>
          <w:rFonts w:ascii="Arial" w:hAnsi="Arial" w:cs="Arial"/>
          <w:bCs/>
          <w:lang w:val="es-ES_tradnl"/>
        </w:rPr>
        <w:t>es el agente que</w:t>
      </w:r>
      <w:r w:rsidR="0035580B" w:rsidRPr="00847234">
        <w:rPr>
          <w:rFonts w:ascii="Arial" w:hAnsi="Arial" w:cs="Arial"/>
          <w:bCs/>
          <w:lang w:val="es-ES_tradnl"/>
        </w:rPr>
        <w:t xml:space="preserve"> más fácilmente </w:t>
      </w:r>
      <w:r w:rsidR="00B439EE" w:rsidRPr="00847234">
        <w:rPr>
          <w:rFonts w:ascii="Arial" w:hAnsi="Arial" w:cs="Arial"/>
          <w:bCs/>
          <w:lang w:val="es-ES_tradnl"/>
        </w:rPr>
        <w:t xml:space="preserve">asegurará </w:t>
      </w:r>
      <w:r w:rsidR="006C33E5" w:rsidRPr="00847234">
        <w:rPr>
          <w:rFonts w:ascii="Arial" w:hAnsi="Arial" w:cs="Arial"/>
          <w:bCs/>
          <w:lang w:val="es-ES_tradnl"/>
        </w:rPr>
        <w:t xml:space="preserve">un costo unitario menor al de sus competidores en </w:t>
      </w:r>
      <w:r w:rsidRPr="00847234">
        <w:rPr>
          <w:rFonts w:ascii="Arial" w:hAnsi="Arial" w:cs="Arial"/>
          <w:bCs/>
          <w:lang w:val="es-ES_tradnl"/>
        </w:rPr>
        <w:t>la oferta de contrato de entrega física a un determinado plazo</w:t>
      </w:r>
      <w:r w:rsidR="00BA3E71" w:rsidRPr="00847234">
        <w:rPr>
          <w:rFonts w:ascii="Arial" w:hAnsi="Arial" w:cs="Arial"/>
          <w:bCs/>
          <w:lang w:val="es-ES_tradnl"/>
        </w:rPr>
        <w:t xml:space="preserve">. Además, </w:t>
      </w:r>
      <w:r w:rsidRPr="00847234">
        <w:rPr>
          <w:rFonts w:ascii="Arial" w:hAnsi="Arial" w:cs="Arial"/>
          <w:bCs/>
          <w:lang w:val="es-ES_tradnl"/>
        </w:rPr>
        <w:t xml:space="preserve">si los certificados de energía limpia ya no </w:t>
      </w:r>
      <w:r w:rsidR="004C54B6" w:rsidRPr="00847234">
        <w:rPr>
          <w:rFonts w:ascii="Arial" w:hAnsi="Arial" w:cs="Arial"/>
          <w:bCs/>
          <w:lang w:val="es-ES_tradnl"/>
        </w:rPr>
        <w:t>se sujetan a</w:t>
      </w:r>
      <w:r w:rsidRPr="00847234">
        <w:rPr>
          <w:rFonts w:ascii="Arial" w:hAnsi="Arial" w:cs="Arial"/>
          <w:bCs/>
          <w:lang w:val="es-ES_tradnl"/>
        </w:rPr>
        <w:t xml:space="preserve"> límites temporales </w:t>
      </w:r>
      <w:r w:rsidR="00CC5F81" w:rsidRPr="00847234">
        <w:rPr>
          <w:rFonts w:ascii="Arial" w:hAnsi="Arial" w:cs="Arial"/>
          <w:bCs/>
          <w:lang w:val="es-ES_tradnl"/>
        </w:rPr>
        <w:t xml:space="preserve">e, incluso, se otorgarán </w:t>
      </w:r>
      <w:r w:rsidRPr="00847234">
        <w:rPr>
          <w:rFonts w:ascii="Arial" w:hAnsi="Arial" w:cs="Arial"/>
          <w:bCs/>
          <w:lang w:val="es-ES_tradnl"/>
        </w:rPr>
        <w:t xml:space="preserve">retroactivamente, la CFE </w:t>
      </w:r>
      <w:r w:rsidR="007179C5" w:rsidRPr="00847234">
        <w:rPr>
          <w:rFonts w:ascii="Arial" w:hAnsi="Arial" w:cs="Arial"/>
          <w:bCs/>
          <w:lang w:val="es-ES_tradnl"/>
        </w:rPr>
        <w:t xml:space="preserve">podría </w:t>
      </w:r>
      <w:r w:rsidRPr="00847234">
        <w:rPr>
          <w:rFonts w:ascii="Arial" w:hAnsi="Arial" w:cs="Arial"/>
          <w:bCs/>
          <w:lang w:val="es-ES_tradnl"/>
        </w:rPr>
        <w:t xml:space="preserve">exigir los propios por aquella tecnología </w:t>
      </w:r>
      <w:r w:rsidR="007179C5" w:rsidRPr="00847234">
        <w:rPr>
          <w:rFonts w:ascii="Arial" w:hAnsi="Arial" w:cs="Arial"/>
          <w:bCs/>
          <w:lang w:val="es-ES_tradnl"/>
        </w:rPr>
        <w:t>apta para producir energía limpia adquirid</w:t>
      </w:r>
      <w:r w:rsidR="002A74E7" w:rsidRPr="00847234">
        <w:rPr>
          <w:rFonts w:ascii="Arial" w:hAnsi="Arial" w:cs="Arial"/>
          <w:bCs/>
          <w:lang w:val="es-ES_tradnl"/>
        </w:rPr>
        <w:t xml:space="preserve">a </w:t>
      </w:r>
      <w:r w:rsidR="007179C5" w:rsidRPr="00847234">
        <w:rPr>
          <w:rFonts w:ascii="Arial" w:hAnsi="Arial" w:cs="Arial"/>
          <w:bCs/>
          <w:lang w:val="es-ES_tradnl"/>
        </w:rPr>
        <w:t xml:space="preserve">antes de 2013. </w:t>
      </w:r>
    </w:p>
    <w:p w14:paraId="109FFE0E" w14:textId="77777777" w:rsidR="00DC4CAA" w:rsidRPr="00847234" w:rsidRDefault="00DC4CAA" w:rsidP="007179C5">
      <w:pPr>
        <w:spacing w:line="360" w:lineRule="auto"/>
        <w:jc w:val="both"/>
        <w:rPr>
          <w:rFonts w:ascii="Arial" w:hAnsi="Arial" w:cs="Arial"/>
          <w:bCs/>
          <w:lang w:val="es-ES_tradnl"/>
        </w:rPr>
      </w:pPr>
    </w:p>
    <w:p w14:paraId="48D62C77" w14:textId="49B82242" w:rsidR="007179C5" w:rsidRPr="00847234" w:rsidRDefault="007179C5" w:rsidP="007179C5">
      <w:pPr>
        <w:spacing w:line="360" w:lineRule="auto"/>
        <w:jc w:val="both"/>
        <w:rPr>
          <w:rFonts w:ascii="Arial" w:hAnsi="Arial" w:cs="Arial"/>
          <w:bCs/>
          <w:lang w:val="es-ES_tradnl"/>
        </w:rPr>
      </w:pPr>
      <w:r w:rsidRPr="00847234">
        <w:rPr>
          <w:rFonts w:ascii="Arial" w:hAnsi="Arial" w:cs="Arial"/>
          <w:bCs/>
          <w:lang w:val="es-ES_tradnl"/>
        </w:rPr>
        <w:t>Así llegamos a la pregunta concret</w:t>
      </w:r>
      <w:r w:rsidR="00916467" w:rsidRPr="00847234">
        <w:rPr>
          <w:rFonts w:ascii="Arial" w:hAnsi="Arial" w:cs="Arial"/>
          <w:bCs/>
          <w:lang w:val="es-ES_tradnl"/>
        </w:rPr>
        <w:t>a</w:t>
      </w:r>
      <w:r w:rsidRPr="00847234">
        <w:rPr>
          <w:rFonts w:ascii="Arial" w:hAnsi="Arial" w:cs="Arial"/>
          <w:bCs/>
          <w:lang w:val="es-ES_tradnl"/>
        </w:rPr>
        <w:t xml:space="preserve"> de este asunto, la cual se refiere al segundo modelo constitucional </w:t>
      </w:r>
      <w:r w:rsidR="009F69C3" w:rsidRPr="00847234">
        <w:rPr>
          <w:rFonts w:ascii="Arial" w:hAnsi="Arial" w:cs="Arial"/>
          <w:bCs/>
          <w:lang w:val="es-ES_tradnl"/>
        </w:rPr>
        <w:t xml:space="preserve">(post-2013) </w:t>
      </w:r>
      <w:r w:rsidRPr="00847234">
        <w:rPr>
          <w:rFonts w:ascii="Arial" w:hAnsi="Arial" w:cs="Arial"/>
          <w:bCs/>
          <w:lang w:val="es-ES_tradnl"/>
        </w:rPr>
        <w:t>y al segundo momento legislativo: ¿Qué pasa con la reforma a la Ley de Industria Eléctrica</w:t>
      </w:r>
      <w:r w:rsidR="009F69C3" w:rsidRPr="00847234">
        <w:rPr>
          <w:rFonts w:ascii="Arial" w:hAnsi="Arial" w:cs="Arial"/>
          <w:bCs/>
          <w:lang w:val="es-ES_tradnl"/>
        </w:rPr>
        <w:t xml:space="preserve"> introducida en 2021? </w:t>
      </w:r>
    </w:p>
    <w:p w14:paraId="1B340F73" w14:textId="77777777" w:rsidR="00492B80" w:rsidRPr="00847234" w:rsidRDefault="00492B80" w:rsidP="006A2626">
      <w:pPr>
        <w:tabs>
          <w:tab w:val="left" w:pos="0"/>
        </w:tabs>
        <w:spacing w:line="360" w:lineRule="auto"/>
        <w:jc w:val="both"/>
        <w:rPr>
          <w:rFonts w:ascii="Arial" w:hAnsi="Arial" w:cs="Arial"/>
          <w:bCs/>
        </w:rPr>
      </w:pPr>
    </w:p>
    <w:p w14:paraId="45515125" w14:textId="67721F75" w:rsidR="003426BB" w:rsidRPr="00847234" w:rsidRDefault="00C05EEE" w:rsidP="006A2626">
      <w:pPr>
        <w:tabs>
          <w:tab w:val="left" w:pos="0"/>
        </w:tabs>
        <w:spacing w:line="360" w:lineRule="auto"/>
        <w:jc w:val="both"/>
        <w:rPr>
          <w:rFonts w:ascii="Arial" w:hAnsi="Arial" w:cs="Arial"/>
          <w:bCs/>
        </w:rPr>
      </w:pPr>
      <w:r w:rsidRPr="00847234">
        <w:rPr>
          <w:rFonts w:ascii="Arial" w:hAnsi="Arial" w:cs="Arial"/>
          <w:bCs/>
        </w:rPr>
        <w:t xml:space="preserve">Para empezar, </w:t>
      </w:r>
      <w:r w:rsidR="006A2626" w:rsidRPr="00847234">
        <w:rPr>
          <w:rFonts w:ascii="Arial" w:hAnsi="Arial" w:cs="Arial"/>
          <w:bCs/>
        </w:rPr>
        <w:t xml:space="preserve">las normas impugnadas </w:t>
      </w:r>
      <w:r w:rsidR="00E50D7C" w:rsidRPr="00847234">
        <w:rPr>
          <w:rFonts w:ascii="Arial" w:hAnsi="Arial" w:cs="Arial"/>
          <w:bCs/>
        </w:rPr>
        <w:t>debieron dividirse</w:t>
      </w:r>
      <w:r w:rsidR="005D2D51">
        <w:rPr>
          <w:rFonts w:ascii="Arial" w:hAnsi="Arial" w:cs="Arial"/>
          <w:bCs/>
        </w:rPr>
        <w:t xml:space="preserve"> para su discusión y análisis </w:t>
      </w:r>
      <w:r w:rsidR="00070580" w:rsidRPr="00847234">
        <w:rPr>
          <w:rFonts w:ascii="Arial" w:hAnsi="Arial" w:cs="Arial"/>
          <w:bCs/>
        </w:rPr>
        <w:t xml:space="preserve">en </w:t>
      </w:r>
      <w:r w:rsidR="006A2626" w:rsidRPr="00847234">
        <w:rPr>
          <w:rFonts w:ascii="Arial" w:hAnsi="Arial" w:cs="Arial"/>
          <w:bCs/>
        </w:rPr>
        <w:t>dos conjunto</w:t>
      </w:r>
      <w:r w:rsidR="001231E1" w:rsidRPr="00847234">
        <w:rPr>
          <w:rFonts w:ascii="Arial" w:hAnsi="Arial" w:cs="Arial"/>
          <w:bCs/>
        </w:rPr>
        <w:t>s o circuitos normativos</w:t>
      </w:r>
      <w:r w:rsidR="006A2626" w:rsidRPr="00847234">
        <w:rPr>
          <w:rFonts w:ascii="Arial" w:hAnsi="Arial" w:cs="Arial"/>
          <w:bCs/>
        </w:rPr>
        <w:t xml:space="preserve">: </w:t>
      </w:r>
    </w:p>
    <w:p w14:paraId="4108B558" w14:textId="77777777" w:rsidR="002760F0" w:rsidRPr="00847234" w:rsidRDefault="002760F0" w:rsidP="002760F0">
      <w:pPr>
        <w:tabs>
          <w:tab w:val="left" w:pos="0"/>
        </w:tabs>
        <w:spacing w:line="360" w:lineRule="auto"/>
        <w:jc w:val="both"/>
        <w:rPr>
          <w:rFonts w:ascii="Arial" w:hAnsi="Arial" w:cs="Arial"/>
          <w:bCs/>
          <w:i/>
          <w:iCs/>
        </w:rPr>
      </w:pPr>
    </w:p>
    <w:p w14:paraId="7382A5F5" w14:textId="5524AB22" w:rsidR="006A2626" w:rsidRPr="00847234" w:rsidRDefault="002760F0" w:rsidP="002760F0">
      <w:pPr>
        <w:tabs>
          <w:tab w:val="left" w:pos="0"/>
        </w:tabs>
        <w:spacing w:line="360" w:lineRule="auto"/>
        <w:jc w:val="both"/>
        <w:rPr>
          <w:rFonts w:ascii="Arial" w:hAnsi="Arial" w:cs="Arial"/>
          <w:bCs/>
        </w:rPr>
      </w:pPr>
      <w:r w:rsidRPr="00847234">
        <w:rPr>
          <w:rFonts w:ascii="Arial" w:hAnsi="Arial" w:cs="Arial"/>
          <w:bCs/>
          <w:i/>
          <w:iCs/>
        </w:rPr>
        <w:t xml:space="preserve">Un primer conjunto </w:t>
      </w:r>
      <w:r w:rsidRPr="00847234">
        <w:rPr>
          <w:rFonts w:ascii="Arial" w:hAnsi="Arial" w:cs="Arial"/>
          <w:bCs/>
        </w:rPr>
        <w:t xml:space="preserve">integrado </w:t>
      </w:r>
      <w:r w:rsidR="006A2626" w:rsidRPr="00847234">
        <w:rPr>
          <w:rFonts w:ascii="Arial" w:hAnsi="Arial" w:cs="Arial"/>
          <w:bCs/>
        </w:rPr>
        <w:t xml:space="preserve">por los artículos 3, </w:t>
      </w:r>
      <w:r w:rsidR="00A95E2D" w:rsidRPr="00847234">
        <w:rPr>
          <w:rFonts w:ascii="Arial" w:hAnsi="Arial" w:cs="Arial"/>
          <w:bCs/>
        </w:rPr>
        <w:t>fracción</w:t>
      </w:r>
      <w:r w:rsidR="006A2626" w:rsidRPr="00847234">
        <w:rPr>
          <w:rFonts w:ascii="Arial" w:hAnsi="Arial" w:cs="Arial"/>
          <w:bCs/>
        </w:rPr>
        <w:t xml:space="preserve"> V, incisos a) y b), XII, XII Bis</w:t>
      </w:r>
      <w:r w:rsidR="006C1A13" w:rsidRPr="00847234">
        <w:rPr>
          <w:rFonts w:ascii="Arial" w:hAnsi="Arial" w:cs="Arial"/>
          <w:bCs/>
        </w:rPr>
        <w:t>,</w:t>
      </w:r>
      <w:r w:rsidR="006A2626" w:rsidRPr="00847234">
        <w:rPr>
          <w:rFonts w:ascii="Arial" w:hAnsi="Arial" w:cs="Arial"/>
          <w:bCs/>
        </w:rPr>
        <w:t xml:space="preserve"> y </w:t>
      </w:r>
      <w:r w:rsidR="00382713" w:rsidRPr="00847234">
        <w:rPr>
          <w:rFonts w:ascii="Arial" w:hAnsi="Arial" w:cs="Arial"/>
          <w:bCs/>
        </w:rPr>
        <w:t>XIV; 4</w:t>
      </w:r>
      <w:r w:rsidR="006A2626" w:rsidRPr="00847234">
        <w:rPr>
          <w:rFonts w:ascii="Arial" w:hAnsi="Arial" w:cs="Arial"/>
          <w:bCs/>
        </w:rPr>
        <w:t>, fracción VI</w:t>
      </w:r>
      <w:r w:rsidR="00BC3834" w:rsidRPr="00847234">
        <w:rPr>
          <w:rFonts w:ascii="Arial" w:hAnsi="Arial" w:cs="Arial"/>
          <w:bCs/>
        </w:rPr>
        <w:t>;</w:t>
      </w:r>
      <w:r w:rsidR="006A2626" w:rsidRPr="00847234">
        <w:rPr>
          <w:rFonts w:ascii="Arial" w:hAnsi="Arial" w:cs="Arial"/>
          <w:bCs/>
        </w:rPr>
        <w:t xml:space="preserve"> 26</w:t>
      </w:r>
      <w:r w:rsidR="00BC3834" w:rsidRPr="00847234">
        <w:rPr>
          <w:rFonts w:ascii="Arial" w:hAnsi="Arial" w:cs="Arial"/>
          <w:bCs/>
        </w:rPr>
        <w:t>;</w:t>
      </w:r>
      <w:r w:rsidR="006A2626" w:rsidRPr="00847234">
        <w:rPr>
          <w:rFonts w:ascii="Arial" w:hAnsi="Arial" w:cs="Arial"/>
          <w:bCs/>
        </w:rPr>
        <w:t xml:space="preserve"> 53</w:t>
      </w:r>
      <w:r w:rsidR="00BC3834" w:rsidRPr="00847234">
        <w:rPr>
          <w:rFonts w:ascii="Arial" w:hAnsi="Arial" w:cs="Arial"/>
          <w:bCs/>
        </w:rPr>
        <w:t>;</w:t>
      </w:r>
      <w:r w:rsidR="006A2626" w:rsidRPr="00847234">
        <w:rPr>
          <w:rFonts w:ascii="Arial" w:hAnsi="Arial" w:cs="Arial"/>
          <w:bCs/>
        </w:rPr>
        <w:t xml:space="preserve"> 101, 108, fracción VI, y 126, fracción II</w:t>
      </w:r>
      <w:r w:rsidR="00C271BF" w:rsidRPr="00847234">
        <w:rPr>
          <w:rFonts w:ascii="Arial" w:hAnsi="Arial" w:cs="Arial"/>
          <w:bCs/>
        </w:rPr>
        <w:t>,</w:t>
      </w:r>
      <w:r w:rsidR="006A2626" w:rsidRPr="00847234">
        <w:rPr>
          <w:rFonts w:ascii="Arial" w:hAnsi="Arial" w:cs="Arial"/>
          <w:bCs/>
        </w:rPr>
        <w:t xml:space="preserve"> de la ley citada. </w:t>
      </w:r>
      <w:r w:rsidR="00EE4FCD" w:rsidRPr="00847234">
        <w:rPr>
          <w:rFonts w:ascii="Arial" w:hAnsi="Arial" w:cs="Arial"/>
          <w:bCs/>
        </w:rPr>
        <w:t xml:space="preserve">Aunque </w:t>
      </w:r>
      <w:r w:rsidR="006A2626" w:rsidRPr="00847234">
        <w:rPr>
          <w:rFonts w:ascii="Arial" w:hAnsi="Arial" w:cs="Arial"/>
          <w:bCs/>
        </w:rPr>
        <w:t>no existe</w:t>
      </w:r>
      <w:r w:rsidR="00945A0A" w:rsidRPr="00847234">
        <w:rPr>
          <w:rFonts w:ascii="Arial" w:hAnsi="Arial" w:cs="Arial"/>
          <w:bCs/>
        </w:rPr>
        <w:t xml:space="preserve"> una relación lógica de dependencia</w:t>
      </w:r>
      <w:r w:rsidR="006A2626" w:rsidRPr="00847234">
        <w:rPr>
          <w:rFonts w:ascii="Arial" w:hAnsi="Arial" w:cs="Arial"/>
          <w:bCs/>
        </w:rPr>
        <w:t xml:space="preserve"> entre cada de uno de estos preceptos, </w:t>
      </w:r>
      <w:r w:rsidR="00C57B7A" w:rsidRPr="00847234">
        <w:rPr>
          <w:rFonts w:ascii="Arial" w:hAnsi="Arial" w:cs="Arial"/>
          <w:bCs/>
        </w:rPr>
        <w:t xml:space="preserve">los agrupo en </w:t>
      </w:r>
      <w:r w:rsidR="006A2626" w:rsidRPr="00847234">
        <w:rPr>
          <w:rFonts w:ascii="Arial" w:hAnsi="Arial" w:cs="Arial"/>
          <w:bCs/>
        </w:rPr>
        <w:t>un solo circuito,</w:t>
      </w:r>
      <w:r w:rsidR="00382713" w:rsidRPr="00847234">
        <w:rPr>
          <w:rFonts w:ascii="Arial" w:hAnsi="Arial" w:cs="Arial"/>
          <w:bCs/>
        </w:rPr>
        <w:t xml:space="preserve"> </w:t>
      </w:r>
      <w:r w:rsidR="00410B20" w:rsidRPr="00847234">
        <w:rPr>
          <w:rFonts w:ascii="Arial" w:hAnsi="Arial" w:cs="Arial"/>
          <w:bCs/>
        </w:rPr>
        <w:t xml:space="preserve">pues </w:t>
      </w:r>
      <w:r w:rsidR="006A2626" w:rsidRPr="00847234">
        <w:rPr>
          <w:rFonts w:ascii="Arial" w:hAnsi="Arial" w:cs="Arial"/>
          <w:bCs/>
        </w:rPr>
        <w:t>regulan un nuevo orden de despacho</w:t>
      </w:r>
      <w:r w:rsidR="00D55BB5" w:rsidRPr="00847234">
        <w:rPr>
          <w:rFonts w:ascii="Arial" w:hAnsi="Arial" w:cs="Arial"/>
          <w:bCs/>
        </w:rPr>
        <w:t xml:space="preserve"> de energía eléctrica en el mercado</w:t>
      </w:r>
      <w:r w:rsidR="00BB4563" w:rsidRPr="00847234">
        <w:rPr>
          <w:rStyle w:val="Refdenotaalpie"/>
          <w:rFonts w:ascii="Arial" w:hAnsi="Arial" w:cs="Arial"/>
          <w:bCs/>
        </w:rPr>
        <w:footnoteReference w:id="4"/>
      </w:r>
      <w:r w:rsidR="0095184D" w:rsidRPr="00847234">
        <w:rPr>
          <w:rFonts w:ascii="Arial" w:hAnsi="Arial" w:cs="Arial"/>
          <w:bCs/>
        </w:rPr>
        <w:t xml:space="preserve"> </w:t>
      </w:r>
      <w:r w:rsidR="00281770" w:rsidRPr="00847234">
        <w:rPr>
          <w:rFonts w:ascii="Arial" w:hAnsi="Arial" w:cs="Arial"/>
          <w:bCs/>
        </w:rPr>
        <w:t xml:space="preserve">y </w:t>
      </w:r>
      <w:r w:rsidR="0095184D" w:rsidRPr="00847234">
        <w:rPr>
          <w:rFonts w:ascii="Arial" w:hAnsi="Arial" w:cs="Arial"/>
          <w:bCs/>
        </w:rPr>
        <w:t>las</w:t>
      </w:r>
      <w:r w:rsidR="006A2626" w:rsidRPr="00847234">
        <w:rPr>
          <w:rFonts w:ascii="Arial" w:hAnsi="Arial" w:cs="Arial"/>
          <w:bCs/>
        </w:rPr>
        <w:t xml:space="preserve"> figuras contractuales</w:t>
      </w:r>
      <w:r w:rsidR="0095184D" w:rsidRPr="00847234">
        <w:rPr>
          <w:rFonts w:ascii="Arial" w:hAnsi="Arial" w:cs="Arial"/>
          <w:bCs/>
        </w:rPr>
        <w:t xml:space="preserve"> </w:t>
      </w:r>
      <w:r w:rsidR="00397324" w:rsidRPr="00847234">
        <w:rPr>
          <w:rFonts w:ascii="Arial" w:hAnsi="Arial" w:cs="Arial"/>
          <w:bCs/>
        </w:rPr>
        <w:t xml:space="preserve">asociadas a </w:t>
      </w:r>
      <w:r w:rsidR="00382713" w:rsidRPr="00847234">
        <w:rPr>
          <w:rFonts w:ascii="Arial" w:hAnsi="Arial" w:cs="Arial"/>
          <w:bCs/>
        </w:rPr>
        <w:t>este nuevo</w:t>
      </w:r>
      <w:r w:rsidR="004C4D9D" w:rsidRPr="00847234">
        <w:rPr>
          <w:rFonts w:ascii="Arial" w:hAnsi="Arial" w:cs="Arial"/>
          <w:bCs/>
        </w:rPr>
        <w:t xml:space="preserve"> diseño legislativo</w:t>
      </w:r>
      <w:r w:rsidR="006A2626" w:rsidRPr="00847234">
        <w:rPr>
          <w:rFonts w:ascii="Arial" w:hAnsi="Arial" w:cs="Arial"/>
          <w:bCs/>
        </w:rPr>
        <w:t>.</w:t>
      </w:r>
      <w:r w:rsidR="00382713" w:rsidRPr="00847234">
        <w:rPr>
          <w:rFonts w:ascii="Arial" w:hAnsi="Arial" w:cs="Arial"/>
          <w:bCs/>
        </w:rPr>
        <w:t xml:space="preserve"> La </w:t>
      </w:r>
      <w:r w:rsidR="00975B13" w:rsidRPr="00847234">
        <w:rPr>
          <w:rFonts w:ascii="Arial" w:hAnsi="Arial" w:cs="Arial"/>
          <w:bCs/>
        </w:rPr>
        <w:t xml:space="preserve">agrupación </w:t>
      </w:r>
      <w:r w:rsidR="00382713" w:rsidRPr="00847234">
        <w:rPr>
          <w:rFonts w:ascii="Arial" w:hAnsi="Arial" w:cs="Arial"/>
          <w:bCs/>
        </w:rPr>
        <w:t xml:space="preserve">en circuitos permite su interpretación sistémica. </w:t>
      </w:r>
    </w:p>
    <w:p w14:paraId="7625A2BC" w14:textId="65E1957A" w:rsidR="006A2626" w:rsidRPr="00847234" w:rsidRDefault="006A2626" w:rsidP="006A2626">
      <w:pPr>
        <w:tabs>
          <w:tab w:val="left" w:pos="0"/>
        </w:tabs>
        <w:spacing w:line="360" w:lineRule="auto"/>
        <w:jc w:val="both"/>
        <w:rPr>
          <w:rFonts w:ascii="Arial" w:hAnsi="Arial" w:cs="Arial"/>
          <w:bCs/>
        </w:rPr>
      </w:pPr>
    </w:p>
    <w:p w14:paraId="1A304496" w14:textId="29C1F59A" w:rsidR="006A2626" w:rsidRPr="00847234" w:rsidRDefault="000159A3" w:rsidP="006A2626">
      <w:pPr>
        <w:tabs>
          <w:tab w:val="left" w:pos="0"/>
        </w:tabs>
        <w:spacing w:line="360" w:lineRule="auto"/>
        <w:jc w:val="both"/>
        <w:rPr>
          <w:rFonts w:ascii="Arial" w:hAnsi="Arial" w:cs="Arial"/>
          <w:bCs/>
        </w:rPr>
      </w:pPr>
      <w:r w:rsidRPr="00847234">
        <w:rPr>
          <w:rFonts w:ascii="Arial" w:hAnsi="Arial" w:cs="Arial"/>
          <w:bCs/>
        </w:rPr>
        <w:t xml:space="preserve">De este conjunto normativo, </w:t>
      </w:r>
      <w:r w:rsidR="00C05EEE" w:rsidRPr="00847234">
        <w:rPr>
          <w:rFonts w:ascii="Arial" w:hAnsi="Arial" w:cs="Arial"/>
          <w:bCs/>
        </w:rPr>
        <w:t xml:space="preserve">entiendo </w:t>
      </w:r>
      <w:r w:rsidR="00E76378" w:rsidRPr="00847234">
        <w:rPr>
          <w:rFonts w:ascii="Arial" w:hAnsi="Arial" w:cs="Arial"/>
          <w:bCs/>
        </w:rPr>
        <w:t xml:space="preserve">como </w:t>
      </w:r>
      <w:r w:rsidR="00660F9A" w:rsidRPr="00847234">
        <w:rPr>
          <w:rFonts w:ascii="Arial" w:hAnsi="Arial" w:cs="Arial"/>
          <w:bCs/>
        </w:rPr>
        <w:t>fundamentales para</w:t>
      </w:r>
      <w:r w:rsidR="009634DB" w:rsidRPr="00847234">
        <w:rPr>
          <w:rFonts w:ascii="Arial" w:hAnsi="Arial" w:cs="Arial"/>
          <w:bCs/>
        </w:rPr>
        <w:t xml:space="preserve"> la construcción de este nuevo modelo, </w:t>
      </w:r>
      <w:r w:rsidR="006A2626" w:rsidRPr="00847234">
        <w:rPr>
          <w:rFonts w:ascii="Arial" w:hAnsi="Arial" w:cs="Arial"/>
          <w:bCs/>
        </w:rPr>
        <w:t>los</w:t>
      </w:r>
      <w:r w:rsidR="009634DB" w:rsidRPr="00847234">
        <w:rPr>
          <w:rFonts w:ascii="Arial" w:hAnsi="Arial" w:cs="Arial"/>
          <w:bCs/>
        </w:rPr>
        <w:t xml:space="preserve"> artículos</w:t>
      </w:r>
      <w:r w:rsidR="006A2626" w:rsidRPr="00847234">
        <w:rPr>
          <w:rFonts w:ascii="Arial" w:hAnsi="Arial" w:cs="Arial"/>
          <w:bCs/>
        </w:rPr>
        <w:t xml:space="preserve"> 4, fracción VI, 26 y 126, fracción</w:t>
      </w:r>
      <w:r w:rsidR="0028349D" w:rsidRPr="00847234">
        <w:rPr>
          <w:rFonts w:ascii="Arial" w:hAnsi="Arial" w:cs="Arial"/>
          <w:bCs/>
        </w:rPr>
        <w:t xml:space="preserve"> II</w:t>
      </w:r>
      <w:r w:rsidR="009634DB" w:rsidRPr="00847234">
        <w:rPr>
          <w:rFonts w:ascii="Arial" w:hAnsi="Arial" w:cs="Arial"/>
          <w:bCs/>
        </w:rPr>
        <w:t>,</w:t>
      </w:r>
      <w:r w:rsidR="006A2626" w:rsidRPr="00847234">
        <w:rPr>
          <w:rFonts w:ascii="Arial" w:hAnsi="Arial" w:cs="Arial"/>
          <w:bCs/>
        </w:rPr>
        <w:t xml:space="preserve"> de la Ley de la Industria Eléctrica. El primer</w:t>
      </w:r>
      <w:r w:rsidR="0028349D" w:rsidRPr="00847234">
        <w:rPr>
          <w:rFonts w:ascii="Arial" w:hAnsi="Arial" w:cs="Arial"/>
          <w:bCs/>
        </w:rPr>
        <w:t>o</w:t>
      </w:r>
      <w:r w:rsidR="006A2626" w:rsidRPr="00847234">
        <w:rPr>
          <w:rFonts w:ascii="Arial" w:hAnsi="Arial" w:cs="Arial"/>
          <w:bCs/>
        </w:rPr>
        <w:t xml:space="preserve"> de </w:t>
      </w:r>
      <w:r w:rsidR="00CB5DC8" w:rsidRPr="00847234">
        <w:rPr>
          <w:rFonts w:ascii="Arial" w:hAnsi="Arial" w:cs="Arial"/>
          <w:bCs/>
        </w:rPr>
        <w:t xml:space="preserve">los artículos </w:t>
      </w:r>
      <w:r w:rsidR="0028349D" w:rsidRPr="00847234">
        <w:rPr>
          <w:rFonts w:ascii="Arial" w:hAnsi="Arial" w:cs="Arial"/>
          <w:bCs/>
        </w:rPr>
        <w:t>contiene la nueva regla</w:t>
      </w:r>
      <w:r w:rsidR="006A2626" w:rsidRPr="00847234">
        <w:rPr>
          <w:rFonts w:ascii="Arial" w:hAnsi="Arial" w:cs="Arial"/>
          <w:bCs/>
        </w:rPr>
        <w:t xml:space="preserve"> de preferencia de la oferta de energía eléctrica basada en los costos unitarios de prod</w:t>
      </w:r>
      <w:r w:rsidR="0028349D" w:rsidRPr="00847234">
        <w:rPr>
          <w:rFonts w:ascii="Arial" w:hAnsi="Arial" w:cs="Arial"/>
          <w:bCs/>
        </w:rPr>
        <w:t>u</w:t>
      </w:r>
      <w:r w:rsidR="006A2626" w:rsidRPr="00847234">
        <w:rPr>
          <w:rFonts w:ascii="Arial" w:hAnsi="Arial" w:cs="Arial"/>
          <w:bCs/>
        </w:rPr>
        <w:t>cción y de los contratos de cobertura eléctrica con compromiso de entrega física</w:t>
      </w:r>
      <w:r w:rsidR="00BB4563" w:rsidRPr="00847234">
        <w:rPr>
          <w:rStyle w:val="Refdenotaalpie"/>
          <w:rFonts w:ascii="Arial" w:hAnsi="Arial" w:cs="Arial"/>
          <w:bCs/>
        </w:rPr>
        <w:footnoteReference w:id="5"/>
      </w:r>
      <w:r w:rsidR="006A2626" w:rsidRPr="00847234">
        <w:rPr>
          <w:rFonts w:ascii="Arial" w:hAnsi="Arial" w:cs="Arial"/>
          <w:bCs/>
        </w:rPr>
        <w:t xml:space="preserve"> </w:t>
      </w:r>
      <w:r w:rsidR="00D55BB5" w:rsidRPr="00847234">
        <w:rPr>
          <w:rFonts w:ascii="Arial" w:hAnsi="Arial" w:cs="Arial"/>
          <w:bCs/>
        </w:rPr>
        <w:t>por encima</w:t>
      </w:r>
      <w:r w:rsidR="006A2626" w:rsidRPr="00847234">
        <w:rPr>
          <w:rFonts w:ascii="Arial" w:hAnsi="Arial" w:cs="Arial"/>
          <w:bCs/>
        </w:rPr>
        <w:t xml:space="preserve"> </w:t>
      </w:r>
      <w:r w:rsidR="006A2626" w:rsidRPr="00847234">
        <w:rPr>
          <w:rFonts w:ascii="Arial" w:hAnsi="Arial" w:cs="Arial"/>
          <w:bCs/>
        </w:rPr>
        <w:lastRenderedPageBreak/>
        <w:t>del suministro de energías limpias</w:t>
      </w:r>
      <w:r w:rsidR="00BB4563" w:rsidRPr="00847234">
        <w:rPr>
          <w:rStyle w:val="Refdenotaalpie"/>
          <w:rFonts w:ascii="Arial" w:hAnsi="Arial" w:cs="Arial"/>
          <w:bCs/>
        </w:rPr>
        <w:footnoteReference w:id="6"/>
      </w:r>
      <w:r w:rsidR="00525353" w:rsidRPr="00847234">
        <w:rPr>
          <w:rFonts w:ascii="Arial" w:hAnsi="Arial" w:cs="Arial"/>
          <w:bCs/>
        </w:rPr>
        <w:t xml:space="preserve">. El </w:t>
      </w:r>
      <w:r w:rsidR="006A2626" w:rsidRPr="00847234">
        <w:rPr>
          <w:rFonts w:ascii="Arial" w:hAnsi="Arial" w:cs="Arial"/>
          <w:bCs/>
        </w:rPr>
        <w:t>segundo</w:t>
      </w:r>
      <w:r w:rsidR="0028349D" w:rsidRPr="00847234">
        <w:rPr>
          <w:rFonts w:ascii="Arial" w:hAnsi="Arial" w:cs="Arial"/>
          <w:bCs/>
        </w:rPr>
        <w:t xml:space="preserve"> complementa la regla anterior con una de trato preferente</w:t>
      </w:r>
      <w:r w:rsidR="00D55BB5" w:rsidRPr="00847234">
        <w:rPr>
          <w:rFonts w:ascii="Arial" w:hAnsi="Arial" w:cs="Arial"/>
          <w:bCs/>
        </w:rPr>
        <w:t xml:space="preserve"> </w:t>
      </w:r>
      <w:r w:rsidR="00525353" w:rsidRPr="00847234">
        <w:rPr>
          <w:rFonts w:ascii="Arial" w:hAnsi="Arial" w:cs="Arial"/>
          <w:bCs/>
        </w:rPr>
        <w:t xml:space="preserve">aplicable a los </w:t>
      </w:r>
      <w:r w:rsidR="0028349D" w:rsidRPr="00847234">
        <w:rPr>
          <w:rFonts w:ascii="Arial" w:hAnsi="Arial" w:cs="Arial"/>
          <w:bCs/>
        </w:rPr>
        <w:t xml:space="preserve">transportistas y los distribuidores responsables de la Red Nacional de Transmisión y las Redes Generales de Distribución </w:t>
      </w:r>
      <w:r w:rsidR="00D55BB5" w:rsidRPr="00847234">
        <w:rPr>
          <w:rFonts w:ascii="Arial" w:hAnsi="Arial" w:cs="Arial"/>
          <w:bCs/>
        </w:rPr>
        <w:t xml:space="preserve">a favor </w:t>
      </w:r>
      <w:r w:rsidR="0028349D" w:rsidRPr="00847234">
        <w:rPr>
          <w:rFonts w:ascii="Arial" w:hAnsi="Arial" w:cs="Arial"/>
          <w:bCs/>
        </w:rPr>
        <w:t>de las Centrales Eléctricas Legadas</w:t>
      </w:r>
      <w:r w:rsidR="00BB4563" w:rsidRPr="00847234">
        <w:rPr>
          <w:rStyle w:val="Refdenotaalpie"/>
          <w:rFonts w:ascii="Arial" w:hAnsi="Arial" w:cs="Arial"/>
          <w:bCs/>
        </w:rPr>
        <w:footnoteReference w:id="7"/>
      </w:r>
      <w:r w:rsidR="0028349D" w:rsidRPr="00847234">
        <w:rPr>
          <w:rFonts w:ascii="Arial" w:hAnsi="Arial" w:cs="Arial"/>
          <w:bCs/>
        </w:rPr>
        <w:t xml:space="preserve"> y las Centrales Externas Legadas</w:t>
      </w:r>
      <w:r w:rsidR="00BB4563" w:rsidRPr="00847234">
        <w:rPr>
          <w:rStyle w:val="Refdenotaalpie"/>
          <w:rFonts w:ascii="Arial" w:hAnsi="Arial" w:cs="Arial"/>
          <w:bCs/>
        </w:rPr>
        <w:footnoteReference w:id="8"/>
      </w:r>
      <w:r w:rsidR="0028349D" w:rsidRPr="00847234">
        <w:rPr>
          <w:rFonts w:ascii="Arial" w:hAnsi="Arial" w:cs="Arial"/>
          <w:bCs/>
        </w:rPr>
        <w:t xml:space="preserve"> con compromiso de entrega física</w:t>
      </w:r>
      <w:r w:rsidR="00F765E9" w:rsidRPr="00847234">
        <w:rPr>
          <w:rFonts w:ascii="Arial" w:hAnsi="Arial" w:cs="Arial"/>
          <w:bCs/>
        </w:rPr>
        <w:t xml:space="preserve">. La última </w:t>
      </w:r>
      <w:r w:rsidR="0028349D" w:rsidRPr="00847234">
        <w:rPr>
          <w:rFonts w:ascii="Arial" w:hAnsi="Arial" w:cs="Arial"/>
          <w:bCs/>
        </w:rPr>
        <w:t>de las normas elim</w:t>
      </w:r>
      <w:r w:rsidR="00F765E9" w:rsidRPr="00847234">
        <w:rPr>
          <w:rFonts w:ascii="Arial" w:hAnsi="Arial" w:cs="Arial"/>
          <w:bCs/>
        </w:rPr>
        <w:t>in</w:t>
      </w:r>
      <w:r w:rsidR="0028349D" w:rsidRPr="00847234">
        <w:rPr>
          <w:rFonts w:ascii="Arial" w:hAnsi="Arial" w:cs="Arial"/>
          <w:bCs/>
        </w:rPr>
        <w:t>a las restricciones temporales y de propiedad de acceso a los certificado</w:t>
      </w:r>
      <w:r w:rsidR="0095184D" w:rsidRPr="00847234">
        <w:rPr>
          <w:rFonts w:ascii="Arial" w:hAnsi="Arial" w:cs="Arial"/>
          <w:bCs/>
        </w:rPr>
        <w:t>s</w:t>
      </w:r>
      <w:r w:rsidR="0028349D" w:rsidRPr="00847234">
        <w:rPr>
          <w:rFonts w:ascii="Arial" w:hAnsi="Arial" w:cs="Arial"/>
          <w:bCs/>
        </w:rPr>
        <w:t xml:space="preserve"> de energía limpias.</w:t>
      </w:r>
      <w:r w:rsidR="00BB4563" w:rsidRPr="00847234">
        <w:rPr>
          <w:rStyle w:val="Refdenotaalpie"/>
          <w:rFonts w:ascii="Arial" w:hAnsi="Arial" w:cs="Arial"/>
          <w:bCs/>
        </w:rPr>
        <w:footnoteReference w:id="9"/>
      </w:r>
    </w:p>
    <w:p w14:paraId="1BD95F95" w14:textId="7D34A833" w:rsidR="0028349D" w:rsidRPr="00847234" w:rsidRDefault="0028349D" w:rsidP="006A2626">
      <w:pPr>
        <w:tabs>
          <w:tab w:val="left" w:pos="0"/>
        </w:tabs>
        <w:spacing w:line="360" w:lineRule="auto"/>
        <w:jc w:val="both"/>
        <w:rPr>
          <w:rFonts w:ascii="Arial" w:hAnsi="Arial" w:cs="Arial"/>
          <w:bCs/>
        </w:rPr>
      </w:pPr>
    </w:p>
    <w:p w14:paraId="68259AE5" w14:textId="3317C39C" w:rsidR="0028349D" w:rsidRPr="00847234" w:rsidRDefault="0028349D" w:rsidP="006A2626">
      <w:pPr>
        <w:tabs>
          <w:tab w:val="left" w:pos="0"/>
        </w:tabs>
        <w:spacing w:line="360" w:lineRule="auto"/>
        <w:jc w:val="both"/>
        <w:rPr>
          <w:rFonts w:ascii="Arial" w:hAnsi="Arial" w:cs="Arial"/>
          <w:bCs/>
        </w:rPr>
      </w:pPr>
      <w:r w:rsidRPr="00847234">
        <w:rPr>
          <w:rFonts w:ascii="Arial" w:hAnsi="Arial" w:cs="Arial"/>
          <w:bCs/>
        </w:rPr>
        <w:lastRenderedPageBreak/>
        <w:t xml:space="preserve">El resto de los artículos de este mismo conjunto </w:t>
      </w:r>
      <w:r w:rsidR="00D55BB5" w:rsidRPr="00847234">
        <w:rPr>
          <w:rFonts w:ascii="Arial" w:hAnsi="Arial" w:cs="Arial"/>
          <w:bCs/>
        </w:rPr>
        <w:t>no</w:t>
      </w:r>
      <w:r w:rsidRPr="00847234">
        <w:rPr>
          <w:rFonts w:ascii="Arial" w:hAnsi="Arial" w:cs="Arial"/>
          <w:bCs/>
        </w:rPr>
        <w:t xml:space="preserve"> añade alguna regulación sustantiva</w:t>
      </w:r>
      <w:r w:rsidR="004C4D9D" w:rsidRPr="00847234">
        <w:rPr>
          <w:rFonts w:ascii="Arial" w:hAnsi="Arial" w:cs="Arial"/>
          <w:bCs/>
        </w:rPr>
        <w:t xml:space="preserve"> relevante</w:t>
      </w:r>
      <w:r w:rsidRPr="00847234">
        <w:rPr>
          <w:rFonts w:ascii="Arial" w:hAnsi="Arial" w:cs="Arial"/>
          <w:bCs/>
        </w:rPr>
        <w:t>, sino que se trata de normas accesorias</w:t>
      </w:r>
      <w:r w:rsidR="00783BDC" w:rsidRPr="00847234">
        <w:rPr>
          <w:rFonts w:ascii="Arial" w:hAnsi="Arial" w:cs="Arial"/>
          <w:bCs/>
        </w:rPr>
        <w:t xml:space="preserve">. En todo caso, </w:t>
      </w:r>
      <w:r w:rsidRPr="00847234">
        <w:rPr>
          <w:rFonts w:ascii="Arial" w:hAnsi="Arial" w:cs="Arial"/>
          <w:bCs/>
        </w:rPr>
        <w:t xml:space="preserve">de haberse logrado la mayoría calificada para invalidar algunas de las otras tres normas </w:t>
      </w:r>
      <w:r w:rsidR="008E49CB" w:rsidRPr="00847234">
        <w:rPr>
          <w:rFonts w:ascii="Arial" w:hAnsi="Arial" w:cs="Arial"/>
          <w:bCs/>
        </w:rPr>
        <w:t xml:space="preserve">principales, </w:t>
      </w:r>
      <w:r w:rsidR="00384343" w:rsidRPr="00847234">
        <w:rPr>
          <w:rFonts w:ascii="Arial" w:hAnsi="Arial" w:cs="Arial"/>
          <w:bCs/>
        </w:rPr>
        <w:t xml:space="preserve">se habrían </w:t>
      </w:r>
      <w:r w:rsidR="00D84925" w:rsidRPr="00847234">
        <w:rPr>
          <w:rFonts w:ascii="Arial" w:hAnsi="Arial" w:cs="Arial"/>
          <w:bCs/>
        </w:rPr>
        <w:t>podido invalida</w:t>
      </w:r>
      <w:r w:rsidR="00E444C1" w:rsidRPr="00847234">
        <w:rPr>
          <w:rFonts w:ascii="Arial" w:hAnsi="Arial" w:cs="Arial"/>
          <w:bCs/>
        </w:rPr>
        <w:t>r esas normas accesorias</w:t>
      </w:r>
      <w:r w:rsidR="00D55BB5" w:rsidRPr="00847234">
        <w:rPr>
          <w:rFonts w:ascii="Arial" w:hAnsi="Arial" w:cs="Arial"/>
          <w:bCs/>
        </w:rPr>
        <w:t>, por extensión</w:t>
      </w:r>
      <w:r w:rsidRPr="00847234">
        <w:rPr>
          <w:rFonts w:ascii="Arial" w:hAnsi="Arial" w:cs="Arial"/>
          <w:bCs/>
        </w:rPr>
        <w:t xml:space="preserve"> de efectos, en términos del artículo </w:t>
      </w:r>
      <w:r w:rsidR="001A0C9F" w:rsidRPr="00847234">
        <w:rPr>
          <w:rFonts w:ascii="Arial" w:hAnsi="Arial" w:cs="Arial"/>
          <w:bCs/>
        </w:rPr>
        <w:t>41, fracción IV</w:t>
      </w:r>
      <w:r w:rsidR="00384343" w:rsidRPr="00847234">
        <w:rPr>
          <w:rFonts w:ascii="Arial" w:hAnsi="Arial" w:cs="Arial"/>
          <w:bCs/>
        </w:rPr>
        <w:t>,</w:t>
      </w:r>
      <w:r w:rsidR="001A0C9F" w:rsidRPr="00847234">
        <w:rPr>
          <w:rFonts w:ascii="Arial" w:hAnsi="Arial" w:cs="Arial"/>
          <w:bCs/>
        </w:rPr>
        <w:t xml:space="preserve"> de la Ley Reglamentaria</w:t>
      </w:r>
      <w:r w:rsidR="00DB4C90" w:rsidRPr="00847234">
        <w:rPr>
          <w:rFonts w:ascii="Arial" w:hAnsi="Arial" w:cs="Arial"/>
          <w:bCs/>
        </w:rPr>
        <w:t xml:space="preserve"> de las acciones de inconstitucionalidad. </w:t>
      </w:r>
      <w:r w:rsidR="00054B77" w:rsidRPr="00847234">
        <w:rPr>
          <w:rFonts w:ascii="Arial" w:hAnsi="Arial" w:cs="Arial"/>
          <w:bCs/>
        </w:rPr>
        <w:t xml:space="preserve">En tanto el Pleno no </w:t>
      </w:r>
      <w:r w:rsidR="00D55BB5" w:rsidRPr="00847234">
        <w:rPr>
          <w:rFonts w:ascii="Arial" w:hAnsi="Arial" w:cs="Arial"/>
          <w:bCs/>
        </w:rPr>
        <w:t>discutió est</w:t>
      </w:r>
      <w:r w:rsidR="007B77F6" w:rsidRPr="00847234">
        <w:rPr>
          <w:rFonts w:ascii="Arial" w:hAnsi="Arial" w:cs="Arial"/>
          <w:bCs/>
        </w:rPr>
        <w:t xml:space="preserve">a cuestión, </w:t>
      </w:r>
      <w:r w:rsidR="00054B77" w:rsidRPr="00847234">
        <w:rPr>
          <w:rFonts w:ascii="Arial" w:hAnsi="Arial" w:cs="Arial"/>
          <w:bCs/>
        </w:rPr>
        <w:t xml:space="preserve">no </w:t>
      </w:r>
      <w:r w:rsidR="007B77F6" w:rsidRPr="00847234">
        <w:rPr>
          <w:rFonts w:ascii="Arial" w:hAnsi="Arial" w:cs="Arial"/>
          <w:bCs/>
        </w:rPr>
        <w:t>haré mayor referencia al respecto.</w:t>
      </w:r>
    </w:p>
    <w:p w14:paraId="73561B19" w14:textId="77777777" w:rsidR="00846E1E" w:rsidRPr="00847234" w:rsidRDefault="00846E1E" w:rsidP="006A2626">
      <w:pPr>
        <w:tabs>
          <w:tab w:val="left" w:pos="0"/>
        </w:tabs>
        <w:spacing w:line="360" w:lineRule="auto"/>
        <w:jc w:val="both"/>
        <w:rPr>
          <w:rFonts w:ascii="Arial" w:hAnsi="Arial" w:cs="Arial"/>
          <w:bCs/>
          <w:i/>
          <w:iCs/>
        </w:rPr>
      </w:pPr>
    </w:p>
    <w:p w14:paraId="06E176FB" w14:textId="0E275956" w:rsidR="00E56FE2" w:rsidRPr="00847234" w:rsidRDefault="002760F0" w:rsidP="00D738AB">
      <w:pPr>
        <w:tabs>
          <w:tab w:val="left" w:pos="0"/>
        </w:tabs>
        <w:spacing w:line="360" w:lineRule="auto"/>
        <w:jc w:val="both"/>
        <w:rPr>
          <w:rFonts w:ascii="Arial" w:hAnsi="Arial" w:cs="Arial"/>
          <w:bCs/>
          <w:i/>
          <w:iCs/>
        </w:rPr>
      </w:pPr>
      <w:r w:rsidRPr="00847234">
        <w:rPr>
          <w:rFonts w:ascii="Arial" w:hAnsi="Arial" w:cs="Arial"/>
          <w:bCs/>
          <w:i/>
          <w:iCs/>
        </w:rPr>
        <w:t xml:space="preserve">Un </w:t>
      </w:r>
      <w:r w:rsidR="00A95E2D" w:rsidRPr="00847234">
        <w:rPr>
          <w:rFonts w:ascii="Arial" w:hAnsi="Arial" w:cs="Arial"/>
          <w:bCs/>
          <w:i/>
          <w:iCs/>
        </w:rPr>
        <w:t>segundo conjunto</w:t>
      </w:r>
      <w:r w:rsidR="00607455" w:rsidRPr="00847234">
        <w:rPr>
          <w:rFonts w:ascii="Arial" w:hAnsi="Arial" w:cs="Arial"/>
          <w:bCs/>
          <w:i/>
          <w:iCs/>
        </w:rPr>
        <w:t xml:space="preserve"> </w:t>
      </w:r>
      <w:r w:rsidR="00607455" w:rsidRPr="00847234">
        <w:rPr>
          <w:rFonts w:ascii="Arial" w:hAnsi="Arial" w:cs="Arial"/>
          <w:bCs/>
        </w:rPr>
        <w:t xml:space="preserve">debió integrarse </w:t>
      </w:r>
      <w:r w:rsidR="000F4977" w:rsidRPr="00847234">
        <w:rPr>
          <w:rFonts w:ascii="Arial" w:hAnsi="Arial" w:cs="Arial"/>
          <w:bCs/>
        </w:rPr>
        <w:t>por</w:t>
      </w:r>
      <w:r w:rsidR="00DF085B" w:rsidRPr="00847234">
        <w:rPr>
          <w:rFonts w:ascii="Arial" w:hAnsi="Arial" w:cs="Arial"/>
          <w:bCs/>
        </w:rPr>
        <w:t xml:space="preserve"> los </w:t>
      </w:r>
      <w:r w:rsidR="006A2626" w:rsidRPr="00847234">
        <w:rPr>
          <w:rFonts w:ascii="Arial" w:hAnsi="Arial" w:cs="Arial"/>
          <w:bCs/>
        </w:rPr>
        <w:t>artículos 4, fracción I, 12, fracción I, 35, 108, fracción V, así como los tercero y cuarto transitorio</w:t>
      </w:r>
      <w:r w:rsidR="00DF085B" w:rsidRPr="00847234">
        <w:rPr>
          <w:rFonts w:ascii="Arial" w:hAnsi="Arial" w:cs="Arial"/>
          <w:bCs/>
        </w:rPr>
        <w:t xml:space="preserve">; normas independientes que </w:t>
      </w:r>
      <w:r w:rsidR="006A2626" w:rsidRPr="00847234">
        <w:rPr>
          <w:rFonts w:ascii="Arial" w:hAnsi="Arial" w:cs="Arial"/>
          <w:bCs/>
        </w:rPr>
        <w:t xml:space="preserve">se refieren a reglas aplicables al Sistema </w:t>
      </w:r>
      <w:r w:rsidR="00DF085B" w:rsidRPr="00847234">
        <w:rPr>
          <w:rFonts w:ascii="Arial" w:hAnsi="Arial" w:cs="Arial"/>
          <w:bCs/>
        </w:rPr>
        <w:t>Eléctrico</w:t>
      </w:r>
      <w:r w:rsidR="006A2626" w:rsidRPr="00847234">
        <w:rPr>
          <w:rFonts w:ascii="Arial" w:hAnsi="Arial" w:cs="Arial"/>
          <w:bCs/>
        </w:rPr>
        <w:t xml:space="preserve"> Nacional</w:t>
      </w:r>
      <w:r w:rsidR="00BB4563" w:rsidRPr="00847234">
        <w:rPr>
          <w:rStyle w:val="Refdenotaalpie"/>
          <w:rFonts w:ascii="Arial" w:hAnsi="Arial" w:cs="Arial"/>
          <w:bCs/>
        </w:rPr>
        <w:footnoteReference w:id="10"/>
      </w:r>
      <w:r w:rsidR="006A2626" w:rsidRPr="00847234">
        <w:rPr>
          <w:rFonts w:ascii="Arial" w:hAnsi="Arial" w:cs="Arial"/>
          <w:bCs/>
        </w:rPr>
        <w:t xml:space="preserve"> de una manera </w:t>
      </w:r>
      <w:r w:rsidR="00B16F0C" w:rsidRPr="00847234">
        <w:rPr>
          <w:rFonts w:ascii="Arial" w:hAnsi="Arial" w:cs="Arial"/>
          <w:bCs/>
        </w:rPr>
        <w:t>autónoma</w:t>
      </w:r>
      <w:r w:rsidR="006A2626" w:rsidRPr="00847234">
        <w:rPr>
          <w:rFonts w:ascii="Arial" w:hAnsi="Arial" w:cs="Arial"/>
          <w:bCs/>
        </w:rPr>
        <w:t xml:space="preserve"> al orden de despacho y a las nuevas figuras contractuales.</w:t>
      </w:r>
      <w:r w:rsidR="003D1F70" w:rsidRPr="00847234">
        <w:rPr>
          <w:rFonts w:ascii="Arial" w:hAnsi="Arial" w:cs="Arial"/>
          <w:bCs/>
        </w:rPr>
        <w:t xml:space="preserve"> </w:t>
      </w:r>
    </w:p>
    <w:p w14:paraId="214148F7" w14:textId="77777777" w:rsidR="00E56FE2" w:rsidRPr="00847234" w:rsidRDefault="00E56FE2" w:rsidP="00D738AB">
      <w:pPr>
        <w:tabs>
          <w:tab w:val="left" w:pos="0"/>
        </w:tabs>
        <w:spacing w:line="360" w:lineRule="auto"/>
        <w:jc w:val="both"/>
        <w:rPr>
          <w:rFonts w:ascii="Arial" w:hAnsi="Arial" w:cs="Arial"/>
          <w:bCs/>
        </w:rPr>
      </w:pPr>
    </w:p>
    <w:p w14:paraId="1E94EEED" w14:textId="3C5DD734" w:rsidR="00DD7B26" w:rsidRPr="00847234" w:rsidRDefault="00E56FE2" w:rsidP="00D738AB">
      <w:pPr>
        <w:tabs>
          <w:tab w:val="left" w:pos="0"/>
        </w:tabs>
        <w:spacing w:line="360" w:lineRule="auto"/>
        <w:jc w:val="both"/>
        <w:rPr>
          <w:rFonts w:ascii="Arial" w:hAnsi="Arial" w:cs="Arial"/>
          <w:bCs/>
        </w:rPr>
      </w:pPr>
      <w:r w:rsidRPr="00847234">
        <w:rPr>
          <w:rFonts w:ascii="Arial" w:hAnsi="Arial" w:cs="Arial"/>
          <w:bCs/>
        </w:rPr>
        <w:t xml:space="preserve">Ahora bien, el </w:t>
      </w:r>
      <w:r w:rsidR="00597282" w:rsidRPr="00847234">
        <w:rPr>
          <w:rFonts w:ascii="Arial" w:hAnsi="Arial" w:cs="Arial"/>
          <w:bCs/>
        </w:rPr>
        <w:t xml:space="preserve">proyecto que la </w:t>
      </w:r>
      <w:r w:rsidR="003D1F70" w:rsidRPr="00847234">
        <w:rPr>
          <w:rFonts w:ascii="Arial" w:hAnsi="Arial" w:cs="Arial"/>
          <w:bCs/>
        </w:rPr>
        <w:t>m</w:t>
      </w:r>
      <w:r w:rsidR="00597282" w:rsidRPr="00847234">
        <w:rPr>
          <w:rFonts w:ascii="Arial" w:hAnsi="Arial" w:cs="Arial"/>
          <w:bCs/>
        </w:rPr>
        <w:t>inistra ponente sometió a la consideración del Pleno se estructuró en siete apartados</w:t>
      </w:r>
      <w:r w:rsidR="00F3634F" w:rsidRPr="00847234">
        <w:rPr>
          <w:rFonts w:ascii="Arial" w:hAnsi="Arial" w:cs="Arial"/>
          <w:bCs/>
        </w:rPr>
        <w:t xml:space="preserve">. En cada uno </w:t>
      </w:r>
      <w:r w:rsidR="00597282" w:rsidRPr="00847234">
        <w:rPr>
          <w:rFonts w:ascii="Arial" w:hAnsi="Arial" w:cs="Arial"/>
          <w:bCs/>
        </w:rPr>
        <w:t>se abordó un tema distinto</w:t>
      </w:r>
      <w:r w:rsidR="006239DE" w:rsidRPr="00847234">
        <w:rPr>
          <w:rFonts w:ascii="Arial" w:hAnsi="Arial" w:cs="Arial"/>
          <w:bCs/>
        </w:rPr>
        <w:t xml:space="preserve"> respecto de la totalidad de las normas impugnadas</w:t>
      </w:r>
      <w:r w:rsidR="00597282" w:rsidRPr="00847234">
        <w:rPr>
          <w:rFonts w:ascii="Arial" w:hAnsi="Arial" w:cs="Arial"/>
          <w:bCs/>
        </w:rPr>
        <w:t>.</w:t>
      </w:r>
      <w:r w:rsidR="00DD7B26" w:rsidRPr="00847234">
        <w:rPr>
          <w:rFonts w:ascii="Arial" w:hAnsi="Arial" w:cs="Arial"/>
          <w:bCs/>
        </w:rPr>
        <w:t xml:space="preserve"> De los siete apartados, </w:t>
      </w:r>
      <w:r w:rsidR="00870C3E" w:rsidRPr="00847234">
        <w:rPr>
          <w:rFonts w:ascii="Arial" w:hAnsi="Arial" w:cs="Arial"/>
          <w:bCs/>
        </w:rPr>
        <w:t xml:space="preserve">fue en el </w:t>
      </w:r>
      <w:r w:rsidR="00DD7B26" w:rsidRPr="00847234">
        <w:rPr>
          <w:rFonts w:ascii="Arial" w:hAnsi="Arial" w:cs="Arial"/>
          <w:bCs/>
        </w:rPr>
        <w:t xml:space="preserve">primero y </w:t>
      </w:r>
      <w:r w:rsidR="00870C3E" w:rsidRPr="00847234">
        <w:rPr>
          <w:rFonts w:ascii="Arial" w:hAnsi="Arial" w:cs="Arial"/>
          <w:bCs/>
        </w:rPr>
        <w:t xml:space="preserve">el </w:t>
      </w:r>
      <w:r w:rsidR="00DD7B26" w:rsidRPr="00847234">
        <w:rPr>
          <w:rFonts w:ascii="Arial" w:hAnsi="Arial" w:cs="Arial"/>
          <w:bCs/>
        </w:rPr>
        <w:t>tercero (identificados como A y C)</w:t>
      </w:r>
      <w:r w:rsidR="0000684D" w:rsidRPr="00847234">
        <w:rPr>
          <w:rFonts w:ascii="Arial" w:hAnsi="Arial" w:cs="Arial"/>
          <w:bCs/>
        </w:rPr>
        <w:t xml:space="preserve"> </w:t>
      </w:r>
      <w:r w:rsidR="00870C3E" w:rsidRPr="00847234">
        <w:rPr>
          <w:rFonts w:ascii="Arial" w:hAnsi="Arial" w:cs="Arial"/>
          <w:bCs/>
        </w:rPr>
        <w:t xml:space="preserve">donde </w:t>
      </w:r>
      <w:r w:rsidR="00F93ABC" w:rsidRPr="00847234">
        <w:rPr>
          <w:rFonts w:ascii="Arial" w:hAnsi="Arial" w:cs="Arial"/>
          <w:bCs/>
        </w:rPr>
        <w:t xml:space="preserve">se colocaron </w:t>
      </w:r>
      <w:r w:rsidR="0000684D" w:rsidRPr="00847234">
        <w:rPr>
          <w:rFonts w:ascii="Arial" w:hAnsi="Arial" w:cs="Arial"/>
          <w:bCs/>
        </w:rPr>
        <w:t xml:space="preserve">las dos preguntas de fondo más relevantes </w:t>
      </w:r>
      <w:r w:rsidR="00E6095B" w:rsidRPr="00847234">
        <w:rPr>
          <w:rFonts w:ascii="Arial" w:hAnsi="Arial" w:cs="Arial"/>
          <w:bCs/>
        </w:rPr>
        <w:t>para de</w:t>
      </w:r>
      <w:r w:rsidR="000665FA" w:rsidRPr="00847234">
        <w:rPr>
          <w:rFonts w:ascii="Arial" w:hAnsi="Arial" w:cs="Arial"/>
          <w:bCs/>
        </w:rPr>
        <w:t>cidir l</w:t>
      </w:r>
      <w:r w:rsidR="00E6095B" w:rsidRPr="00847234">
        <w:rPr>
          <w:rFonts w:ascii="Arial" w:hAnsi="Arial" w:cs="Arial"/>
          <w:bCs/>
        </w:rPr>
        <w:t>a validez del circuito normativo impugnado</w:t>
      </w:r>
      <w:r w:rsidR="007B77F6" w:rsidRPr="00847234">
        <w:rPr>
          <w:rFonts w:ascii="Arial" w:hAnsi="Arial" w:cs="Arial"/>
          <w:bCs/>
        </w:rPr>
        <w:t xml:space="preserve"> que identifi</w:t>
      </w:r>
      <w:r w:rsidR="004C4D9D" w:rsidRPr="00847234">
        <w:rPr>
          <w:rFonts w:ascii="Arial" w:hAnsi="Arial" w:cs="Arial"/>
          <w:bCs/>
        </w:rPr>
        <w:t>qué</w:t>
      </w:r>
      <w:r w:rsidR="007B77F6" w:rsidRPr="00847234">
        <w:rPr>
          <w:rFonts w:ascii="Arial" w:hAnsi="Arial" w:cs="Arial"/>
          <w:bCs/>
        </w:rPr>
        <w:t xml:space="preserve"> </w:t>
      </w:r>
      <w:r w:rsidR="007129BA" w:rsidRPr="00847234">
        <w:rPr>
          <w:rFonts w:ascii="Arial" w:hAnsi="Arial" w:cs="Arial"/>
          <w:bCs/>
        </w:rPr>
        <w:t xml:space="preserve">como primer conjunto normativo. </w:t>
      </w:r>
      <w:r w:rsidR="00E6095B" w:rsidRPr="00847234">
        <w:rPr>
          <w:rFonts w:ascii="Arial" w:hAnsi="Arial" w:cs="Arial"/>
          <w:bCs/>
        </w:rPr>
        <w:t xml:space="preserve"> En el primero</w:t>
      </w:r>
      <w:r w:rsidR="004C4D9D" w:rsidRPr="00847234">
        <w:rPr>
          <w:rFonts w:ascii="Arial" w:hAnsi="Arial" w:cs="Arial"/>
          <w:bCs/>
        </w:rPr>
        <w:t xml:space="preserve"> de esos apartados</w:t>
      </w:r>
      <w:r w:rsidR="00E6095B" w:rsidRPr="00847234">
        <w:rPr>
          <w:rFonts w:ascii="Arial" w:hAnsi="Arial" w:cs="Arial"/>
          <w:bCs/>
        </w:rPr>
        <w:t>, el proyect</w:t>
      </w:r>
      <w:r w:rsidR="007129BA" w:rsidRPr="00847234">
        <w:rPr>
          <w:rFonts w:ascii="Arial" w:hAnsi="Arial" w:cs="Arial"/>
          <w:bCs/>
        </w:rPr>
        <w:t xml:space="preserve">o </w:t>
      </w:r>
      <w:r w:rsidR="00E6095B" w:rsidRPr="00847234">
        <w:rPr>
          <w:rFonts w:ascii="Arial" w:hAnsi="Arial" w:cs="Arial"/>
          <w:bCs/>
        </w:rPr>
        <w:t>preguntó</w:t>
      </w:r>
      <w:r w:rsidR="007129BA" w:rsidRPr="00847234">
        <w:rPr>
          <w:rFonts w:ascii="Arial" w:hAnsi="Arial" w:cs="Arial"/>
          <w:bCs/>
        </w:rPr>
        <w:t>:</w:t>
      </w:r>
      <w:r w:rsidR="00E6095B" w:rsidRPr="00847234">
        <w:rPr>
          <w:rFonts w:ascii="Arial" w:hAnsi="Arial" w:cs="Arial"/>
          <w:bCs/>
        </w:rPr>
        <w:t xml:space="preserve"> ¿</w:t>
      </w:r>
      <w:r w:rsidR="00C177C4" w:rsidRPr="00847234">
        <w:rPr>
          <w:rFonts w:ascii="Arial" w:hAnsi="Arial" w:cs="Arial"/>
          <w:bCs/>
        </w:rPr>
        <w:t>L</w:t>
      </w:r>
      <w:r w:rsidR="00E6095B" w:rsidRPr="00847234">
        <w:rPr>
          <w:rFonts w:ascii="Arial" w:hAnsi="Arial" w:cs="Arial"/>
          <w:bCs/>
        </w:rPr>
        <w:t>as normas combatidas violan el principio de libre competencia y concurrencia?</w:t>
      </w:r>
      <w:r w:rsidR="007129BA" w:rsidRPr="00847234">
        <w:rPr>
          <w:rFonts w:ascii="Arial" w:hAnsi="Arial" w:cs="Arial"/>
          <w:bCs/>
        </w:rPr>
        <w:t xml:space="preserve"> En el segundo: </w:t>
      </w:r>
      <w:r w:rsidR="00E6095B" w:rsidRPr="00847234">
        <w:rPr>
          <w:rFonts w:ascii="Arial" w:hAnsi="Arial" w:cs="Arial"/>
          <w:bCs/>
        </w:rPr>
        <w:t>¿</w:t>
      </w:r>
      <w:r w:rsidR="007129BA" w:rsidRPr="00847234">
        <w:rPr>
          <w:rFonts w:ascii="Arial" w:hAnsi="Arial" w:cs="Arial"/>
          <w:bCs/>
        </w:rPr>
        <w:t xml:space="preserve">Se viola </w:t>
      </w:r>
      <w:r w:rsidR="00E6095B" w:rsidRPr="00847234">
        <w:rPr>
          <w:rFonts w:ascii="Arial" w:hAnsi="Arial" w:cs="Arial"/>
          <w:bCs/>
        </w:rPr>
        <w:t>el derecho humano a</w:t>
      </w:r>
      <w:r w:rsidR="00E47792">
        <w:rPr>
          <w:rFonts w:ascii="Arial" w:hAnsi="Arial" w:cs="Arial"/>
          <w:bCs/>
        </w:rPr>
        <w:t>l</w:t>
      </w:r>
      <w:r w:rsidR="00E6095B" w:rsidRPr="00847234">
        <w:rPr>
          <w:rFonts w:ascii="Arial" w:hAnsi="Arial" w:cs="Arial"/>
          <w:bCs/>
        </w:rPr>
        <w:t xml:space="preserve"> medio ambiente?</w:t>
      </w:r>
    </w:p>
    <w:p w14:paraId="78CFD255" w14:textId="77777777" w:rsidR="00A84AB9" w:rsidRDefault="00A84AB9" w:rsidP="00E6095B">
      <w:pPr>
        <w:spacing w:line="360" w:lineRule="auto"/>
        <w:jc w:val="both"/>
        <w:rPr>
          <w:rFonts w:ascii="Arial" w:hAnsi="Arial" w:cs="Arial"/>
          <w:bCs/>
        </w:rPr>
      </w:pPr>
    </w:p>
    <w:p w14:paraId="73AF887A" w14:textId="35DD35D5" w:rsidR="00D2717A" w:rsidRPr="00847234" w:rsidRDefault="009527E4" w:rsidP="00E6095B">
      <w:pPr>
        <w:spacing w:line="360" w:lineRule="auto"/>
        <w:jc w:val="both"/>
        <w:rPr>
          <w:rFonts w:ascii="Arial" w:hAnsi="Arial" w:cs="Arial"/>
          <w:bCs/>
        </w:rPr>
      </w:pPr>
      <w:r w:rsidRPr="00847234">
        <w:rPr>
          <w:rFonts w:ascii="Arial" w:hAnsi="Arial" w:cs="Arial"/>
          <w:bCs/>
        </w:rPr>
        <w:t xml:space="preserve">Esta división metodológica </w:t>
      </w:r>
      <w:r w:rsidR="003A70F6" w:rsidRPr="00847234">
        <w:rPr>
          <w:rFonts w:ascii="Arial" w:hAnsi="Arial" w:cs="Arial"/>
          <w:bCs/>
        </w:rPr>
        <w:t xml:space="preserve">y la organización de los apartados </w:t>
      </w:r>
      <w:r w:rsidRPr="00847234">
        <w:rPr>
          <w:rFonts w:ascii="Arial" w:hAnsi="Arial" w:cs="Arial"/>
          <w:bCs/>
        </w:rPr>
        <w:t>fue decisión de la ministra ponente</w:t>
      </w:r>
      <w:r w:rsidR="00E078E3" w:rsidRPr="00847234">
        <w:rPr>
          <w:rFonts w:ascii="Arial" w:hAnsi="Arial" w:cs="Arial"/>
          <w:bCs/>
        </w:rPr>
        <w:t>.</w:t>
      </w:r>
      <w:r w:rsidR="00085DA6" w:rsidRPr="00847234">
        <w:rPr>
          <w:rFonts w:ascii="Arial" w:hAnsi="Arial" w:cs="Arial"/>
          <w:bCs/>
        </w:rPr>
        <w:t xml:space="preserve"> A partir de esta propuesta, el </w:t>
      </w:r>
      <w:r w:rsidR="00E078E3" w:rsidRPr="00847234">
        <w:rPr>
          <w:rFonts w:ascii="Arial" w:hAnsi="Arial" w:cs="Arial"/>
          <w:bCs/>
        </w:rPr>
        <w:t xml:space="preserve">Pleno acordó que cada </w:t>
      </w:r>
      <w:r w:rsidR="0007351A" w:rsidRPr="00847234">
        <w:rPr>
          <w:rFonts w:ascii="Arial" w:hAnsi="Arial" w:cs="Arial"/>
          <w:bCs/>
        </w:rPr>
        <w:t xml:space="preserve">uno de sus miembros </w:t>
      </w:r>
      <w:r w:rsidR="005D06D6" w:rsidRPr="00847234">
        <w:rPr>
          <w:rFonts w:ascii="Arial" w:hAnsi="Arial" w:cs="Arial"/>
          <w:bCs/>
        </w:rPr>
        <w:t>debía pronunciarse</w:t>
      </w:r>
      <w:r w:rsidR="0007351A" w:rsidRPr="00847234">
        <w:rPr>
          <w:rFonts w:ascii="Arial" w:hAnsi="Arial" w:cs="Arial"/>
          <w:bCs/>
        </w:rPr>
        <w:t xml:space="preserve"> ordenadamente sobre cada uno</w:t>
      </w:r>
      <w:r w:rsidR="00BB4563" w:rsidRPr="00847234">
        <w:rPr>
          <w:rFonts w:ascii="Arial" w:hAnsi="Arial" w:cs="Arial"/>
          <w:bCs/>
        </w:rPr>
        <w:t xml:space="preserve"> de ellos</w:t>
      </w:r>
      <w:r w:rsidR="002B03F0" w:rsidRPr="00847234">
        <w:rPr>
          <w:rFonts w:ascii="Arial" w:hAnsi="Arial" w:cs="Arial"/>
          <w:bCs/>
        </w:rPr>
        <w:t>.</w:t>
      </w:r>
      <w:r w:rsidR="00936EF1" w:rsidRPr="00847234">
        <w:rPr>
          <w:rFonts w:ascii="Arial" w:hAnsi="Arial" w:cs="Arial"/>
          <w:bCs/>
        </w:rPr>
        <w:t xml:space="preserve"> </w:t>
      </w:r>
      <w:r w:rsidR="00D62D37" w:rsidRPr="00847234">
        <w:rPr>
          <w:rFonts w:ascii="Arial" w:hAnsi="Arial" w:cs="Arial"/>
          <w:bCs/>
        </w:rPr>
        <w:t xml:space="preserve">Me sometí a ese acuerdo y así fue como </w:t>
      </w:r>
      <w:r w:rsidR="00551013" w:rsidRPr="00847234">
        <w:rPr>
          <w:rFonts w:ascii="Arial" w:hAnsi="Arial" w:cs="Arial"/>
          <w:bCs/>
        </w:rPr>
        <w:t xml:space="preserve">emití cada uno de mis votos. En consecuencia, </w:t>
      </w:r>
      <w:r w:rsidR="00652CF1" w:rsidRPr="00847234">
        <w:rPr>
          <w:rFonts w:ascii="Arial" w:hAnsi="Arial" w:cs="Arial"/>
          <w:bCs/>
        </w:rPr>
        <w:t>concluí que l</w:t>
      </w:r>
      <w:r w:rsidR="0007351A" w:rsidRPr="00847234">
        <w:rPr>
          <w:rFonts w:ascii="Arial" w:hAnsi="Arial" w:cs="Arial"/>
          <w:bCs/>
        </w:rPr>
        <w:t>os artículos 4, fracción VI, 26 y 126, fracción</w:t>
      </w:r>
      <w:r w:rsidR="00AC34FE" w:rsidRPr="00847234">
        <w:rPr>
          <w:rFonts w:ascii="Arial" w:hAnsi="Arial" w:cs="Arial"/>
          <w:bCs/>
        </w:rPr>
        <w:t xml:space="preserve"> II</w:t>
      </w:r>
      <w:r w:rsidR="00551013" w:rsidRPr="00847234">
        <w:rPr>
          <w:rFonts w:ascii="Arial" w:hAnsi="Arial" w:cs="Arial"/>
          <w:bCs/>
        </w:rPr>
        <w:t>,</w:t>
      </w:r>
      <w:r w:rsidR="0007351A" w:rsidRPr="00847234">
        <w:rPr>
          <w:rFonts w:ascii="Arial" w:hAnsi="Arial" w:cs="Arial"/>
          <w:bCs/>
        </w:rPr>
        <w:t xml:space="preserve"> de la Ley de la Industria Eléctrica</w:t>
      </w:r>
      <w:r w:rsidR="00D2717A" w:rsidRPr="00847234">
        <w:rPr>
          <w:rFonts w:ascii="Arial" w:hAnsi="Arial" w:cs="Arial"/>
          <w:bCs/>
        </w:rPr>
        <w:t xml:space="preserve"> </w:t>
      </w:r>
      <w:r w:rsidR="00676E3D" w:rsidRPr="00847234">
        <w:rPr>
          <w:rFonts w:ascii="Arial" w:hAnsi="Arial" w:cs="Arial"/>
          <w:bCs/>
        </w:rPr>
        <w:t>no contravienen los principios de libre concurrencia y competencia</w:t>
      </w:r>
      <w:r w:rsidR="002951BC" w:rsidRPr="00847234">
        <w:rPr>
          <w:rFonts w:ascii="Arial" w:hAnsi="Arial" w:cs="Arial"/>
          <w:bCs/>
        </w:rPr>
        <w:t xml:space="preserve">, pero sí </w:t>
      </w:r>
      <w:r w:rsidR="00D2717A" w:rsidRPr="00847234">
        <w:rPr>
          <w:rFonts w:ascii="Arial" w:hAnsi="Arial" w:cs="Arial"/>
          <w:bCs/>
        </w:rPr>
        <w:t>violan el derecho al medio ambiente.</w:t>
      </w:r>
      <w:r w:rsidR="002951BC" w:rsidRPr="00847234">
        <w:rPr>
          <w:rFonts w:ascii="Arial" w:hAnsi="Arial" w:cs="Arial"/>
          <w:bCs/>
        </w:rPr>
        <w:t xml:space="preserve"> </w:t>
      </w:r>
      <w:r w:rsidR="007B3097" w:rsidRPr="00847234">
        <w:rPr>
          <w:rFonts w:ascii="Arial" w:hAnsi="Arial" w:cs="Arial"/>
          <w:bCs/>
        </w:rPr>
        <w:t>En otras palabras, los argumentos de los promoventes debían calificarse como infundado</w:t>
      </w:r>
      <w:r w:rsidR="00133F39" w:rsidRPr="00847234">
        <w:rPr>
          <w:rFonts w:ascii="Arial" w:hAnsi="Arial" w:cs="Arial"/>
          <w:bCs/>
        </w:rPr>
        <w:t>s</w:t>
      </w:r>
      <w:r w:rsidR="007B3097" w:rsidRPr="00847234">
        <w:rPr>
          <w:rFonts w:ascii="Arial" w:hAnsi="Arial" w:cs="Arial"/>
          <w:bCs/>
        </w:rPr>
        <w:t xml:space="preserve"> en el apartado A, pero fundados y suficientes para decretar</w:t>
      </w:r>
      <w:r w:rsidR="002951BC" w:rsidRPr="00847234">
        <w:rPr>
          <w:rFonts w:ascii="Arial" w:hAnsi="Arial" w:cs="Arial"/>
          <w:bCs/>
        </w:rPr>
        <w:t>, en el apartado C,</w:t>
      </w:r>
      <w:r w:rsidR="007B3097" w:rsidRPr="00847234">
        <w:rPr>
          <w:rFonts w:ascii="Arial" w:hAnsi="Arial" w:cs="Arial"/>
          <w:bCs/>
        </w:rPr>
        <w:t xml:space="preserve"> la invalidez de los </w:t>
      </w:r>
      <w:r w:rsidR="002951BC" w:rsidRPr="00847234">
        <w:rPr>
          <w:rFonts w:ascii="Arial" w:hAnsi="Arial" w:cs="Arial"/>
          <w:bCs/>
        </w:rPr>
        <w:t>artículos mencionados.</w:t>
      </w:r>
      <w:r w:rsidR="00BB4563" w:rsidRPr="00847234">
        <w:rPr>
          <w:rStyle w:val="Refdenotaalpie"/>
          <w:rFonts w:ascii="Arial" w:hAnsi="Arial" w:cs="Arial"/>
          <w:bCs/>
        </w:rPr>
        <w:footnoteReference w:id="11"/>
      </w:r>
      <w:r w:rsidR="002951BC" w:rsidRPr="00847234">
        <w:rPr>
          <w:rFonts w:ascii="Arial" w:hAnsi="Arial" w:cs="Arial"/>
          <w:bCs/>
        </w:rPr>
        <w:t xml:space="preserve"> </w:t>
      </w:r>
      <w:r w:rsidR="00D111D9" w:rsidRPr="00847234">
        <w:rPr>
          <w:rFonts w:ascii="Arial" w:hAnsi="Arial" w:cs="Arial"/>
          <w:bCs/>
        </w:rPr>
        <w:t xml:space="preserve">La </w:t>
      </w:r>
      <w:r w:rsidR="00D111D9" w:rsidRPr="00847234">
        <w:rPr>
          <w:rFonts w:ascii="Arial" w:hAnsi="Arial" w:cs="Arial"/>
          <w:bCs/>
        </w:rPr>
        <w:lastRenderedPageBreak/>
        <w:t xml:space="preserve">decisión, entonces, sobre los parámetros </w:t>
      </w:r>
      <w:r w:rsidR="00CF03FB" w:rsidRPr="00847234">
        <w:rPr>
          <w:rFonts w:ascii="Arial" w:hAnsi="Arial" w:cs="Arial"/>
          <w:bCs/>
        </w:rPr>
        <w:t xml:space="preserve">contra los </w:t>
      </w:r>
      <w:r w:rsidR="00D111D9" w:rsidRPr="00847234">
        <w:rPr>
          <w:rFonts w:ascii="Arial" w:hAnsi="Arial" w:cs="Arial"/>
          <w:bCs/>
        </w:rPr>
        <w:t xml:space="preserve">cuales se contrastan las normas </w:t>
      </w:r>
      <w:r w:rsidR="00B909DB">
        <w:rPr>
          <w:rFonts w:ascii="Arial" w:hAnsi="Arial" w:cs="Arial"/>
          <w:bCs/>
        </w:rPr>
        <w:t xml:space="preserve">y las preguntas que en torno a ella se plantean </w:t>
      </w:r>
      <w:r w:rsidR="00D111D9" w:rsidRPr="00847234">
        <w:rPr>
          <w:rFonts w:ascii="Arial" w:hAnsi="Arial" w:cs="Arial"/>
          <w:bCs/>
        </w:rPr>
        <w:t xml:space="preserve">es particularmente pertinente. </w:t>
      </w:r>
    </w:p>
    <w:p w14:paraId="3013B864" w14:textId="77777777" w:rsidR="00D2717A" w:rsidRPr="00847234" w:rsidRDefault="00D2717A" w:rsidP="00E6095B">
      <w:pPr>
        <w:spacing w:line="360" w:lineRule="auto"/>
        <w:jc w:val="both"/>
        <w:rPr>
          <w:rFonts w:ascii="Arial" w:hAnsi="Arial" w:cs="Arial"/>
          <w:bCs/>
        </w:rPr>
      </w:pPr>
    </w:p>
    <w:p w14:paraId="4D519299" w14:textId="4EC15FBF" w:rsidR="007B3097" w:rsidRPr="00847234" w:rsidRDefault="000F647A" w:rsidP="00E6095B">
      <w:pPr>
        <w:spacing w:line="360" w:lineRule="auto"/>
        <w:jc w:val="both"/>
        <w:rPr>
          <w:rFonts w:ascii="Arial" w:hAnsi="Arial" w:cs="Arial"/>
          <w:bCs/>
        </w:rPr>
      </w:pPr>
      <w:r w:rsidRPr="00847234">
        <w:rPr>
          <w:rFonts w:ascii="Arial" w:hAnsi="Arial" w:cs="Arial"/>
          <w:bCs/>
        </w:rPr>
        <w:t xml:space="preserve">Es decir, </w:t>
      </w:r>
      <w:r w:rsidR="00D2717A" w:rsidRPr="00847234">
        <w:rPr>
          <w:rFonts w:ascii="Arial" w:hAnsi="Arial" w:cs="Arial"/>
          <w:bCs/>
        </w:rPr>
        <w:t xml:space="preserve">una ley puede ser válida desde la perspectiva de una norma constitucional pero inválida a partir de otra. </w:t>
      </w:r>
      <w:r w:rsidR="002D4AD9" w:rsidRPr="00847234">
        <w:rPr>
          <w:rFonts w:ascii="Arial" w:hAnsi="Arial" w:cs="Arial"/>
          <w:bCs/>
        </w:rPr>
        <w:t>Esta forma de</w:t>
      </w:r>
      <w:r w:rsidR="00CF03FB" w:rsidRPr="00847234">
        <w:rPr>
          <w:rFonts w:ascii="Arial" w:hAnsi="Arial" w:cs="Arial"/>
          <w:bCs/>
        </w:rPr>
        <w:t xml:space="preserve"> </w:t>
      </w:r>
      <w:r w:rsidR="007B0AF7" w:rsidRPr="00847234">
        <w:rPr>
          <w:rFonts w:ascii="Arial" w:hAnsi="Arial" w:cs="Arial"/>
          <w:bCs/>
        </w:rPr>
        <w:t xml:space="preserve">hallar </w:t>
      </w:r>
      <w:r w:rsidR="002D4AD9" w:rsidRPr="00847234">
        <w:rPr>
          <w:rFonts w:ascii="Arial" w:hAnsi="Arial" w:cs="Arial"/>
          <w:bCs/>
        </w:rPr>
        <w:t xml:space="preserve">el problema constitucional y su respuesta </w:t>
      </w:r>
      <w:r w:rsidR="0092764C" w:rsidRPr="00847234">
        <w:rPr>
          <w:rFonts w:ascii="Arial" w:hAnsi="Arial" w:cs="Arial"/>
          <w:bCs/>
        </w:rPr>
        <w:t>es una</w:t>
      </w:r>
      <w:r w:rsidR="002D4AD9" w:rsidRPr="00847234">
        <w:rPr>
          <w:rFonts w:ascii="Arial" w:hAnsi="Arial" w:cs="Arial"/>
          <w:bCs/>
        </w:rPr>
        <w:t xml:space="preserve"> estrategia común en otras jurisdicciones constitucionales.</w:t>
      </w:r>
      <w:r w:rsidR="0092764C" w:rsidRPr="00847234">
        <w:rPr>
          <w:rFonts w:ascii="Arial" w:hAnsi="Arial" w:cs="Arial"/>
          <w:bCs/>
        </w:rPr>
        <w:t xml:space="preserve"> </w:t>
      </w:r>
      <w:r w:rsidR="00486DDA" w:rsidRPr="00847234">
        <w:rPr>
          <w:rFonts w:ascii="Arial" w:hAnsi="Arial" w:cs="Arial"/>
          <w:bCs/>
        </w:rPr>
        <w:t xml:space="preserve">Esa </w:t>
      </w:r>
      <w:r w:rsidR="0092764C" w:rsidRPr="00847234">
        <w:rPr>
          <w:rFonts w:ascii="Arial" w:hAnsi="Arial" w:cs="Arial"/>
          <w:bCs/>
        </w:rPr>
        <w:t>diversificación se</w:t>
      </w:r>
      <w:r w:rsidR="00486DDA" w:rsidRPr="00847234">
        <w:rPr>
          <w:rFonts w:ascii="Arial" w:hAnsi="Arial" w:cs="Arial"/>
          <w:bCs/>
        </w:rPr>
        <w:t xml:space="preserve"> debe a los distintos significados, conceptualizaciones, contenido y alcance que tienen los derechos y los mandatos constitucionales. Una norma puede no establecer un monopolio, pero sí puede </w:t>
      </w:r>
      <w:r w:rsidR="00C52CDC" w:rsidRPr="00847234">
        <w:rPr>
          <w:rFonts w:ascii="Arial" w:hAnsi="Arial" w:cs="Arial"/>
          <w:bCs/>
        </w:rPr>
        <w:t>permitir conductas no monopólicas que dañen el ambiente.</w:t>
      </w:r>
      <w:r w:rsidR="00FC0EAF" w:rsidRPr="00847234">
        <w:rPr>
          <w:rFonts w:ascii="Arial" w:hAnsi="Arial" w:cs="Arial"/>
          <w:bCs/>
        </w:rPr>
        <w:t xml:space="preserve"> </w:t>
      </w:r>
      <w:r w:rsidR="00813DE5" w:rsidRPr="00847234">
        <w:rPr>
          <w:rFonts w:ascii="Arial" w:hAnsi="Arial" w:cs="Arial"/>
          <w:bCs/>
        </w:rPr>
        <w:t xml:space="preserve">Esta decisión sobre </w:t>
      </w:r>
      <w:r w:rsidR="00BD3801" w:rsidRPr="00847234">
        <w:rPr>
          <w:rFonts w:ascii="Arial" w:hAnsi="Arial" w:cs="Arial"/>
          <w:bCs/>
        </w:rPr>
        <w:t xml:space="preserve">cuál </w:t>
      </w:r>
      <w:r w:rsidR="00813DE5" w:rsidRPr="00847234">
        <w:rPr>
          <w:rFonts w:ascii="Arial" w:hAnsi="Arial" w:cs="Arial"/>
          <w:bCs/>
        </w:rPr>
        <w:t xml:space="preserve">derecho </w:t>
      </w:r>
      <w:r w:rsidR="00DD6374" w:rsidRPr="00847234">
        <w:rPr>
          <w:rFonts w:ascii="Arial" w:hAnsi="Arial" w:cs="Arial"/>
          <w:bCs/>
        </w:rPr>
        <w:t>a</w:t>
      </w:r>
      <w:r w:rsidR="00813DE5" w:rsidRPr="00847234">
        <w:rPr>
          <w:rFonts w:ascii="Arial" w:hAnsi="Arial" w:cs="Arial"/>
          <w:bCs/>
        </w:rPr>
        <w:t>fecta</w:t>
      </w:r>
      <w:r w:rsidR="00A01911" w:rsidRPr="00847234">
        <w:rPr>
          <w:rFonts w:ascii="Arial" w:hAnsi="Arial" w:cs="Arial"/>
          <w:bCs/>
        </w:rPr>
        <w:t>,</w:t>
      </w:r>
      <w:r w:rsidR="00813DE5" w:rsidRPr="00847234">
        <w:rPr>
          <w:rFonts w:ascii="Arial" w:hAnsi="Arial" w:cs="Arial"/>
          <w:bCs/>
        </w:rPr>
        <w:t xml:space="preserve"> y cómo</w:t>
      </w:r>
      <w:r w:rsidR="00A01911" w:rsidRPr="00847234">
        <w:rPr>
          <w:rFonts w:ascii="Arial" w:hAnsi="Arial" w:cs="Arial"/>
          <w:bCs/>
        </w:rPr>
        <w:t>,</w:t>
      </w:r>
      <w:r w:rsidR="0059479C" w:rsidRPr="00847234">
        <w:rPr>
          <w:rFonts w:ascii="Arial" w:hAnsi="Arial" w:cs="Arial"/>
          <w:bCs/>
        </w:rPr>
        <w:t xml:space="preserve"> </w:t>
      </w:r>
      <w:r w:rsidR="00BD3801" w:rsidRPr="00847234">
        <w:rPr>
          <w:rFonts w:ascii="Arial" w:hAnsi="Arial" w:cs="Arial"/>
          <w:bCs/>
        </w:rPr>
        <w:t>la</w:t>
      </w:r>
      <w:r w:rsidR="00DD6374" w:rsidRPr="00847234">
        <w:rPr>
          <w:rFonts w:ascii="Arial" w:hAnsi="Arial" w:cs="Arial"/>
          <w:bCs/>
        </w:rPr>
        <w:t xml:space="preserve"> disposición en disputa ocurre porque </w:t>
      </w:r>
      <w:r w:rsidR="007B3097" w:rsidRPr="00847234">
        <w:rPr>
          <w:rFonts w:ascii="Arial" w:hAnsi="Arial" w:cs="Arial"/>
          <w:bCs/>
        </w:rPr>
        <w:t>el parámetro de control constitucional se integra por elementos que</w:t>
      </w:r>
      <w:r w:rsidR="00FC0EAF" w:rsidRPr="00847234">
        <w:rPr>
          <w:rFonts w:ascii="Arial" w:hAnsi="Arial" w:cs="Arial"/>
          <w:bCs/>
        </w:rPr>
        <w:t xml:space="preserve"> no son forzosa</w:t>
      </w:r>
      <w:r w:rsidR="001E650C" w:rsidRPr="00847234">
        <w:rPr>
          <w:rFonts w:ascii="Arial" w:hAnsi="Arial" w:cs="Arial"/>
          <w:bCs/>
        </w:rPr>
        <w:t xml:space="preserve"> </w:t>
      </w:r>
      <w:r w:rsidR="00A01911" w:rsidRPr="00847234">
        <w:rPr>
          <w:rFonts w:ascii="Arial" w:hAnsi="Arial" w:cs="Arial"/>
          <w:bCs/>
        </w:rPr>
        <w:t>y lógicamente</w:t>
      </w:r>
      <w:r w:rsidR="007B3097" w:rsidRPr="00847234">
        <w:rPr>
          <w:rFonts w:ascii="Arial" w:hAnsi="Arial" w:cs="Arial"/>
          <w:bCs/>
        </w:rPr>
        <w:t xml:space="preserve"> acumulables</w:t>
      </w:r>
      <w:r w:rsidR="00AA5B3F" w:rsidRPr="00847234">
        <w:rPr>
          <w:rFonts w:ascii="Arial" w:hAnsi="Arial" w:cs="Arial"/>
          <w:bCs/>
        </w:rPr>
        <w:t xml:space="preserve">; </w:t>
      </w:r>
      <w:r w:rsidR="00867EDB" w:rsidRPr="00847234">
        <w:rPr>
          <w:rFonts w:ascii="Arial" w:hAnsi="Arial" w:cs="Arial"/>
          <w:bCs/>
        </w:rPr>
        <w:t>una</w:t>
      </w:r>
      <w:r w:rsidR="00155576" w:rsidRPr="00847234">
        <w:rPr>
          <w:rFonts w:ascii="Arial" w:hAnsi="Arial" w:cs="Arial"/>
          <w:bCs/>
        </w:rPr>
        <w:t xml:space="preserve"> ley </w:t>
      </w:r>
      <w:r w:rsidR="007C1635" w:rsidRPr="00847234">
        <w:rPr>
          <w:rFonts w:ascii="Arial" w:hAnsi="Arial" w:cs="Arial"/>
          <w:bCs/>
        </w:rPr>
        <w:t>puede resultar inconstitucional por una, dos, tres o varias razones</w:t>
      </w:r>
      <w:r w:rsidR="004D042F" w:rsidRPr="00847234">
        <w:rPr>
          <w:rFonts w:ascii="Arial" w:hAnsi="Arial" w:cs="Arial"/>
          <w:bCs/>
        </w:rPr>
        <w:t>. En todos los casos, la norma será inconstitucional más allá de la cantidad de vicios invocados en la demanda</w:t>
      </w:r>
      <w:r w:rsidR="00603806" w:rsidRPr="00847234">
        <w:rPr>
          <w:rFonts w:ascii="Arial" w:hAnsi="Arial" w:cs="Arial"/>
          <w:bCs/>
        </w:rPr>
        <w:t>.</w:t>
      </w:r>
      <w:r w:rsidR="001950A9" w:rsidRPr="00847234">
        <w:rPr>
          <w:rFonts w:ascii="Arial" w:hAnsi="Arial" w:cs="Arial"/>
          <w:bCs/>
        </w:rPr>
        <w:t xml:space="preserve"> </w:t>
      </w:r>
      <w:r w:rsidR="00155576" w:rsidRPr="00847234">
        <w:rPr>
          <w:rFonts w:ascii="Arial" w:hAnsi="Arial" w:cs="Arial"/>
          <w:bCs/>
        </w:rPr>
        <w:t xml:space="preserve">Algunas veces los contenidos constitucionales </w:t>
      </w:r>
      <w:r w:rsidR="00510E04" w:rsidRPr="00847234">
        <w:rPr>
          <w:rFonts w:ascii="Arial" w:hAnsi="Arial" w:cs="Arial"/>
          <w:bCs/>
        </w:rPr>
        <w:t xml:space="preserve">no serán acumulables e, incluso, pueden llegar a ser francamente </w:t>
      </w:r>
      <w:r w:rsidR="00155576" w:rsidRPr="00847234">
        <w:rPr>
          <w:rFonts w:ascii="Arial" w:hAnsi="Arial" w:cs="Arial"/>
          <w:bCs/>
        </w:rPr>
        <w:t>excluyentes.</w:t>
      </w:r>
      <w:r w:rsidR="004B2687" w:rsidRPr="00847234">
        <w:rPr>
          <w:rFonts w:ascii="Arial" w:hAnsi="Arial" w:cs="Arial"/>
          <w:bCs/>
        </w:rPr>
        <w:t xml:space="preserve"> Es deber de</w:t>
      </w:r>
      <w:r w:rsidR="00192C5A" w:rsidRPr="00847234">
        <w:rPr>
          <w:rFonts w:ascii="Arial" w:hAnsi="Arial" w:cs="Arial"/>
          <w:bCs/>
        </w:rPr>
        <w:t xml:space="preserve"> un tribunal constitucional</w:t>
      </w:r>
      <w:r w:rsidR="00867EDB" w:rsidRPr="00847234">
        <w:rPr>
          <w:rFonts w:ascii="Arial" w:hAnsi="Arial" w:cs="Arial"/>
          <w:bCs/>
        </w:rPr>
        <w:t xml:space="preserve"> </w:t>
      </w:r>
      <w:r w:rsidR="007B77F6" w:rsidRPr="00847234">
        <w:rPr>
          <w:rFonts w:ascii="Arial" w:hAnsi="Arial" w:cs="Arial"/>
          <w:bCs/>
        </w:rPr>
        <w:t xml:space="preserve">escoger </w:t>
      </w:r>
      <w:r w:rsidR="00881D0B" w:rsidRPr="00847234">
        <w:rPr>
          <w:rFonts w:ascii="Arial" w:hAnsi="Arial" w:cs="Arial"/>
          <w:bCs/>
        </w:rPr>
        <w:t xml:space="preserve">la </w:t>
      </w:r>
      <w:r w:rsidR="004273CF" w:rsidRPr="00847234">
        <w:rPr>
          <w:rFonts w:ascii="Arial" w:hAnsi="Arial" w:cs="Arial"/>
          <w:bCs/>
        </w:rPr>
        <w:t xml:space="preserve">pregunta pertinente y el parámetro aplicable y, </w:t>
      </w:r>
      <w:r w:rsidR="00881D0B" w:rsidRPr="00847234">
        <w:rPr>
          <w:rFonts w:ascii="Arial" w:hAnsi="Arial" w:cs="Arial"/>
          <w:bCs/>
        </w:rPr>
        <w:t xml:space="preserve">con base en eso, asumir una </w:t>
      </w:r>
      <w:r w:rsidR="004273CF" w:rsidRPr="00847234">
        <w:rPr>
          <w:rFonts w:ascii="Arial" w:hAnsi="Arial" w:cs="Arial"/>
          <w:bCs/>
        </w:rPr>
        <w:t>proposición metodológica</w:t>
      </w:r>
      <w:r w:rsidR="007B77F6" w:rsidRPr="00847234">
        <w:rPr>
          <w:rFonts w:ascii="Arial" w:hAnsi="Arial" w:cs="Arial"/>
          <w:bCs/>
        </w:rPr>
        <w:t>.</w:t>
      </w:r>
    </w:p>
    <w:p w14:paraId="3AADCBD0" w14:textId="3870B425" w:rsidR="007B3097" w:rsidRPr="00847234" w:rsidRDefault="007B3097" w:rsidP="00E6095B">
      <w:pPr>
        <w:spacing w:line="360" w:lineRule="auto"/>
        <w:jc w:val="both"/>
        <w:rPr>
          <w:rFonts w:ascii="Arial" w:hAnsi="Arial" w:cs="Arial"/>
          <w:bCs/>
        </w:rPr>
      </w:pPr>
    </w:p>
    <w:p w14:paraId="0B369967" w14:textId="1C2D961D" w:rsidR="002D2ED5" w:rsidRPr="00847234" w:rsidRDefault="007B3097" w:rsidP="00E6095B">
      <w:pPr>
        <w:spacing w:line="360" w:lineRule="auto"/>
        <w:jc w:val="both"/>
        <w:rPr>
          <w:rFonts w:ascii="Arial" w:hAnsi="Arial" w:cs="Arial"/>
          <w:bCs/>
        </w:rPr>
      </w:pPr>
      <w:r w:rsidRPr="00847234">
        <w:rPr>
          <w:rFonts w:ascii="Arial" w:hAnsi="Arial" w:cs="Arial"/>
          <w:bCs/>
        </w:rPr>
        <w:t xml:space="preserve">Esta </w:t>
      </w:r>
      <w:r w:rsidR="00520FED" w:rsidRPr="00847234">
        <w:rPr>
          <w:rFonts w:ascii="Arial" w:hAnsi="Arial" w:cs="Arial"/>
          <w:bCs/>
        </w:rPr>
        <w:t xml:space="preserve">manera de operar ha sido adoptada </w:t>
      </w:r>
      <w:r w:rsidR="00155576" w:rsidRPr="00847234">
        <w:rPr>
          <w:rFonts w:ascii="Arial" w:hAnsi="Arial" w:cs="Arial"/>
          <w:bCs/>
        </w:rPr>
        <w:t>por la Primera Sala en los últimos años</w:t>
      </w:r>
      <w:r w:rsidR="00530B0C" w:rsidRPr="00847234">
        <w:rPr>
          <w:rFonts w:ascii="Arial" w:hAnsi="Arial" w:cs="Arial"/>
          <w:bCs/>
        </w:rPr>
        <w:t xml:space="preserve"> y ha dado lugar a los debates </w:t>
      </w:r>
      <w:r w:rsidR="002D2ED5" w:rsidRPr="00847234">
        <w:rPr>
          <w:rFonts w:ascii="Arial" w:hAnsi="Arial" w:cs="Arial"/>
          <w:bCs/>
        </w:rPr>
        <w:t>de definición constitucional más acalorados entre sus integrantes. Cito dos ejemplos</w:t>
      </w:r>
      <w:r w:rsidR="005A35AE">
        <w:rPr>
          <w:rFonts w:ascii="Arial" w:hAnsi="Arial" w:cs="Arial"/>
          <w:bCs/>
        </w:rPr>
        <w:t>:</w:t>
      </w:r>
      <w:r w:rsidR="002248F6" w:rsidRPr="00847234">
        <w:rPr>
          <w:rFonts w:ascii="Arial" w:hAnsi="Arial" w:cs="Arial"/>
          <w:bCs/>
        </w:rPr>
        <w:t xml:space="preserve"> </w:t>
      </w:r>
      <w:r w:rsidR="002D2ED5" w:rsidRPr="00847234">
        <w:rPr>
          <w:rFonts w:ascii="Arial" w:hAnsi="Arial" w:cs="Arial"/>
          <w:bCs/>
        </w:rPr>
        <w:t xml:space="preserve">El primero </w:t>
      </w:r>
      <w:r w:rsidR="00734807" w:rsidRPr="00847234">
        <w:rPr>
          <w:rFonts w:ascii="Arial" w:hAnsi="Arial" w:cs="Arial"/>
          <w:bCs/>
        </w:rPr>
        <w:t xml:space="preserve">involucra </w:t>
      </w:r>
      <w:r w:rsidR="002D2ED5" w:rsidRPr="00847234">
        <w:rPr>
          <w:rFonts w:ascii="Arial" w:hAnsi="Arial" w:cs="Arial"/>
          <w:bCs/>
        </w:rPr>
        <w:t>la revisión</w:t>
      </w:r>
      <w:r w:rsidR="00133F39" w:rsidRPr="00847234">
        <w:rPr>
          <w:rFonts w:ascii="Arial" w:hAnsi="Arial" w:cs="Arial"/>
          <w:bCs/>
        </w:rPr>
        <w:t xml:space="preserve"> de la doctrina de esta Corte sobre</w:t>
      </w:r>
      <w:r w:rsidR="002D2ED5" w:rsidRPr="00847234">
        <w:rPr>
          <w:rFonts w:ascii="Arial" w:hAnsi="Arial" w:cs="Arial"/>
          <w:bCs/>
        </w:rPr>
        <w:t xml:space="preserve"> varias figuras de derecho familiar</w:t>
      </w:r>
      <w:r w:rsidR="003720AA" w:rsidRPr="00847234">
        <w:rPr>
          <w:rFonts w:ascii="Arial" w:hAnsi="Arial" w:cs="Arial"/>
          <w:bCs/>
        </w:rPr>
        <w:t>, con el ejemplo más evidente de la patria potestad</w:t>
      </w:r>
      <w:r w:rsidR="002D2ED5" w:rsidRPr="00847234">
        <w:rPr>
          <w:rFonts w:ascii="Arial" w:hAnsi="Arial" w:cs="Arial"/>
          <w:bCs/>
        </w:rPr>
        <w:t xml:space="preserve">. </w:t>
      </w:r>
      <w:r w:rsidR="0089272E" w:rsidRPr="00847234">
        <w:rPr>
          <w:rFonts w:ascii="Arial" w:hAnsi="Arial" w:cs="Arial"/>
          <w:bCs/>
        </w:rPr>
        <w:t xml:space="preserve">¿Desde dónde deben mirarse </w:t>
      </w:r>
      <w:r w:rsidR="00CF012A" w:rsidRPr="00847234">
        <w:rPr>
          <w:rFonts w:ascii="Arial" w:hAnsi="Arial" w:cs="Arial"/>
          <w:bCs/>
        </w:rPr>
        <w:t>las leyes</w:t>
      </w:r>
      <w:r w:rsidR="002D2ED5" w:rsidRPr="00847234">
        <w:rPr>
          <w:rFonts w:ascii="Arial" w:hAnsi="Arial" w:cs="Arial"/>
          <w:bCs/>
        </w:rPr>
        <w:t xml:space="preserve"> secundarias que la regulan</w:t>
      </w:r>
      <w:r w:rsidR="007269BA" w:rsidRPr="00847234">
        <w:rPr>
          <w:rFonts w:ascii="Arial" w:hAnsi="Arial" w:cs="Arial"/>
          <w:bCs/>
        </w:rPr>
        <w:t xml:space="preserve"> o restringen</w:t>
      </w:r>
      <w:r w:rsidR="0058725D" w:rsidRPr="00847234">
        <w:rPr>
          <w:rFonts w:ascii="Arial" w:hAnsi="Arial" w:cs="Arial"/>
          <w:bCs/>
        </w:rPr>
        <w:t xml:space="preserve">? ¿Desde el parámetro de control constitucional </w:t>
      </w:r>
      <w:r w:rsidR="00C940AB" w:rsidRPr="00847234">
        <w:rPr>
          <w:rFonts w:ascii="Arial" w:hAnsi="Arial" w:cs="Arial"/>
          <w:bCs/>
        </w:rPr>
        <w:t xml:space="preserve">de los derechos de libertad y autonomía que asistirían a los progenitores o desde el contenido y alcance </w:t>
      </w:r>
      <w:r w:rsidR="00C940AB" w:rsidRPr="00847234">
        <w:rPr>
          <w:rFonts w:ascii="Arial" w:hAnsi="Arial" w:cs="Arial"/>
          <w:bCs/>
        </w:rPr>
        <w:lastRenderedPageBreak/>
        <w:t xml:space="preserve">del principio constitucional de interés superior de las infancias? </w:t>
      </w:r>
      <w:r w:rsidR="002D2ED5" w:rsidRPr="00847234">
        <w:rPr>
          <w:rFonts w:ascii="Arial" w:hAnsi="Arial" w:cs="Arial"/>
          <w:bCs/>
        </w:rPr>
        <w:t xml:space="preserve">Si </w:t>
      </w:r>
      <w:r w:rsidR="00F32C46" w:rsidRPr="00847234">
        <w:rPr>
          <w:rFonts w:ascii="Arial" w:hAnsi="Arial" w:cs="Arial"/>
          <w:bCs/>
        </w:rPr>
        <w:t>optásemos</w:t>
      </w:r>
      <w:r w:rsidR="006D3B6E" w:rsidRPr="00847234">
        <w:rPr>
          <w:rFonts w:ascii="Arial" w:hAnsi="Arial" w:cs="Arial"/>
          <w:bCs/>
        </w:rPr>
        <w:t xml:space="preserve"> por </w:t>
      </w:r>
      <w:r w:rsidR="00F32C46" w:rsidRPr="00847234">
        <w:rPr>
          <w:rFonts w:ascii="Arial" w:hAnsi="Arial" w:cs="Arial"/>
          <w:bCs/>
        </w:rPr>
        <w:t xml:space="preserve">la libertad y autonomía de los padres, </w:t>
      </w:r>
      <w:r w:rsidR="002D2ED5" w:rsidRPr="00847234">
        <w:rPr>
          <w:rFonts w:ascii="Arial" w:hAnsi="Arial" w:cs="Arial"/>
          <w:bCs/>
        </w:rPr>
        <w:t>las leyes que interfi</w:t>
      </w:r>
      <w:r w:rsidR="00F55CAF" w:rsidRPr="00847234">
        <w:rPr>
          <w:rFonts w:ascii="Arial" w:hAnsi="Arial" w:cs="Arial"/>
          <w:bCs/>
        </w:rPr>
        <w:t>rie</w:t>
      </w:r>
      <w:r w:rsidR="001B3432" w:rsidRPr="00847234">
        <w:rPr>
          <w:rFonts w:ascii="Arial" w:hAnsi="Arial" w:cs="Arial"/>
          <w:bCs/>
        </w:rPr>
        <w:t xml:space="preserve">sen </w:t>
      </w:r>
      <w:r w:rsidR="002D2ED5" w:rsidRPr="00847234">
        <w:rPr>
          <w:rFonts w:ascii="Arial" w:hAnsi="Arial" w:cs="Arial"/>
          <w:bCs/>
        </w:rPr>
        <w:t xml:space="preserve">en </w:t>
      </w:r>
      <w:r w:rsidR="00F32C46" w:rsidRPr="00847234">
        <w:rPr>
          <w:rFonts w:ascii="Arial" w:hAnsi="Arial" w:cs="Arial"/>
          <w:bCs/>
        </w:rPr>
        <w:t xml:space="preserve">el </w:t>
      </w:r>
      <w:r w:rsidR="002D2ED5" w:rsidRPr="00847234">
        <w:rPr>
          <w:rFonts w:ascii="Arial" w:hAnsi="Arial" w:cs="Arial"/>
          <w:bCs/>
        </w:rPr>
        <w:t xml:space="preserve">ámbito de intimidad </w:t>
      </w:r>
      <w:r w:rsidR="00F32C46" w:rsidRPr="00847234">
        <w:rPr>
          <w:rFonts w:ascii="Arial" w:hAnsi="Arial" w:cs="Arial"/>
          <w:bCs/>
        </w:rPr>
        <w:t xml:space="preserve">desde donde </w:t>
      </w:r>
      <w:r w:rsidR="00133F39" w:rsidRPr="00847234">
        <w:rPr>
          <w:rFonts w:ascii="Arial" w:hAnsi="Arial" w:cs="Arial"/>
          <w:bCs/>
        </w:rPr>
        <w:t>se relacionan con sus hijos</w:t>
      </w:r>
      <w:r w:rsidR="002D2ED5" w:rsidRPr="00847234">
        <w:rPr>
          <w:rFonts w:ascii="Arial" w:hAnsi="Arial" w:cs="Arial"/>
          <w:bCs/>
        </w:rPr>
        <w:t xml:space="preserve">, deberán declararse inválidas; por el contrario, si se </w:t>
      </w:r>
      <w:r w:rsidR="00770543" w:rsidRPr="00847234">
        <w:rPr>
          <w:rFonts w:ascii="Arial" w:hAnsi="Arial" w:cs="Arial"/>
          <w:bCs/>
        </w:rPr>
        <w:t xml:space="preserve">recurre al </w:t>
      </w:r>
      <w:r w:rsidR="002D2ED5" w:rsidRPr="00847234">
        <w:rPr>
          <w:rFonts w:ascii="Arial" w:hAnsi="Arial" w:cs="Arial"/>
          <w:bCs/>
        </w:rPr>
        <w:t>interés superior de</w:t>
      </w:r>
      <w:r w:rsidR="00770543" w:rsidRPr="00847234">
        <w:rPr>
          <w:rFonts w:ascii="Arial" w:hAnsi="Arial" w:cs="Arial"/>
          <w:bCs/>
        </w:rPr>
        <w:t xml:space="preserve"> las infancias, </w:t>
      </w:r>
      <w:r w:rsidR="002D2ED5" w:rsidRPr="00847234">
        <w:rPr>
          <w:rFonts w:ascii="Arial" w:hAnsi="Arial" w:cs="Arial"/>
          <w:bCs/>
        </w:rPr>
        <w:t>esas leyes que interfieren en es</w:t>
      </w:r>
      <w:r w:rsidR="00841874" w:rsidRPr="00847234">
        <w:rPr>
          <w:rFonts w:ascii="Arial" w:hAnsi="Arial" w:cs="Arial"/>
          <w:bCs/>
        </w:rPr>
        <w:t>a autonomía pueden resultar</w:t>
      </w:r>
      <w:r w:rsidR="002D2ED5" w:rsidRPr="00847234">
        <w:rPr>
          <w:rFonts w:ascii="Arial" w:hAnsi="Arial" w:cs="Arial"/>
          <w:bCs/>
        </w:rPr>
        <w:t xml:space="preserve"> válidas</w:t>
      </w:r>
      <w:r w:rsidR="007B77F6" w:rsidRPr="00847234">
        <w:rPr>
          <w:rFonts w:ascii="Arial" w:hAnsi="Arial" w:cs="Arial"/>
          <w:bCs/>
        </w:rPr>
        <w:t xml:space="preserve"> e</w:t>
      </w:r>
      <w:r w:rsidR="00770543" w:rsidRPr="00847234">
        <w:rPr>
          <w:rFonts w:ascii="Arial" w:hAnsi="Arial" w:cs="Arial"/>
          <w:bCs/>
        </w:rPr>
        <w:t>,</w:t>
      </w:r>
      <w:r w:rsidR="007B77F6" w:rsidRPr="00847234">
        <w:rPr>
          <w:rFonts w:ascii="Arial" w:hAnsi="Arial" w:cs="Arial"/>
          <w:bCs/>
        </w:rPr>
        <w:t xml:space="preserve"> </w:t>
      </w:r>
      <w:r w:rsidR="00770543" w:rsidRPr="00847234">
        <w:rPr>
          <w:rFonts w:ascii="Arial" w:hAnsi="Arial" w:cs="Arial"/>
          <w:bCs/>
        </w:rPr>
        <w:t>incluso,</w:t>
      </w:r>
      <w:r w:rsidR="007B77F6" w:rsidRPr="00847234">
        <w:rPr>
          <w:rFonts w:ascii="Arial" w:hAnsi="Arial" w:cs="Arial"/>
          <w:bCs/>
        </w:rPr>
        <w:t xml:space="preserve"> exigibles</w:t>
      </w:r>
      <w:r w:rsidR="002D2ED5" w:rsidRPr="00847234">
        <w:rPr>
          <w:rFonts w:ascii="Arial" w:hAnsi="Arial" w:cs="Arial"/>
          <w:bCs/>
        </w:rPr>
        <w:t>.</w:t>
      </w:r>
      <w:r w:rsidR="00DE46A2" w:rsidRPr="00847234">
        <w:rPr>
          <w:rFonts w:ascii="Arial" w:hAnsi="Arial" w:cs="Arial"/>
          <w:bCs/>
        </w:rPr>
        <w:t xml:space="preserve"> Así, el derecho de autonomía personal y el interés superior de</w:t>
      </w:r>
      <w:r w:rsidR="00FA1D60" w:rsidRPr="00847234">
        <w:rPr>
          <w:rFonts w:ascii="Arial" w:hAnsi="Arial" w:cs="Arial"/>
          <w:bCs/>
        </w:rPr>
        <w:t xml:space="preserve"> la infancia son </w:t>
      </w:r>
      <w:r w:rsidR="00DE46A2" w:rsidRPr="00847234">
        <w:rPr>
          <w:rFonts w:ascii="Arial" w:hAnsi="Arial" w:cs="Arial"/>
          <w:bCs/>
        </w:rPr>
        <w:t xml:space="preserve">contenidos del parámetro de control </w:t>
      </w:r>
      <w:r w:rsidR="005169AB" w:rsidRPr="00847234">
        <w:rPr>
          <w:rFonts w:ascii="Arial" w:hAnsi="Arial" w:cs="Arial"/>
          <w:bCs/>
        </w:rPr>
        <w:t xml:space="preserve">que </w:t>
      </w:r>
      <w:r w:rsidR="00FA1D60" w:rsidRPr="00847234">
        <w:rPr>
          <w:rFonts w:ascii="Arial" w:hAnsi="Arial" w:cs="Arial"/>
          <w:bCs/>
        </w:rPr>
        <w:t>resultar</w:t>
      </w:r>
      <w:r w:rsidR="005169AB" w:rsidRPr="00847234">
        <w:rPr>
          <w:rFonts w:ascii="Arial" w:hAnsi="Arial" w:cs="Arial"/>
          <w:bCs/>
        </w:rPr>
        <w:t>ían</w:t>
      </w:r>
      <w:r w:rsidR="00FA1D60" w:rsidRPr="00847234">
        <w:rPr>
          <w:rFonts w:ascii="Arial" w:hAnsi="Arial" w:cs="Arial"/>
          <w:bCs/>
        </w:rPr>
        <w:t xml:space="preserve"> ocasionalmente excluyentes. </w:t>
      </w:r>
      <w:r w:rsidR="009029F1" w:rsidRPr="00847234">
        <w:rPr>
          <w:rStyle w:val="Refdenotaalpie"/>
          <w:rFonts w:ascii="Arial" w:hAnsi="Arial" w:cs="Arial"/>
          <w:bCs/>
        </w:rPr>
        <w:footnoteReference w:id="12"/>
      </w:r>
    </w:p>
    <w:p w14:paraId="58B54337" w14:textId="3CE08CDE" w:rsidR="002D2ED5" w:rsidRPr="00847234" w:rsidRDefault="002D2ED5" w:rsidP="00E6095B">
      <w:pPr>
        <w:spacing w:line="360" w:lineRule="auto"/>
        <w:jc w:val="both"/>
        <w:rPr>
          <w:rFonts w:ascii="Arial" w:hAnsi="Arial" w:cs="Arial"/>
          <w:bCs/>
        </w:rPr>
      </w:pPr>
    </w:p>
    <w:p w14:paraId="0D88EC1B" w14:textId="6C0CE456" w:rsidR="002D2ED5" w:rsidRPr="00847234" w:rsidRDefault="002D2ED5" w:rsidP="00E6095B">
      <w:pPr>
        <w:spacing w:line="360" w:lineRule="auto"/>
        <w:jc w:val="both"/>
        <w:rPr>
          <w:rFonts w:ascii="Arial" w:hAnsi="Arial" w:cs="Arial"/>
          <w:bCs/>
        </w:rPr>
      </w:pPr>
      <w:r w:rsidRPr="00847234">
        <w:rPr>
          <w:rFonts w:ascii="Arial" w:hAnsi="Arial" w:cs="Arial"/>
          <w:bCs/>
        </w:rPr>
        <w:t>El segundo ejemplo</w:t>
      </w:r>
      <w:r w:rsidR="005169AB" w:rsidRPr="00847234">
        <w:rPr>
          <w:rFonts w:ascii="Arial" w:hAnsi="Arial" w:cs="Arial"/>
          <w:bCs/>
        </w:rPr>
        <w:t xml:space="preserve"> </w:t>
      </w:r>
      <w:r w:rsidR="00850E93" w:rsidRPr="00847234">
        <w:rPr>
          <w:rFonts w:ascii="Arial" w:hAnsi="Arial" w:cs="Arial"/>
          <w:bCs/>
        </w:rPr>
        <w:t xml:space="preserve">estudia el denominado </w:t>
      </w:r>
      <w:r w:rsidRPr="00847234">
        <w:rPr>
          <w:rFonts w:ascii="Arial" w:hAnsi="Arial" w:cs="Arial"/>
          <w:bCs/>
        </w:rPr>
        <w:t>“discurso de odio”</w:t>
      </w:r>
      <w:r w:rsidR="004C4D9D" w:rsidRPr="00847234">
        <w:rPr>
          <w:rFonts w:ascii="Arial" w:hAnsi="Arial" w:cs="Arial"/>
          <w:bCs/>
        </w:rPr>
        <w:t xml:space="preserve"> ¿Qué parte del parámetro de control es el determinante cuando se </w:t>
      </w:r>
      <w:r w:rsidR="00E906E3" w:rsidRPr="00847234">
        <w:rPr>
          <w:rFonts w:ascii="Arial" w:hAnsi="Arial" w:cs="Arial"/>
          <w:bCs/>
        </w:rPr>
        <w:t>evalúa</w:t>
      </w:r>
      <w:r w:rsidR="004C4D9D" w:rsidRPr="00847234">
        <w:rPr>
          <w:rFonts w:ascii="Arial" w:hAnsi="Arial" w:cs="Arial"/>
          <w:bCs/>
        </w:rPr>
        <w:t xml:space="preserve"> la validez de las leyes que </w:t>
      </w:r>
      <w:r w:rsidR="00577C10" w:rsidRPr="00847234">
        <w:rPr>
          <w:rFonts w:ascii="Arial" w:hAnsi="Arial" w:cs="Arial"/>
          <w:bCs/>
        </w:rPr>
        <w:t xml:space="preserve">inciden </w:t>
      </w:r>
      <w:r w:rsidR="004C4D9D" w:rsidRPr="00847234">
        <w:rPr>
          <w:rFonts w:ascii="Arial" w:hAnsi="Arial" w:cs="Arial"/>
          <w:bCs/>
        </w:rPr>
        <w:t xml:space="preserve">en las condiciones de manifestación de ideas perjudiciales </w:t>
      </w:r>
      <w:r w:rsidR="00923EBA" w:rsidRPr="00847234">
        <w:rPr>
          <w:rFonts w:ascii="Arial" w:hAnsi="Arial" w:cs="Arial"/>
          <w:bCs/>
        </w:rPr>
        <w:t>contra grupos históricamente desaventajados</w:t>
      </w:r>
      <w:r w:rsidR="004C4D9D" w:rsidRPr="00847234">
        <w:rPr>
          <w:rFonts w:ascii="Arial" w:hAnsi="Arial" w:cs="Arial"/>
          <w:bCs/>
        </w:rPr>
        <w:t>?</w:t>
      </w:r>
      <w:r w:rsidRPr="00847234">
        <w:rPr>
          <w:rFonts w:ascii="Arial" w:hAnsi="Arial" w:cs="Arial"/>
          <w:bCs/>
        </w:rPr>
        <w:t xml:space="preserve"> </w:t>
      </w:r>
      <w:r w:rsidR="004C4D9D" w:rsidRPr="00847234">
        <w:rPr>
          <w:rFonts w:ascii="Arial" w:hAnsi="Arial" w:cs="Arial"/>
          <w:bCs/>
        </w:rPr>
        <w:t xml:space="preserve">Si </w:t>
      </w:r>
      <w:r w:rsidR="005D7D29" w:rsidRPr="00847234">
        <w:rPr>
          <w:rFonts w:ascii="Arial" w:hAnsi="Arial" w:cs="Arial"/>
          <w:bCs/>
        </w:rPr>
        <w:t xml:space="preserve">la pregunta se aproxima desde la </w:t>
      </w:r>
      <w:r w:rsidRPr="00847234">
        <w:rPr>
          <w:rFonts w:ascii="Arial" w:hAnsi="Arial" w:cs="Arial"/>
          <w:bCs/>
        </w:rPr>
        <w:t>libertad de expresión</w:t>
      </w:r>
      <w:r w:rsidR="005D7D29" w:rsidRPr="00847234">
        <w:rPr>
          <w:rFonts w:ascii="Arial" w:hAnsi="Arial" w:cs="Arial"/>
          <w:bCs/>
        </w:rPr>
        <w:t xml:space="preserve"> en su dimensión individual, la c</w:t>
      </w:r>
      <w:r w:rsidR="00E31272" w:rsidRPr="00847234">
        <w:rPr>
          <w:rFonts w:ascii="Arial" w:hAnsi="Arial" w:cs="Arial"/>
          <w:bCs/>
        </w:rPr>
        <w:t xml:space="preserve">ual autoriza </w:t>
      </w:r>
      <w:r w:rsidRPr="00847234">
        <w:rPr>
          <w:rFonts w:ascii="Arial" w:hAnsi="Arial" w:cs="Arial"/>
          <w:bCs/>
        </w:rPr>
        <w:t xml:space="preserve">a sus titulares manifestar todas aquellas ideas </w:t>
      </w:r>
      <w:r w:rsidR="00F61F2D" w:rsidRPr="00847234">
        <w:rPr>
          <w:rFonts w:ascii="Arial" w:hAnsi="Arial" w:cs="Arial"/>
          <w:bCs/>
        </w:rPr>
        <w:t xml:space="preserve">relacionadas con </w:t>
      </w:r>
      <w:r w:rsidRPr="00847234">
        <w:rPr>
          <w:rFonts w:ascii="Arial" w:hAnsi="Arial" w:cs="Arial"/>
          <w:bCs/>
        </w:rPr>
        <w:t>el ejercicio de su autonomía,</w:t>
      </w:r>
      <w:r w:rsidR="004C4D9D" w:rsidRPr="00847234">
        <w:rPr>
          <w:rFonts w:ascii="Arial" w:hAnsi="Arial" w:cs="Arial"/>
          <w:bCs/>
        </w:rPr>
        <w:t xml:space="preserve"> esas leyes </w:t>
      </w:r>
      <w:r w:rsidR="00D836EE" w:rsidRPr="00847234">
        <w:rPr>
          <w:rFonts w:ascii="Arial" w:hAnsi="Arial" w:cs="Arial"/>
          <w:bCs/>
        </w:rPr>
        <w:t xml:space="preserve">resultarían </w:t>
      </w:r>
      <w:r w:rsidR="004C4D9D" w:rsidRPr="00847234">
        <w:rPr>
          <w:rFonts w:ascii="Arial" w:hAnsi="Arial" w:cs="Arial"/>
          <w:bCs/>
        </w:rPr>
        <w:t>inválida</w:t>
      </w:r>
      <w:r w:rsidR="00E02D65" w:rsidRPr="00847234">
        <w:rPr>
          <w:rFonts w:ascii="Arial" w:hAnsi="Arial" w:cs="Arial"/>
          <w:bCs/>
        </w:rPr>
        <w:t>s</w:t>
      </w:r>
      <w:r w:rsidR="00D836EE" w:rsidRPr="00847234">
        <w:rPr>
          <w:rFonts w:ascii="Arial" w:hAnsi="Arial" w:cs="Arial"/>
          <w:bCs/>
        </w:rPr>
        <w:t>; s</w:t>
      </w:r>
      <w:r w:rsidR="00923EBA" w:rsidRPr="00847234">
        <w:rPr>
          <w:rFonts w:ascii="Arial" w:hAnsi="Arial" w:cs="Arial"/>
          <w:bCs/>
        </w:rPr>
        <w:t xml:space="preserve">i optásemos </w:t>
      </w:r>
      <w:r w:rsidR="001A6D9A" w:rsidRPr="00847234">
        <w:rPr>
          <w:rFonts w:ascii="Arial" w:hAnsi="Arial" w:cs="Arial"/>
          <w:bCs/>
        </w:rPr>
        <w:t>por el</w:t>
      </w:r>
      <w:r w:rsidR="004C4D9D" w:rsidRPr="00847234">
        <w:rPr>
          <w:rFonts w:ascii="Arial" w:hAnsi="Arial" w:cs="Arial"/>
          <w:bCs/>
        </w:rPr>
        <w:t xml:space="preserve"> derecho a estar libre de </w:t>
      </w:r>
      <w:r w:rsidR="00AB643B" w:rsidRPr="00847234">
        <w:rPr>
          <w:rFonts w:ascii="Arial" w:hAnsi="Arial" w:cs="Arial"/>
          <w:bCs/>
        </w:rPr>
        <w:t>discriminación,</w:t>
      </w:r>
      <w:r w:rsidR="004C4D9D" w:rsidRPr="00847234">
        <w:rPr>
          <w:rFonts w:ascii="Arial" w:hAnsi="Arial" w:cs="Arial"/>
          <w:bCs/>
        </w:rPr>
        <w:t xml:space="preserve"> esas leyes </w:t>
      </w:r>
      <w:r w:rsidR="00D836EE" w:rsidRPr="00847234">
        <w:rPr>
          <w:rFonts w:ascii="Arial" w:hAnsi="Arial" w:cs="Arial"/>
          <w:bCs/>
        </w:rPr>
        <w:t xml:space="preserve">se </w:t>
      </w:r>
      <w:r w:rsidR="00F63F14" w:rsidRPr="00847234">
        <w:rPr>
          <w:rFonts w:ascii="Arial" w:hAnsi="Arial" w:cs="Arial"/>
          <w:bCs/>
        </w:rPr>
        <w:t xml:space="preserve">reconocerían </w:t>
      </w:r>
      <w:r w:rsidR="004C4D9D" w:rsidRPr="00847234">
        <w:rPr>
          <w:rFonts w:ascii="Arial" w:hAnsi="Arial" w:cs="Arial"/>
          <w:bCs/>
        </w:rPr>
        <w:t>como válidas</w:t>
      </w:r>
      <w:r w:rsidR="00FC5F57" w:rsidRPr="00847234">
        <w:rPr>
          <w:rFonts w:ascii="Arial" w:hAnsi="Arial" w:cs="Arial"/>
          <w:bCs/>
        </w:rPr>
        <w:t>. Aquí los derecho</w:t>
      </w:r>
      <w:r w:rsidR="00F0552B" w:rsidRPr="00847234">
        <w:rPr>
          <w:rFonts w:ascii="Arial" w:hAnsi="Arial" w:cs="Arial"/>
          <w:bCs/>
        </w:rPr>
        <w:t>s</w:t>
      </w:r>
      <w:r w:rsidR="00FC5F57" w:rsidRPr="00847234">
        <w:rPr>
          <w:rFonts w:ascii="Arial" w:hAnsi="Arial" w:cs="Arial"/>
          <w:bCs/>
        </w:rPr>
        <w:t xml:space="preserve"> de autonomía y no discriminación se presentan como partes </w:t>
      </w:r>
      <w:r w:rsidR="00F0552B" w:rsidRPr="00847234">
        <w:rPr>
          <w:rFonts w:ascii="Arial" w:hAnsi="Arial" w:cs="Arial"/>
          <w:bCs/>
        </w:rPr>
        <w:t xml:space="preserve">incompatibles </w:t>
      </w:r>
      <w:r w:rsidR="00FC5F57" w:rsidRPr="00847234">
        <w:rPr>
          <w:rFonts w:ascii="Arial" w:hAnsi="Arial" w:cs="Arial"/>
          <w:bCs/>
        </w:rPr>
        <w:t>del parámetro de control</w:t>
      </w:r>
      <w:r w:rsidR="00B16ADC" w:rsidRPr="00847234">
        <w:rPr>
          <w:rFonts w:ascii="Arial" w:hAnsi="Arial" w:cs="Arial"/>
          <w:bCs/>
        </w:rPr>
        <w:t xml:space="preserve">. </w:t>
      </w:r>
      <w:r w:rsidR="00D45993" w:rsidRPr="00847234">
        <w:rPr>
          <w:rStyle w:val="Refdenotaalpie"/>
          <w:rFonts w:ascii="Arial" w:hAnsi="Arial" w:cs="Arial"/>
          <w:bCs/>
        </w:rPr>
        <w:footnoteReference w:id="13"/>
      </w:r>
      <w:r w:rsidR="00AB3BF8" w:rsidRPr="00847234">
        <w:rPr>
          <w:rFonts w:ascii="Arial" w:hAnsi="Arial" w:cs="Arial"/>
          <w:bCs/>
        </w:rPr>
        <w:t xml:space="preserve"> Muchos de los casos más relevantes y actuales de derecho constitucional suponen una definición entre dos contenidos del parámetro de control supeditados a exigencias, definiciones o alcances opuestos.</w:t>
      </w:r>
    </w:p>
    <w:p w14:paraId="487045CB" w14:textId="16326114" w:rsidR="001D6774" w:rsidRPr="00847234" w:rsidRDefault="001D6774" w:rsidP="00E6095B">
      <w:pPr>
        <w:spacing w:line="360" w:lineRule="auto"/>
        <w:jc w:val="both"/>
        <w:rPr>
          <w:rFonts w:ascii="Arial" w:hAnsi="Arial" w:cs="Arial"/>
          <w:bCs/>
        </w:rPr>
      </w:pPr>
    </w:p>
    <w:p w14:paraId="25C2F80F" w14:textId="622F6334" w:rsidR="001D6774" w:rsidRPr="00847234" w:rsidRDefault="00ED5282" w:rsidP="00E6095B">
      <w:pPr>
        <w:spacing w:line="360" w:lineRule="auto"/>
        <w:jc w:val="both"/>
        <w:rPr>
          <w:rFonts w:ascii="Arial" w:hAnsi="Arial" w:cs="Arial"/>
          <w:bCs/>
        </w:rPr>
      </w:pPr>
      <w:r w:rsidRPr="00847234">
        <w:rPr>
          <w:rFonts w:ascii="Arial" w:hAnsi="Arial" w:cs="Arial"/>
          <w:bCs/>
        </w:rPr>
        <w:t xml:space="preserve">En el siguiente apartado </w:t>
      </w:r>
      <w:r w:rsidR="00F63F14" w:rsidRPr="00847234">
        <w:rPr>
          <w:rFonts w:ascii="Arial" w:hAnsi="Arial" w:cs="Arial"/>
          <w:bCs/>
        </w:rPr>
        <w:t>argumentar</w:t>
      </w:r>
      <w:r w:rsidR="0012698A" w:rsidRPr="00847234">
        <w:rPr>
          <w:rFonts w:ascii="Arial" w:hAnsi="Arial" w:cs="Arial"/>
          <w:bCs/>
        </w:rPr>
        <w:t xml:space="preserve">é </w:t>
      </w:r>
      <w:r w:rsidRPr="00847234">
        <w:rPr>
          <w:rFonts w:ascii="Arial" w:hAnsi="Arial" w:cs="Arial"/>
          <w:bCs/>
        </w:rPr>
        <w:t>que</w:t>
      </w:r>
      <w:r w:rsidR="001D6774" w:rsidRPr="00847234">
        <w:rPr>
          <w:rFonts w:ascii="Arial" w:hAnsi="Arial" w:cs="Arial"/>
          <w:bCs/>
        </w:rPr>
        <w:t xml:space="preserve"> cuando un tribunal constitucional analiza una ley que modifica las reglas del mercado de generación de energía eléctrica</w:t>
      </w:r>
      <w:r w:rsidR="00537624" w:rsidRPr="00847234">
        <w:rPr>
          <w:rFonts w:ascii="Arial" w:hAnsi="Arial" w:cs="Arial"/>
          <w:bCs/>
        </w:rPr>
        <w:t xml:space="preserve"> -como sucede en la presente acción-</w:t>
      </w:r>
      <w:r w:rsidR="00731EC5" w:rsidRPr="00847234">
        <w:rPr>
          <w:rFonts w:ascii="Arial" w:hAnsi="Arial" w:cs="Arial"/>
          <w:bCs/>
        </w:rPr>
        <w:t>,</w:t>
      </w:r>
      <w:r w:rsidR="001D6774" w:rsidRPr="00847234">
        <w:rPr>
          <w:rFonts w:ascii="Arial" w:hAnsi="Arial" w:cs="Arial"/>
          <w:bCs/>
        </w:rPr>
        <w:t xml:space="preserve"> se encuentra entre dos extremos del parámetro de control con exigencias </w:t>
      </w:r>
      <w:r w:rsidR="00B16F0C" w:rsidRPr="00847234">
        <w:rPr>
          <w:rFonts w:ascii="Arial" w:hAnsi="Arial" w:cs="Arial"/>
          <w:bCs/>
        </w:rPr>
        <w:t>en tensión</w:t>
      </w:r>
      <w:r w:rsidR="001D6774" w:rsidRPr="00847234">
        <w:rPr>
          <w:rFonts w:ascii="Arial" w:hAnsi="Arial" w:cs="Arial"/>
          <w:bCs/>
        </w:rPr>
        <w:t>: el principio de libre competencia y el derecho al medio ambiente.</w:t>
      </w:r>
      <w:r w:rsidR="00841874" w:rsidRPr="00847234">
        <w:rPr>
          <w:rFonts w:ascii="Arial" w:hAnsi="Arial" w:cs="Arial"/>
          <w:bCs/>
        </w:rPr>
        <w:t xml:space="preserve"> </w:t>
      </w:r>
      <w:r w:rsidR="00CA21A3">
        <w:rPr>
          <w:rFonts w:ascii="Arial" w:hAnsi="Arial" w:cs="Arial"/>
          <w:bCs/>
        </w:rPr>
        <w:t>E</w:t>
      </w:r>
      <w:r w:rsidR="002D7BD0" w:rsidRPr="00847234">
        <w:rPr>
          <w:rFonts w:ascii="Arial" w:hAnsi="Arial" w:cs="Arial"/>
          <w:bCs/>
        </w:rPr>
        <w:t xml:space="preserve">s precisamente </w:t>
      </w:r>
      <w:r w:rsidR="00841874" w:rsidRPr="00847234">
        <w:rPr>
          <w:rFonts w:ascii="Arial" w:hAnsi="Arial" w:cs="Arial"/>
          <w:bCs/>
        </w:rPr>
        <w:t xml:space="preserve">aquí </w:t>
      </w:r>
      <w:r w:rsidR="00DE5B68" w:rsidRPr="00847234">
        <w:rPr>
          <w:rFonts w:ascii="Arial" w:hAnsi="Arial" w:cs="Arial"/>
          <w:bCs/>
        </w:rPr>
        <w:t xml:space="preserve">donde </w:t>
      </w:r>
      <w:r w:rsidR="00841874" w:rsidRPr="00847234">
        <w:rPr>
          <w:rFonts w:ascii="Arial" w:hAnsi="Arial" w:cs="Arial"/>
          <w:bCs/>
        </w:rPr>
        <w:t>me separ</w:t>
      </w:r>
      <w:r w:rsidR="0012698A" w:rsidRPr="00847234">
        <w:rPr>
          <w:rFonts w:ascii="Arial" w:hAnsi="Arial" w:cs="Arial"/>
          <w:bCs/>
        </w:rPr>
        <w:t xml:space="preserve">o </w:t>
      </w:r>
      <w:r w:rsidR="00841874" w:rsidRPr="00847234">
        <w:rPr>
          <w:rFonts w:ascii="Arial" w:hAnsi="Arial" w:cs="Arial"/>
          <w:bCs/>
        </w:rPr>
        <w:t>de la mayoría que se pronunci</w:t>
      </w:r>
      <w:r w:rsidR="00DE5B68" w:rsidRPr="00847234">
        <w:rPr>
          <w:rFonts w:ascii="Arial" w:hAnsi="Arial" w:cs="Arial"/>
          <w:bCs/>
        </w:rPr>
        <w:t>ó</w:t>
      </w:r>
      <w:r w:rsidR="00841874" w:rsidRPr="00847234">
        <w:rPr>
          <w:rFonts w:ascii="Arial" w:hAnsi="Arial" w:cs="Arial"/>
          <w:bCs/>
        </w:rPr>
        <w:t xml:space="preserve"> por la invalidez de las normas impugnadas, ambas parte</w:t>
      </w:r>
      <w:r w:rsidR="00133F39" w:rsidRPr="00847234">
        <w:rPr>
          <w:rFonts w:ascii="Arial" w:hAnsi="Arial" w:cs="Arial"/>
          <w:bCs/>
        </w:rPr>
        <w:t>s</w:t>
      </w:r>
      <w:r w:rsidR="00841874" w:rsidRPr="00847234">
        <w:rPr>
          <w:rFonts w:ascii="Arial" w:hAnsi="Arial" w:cs="Arial"/>
          <w:bCs/>
        </w:rPr>
        <w:t xml:space="preserve"> </w:t>
      </w:r>
      <w:r w:rsidR="00841874" w:rsidRPr="00847234">
        <w:rPr>
          <w:rFonts w:ascii="Arial" w:hAnsi="Arial" w:cs="Arial"/>
          <w:bCs/>
        </w:rPr>
        <w:lastRenderedPageBreak/>
        <w:t>del parámetro de control de regularidad constitucional no son</w:t>
      </w:r>
      <w:r w:rsidR="001E0C48" w:rsidRPr="00847234">
        <w:rPr>
          <w:rFonts w:ascii="Arial" w:hAnsi="Arial" w:cs="Arial"/>
          <w:bCs/>
        </w:rPr>
        <w:t xml:space="preserve"> ni </w:t>
      </w:r>
      <w:r w:rsidR="00841874" w:rsidRPr="00847234">
        <w:rPr>
          <w:rFonts w:ascii="Arial" w:hAnsi="Arial" w:cs="Arial"/>
          <w:bCs/>
        </w:rPr>
        <w:t>intercambiables ni acumulables.</w:t>
      </w:r>
    </w:p>
    <w:p w14:paraId="1692C14B" w14:textId="170E1E35" w:rsidR="007B77F6" w:rsidRPr="00847234" w:rsidRDefault="007B77F6" w:rsidP="00E6095B">
      <w:pPr>
        <w:spacing w:line="360" w:lineRule="auto"/>
        <w:jc w:val="both"/>
        <w:rPr>
          <w:rFonts w:ascii="Arial" w:hAnsi="Arial" w:cs="Arial"/>
          <w:bCs/>
        </w:rPr>
      </w:pPr>
    </w:p>
    <w:p w14:paraId="2B78829B" w14:textId="5451A43D" w:rsidR="00D2717A" w:rsidRPr="00847234" w:rsidRDefault="000F3600" w:rsidP="00E6095B">
      <w:pPr>
        <w:spacing w:line="360" w:lineRule="auto"/>
        <w:jc w:val="both"/>
        <w:rPr>
          <w:rFonts w:ascii="Arial" w:hAnsi="Arial" w:cs="Arial"/>
          <w:bCs/>
        </w:rPr>
      </w:pPr>
      <w:r w:rsidRPr="00847234">
        <w:rPr>
          <w:rFonts w:ascii="Arial" w:hAnsi="Arial" w:cs="Arial"/>
          <w:bCs/>
        </w:rPr>
        <w:t xml:space="preserve">Dicho de otra manera, </w:t>
      </w:r>
      <w:r w:rsidR="003D06E0" w:rsidRPr="00847234">
        <w:rPr>
          <w:rFonts w:ascii="Arial" w:hAnsi="Arial" w:cs="Arial"/>
          <w:bCs/>
        </w:rPr>
        <w:t>los</w:t>
      </w:r>
      <w:r w:rsidR="007B77F6" w:rsidRPr="00847234">
        <w:rPr>
          <w:rFonts w:ascii="Arial" w:hAnsi="Arial" w:cs="Arial"/>
          <w:bCs/>
        </w:rPr>
        <w:t xml:space="preserve"> valores de libre mercado y de libre concurrencia </w:t>
      </w:r>
      <w:r w:rsidR="0023659D" w:rsidRPr="00847234">
        <w:rPr>
          <w:rFonts w:ascii="Arial" w:hAnsi="Arial" w:cs="Arial"/>
          <w:bCs/>
        </w:rPr>
        <w:t xml:space="preserve">deben subordinarse al medio ambiente para </w:t>
      </w:r>
      <w:r w:rsidR="003D06E0" w:rsidRPr="00847234">
        <w:rPr>
          <w:rFonts w:ascii="Arial" w:hAnsi="Arial" w:cs="Arial"/>
          <w:bCs/>
        </w:rPr>
        <w:t>crear nuevas</w:t>
      </w:r>
      <w:r w:rsidR="007B77F6" w:rsidRPr="00847234">
        <w:rPr>
          <w:rFonts w:ascii="Arial" w:hAnsi="Arial" w:cs="Arial"/>
          <w:bCs/>
        </w:rPr>
        <w:t xml:space="preserve"> modalidades de mercados </w:t>
      </w:r>
      <w:r w:rsidR="0023659D" w:rsidRPr="00847234">
        <w:rPr>
          <w:rFonts w:ascii="Arial" w:hAnsi="Arial" w:cs="Arial"/>
          <w:bCs/>
        </w:rPr>
        <w:t>cuyo centro sea la sustentabilidad y no la eficiencia</w:t>
      </w:r>
      <w:r w:rsidR="003D06E0" w:rsidRPr="00847234">
        <w:rPr>
          <w:rFonts w:ascii="Arial" w:hAnsi="Arial" w:cs="Arial"/>
          <w:bCs/>
        </w:rPr>
        <w:t>.</w:t>
      </w:r>
      <w:r w:rsidR="0023659D" w:rsidRPr="00847234">
        <w:rPr>
          <w:rFonts w:ascii="Arial" w:hAnsi="Arial" w:cs="Arial"/>
          <w:bCs/>
        </w:rPr>
        <w:t xml:space="preserve"> </w:t>
      </w:r>
      <w:r w:rsidR="003D06E0" w:rsidRPr="00847234">
        <w:rPr>
          <w:rFonts w:ascii="Arial" w:hAnsi="Arial" w:cs="Arial"/>
          <w:bCs/>
        </w:rPr>
        <w:t>Si escogiéramos un</w:t>
      </w:r>
      <w:r w:rsidR="00575386" w:rsidRPr="00847234">
        <w:rPr>
          <w:rFonts w:ascii="Arial" w:hAnsi="Arial" w:cs="Arial"/>
          <w:bCs/>
        </w:rPr>
        <w:t xml:space="preserve"> paradigma centrado en </w:t>
      </w:r>
      <w:r w:rsidR="003D06E0" w:rsidRPr="00847234">
        <w:rPr>
          <w:rFonts w:ascii="Arial" w:hAnsi="Arial" w:cs="Arial"/>
          <w:bCs/>
        </w:rPr>
        <w:t>el libre</w:t>
      </w:r>
      <w:r w:rsidR="00276E79" w:rsidRPr="00847234">
        <w:rPr>
          <w:rFonts w:ascii="Arial" w:hAnsi="Arial" w:cs="Arial"/>
          <w:bCs/>
        </w:rPr>
        <w:t xml:space="preserve"> mercado</w:t>
      </w:r>
      <w:r w:rsidR="00760D2A" w:rsidRPr="00847234">
        <w:rPr>
          <w:rFonts w:ascii="Arial" w:hAnsi="Arial" w:cs="Arial"/>
          <w:bCs/>
        </w:rPr>
        <w:t>, los fines</w:t>
      </w:r>
      <w:r w:rsidR="003D06E0" w:rsidRPr="00847234">
        <w:rPr>
          <w:rFonts w:ascii="Arial" w:hAnsi="Arial" w:cs="Arial"/>
          <w:bCs/>
        </w:rPr>
        <w:t xml:space="preserve"> </w:t>
      </w:r>
      <w:r w:rsidR="00276E79" w:rsidRPr="00847234">
        <w:rPr>
          <w:rFonts w:ascii="Arial" w:hAnsi="Arial" w:cs="Arial"/>
          <w:bCs/>
        </w:rPr>
        <w:t xml:space="preserve">extra-mercado </w:t>
      </w:r>
      <w:r w:rsidR="00760D2A" w:rsidRPr="00847234">
        <w:rPr>
          <w:rFonts w:ascii="Arial" w:hAnsi="Arial" w:cs="Arial"/>
          <w:bCs/>
        </w:rPr>
        <w:t xml:space="preserve">quedan subordinados al </w:t>
      </w:r>
      <w:r w:rsidR="00276E79" w:rsidRPr="00847234">
        <w:rPr>
          <w:rFonts w:ascii="Arial" w:hAnsi="Arial" w:cs="Arial"/>
          <w:bCs/>
        </w:rPr>
        <w:t>valor de la eficiencia</w:t>
      </w:r>
      <w:r w:rsidR="00760D2A" w:rsidRPr="00847234">
        <w:rPr>
          <w:rFonts w:ascii="Arial" w:hAnsi="Arial" w:cs="Arial"/>
          <w:bCs/>
        </w:rPr>
        <w:t xml:space="preserve">. </w:t>
      </w:r>
      <w:r w:rsidR="004A4197" w:rsidRPr="00847234">
        <w:rPr>
          <w:rFonts w:ascii="Arial" w:hAnsi="Arial" w:cs="Arial"/>
          <w:bCs/>
        </w:rPr>
        <w:t xml:space="preserve">Como se observa, </w:t>
      </w:r>
      <w:r w:rsidR="00760D2A" w:rsidRPr="00847234">
        <w:rPr>
          <w:rFonts w:ascii="Arial" w:hAnsi="Arial" w:cs="Arial"/>
          <w:bCs/>
        </w:rPr>
        <w:t xml:space="preserve">escoger el </w:t>
      </w:r>
      <w:r w:rsidR="007A44E1" w:rsidRPr="00847234">
        <w:rPr>
          <w:rFonts w:ascii="Arial" w:hAnsi="Arial" w:cs="Arial"/>
          <w:bCs/>
        </w:rPr>
        <w:t xml:space="preserve">fundamento y el lugar </w:t>
      </w:r>
      <w:r w:rsidR="00C434EF" w:rsidRPr="00847234">
        <w:rPr>
          <w:rFonts w:ascii="Arial" w:hAnsi="Arial" w:cs="Arial"/>
          <w:bCs/>
        </w:rPr>
        <w:t xml:space="preserve">desde </w:t>
      </w:r>
      <w:r w:rsidR="00B6573C" w:rsidRPr="00847234">
        <w:rPr>
          <w:rFonts w:ascii="Arial" w:hAnsi="Arial" w:cs="Arial"/>
          <w:bCs/>
        </w:rPr>
        <w:t xml:space="preserve">donde </w:t>
      </w:r>
      <w:r w:rsidR="00C434EF" w:rsidRPr="00847234">
        <w:rPr>
          <w:rFonts w:ascii="Arial" w:hAnsi="Arial" w:cs="Arial"/>
          <w:bCs/>
        </w:rPr>
        <w:t xml:space="preserve">se analizará el vicio de </w:t>
      </w:r>
      <w:r w:rsidR="00760D2A" w:rsidRPr="00847234">
        <w:rPr>
          <w:rFonts w:ascii="Arial" w:hAnsi="Arial" w:cs="Arial"/>
          <w:bCs/>
        </w:rPr>
        <w:t xml:space="preserve">invalidez no es una cuestión menor. </w:t>
      </w:r>
      <w:r w:rsidR="00221679" w:rsidRPr="00847234">
        <w:rPr>
          <w:rFonts w:ascii="Arial" w:hAnsi="Arial" w:cs="Arial"/>
          <w:bCs/>
        </w:rPr>
        <w:t xml:space="preserve"> </w:t>
      </w:r>
      <w:r w:rsidR="00841874" w:rsidRPr="00847234">
        <w:rPr>
          <w:rFonts w:ascii="Arial" w:hAnsi="Arial" w:cs="Arial"/>
          <w:bCs/>
        </w:rPr>
        <w:t>Ahora</w:t>
      </w:r>
      <w:r w:rsidR="004E570D" w:rsidRPr="00847234">
        <w:rPr>
          <w:rFonts w:ascii="Arial" w:hAnsi="Arial" w:cs="Arial"/>
          <w:bCs/>
        </w:rPr>
        <w:t xml:space="preserve">, ¿qué debe hacer un juez constitucional convencido de que la regulación del despacho en el mercado de energía eléctrica amenaza </w:t>
      </w:r>
      <w:r w:rsidR="002C24DA" w:rsidRPr="00847234">
        <w:rPr>
          <w:rFonts w:ascii="Arial" w:hAnsi="Arial" w:cs="Arial"/>
          <w:bCs/>
        </w:rPr>
        <w:t xml:space="preserve">al </w:t>
      </w:r>
      <w:r w:rsidR="004E570D" w:rsidRPr="00847234">
        <w:rPr>
          <w:rFonts w:ascii="Arial" w:hAnsi="Arial" w:cs="Arial"/>
          <w:bCs/>
        </w:rPr>
        <w:t>medio ambient</w:t>
      </w:r>
      <w:r w:rsidR="00CE43B4" w:rsidRPr="00847234">
        <w:rPr>
          <w:rFonts w:ascii="Arial" w:hAnsi="Arial" w:cs="Arial"/>
          <w:bCs/>
        </w:rPr>
        <w:t xml:space="preserve">e ante el escenario donde -por razones de método propuesto en la sentencia- se </w:t>
      </w:r>
      <w:r w:rsidR="003577F0" w:rsidRPr="00847234">
        <w:rPr>
          <w:rFonts w:ascii="Arial" w:hAnsi="Arial" w:cs="Arial"/>
          <w:bCs/>
        </w:rPr>
        <w:t xml:space="preserve">le pregunta previamente si el circuito normativo </w:t>
      </w:r>
      <w:r w:rsidR="00841874" w:rsidRPr="00847234">
        <w:rPr>
          <w:rFonts w:ascii="Arial" w:hAnsi="Arial" w:cs="Arial"/>
          <w:bCs/>
        </w:rPr>
        <w:t xml:space="preserve">viola el principio de libre mercado? </w:t>
      </w:r>
    </w:p>
    <w:p w14:paraId="29FE09B2" w14:textId="4D8ABB2A" w:rsidR="00841874" w:rsidRPr="00847234" w:rsidRDefault="00841874" w:rsidP="00E6095B">
      <w:pPr>
        <w:spacing w:line="360" w:lineRule="auto"/>
        <w:jc w:val="both"/>
        <w:rPr>
          <w:rFonts w:ascii="Arial" w:hAnsi="Arial" w:cs="Arial"/>
          <w:bCs/>
        </w:rPr>
      </w:pPr>
    </w:p>
    <w:p w14:paraId="5E3B2328" w14:textId="25C4AC33" w:rsidR="009029F1" w:rsidRPr="00847234" w:rsidRDefault="00315062" w:rsidP="00E6095B">
      <w:pPr>
        <w:spacing w:line="360" w:lineRule="auto"/>
        <w:jc w:val="both"/>
        <w:rPr>
          <w:rFonts w:ascii="Arial" w:hAnsi="Arial" w:cs="Arial"/>
          <w:bCs/>
        </w:rPr>
      </w:pPr>
      <w:r w:rsidRPr="00847234">
        <w:rPr>
          <w:rFonts w:ascii="Arial" w:hAnsi="Arial" w:cs="Arial"/>
          <w:bCs/>
        </w:rPr>
        <w:t>L</w:t>
      </w:r>
      <w:r w:rsidR="009029F1" w:rsidRPr="00847234">
        <w:rPr>
          <w:rFonts w:ascii="Arial" w:hAnsi="Arial" w:cs="Arial"/>
          <w:bCs/>
        </w:rPr>
        <w:t>a respuesta es clara: debe</w:t>
      </w:r>
      <w:r w:rsidR="002C24DA" w:rsidRPr="00847234">
        <w:rPr>
          <w:rFonts w:ascii="Arial" w:hAnsi="Arial" w:cs="Arial"/>
          <w:bCs/>
        </w:rPr>
        <w:t xml:space="preserve"> </w:t>
      </w:r>
      <w:r w:rsidR="009029F1" w:rsidRPr="00847234">
        <w:rPr>
          <w:rFonts w:ascii="Arial" w:hAnsi="Arial" w:cs="Arial"/>
          <w:bCs/>
        </w:rPr>
        <w:t xml:space="preserve">pronunciarse ordenadamente </w:t>
      </w:r>
      <w:r w:rsidR="00B16F0C" w:rsidRPr="00847234">
        <w:rPr>
          <w:rFonts w:ascii="Arial" w:hAnsi="Arial" w:cs="Arial"/>
          <w:bCs/>
        </w:rPr>
        <w:t>sobre</w:t>
      </w:r>
      <w:r w:rsidR="009029F1" w:rsidRPr="00847234">
        <w:rPr>
          <w:rFonts w:ascii="Arial" w:hAnsi="Arial" w:cs="Arial"/>
          <w:bCs/>
        </w:rPr>
        <w:t xml:space="preserve"> cada pregunta</w:t>
      </w:r>
      <w:r w:rsidR="002413D8" w:rsidRPr="00847234">
        <w:rPr>
          <w:rFonts w:ascii="Arial" w:hAnsi="Arial" w:cs="Arial"/>
          <w:bCs/>
        </w:rPr>
        <w:t xml:space="preserve">, </w:t>
      </w:r>
      <w:r w:rsidR="009029F1" w:rsidRPr="00847234">
        <w:rPr>
          <w:rFonts w:ascii="Arial" w:hAnsi="Arial" w:cs="Arial"/>
          <w:bCs/>
        </w:rPr>
        <w:t>justificar su criterio constitucional en cada una de ellas</w:t>
      </w:r>
      <w:r w:rsidR="002413D8" w:rsidRPr="00847234">
        <w:rPr>
          <w:rFonts w:ascii="Arial" w:hAnsi="Arial" w:cs="Arial"/>
          <w:bCs/>
        </w:rPr>
        <w:t xml:space="preserve"> </w:t>
      </w:r>
      <w:r w:rsidR="004C05F7" w:rsidRPr="00847234">
        <w:rPr>
          <w:rFonts w:ascii="Arial" w:hAnsi="Arial" w:cs="Arial"/>
          <w:bCs/>
        </w:rPr>
        <w:t xml:space="preserve">y esperar la pregunta específica </w:t>
      </w:r>
      <w:r w:rsidR="002217F6" w:rsidRPr="00847234">
        <w:rPr>
          <w:rFonts w:ascii="Arial" w:hAnsi="Arial" w:cs="Arial"/>
          <w:bCs/>
        </w:rPr>
        <w:t xml:space="preserve">acerca de si la </w:t>
      </w:r>
      <w:r w:rsidR="00D7242C" w:rsidRPr="00847234">
        <w:rPr>
          <w:rFonts w:ascii="Arial" w:hAnsi="Arial" w:cs="Arial"/>
          <w:bCs/>
        </w:rPr>
        <w:t>ley impugnada</w:t>
      </w:r>
      <w:r w:rsidR="002217F6" w:rsidRPr="00847234">
        <w:rPr>
          <w:rFonts w:ascii="Arial" w:hAnsi="Arial" w:cs="Arial"/>
          <w:bCs/>
        </w:rPr>
        <w:t xml:space="preserve"> </w:t>
      </w:r>
      <w:r w:rsidR="00276E79" w:rsidRPr="00847234">
        <w:rPr>
          <w:rFonts w:ascii="Arial" w:hAnsi="Arial" w:cs="Arial"/>
          <w:bCs/>
        </w:rPr>
        <w:t>viola el medio ambiente</w:t>
      </w:r>
      <w:r w:rsidR="008D45C1" w:rsidRPr="00847234">
        <w:rPr>
          <w:rFonts w:ascii="Arial" w:hAnsi="Arial" w:cs="Arial"/>
          <w:bCs/>
        </w:rPr>
        <w:t>. Justo en ese momento debe expresar su opinión y dejar clara su posición. Pues, para él</w:t>
      </w:r>
      <w:r w:rsidR="000F4838" w:rsidRPr="00847234">
        <w:rPr>
          <w:rFonts w:ascii="Arial" w:hAnsi="Arial" w:cs="Arial"/>
          <w:bCs/>
        </w:rPr>
        <w:t>,</w:t>
      </w:r>
      <w:r w:rsidR="008D45C1" w:rsidRPr="00847234">
        <w:rPr>
          <w:rFonts w:ascii="Arial" w:hAnsi="Arial" w:cs="Arial"/>
          <w:bCs/>
        </w:rPr>
        <w:t xml:space="preserve"> el vicio de invalidez est</w:t>
      </w:r>
      <w:r w:rsidR="008E14AC" w:rsidRPr="00847234">
        <w:rPr>
          <w:rFonts w:ascii="Arial" w:hAnsi="Arial" w:cs="Arial"/>
          <w:bCs/>
        </w:rPr>
        <w:t>á</w:t>
      </w:r>
      <w:r w:rsidR="008D45C1" w:rsidRPr="00847234">
        <w:rPr>
          <w:rFonts w:ascii="Arial" w:hAnsi="Arial" w:cs="Arial"/>
          <w:bCs/>
        </w:rPr>
        <w:t xml:space="preserve"> en este punto</w:t>
      </w:r>
      <w:r w:rsidR="004737F8" w:rsidRPr="00847234">
        <w:rPr>
          <w:rFonts w:ascii="Arial" w:hAnsi="Arial" w:cs="Arial"/>
          <w:bCs/>
        </w:rPr>
        <w:t xml:space="preserve"> y no en la pregunta </w:t>
      </w:r>
      <w:r w:rsidR="00E44EAC" w:rsidRPr="00847234">
        <w:rPr>
          <w:rFonts w:ascii="Arial" w:hAnsi="Arial" w:cs="Arial"/>
          <w:bCs/>
        </w:rPr>
        <w:t xml:space="preserve">puesta a su consideración en ese momento. Es decir, en total respeto por el cuerpo colegiado al que pertenece, no debe adelantar una votación </w:t>
      </w:r>
      <w:r w:rsidR="000F4838" w:rsidRPr="00847234">
        <w:rPr>
          <w:rFonts w:ascii="Arial" w:hAnsi="Arial" w:cs="Arial"/>
          <w:bCs/>
        </w:rPr>
        <w:t>acerca de u</w:t>
      </w:r>
      <w:r w:rsidR="00777139" w:rsidRPr="00847234">
        <w:rPr>
          <w:rFonts w:ascii="Arial" w:hAnsi="Arial" w:cs="Arial"/>
          <w:bCs/>
        </w:rPr>
        <w:t xml:space="preserve">n tema no propuesto aún. </w:t>
      </w:r>
      <w:r w:rsidR="00E44EAC" w:rsidRPr="00847234">
        <w:rPr>
          <w:rFonts w:ascii="Arial" w:hAnsi="Arial" w:cs="Arial"/>
          <w:bCs/>
        </w:rPr>
        <w:t xml:space="preserve">El orden </w:t>
      </w:r>
      <w:r w:rsidR="00D67F4F" w:rsidRPr="00847234">
        <w:rPr>
          <w:rFonts w:ascii="Arial" w:hAnsi="Arial" w:cs="Arial"/>
          <w:bCs/>
        </w:rPr>
        <w:t>de las preguntas y de las respuestas que les siguen son fundamentales para la construcción democrática y doctrinaria de un tribunal constitucional. Un cuerpo colegiado obliga a someterse a las decisiones mayoritarias</w:t>
      </w:r>
      <w:r w:rsidR="005D7550" w:rsidRPr="00847234">
        <w:rPr>
          <w:rFonts w:ascii="Arial" w:hAnsi="Arial" w:cs="Arial"/>
          <w:bCs/>
        </w:rPr>
        <w:t xml:space="preserve"> </w:t>
      </w:r>
      <w:r w:rsidR="00DF2B45" w:rsidRPr="00847234">
        <w:rPr>
          <w:rFonts w:ascii="Arial" w:hAnsi="Arial" w:cs="Arial"/>
          <w:bCs/>
        </w:rPr>
        <w:t>no sólo p</w:t>
      </w:r>
      <w:r w:rsidR="00D2143F" w:rsidRPr="00847234">
        <w:rPr>
          <w:rFonts w:ascii="Arial" w:hAnsi="Arial" w:cs="Arial"/>
          <w:bCs/>
        </w:rPr>
        <w:t xml:space="preserve">ara acatar </w:t>
      </w:r>
      <w:r w:rsidR="00246B35" w:rsidRPr="00847234">
        <w:rPr>
          <w:rFonts w:ascii="Arial" w:hAnsi="Arial" w:cs="Arial"/>
          <w:bCs/>
        </w:rPr>
        <w:t>el diseño constitucional</w:t>
      </w:r>
      <w:r w:rsidR="00B67CC1" w:rsidRPr="00847234">
        <w:rPr>
          <w:rFonts w:ascii="Arial" w:hAnsi="Arial" w:cs="Arial"/>
          <w:bCs/>
        </w:rPr>
        <w:t>,</w:t>
      </w:r>
      <w:r w:rsidR="00246B35" w:rsidRPr="00847234">
        <w:rPr>
          <w:rFonts w:ascii="Arial" w:hAnsi="Arial" w:cs="Arial"/>
          <w:bCs/>
        </w:rPr>
        <w:t xml:space="preserve"> que por al</w:t>
      </w:r>
      <w:r w:rsidR="00D2143F" w:rsidRPr="00847234">
        <w:rPr>
          <w:rFonts w:ascii="Arial" w:hAnsi="Arial" w:cs="Arial"/>
          <w:bCs/>
        </w:rPr>
        <w:t>go exige la presencia de cierto número de integrantes,</w:t>
      </w:r>
      <w:r w:rsidR="00E5010B" w:rsidRPr="00847234">
        <w:rPr>
          <w:rFonts w:ascii="Arial" w:hAnsi="Arial" w:cs="Arial"/>
          <w:bCs/>
        </w:rPr>
        <w:t xml:space="preserve"> sino para dotar de certidumbre jurídica a las personas sujetas a la jurisdicción</w:t>
      </w:r>
      <w:r w:rsidR="00D2143F" w:rsidRPr="00847234">
        <w:rPr>
          <w:rFonts w:ascii="Arial" w:hAnsi="Arial" w:cs="Arial"/>
          <w:bCs/>
        </w:rPr>
        <w:t xml:space="preserve"> del Estado</w:t>
      </w:r>
      <w:r w:rsidR="00E5010B" w:rsidRPr="00847234">
        <w:rPr>
          <w:rFonts w:ascii="Arial" w:hAnsi="Arial" w:cs="Arial"/>
          <w:bCs/>
        </w:rPr>
        <w:t xml:space="preserve">, quienes </w:t>
      </w:r>
      <w:r w:rsidR="00DB0F04" w:rsidRPr="00847234">
        <w:rPr>
          <w:rFonts w:ascii="Arial" w:hAnsi="Arial" w:cs="Arial"/>
          <w:bCs/>
        </w:rPr>
        <w:t xml:space="preserve">conocerán </w:t>
      </w:r>
      <w:r w:rsidR="00E5010B" w:rsidRPr="00847234">
        <w:rPr>
          <w:rFonts w:ascii="Arial" w:hAnsi="Arial" w:cs="Arial"/>
          <w:bCs/>
        </w:rPr>
        <w:t>con claridad los argumentos que deben presentar</w:t>
      </w:r>
      <w:r w:rsidR="0076176A" w:rsidRPr="00847234">
        <w:rPr>
          <w:rFonts w:ascii="Arial" w:hAnsi="Arial" w:cs="Arial"/>
          <w:bCs/>
        </w:rPr>
        <w:t xml:space="preserve"> en litigios próximos</w:t>
      </w:r>
      <w:r w:rsidR="00D2143F" w:rsidRPr="00847234">
        <w:rPr>
          <w:rFonts w:ascii="Arial" w:hAnsi="Arial" w:cs="Arial"/>
          <w:bCs/>
        </w:rPr>
        <w:t xml:space="preserve"> si es que quieren resultados exitosos. Nunca debe menospreciarse la obligatoriedad de la doctrina surgida de un tribunal constitucional, la cual obliga no solo desde </w:t>
      </w:r>
      <w:r w:rsidR="00257A0A" w:rsidRPr="00847234">
        <w:rPr>
          <w:rFonts w:ascii="Arial" w:hAnsi="Arial" w:cs="Arial"/>
          <w:bCs/>
        </w:rPr>
        <w:t xml:space="preserve">los </w:t>
      </w:r>
      <w:r w:rsidR="00D2143F" w:rsidRPr="00847234">
        <w:rPr>
          <w:rFonts w:ascii="Arial" w:hAnsi="Arial" w:cs="Arial"/>
          <w:bCs/>
        </w:rPr>
        <w:t xml:space="preserve">resultados, sino desde las razones. </w:t>
      </w:r>
      <w:r w:rsidR="003B7738" w:rsidRPr="00847234">
        <w:rPr>
          <w:rFonts w:ascii="Arial" w:hAnsi="Arial" w:cs="Arial"/>
          <w:bCs/>
        </w:rPr>
        <w:t xml:space="preserve"> </w:t>
      </w:r>
    </w:p>
    <w:p w14:paraId="05BA0CD3" w14:textId="77777777" w:rsidR="009029F1" w:rsidRPr="00847234" w:rsidRDefault="009029F1" w:rsidP="00E6095B">
      <w:pPr>
        <w:spacing w:line="360" w:lineRule="auto"/>
        <w:jc w:val="both"/>
        <w:rPr>
          <w:rFonts w:ascii="Arial" w:hAnsi="Arial" w:cs="Arial"/>
          <w:bCs/>
        </w:rPr>
      </w:pPr>
    </w:p>
    <w:p w14:paraId="2747EAB5" w14:textId="61B108D6" w:rsidR="00841874" w:rsidRPr="00847234" w:rsidRDefault="00D2717A" w:rsidP="00841874">
      <w:pPr>
        <w:spacing w:line="360" w:lineRule="auto"/>
        <w:jc w:val="both"/>
        <w:rPr>
          <w:rFonts w:ascii="Arial" w:hAnsi="Arial" w:cs="Arial"/>
          <w:bCs/>
        </w:rPr>
      </w:pPr>
      <w:r w:rsidRPr="00847234">
        <w:rPr>
          <w:rFonts w:ascii="Arial" w:hAnsi="Arial" w:cs="Arial"/>
          <w:bCs/>
        </w:rPr>
        <w:t xml:space="preserve">Así, aunque como juzgadores lleguemos a la convicción de que una ley es inconstitucional por vulneración de un determinado derecho humano, nuestra obligación es contestar disciplinada y sistemáticamente aquellos argumentos </w:t>
      </w:r>
      <w:r w:rsidR="00814884" w:rsidRPr="00847234">
        <w:rPr>
          <w:rFonts w:ascii="Arial" w:hAnsi="Arial" w:cs="Arial"/>
          <w:bCs/>
        </w:rPr>
        <w:t xml:space="preserve">basados en </w:t>
      </w:r>
      <w:r w:rsidRPr="00847234">
        <w:rPr>
          <w:rFonts w:ascii="Arial" w:hAnsi="Arial" w:cs="Arial"/>
          <w:bCs/>
        </w:rPr>
        <w:t xml:space="preserve">otros derechos o principios constitucionales, </w:t>
      </w:r>
      <w:r w:rsidR="00091026" w:rsidRPr="00847234">
        <w:rPr>
          <w:rFonts w:ascii="Arial" w:hAnsi="Arial" w:cs="Arial"/>
          <w:bCs/>
        </w:rPr>
        <w:t xml:space="preserve">a pesar de que </w:t>
      </w:r>
      <w:r w:rsidRPr="00847234">
        <w:rPr>
          <w:rFonts w:ascii="Arial" w:hAnsi="Arial" w:cs="Arial"/>
          <w:bCs/>
        </w:rPr>
        <w:t xml:space="preserve">creamos que </w:t>
      </w:r>
      <w:r w:rsidR="000730B7" w:rsidRPr="00847234">
        <w:rPr>
          <w:rFonts w:ascii="Arial" w:hAnsi="Arial" w:cs="Arial"/>
          <w:bCs/>
        </w:rPr>
        <w:t>no sirven a</w:t>
      </w:r>
      <w:r w:rsidRPr="00847234">
        <w:rPr>
          <w:rFonts w:ascii="Arial" w:hAnsi="Arial" w:cs="Arial"/>
          <w:bCs/>
        </w:rPr>
        <w:t xml:space="preserve"> la pretensión de la parte </w:t>
      </w:r>
      <w:r w:rsidR="000730B7" w:rsidRPr="00847234">
        <w:rPr>
          <w:rFonts w:ascii="Arial" w:hAnsi="Arial" w:cs="Arial"/>
          <w:bCs/>
        </w:rPr>
        <w:t xml:space="preserve">que alega la inconstitucionalidad de la norma. </w:t>
      </w:r>
      <w:r w:rsidRPr="00847234">
        <w:rPr>
          <w:rFonts w:ascii="Arial" w:hAnsi="Arial" w:cs="Arial"/>
          <w:bCs/>
        </w:rPr>
        <w:t xml:space="preserve"> </w:t>
      </w:r>
      <w:r w:rsidR="0039402C">
        <w:rPr>
          <w:rFonts w:ascii="Arial" w:hAnsi="Arial" w:cs="Arial"/>
          <w:bCs/>
        </w:rPr>
        <w:t>E</w:t>
      </w:r>
      <w:r w:rsidR="00223AEB" w:rsidRPr="00847234">
        <w:rPr>
          <w:rFonts w:ascii="Arial" w:hAnsi="Arial" w:cs="Arial"/>
          <w:bCs/>
        </w:rPr>
        <w:t xml:space="preserve">sta proposición y disposición ordenada de las distintas preguntas que </w:t>
      </w:r>
      <w:r w:rsidR="00DF2D44" w:rsidRPr="00847234">
        <w:rPr>
          <w:rFonts w:ascii="Arial" w:hAnsi="Arial" w:cs="Arial"/>
          <w:bCs/>
        </w:rPr>
        <w:lastRenderedPageBreak/>
        <w:t xml:space="preserve">surgen de un </w:t>
      </w:r>
      <w:r w:rsidR="00223AEB" w:rsidRPr="00847234">
        <w:rPr>
          <w:rFonts w:ascii="Arial" w:hAnsi="Arial" w:cs="Arial"/>
          <w:bCs/>
        </w:rPr>
        <w:t xml:space="preserve">asunto </w:t>
      </w:r>
      <w:r w:rsidR="0039402C">
        <w:rPr>
          <w:rFonts w:ascii="Arial" w:hAnsi="Arial" w:cs="Arial"/>
          <w:bCs/>
        </w:rPr>
        <w:t xml:space="preserve">nos ha permitido </w:t>
      </w:r>
      <w:r w:rsidR="00656B88" w:rsidRPr="00847234">
        <w:rPr>
          <w:rFonts w:ascii="Arial" w:hAnsi="Arial" w:cs="Arial"/>
          <w:bCs/>
        </w:rPr>
        <w:t xml:space="preserve">responder -en ocasiones- que una ley resulta </w:t>
      </w:r>
      <w:r w:rsidR="0059047B" w:rsidRPr="00847234">
        <w:rPr>
          <w:rFonts w:ascii="Arial" w:hAnsi="Arial" w:cs="Arial"/>
          <w:bCs/>
        </w:rPr>
        <w:t>inválida,</w:t>
      </w:r>
      <w:r w:rsidR="00656B88" w:rsidRPr="00847234">
        <w:rPr>
          <w:rFonts w:ascii="Arial" w:hAnsi="Arial" w:cs="Arial"/>
          <w:bCs/>
        </w:rPr>
        <w:t xml:space="preserve"> aunque no por las razones expresadas </w:t>
      </w:r>
      <w:r w:rsidR="0059047B" w:rsidRPr="00847234">
        <w:rPr>
          <w:rFonts w:ascii="Arial" w:hAnsi="Arial" w:cs="Arial"/>
          <w:bCs/>
        </w:rPr>
        <w:t xml:space="preserve">por las partes. </w:t>
      </w:r>
      <w:r w:rsidR="000B0EBD" w:rsidRPr="00847234">
        <w:rPr>
          <w:rFonts w:ascii="Arial" w:hAnsi="Arial" w:cs="Arial"/>
          <w:bCs/>
        </w:rPr>
        <w:t xml:space="preserve"> </w:t>
      </w:r>
      <w:r w:rsidR="00841874" w:rsidRPr="00847234">
        <w:rPr>
          <w:rFonts w:ascii="Arial" w:hAnsi="Arial" w:cs="Arial"/>
          <w:bCs/>
        </w:rPr>
        <w:t>Esta</w:t>
      </w:r>
      <w:r w:rsidR="00B376DE" w:rsidRPr="00847234">
        <w:rPr>
          <w:rFonts w:ascii="Arial" w:hAnsi="Arial" w:cs="Arial"/>
          <w:bCs/>
        </w:rPr>
        <w:t xml:space="preserve"> forma de comprensión de los d</w:t>
      </w:r>
      <w:r w:rsidR="005552A5" w:rsidRPr="00847234">
        <w:rPr>
          <w:rFonts w:ascii="Arial" w:hAnsi="Arial" w:cs="Arial"/>
          <w:bCs/>
        </w:rPr>
        <w:t xml:space="preserve">ilemas constitucionales ha configurado </w:t>
      </w:r>
      <w:r w:rsidR="00841874" w:rsidRPr="00847234">
        <w:rPr>
          <w:rFonts w:ascii="Arial" w:hAnsi="Arial" w:cs="Arial"/>
          <w:bCs/>
        </w:rPr>
        <w:t xml:space="preserve">una práctica </w:t>
      </w:r>
      <w:r w:rsidR="009274EC" w:rsidRPr="00847234">
        <w:rPr>
          <w:rFonts w:ascii="Arial" w:hAnsi="Arial" w:cs="Arial"/>
          <w:bCs/>
        </w:rPr>
        <w:t>ininterrumpida</w:t>
      </w:r>
      <w:r w:rsidR="00841874" w:rsidRPr="00847234">
        <w:rPr>
          <w:rFonts w:ascii="Arial" w:hAnsi="Arial" w:cs="Arial"/>
          <w:bCs/>
        </w:rPr>
        <w:t xml:space="preserve"> </w:t>
      </w:r>
      <w:r w:rsidR="009274EC" w:rsidRPr="00847234">
        <w:rPr>
          <w:rFonts w:ascii="Arial" w:hAnsi="Arial" w:cs="Arial"/>
          <w:bCs/>
        </w:rPr>
        <w:t>en est</w:t>
      </w:r>
      <w:r w:rsidR="00C86E7A" w:rsidRPr="00847234">
        <w:rPr>
          <w:rFonts w:ascii="Arial" w:hAnsi="Arial" w:cs="Arial"/>
          <w:bCs/>
        </w:rPr>
        <w:t>a</w:t>
      </w:r>
      <w:r w:rsidR="009274EC" w:rsidRPr="00847234">
        <w:rPr>
          <w:rFonts w:ascii="Arial" w:hAnsi="Arial" w:cs="Arial"/>
          <w:bCs/>
        </w:rPr>
        <w:t xml:space="preserve"> </w:t>
      </w:r>
      <w:r w:rsidR="001035D1" w:rsidRPr="00847234">
        <w:rPr>
          <w:rFonts w:ascii="Arial" w:hAnsi="Arial" w:cs="Arial"/>
          <w:bCs/>
        </w:rPr>
        <w:t>C</w:t>
      </w:r>
      <w:r w:rsidR="009274EC" w:rsidRPr="00847234">
        <w:rPr>
          <w:rFonts w:ascii="Arial" w:hAnsi="Arial" w:cs="Arial"/>
          <w:bCs/>
        </w:rPr>
        <w:t xml:space="preserve">orte </w:t>
      </w:r>
      <w:r w:rsidR="00841874" w:rsidRPr="00847234">
        <w:rPr>
          <w:rFonts w:ascii="Arial" w:hAnsi="Arial" w:cs="Arial"/>
          <w:bCs/>
        </w:rPr>
        <w:t xml:space="preserve">desde </w:t>
      </w:r>
      <w:r w:rsidR="00C65F56" w:rsidRPr="00847234">
        <w:rPr>
          <w:rFonts w:ascii="Arial" w:hAnsi="Arial" w:cs="Arial"/>
          <w:bCs/>
        </w:rPr>
        <w:t xml:space="preserve">la </w:t>
      </w:r>
      <w:r w:rsidR="00C86E7A" w:rsidRPr="00847234">
        <w:rPr>
          <w:rFonts w:ascii="Arial" w:hAnsi="Arial" w:cs="Arial"/>
          <w:bCs/>
        </w:rPr>
        <w:t>instauración</w:t>
      </w:r>
      <w:r w:rsidR="00C65F56" w:rsidRPr="00847234">
        <w:rPr>
          <w:rFonts w:ascii="Arial" w:hAnsi="Arial" w:cs="Arial"/>
          <w:bCs/>
        </w:rPr>
        <w:t xml:space="preserve"> del amparo</w:t>
      </w:r>
      <w:r w:rsidR="00C86E7A" w:rsidRPr="00847234">
        <w:rPr>
          <w:rFonts w:ascii="Arial" w:hAnsi="Arial" w:cs="Arial"/>
          <w:bCs/>
        </w:rPr>
        <w:t xml:space="preserve"> </w:t>
      </w:r>
      <w:r w:rsidR="00C65F56" w:rsidRPr="00847234">
        <w:rPr>
          <w:rFonts w:ascii="Arial" w:hAnsi="Arial" w:cs="Arial"/>
          <w:bCs/>
        </w:rPr>
        <w:t>como primer</w:t>
      </w:r>
      <w:r w:rsidR="00841874" w:rsidRPr="00847234">
        <w:rPr>
          <w:rFonts w:ascii="Arial" w:hAnsi="Arial" w:cs="Arial"/>
          <w:bCs/>
        </w:rPr>
        <w:t xml:space="preserve"> medio de control constitucional en nuestro país</w:t>
      </w:r>
      <w:r w:rsidR="00C65F56" w:rsidRPr="00847234">
        <w:rPr>
          <w:rFonts w:ascii="Arial" w:hAnsi="Arial" w:cs="Arial"/>
          <w:bCs/>
        </w:rPr>
        <w:t xml:space="preserve">. </w:t>
      </w:r>
      <w:r w:rsidR="00BD4B51" w:rsidRPr="00847234">
        <w:rPr>
          <w:rFonts w:ascii="Arial" w:hAnsi="Arial" w:cs="Arial"/>
          <w:bCs/>
        </w:rPr>
        <w:t xml:space="preserve">Ese recurso exige de las </w:t>
      </w:r>
      <w:r w:rsidR="00C65F56" w:rsidRPr="00847234">
        <w:rPr>
          <w:rFonts w:ascii="Arial" w:hAnsi="Arial" w:cs="Arial"/>
          <w:bCs/>
        </w:rPr>
        <w:t>juezas resolver</w:t>
      </w:r>
      <w:r w:rsidR="00841874" w:rsidRPr="00847234">
        <w:rPr>
          <w:rFonts w:ascii="Arial" w:hAnsi="Arial" w:cs="Arial"/>
          <w:bCs/>
        </w:rPr>
        <w:t xml:space="preserve"> congruente y exhaustiva</w:t>
      </w:r>
      <w:r w:rsidR="00BD4B51" w:rsidRPr="00847234">
        <w:rPr>
          <w:rFonts w:ascii="Arial" w:hAnsi="Arial" w:cs="Arial"/>
          <w:bCs/>
        </w:rPr>
        <w:t>mente</w:t>
      </w:r>
      <w:r w:rsidR="00841874" w:rsidRPr="00847234">
        <w:rPr>
          <w:rFonts w:ascii="Arial" w:hAnsi="Arial" w:cs="Arial"/>
          <w:bCs/>
        </w:rPr>
        <w:t xml:space="preserve"> los planteamientos </w:t>
      </w:r>
      <w:r w:rsidR="00EB113D" w:rsidRPr="00847234">
        <w:rPr>
          <w:rFonts w:ascii="Arial" w:hAnsi="Arial" w:cs="Arial"/>
          <w:bCs/>
        </w:rPr>
        <w:t>realizados</w:t>
      </w:r>
      <w:r w:rsidR="0083433C" w:rsidRPr="00847234">
        <w:rPr>
          <w:rFonts w:ascii="Arial" w:hAnsi="Arial" w:cs="Arial"/>
          <w:bCs/>
        </w:rPr>
        <w:t xml:space="preserve">. </w:t>
      </w:r>
      <w:r w:rsidR="009F6428" w:rsidRPr="00847234">
        <w:rPr>
          <w:rStyle w:val="Refdenotaalpie"/>
          <w:rFonts w:ascii="Arial" w:hAnsi="Arial" w:cs="Arial"/>
          <w:bCs/>
        </w:rPr>
        <w:footnoteReference w:id="14"/>
      </w:r>
      <w:r w:rsidR="00841874" w:rsidRPr="00847234">
        <w:rPr>
          <w:rFonts w:ascii="Arial" w:hAnsi="Arial" w:cs="Arial"/>
          <w:bCs/>
        </w:rPr>
        <w:t xml:space="preserve"> Esta práctica se ha extendido y ahora </w:t>
      </w:r>
      <w:r w:rsidR="00717399" w:rsidRPr="00847234">
        <w:rPr>
          <w:rFonts w:ascii="Arial" w:hAnsi="Arial" w:cs="Arial"/>
          <w:bCs/>
        </w:rPr>
        <w:t xml:space="preserve">es utilizada para </w:t>
      </w:r>
      <w:r w:rsidR="00841874" w:rsidRPr="00847234">
        <w:rPr>
          <w:rFonts w:ascii="Arial" w:hAnsi="Arial" w:cs="Arial"/>
          <w:bCs/>
        </w:rPr>
        <w:t xml:space="preserve">resolver cualquier acción de inconstitucionalidad o controversia constitucional. </w:t>
      </w:r>
    </w:p>
    <w:p w14:paraId="682B6B94" w14:textId="77777777" w:rsidR="00D2717A" w:rsidRPr="00847234" w:rsidRDefault="00D2717A" w:rsidP="00E6095B">
      <w:pPr>
        <w:spacing w:line="360" w:lineRule="auto"/>
        <w:jc w:val="both"/>
        <w:rPr>
          <w:rFonts w:ascii="Arial" w:hAnsi="Arial" w:cs="Arial"/>
          <w:bCs/>
        </w:rPr>
      </w:pPr>
    </w:p>
    <w:p w14:paraId="6EB69E0F" w14:textId="429170E3" w:rsidR="00D2717A" w:rsidRPr="00847234" w:rsidRDefault="00961E11" w:rsidP="00E6095B">
      <w:pPr>
        <w:spacing w:line="360" w:lineRule="auto"/>
        <w:jc w:val="both"/>
        <w:rPr>
          <w:rFonts w:ascii="Arial" w:hAnsi="Arial" w:cs="Arial"/>
          <w:bCs/>
        </w:rPr>
      </w:pPr>
      <w:r w:rsidRPr="00847234">
        <w:rPr>
          <w:rFonts w:ascii="Arial" w:hAnsi="Arial" w:cs="Arial"/>
          <w:bCs/>
        </w:rPr>
        <w:t>Debo ser contundente. El orden metodológico propuesto por un proyecto ordena la discusión</w:t>
      </w:r>
      <w:r w:rsidR="007957BD" w:rsidRPr="00847234">
        <w:rPr>
          <w:rFonts w:ascii="Arial" w:hAnsi="Arial" w:cs="Arial"/>
          <w:bCs/>
        </w:rPr>
        <w:t xml:space="preserve"> </w:t>
      </w:r>
      <w:r w:rsidR="00327026" w:rsidRPr="00847234">
        <w:rPr>
          <w:rFonts w:ascii="Arial" w:hAnsi="Arial" w:cs="Arial"/>
          <w:bCs/>
        </w:rPr>
        <w:t xml:space="preserve">a partir de los agravios de las partes. </w:t>
      </w:r>
      <w:r w:rsidR="00ED721D" w:rsidRPr="00847234">
        <w:rPr>
          <w:rFonts w:ascii="Arial" w:hAnsi="Arial" w:cs="Arial"/>
          <w:bCs/>
        </w:rPr>
        <w:t>L</w:t>
      </w:r>
      <w:r w:rsidR="007957BD" w:rsidRPr="00847234">
        <w:rPr>
          <w:rFonts w:ascii="Arial" w:hAnsi="Arial" w:cs="Arial"/>
          <w:bCs/>
        </w:rPr>
        <w:t xml:space="preserve">os ministros debemos someternos a la propuesta y </w:t>
      </w:r>
      <w:r w:rsidR="00D71290" w:rsidRPr="00847234">
        <w:rPr>
          <w:rFonts w:ascii="Arial" w:hAnsi="Arial" w:cs="Arial"/>
          <w:bCs/>
        </w:rPr>
        <w:t xml:space="preserve">contestar las preguntas que el proyecto </w:t>
      </w:r>
      <w:r w:rsidR="00ED721D" w:rsidRPr="00847234">
        <w:rPr>
          <w:rFonts w:ascii="Arial" w:hAnsi="Arial" w:cs="Arial"/>
          <w:bCs/>
        </w:rPr>
        <w:t>sugier</w:t>
      </w:r>
      <w:r w:rsidR="003919FC" w:rsidRPr="00847234">
        <w:rPr>
          <w:rFonts w:ascii="Arial" w:hAnsi="Arial" w:cs="Arial"/>
          <w:bCs/>
        </w:rPr>
        <w:t>e e</w:t>
      </w:r>
      <w:r w:rsidR="00D71290" w:rsidRPr="00847234">
        <w:rPr>
          <w:rFonts w:ascii="Arial" w:hAnsi="Arial" w:cs="Arial"/>
          <w:bCs/>
        </w:rPr>
        <w:t xml:space="preserve">n la sucesión en la que </w:t>
      </w:r>
      <w:r w:rsidR="00B739B7" w:rsidRPr="00847234">
        <w:rPr>
          <w:rFonts w:ascii="Arial" w:hAnsi="Arial" w:cs="Arial"/>
          <w:bCs/>
        </w:rPr>
        <w:t>aparecen.</w:t>
      </w:r>
      <w:r w:rsidR="00F23B0A" w:rsidRPr="00847234">
        <w:rPr>
          <w:rFonts w:ascii="Arial" w:hAnsi="Arial" w:cs="Arial"/>
          <w:bCs/>
        </w:rPr>
        <w:t xml:space="preserve"> Esa disciplina</w:t>
      </w:r>
      <w:r w:rsidR="000E2B33" w:rsidRPr="00847234">
        <w:rPr>
          <w:rFonts w:ascii="Arial" w:hAnsi="Arial" w:cs="Arial"/>
          <w:bCs/>
        </w:rPr>
        <w:t xml:space="preserve"> y disposición es una virtud judicial no </w:t>
      </w:r>
      <w:r w:rsidR="00A13C9F" w:rsidRPr="00847234">
        <w:rPr>
          <w:rFonts w:ascii="Arial" w:hAnsi="Arial" w:cs="Arial"/>
          <w:bCs/>
        </w:rPr>
        <w:t xml:space="preserve">una conducta </w:t>
      </w:r>
      <w:r w:rsidR="00327026" w:rsidRPr="00847234">
        <w:rPr>
          <w:rFonts w:ascii="Arial" w:hAnsi="Arial" w:cs="Arial"/>
          <w:bCs/>
        </w:rPr>
        <w:t>dign</w:t>
      </w:r>
      <w:r w:rsidR="00A13C9F" w:rsidRPr="00847234">
        <w:rPr>
          <w:rFonts w:ascii="Arial" w:hAnsi="Arial" w:cs="Arial"/>
          <w:bCs/>
        </w:rPr>
        <w:t>a</w:t>
      </w:r>
      <w:r w:rsidR="00327026" w:rsidRPr="00847234">
        <w:rPr>
          <w:rFonts w:ascii="Arial" w:hAnsi="Arial" w:cs="Arial"/>
          <w:bCs/>
        </w:rPr>
        <w:t xml:space="preserve"> de reproche. </w:t>
      </w:r>
      <w:r w:rsidR="00D2717A" w:rsidRPr="00847234">
        <w:rPr>
          <w:rFonts w:ascii="Arial" w:hAnsi="Arial" w:cs="Arial"/>
          <w:bCs/>
        </w:rPr>
        <w:t>A diferencia de las ramas políticas, los jueces</w:t>
      </w:r>
      <w:r w:rsidR="00B16F0C" w:rsidRPr="00847234">
        <w:rPr>
          <w:rFonts w:ascii="Arial" w:hAnsi="Arial" w:cs="Arial"/>
          <w:bCs/>
        </w:rPr>
        <w:t xml:space="preserve"> </w:t>
      </w:r>
      <w:r w:rsidR="00D2717A" w:rsidRPr="00847234">
        <w:rPr>
          <w:rFonts w:ascii="Arial" w:hAnsi="Arial" w:cs="Arial"/>
          <w:bCs/>
        </w:rPr>
        <w:t xml:space="preserve">no </w:t>
      </w:r>
      <w:r w:rsidR="009A0AFD" w:rsidRPr="00847234">
        <w:rPr>
          <w:rFonts w:ascii="Arial" w:hAnsi="Arial" w:cs="Arial"/>
          <w:bCs/>
        </w:rPr>
        <w:t>el</w:t>
      </w:r>
      <w:r w:rsidR="009053DC" w:rsidRPr="00847234">
        <w:rPr>
          <w:rFonts w:ascii="Arial" w:hAnsi="Arial" w:cs="Arial"/>
          <w:bCs/>
        </w:rPr>
        <w:t>egimos l</w:t>
      </w:r>
      <w:r w:rsidR="00D2717A" w:rsidRPr="00847234">
        <w:rPr>
          <w:rFonts w:ascii="Arial" w:hAnsi="Arial" w:cs="Arial"/>
          <w:bCs/>
        </w:rPr>
        <w:t xml:space="preserve">as preguntas que </w:t>
      </w:r>
      <w:r w:rsidR="004C342C" w:rsidRPr="00847234">
        <w:rPr>
          <w:rFonts w:ascii="Arial" w:hAnsi="Arial" w:cs="Arial"/>
          <w:bCs/>
        </w:rPr>
        <w:t>queremos responder</w:t>
      </w:r>
      <w:r w:rsidR="00A86C9C" w:rsidRPr="00847234">
        <w:rPr>
          <w:rFonts w:ascii="Arial" w:hAnsi="Arial" w:cs="Arial"/>
          <w:bCs/>
        </w:rPr>
        <w:t xml:space="preserve">; nos ocupamos de </w:t>
      </w:r>
      <w:r w:rsidR="004837EA" w:rsidRPr="00847234">
        <w:rPr>
          <w:rFonts w:ascii="Arial" w:hAnsi="Arial" w:cs="Arial"/>
          <w:bCs/>
        </w:rPr>
        <w:t>aquellas</w:t>
      </w:r>
      <w:r w:rsidR="008565B0" w:rsidRPr="00847234">
        <w:rPr>
          <w:rFonts w:ascii="Arial" w:hAnsi="Arial" w:cs="Arial"/>
          <w:bCs/>
        </w:rPr>
        <w:t xml:space="preserve"> </w:t>
      </w:r>
      <w:r w:rsidR="009053DC" w:rsidRPr="00847234">
        <w:rPr>
          <w:rFonts w:ascii="Arial" w:hAnsi="Arial" w:cs="Arial"/>
          <w:bCs/>
        </w:rPr>
        <w:t xml:space="preserve">propuestas </w:t>
      </w:r>
      <w:r w:rsidR="008565B0" w:rsidRPr="00847234">
        <w:rPr>
          <w:rFonts w:ascii="Arial" w:hAnsi="Arial" w:cs="Arial"/>
          <w:bCs/>
        </w:rPr>
        <w:t>por</w:t>
      </w:r>
      <w:r w:rsidR="004837EA" w:rsidRPr="00847234">
        <w:rPr>
          <w:rFonts w:ascii="Arial" w:hAnsi="Arial" w:cs="Arial"/>
          <w:bCs/>
        </w:rPr>
        <w:t xml:space="preserve"> quienes </w:t>
      </w:r>
      <w:r w:rsidR="008565B0" w:rsidRPr="00847234">
        <w:rPr>
          <w:rFonts w:ascii="Arial" w:hAnsi="Arial" w:cs="Arial"/>
          <w:bCs/>
        </w:rPr>
        <w:t xml:space="preserve">acuden a nosotros. </w:t>
      </w:r>
      <w:r w:rsidR="00D2717A" w:rsidRPr="00847234">
        <w:rPr>
          <w:rFonts w:ascii="Arial" w:hAnsi="Arial" w:cs="Arial"/>
          <w:bCs/>
        </w:rPr>
        <w:t xml:space="preserve"> Si los jueces </w:t>
      </w:r>
      <w:r w:rsidR="009053DC" w:rsidRPr="00847234">
        <w:rPr>
          <w:rFonts w:ascii="Arial" w:hAnsi="Arial" w:cs="Arial"/>
          <w:bCs/>
        </w:rPr>
        <w:t>escogiéramos l</w:t>
      </w:r>
      <w:r w:rsidR="00D2717A" w:rsidRPr="00847234">
        <w:rPr>
          <w:rFonts w:ascii="Arial" w:hAnsi="Arial" w:cs="Arial"/>
          <w:bCs/>
        </w:rPr>
        <w:t>as preguntas de l</w:t>
      </w:r>
      <w:r w:rsidR="005943D0" w:rsidRPr="00847234">
        <w:rPr>
          <w:rFonts w:ascii="Arial" w:hAnsi="Arial" w:cs="Arial"/>
          <w:bCs/>
        </w:rPr>
        <w:t>a</w:t>
      </w:r>
      <w:r w:rsidR="00D2717A" w:rsidRPr="00847234">
        <w:rPr>
          <w:rFonts w:ascii="Arial" w:hAnsi="Arial" w:cs="Arial"/>
          <w:bCs/>
        </w:rPr>
        <w:t xml:space="preserve">s </w:t>
      </w:r>
      <w:r w:rsidR="00BA0C61" w:rsidRPr="00847234">
        <w:rPr>
          <w:rFonts w:ascii="Arial" w:hAnsi="Arial" w:cs="Arial"/>
          <w:bCs/>
        </w:rPr>
        <w:t>partes de un juicio</w:t>
      </w:r>
      <w:r w:rsidR="00D2717A" w:rsidRPr="00847234">
        <w:rPr>
          <w:rFonts w:ascii="Arial" w:hAnsi="Arial" w:cs="Arial"/>
          <w:bCs/>
        </w:rPr>
        <w:t xml:space="preserve"> para contestar sólo aquellas que nos parecen fundadas o pertinentes</w:t>
      </w:r>
      <w:r w:rsidR="00E43332" w:rsidRPr="00847234">
        <w:rPr>
          <w:rFonts w:ascii="Arial" w:hAnsi="Arial" w:cs="Arial"/>
          <w:bCs/>
        </w:rPr>
        <w:t>,</w:t>
      </w:r>
      <w:r w:rsidR="00D2717A" w:rsidRPr="00847234">
        <w:rPr>
          <w:rFonts w:ascii="Arial" w:hAnsi="Arial" w:cs="Arial"/>
          <w:bCs/>
        </w:rPr>
        <w:t xml:space="preserve"> echaríamos </w:t>
      </w:r>
      <w:r w:rsidR="009053DC" w:rsidRPr="00847234">
        <w:rPr>
          <w:rFonts w:ascii="Arial" w:hAnsi="Arial" w:cs="Arial"/>
          <w:bCs/>
        </w:rPr>
        <w:t>por l</w:t>
      </w:r>
      <w:r w:rsidR="00D2717A" w:rsidRPr="00847234">
        <w:rPr>
          <w:rFonts w:ascii="Arial" w:hAnsi="Arial" w:cs="Arial"/>
          <w:bCs/>
        </w:rPr>
        <w:t xml:space="preserve">a borda un largo camino de doctrina jurisprudencial centrada en las garantías de fundamentación y </w:t>
      </w:r>
      <w:r w:rsidR="00773A90" w:rsidRPr="00847234">
        <w:rPr>
          <w:rFonts w:ascii="Arial" w:hAnsi="Arial" w:cs="Arial"/>
          <w:bCs/>
        </w:rPr>
        <w:t>motivación</w:t>
      </w:r>
      <w:r w:rsidR="00D2717A" w:rsidRPr="00847234">
        <w:rPr>
          <w:rFonts w:ascii="Arial" w:hAnsi="Arial" w:cs="Arial"/>
          <w:bCs/>
        </w:rPr>
        <w:t xml:space="preserve"> en el ámbito judicial</w:t>
      </w:r>
      <w:r w:rsidR="005943D0" w:rsidRPr="00847234">
        <w:rPr>
          <w:rFonts w:ascii="Arial" w:hAnsi="Arial" w:cs="Arial"/>
          <w:bCs/>
        </w:rPr>
        <w:t>. Esas garantías son apreciadas por las personas sujetas a la jurisdicción del Estado porque l</w:t>
      </w:r>
      <w:r w:rsidR="00BE586B" w:rsidRPr="00847234">
        <w:rPr>
          <w:rFonts w:ascii="Arial" w:hAnsi="Arial" w:cs="Arial"/>
          <w:bCs/>
        </w:rPr>
        <w:t>a</w:t>
      </w:r>
      <w:r w:rsidR="005943D0" w:rsidRPr="00847234">
        <w:rPr>
          <w:rFonts w:ascii="Arial" w:hAnsi="Arial" w:cs="Arial"/>
          <w:bCs/>
        </w:rPr>
        <w:t xml:space="preserve">s resguardan </w:t>
      </w:r>
      <w:r w:rsidR="00D2717A" w:rsidRPr="00847234">
        <w:rPr>
          <w:rFonts w:ascii="Arial" w:hAnsi="Arial" w:cs="Arial"/>
          <w:bCs/>
        </w:rPr>
        <w:t>de la arbitrariedad judicial.</w:t>
      </w:r>
      <w:r w:rsidR="005943D0" w:rsidRPr="00847234">
        <w:rPr>
          <w:rFonts w:ascii="Arial" w:hAnsi="Arial" w:cs="Arial"/>
          <w:bCs/>
        </w:rPr>
        <w:t xml:space="preserve"> Además,</w:t>
      </w:r>
      <w:r w:rsidR="00016B91" w:rsidRPr="00847234">
        <w:rPr>
          <w:rFonts w:ascii="Arial" w:hAnsi="Arial" w:cs="Arial"/>
          <w:bCs/>
        </w:rPr>
        <w:t xml:space="preserve"> esta práctica preserva </w:t>
      </w:r>
      <w:r w:rsidR="0048629E" w:rsidRPr="00847234">
        <w:rPr>
          <w:rFonts w:ascii="Arial" w:hAnsi="Arial" w:cs="Arial"/>
          <w:bCs/>
        </w:rPr>
        <w:t>el muro divisorio</w:t>
      </w:r>
      <w:r w:rsidR="00E46437" w:rsidRPr="00847234">
        <w:rPr>
          <w:rFonts w:ascii="Arial" w:hAnsi="Arial" w:cs="Arial"/>
          <w:bCs/>
        </w:rPr>
        <w:t xml:space="preserve"> </w:t>
      </w:r>
      <w:r w:rsidR="00016B91" w:rsidRPr="00847234">
        <w:rPr>
          <w:rFonts w:ascii="Arial" w:hAnsi="Arial" w:cs="Arial"/>
          <w:bCs/>
        </w:rPr>
        <w:t xml:space="preserve">entre </w:t>
      </w:r>
      <w:r w:rsidR="00D2717A" w:rsidRPr="00847234">
        <w:rPr>
          <w:rFonts w:ascii="Arial" w:hAnsi="Arial" w:cs="Arial"/>
          <w:bCs/>
        </w:rPr>
        <w:t xml:space="preserve">el derecho </w:t>
      </w:r>
      <w:r w:rsidR="00773A90" w:rsidRPr="00847234">
        <w:rPr>
          <w:rFonts w:ascii="Arial" w:hAnsi="Arial" w:cs="Arial"/>
          <w:bCs/>
        </w:rPr>
        <w:t>y la</w:t>
      </w:r>
      <w:r w:rsidR="00D2717A" w:rsidRPr="00847234">
        <w:rPr>
          <w:rFonts w:ascii="Arial" w:hAnsi="Arial" w:cs="Arial"/>
          <w:bCs/>
        </w:rPr>
        <w:t xml:space="preserve"> política.</w:t>
      </w:r>
    </w:p>
    <w:p w14:paraId="6EDA9F48" w14:textId="77777777" w:rsidR="00D2717A" w:rsidRPr="00847234" w:rsidRDefault="00D2717A" w:rsidP="00E6095B">
      <w:pPr>
        <w:spacing w:line="360" w:lineRule="auto"/>
        <w:jc w:val="both"/>
        <w:rPr>
          <w:rFonts w:ascii="Arial" w:hAnsi="Arial" w:cs="Arial"/>
          <w:bCs/>
        </w:rPr>
      </w:pPr>
    </w:p>
    <w:p w14:paraId="3E200FBF" w14:textId="09F20F83" w:rsidR="00D2717A" w:rsidRPr="00847234" w:rsidRDefault="00D2717A" w:rsidP="00E6095B">
      <w:pPr>
        <w:spacing w:line="360" w:lineRule="auto"/>
        <w:jc w:val="both"/>
        <w:rPr>
          <w:rFonts w:ascii="Arial" w:hAnsi="Arial" w:cs="Arial"/>
          <w:bCs/>
        </w:rPr>
      </w:pPr>
      <w:r w:rsidRPr="00847234">
        <w:rPr>
          <w:rFonts w:ascii="Arial" w:hAnsi="Arial" w:cs="Arial"/>
          <w:bCs/>
        </w:rPr>
        <w:t>Como mis pronunciamientos debieron ser congruentes y exhaustivos, por mandato de los artículos 14 y 16 de la Constitución Federal, no</w:t>
      </w:r>
      <w:r w:rsidR="00BE586B" w:rsidRPr="00847234">
        <w:rPr>
          <w:rFonts w:ascii="Arial" w:hAnsi="Arial" w:cs="Arial"/>
          <w:bCs/>
        </w:rPr>
        <w:t xml:space="preserve"> invertí </w:t>
      </w:r>
      <w:r w:rsidRPr="00847234">
        <w:rPr>
          <w:rFonts w:ascii="Arial" w:hAnsi="Arial" w:cs="Arial"/>
          <w:bCs/>
        </w:rPr>
        <w:t xml:space="preserve">el orden y respondí de acuerdo </w:t>
      </w:r>
      <w:r w:rsidR="00592308" w:rsidRPr="00847234">
        <w:rPr>
          <w:rFonts w:ascii="Arial" w:hAnsi="Arial" w:cs="Arial"/>
          <w:bCs/>
        </w:rPr>
        <w:t xml:space="preserve">con </w:t>
      </w:r>
      <w:r w:rsidRPr="00847234">
        <w:rPr>
          <w:rFonts w:ascii="Arial" w:hAnsi="Arial" w:cs="Arial"/>
          <w:bCs/>
        </w:rPr>
        <w:t xml:space="preserve">mis convicciones: la respuesta debe ser negativa a la primera </w:t>
      </w:r>
      <w:r w:rsidR="0048629E" w:rsidRPr="00847234">
        <w:rPr>
          <w:rFonts w:ascii="Arial" w:hAnsi="Arial" w:cs="Arial"/>
          <w:bCs/>
        </w:rPr>
        <w:t>pregunta,</w:t>
      </w:r>
      <w:r w:rsidRPr="00847234">
        <w:rPr>
          <w:rFonts w:ascii="Arial" w:hAnsi="Arial" w:cs="Arial"/>
          <w:bCs/>
        </w:rPr>
        <w:t xml:space="preserve"> pero</w:t>
      </w:r>
      <w:r w:rsidR="00F47A15" w:rsidRPr="00847234">
        <w:rPr>
          <w:rFonts w:ascii="Arial" w:hAnsi="Arial" w:cs="Arial"/>
          <w:bCs/>
        </w:rPr>
        <w:t xml:space="preserve"> afirmativa en</w:t>
      </w:r>
      <w:r w:rsidRPr="00847234">
        <w:rPr>
          <w:rFonts w:ascii="Arial" w:hAnsi="Arial" w:cs="Arial"/>
          <w:bCs/>
        </w:rPr>
        <w:t xml:space="preserve"> la segunda. </w:t>
      </w:r>
      <w:r w:rsidR="00592308" w:rsidRPr="00847234">
        <w:rPr>
          <w:rFonts w:ascii="Arial" w:hAnsi="Arial" w:cs="Arial"/>
          <w:bCs/>
        </w:rPr>
        <w:t xml:space="preserve">Para mí era absolutamente claro: no era un problema de mercado y libre concurrencia, sino de daño al medio ambiente. </w:t>
      </w:r>
      <w:r w:rsidR="00AC6DD3" w:rsidRPr="00847234">
        <w:rPr>
          <w:rFonts w:ascii="Arial" w:hAnsi="Arial" w:cs="Arial"/>
          <w:bCs/>
        </w:rPr>
        <w:t>D</w:t>
      </w:r>
      <w:r w:rsidR="00592308" w:rsidRPr="00847234">
        <w:rPr>
          <w:rFonts w:ascii="Arial" w:hAnsi="Arial" w:cs="Arial"/>
          <w:bCs/>
        </w:rPr>
        <w:t xml:space="preserve">ebo insistir: la doctrina constitucional que aún debemos construir es la relativa a la protección del medio ambiente. El daño al medio ambiente es, sin duda, y en esto no exagero, </w:t>
      </w:r>
      <w:r w:rsidR="00F22BB4" w:rsidRPr="00847234">
        <w:rPr>
          <w:rFonts w:ascii="Arial" w:hAnsi="Arial" w:cs="Arial"/>
          <w:bCs/>
        </w:rPr>
        <w:t xml:space="preserve">la tragedia de nuestro tiempo y </w:t>
      </w:r>
      <w:r w:rsidR="00AC6DD3" w:rsidRPr="00847234">
        <w:rPr>
          <w:rFonts w:ascii="Arial" w:hAnsi="Arial" w:cs="Arial"/>
          <w:bCs/>
        </w:rPr>
        <w:t>nuestro mayor compromiso</w:t>
      </w:r>
      <w:r w:rsidR="00F47A15" w:rsidRPr="00847234">
        <w:rPr>
          <w:rFonts w:ascii="Arial" w:hAnsi="Arial" w:cs="Arial"/>
          <w:bCs/>
        </w:rPr>
        <w:t xml:space="preserve"> </w:t>
      </w:r>
      <w:r w:rsidR="00F22BB4" w:rsidRPr="00847234">
        <w:rPr>
          <w:rFonts w:ascii="Arial" w:hAnsi="Arial" w:cs="Arial"/>
          <w:bCs/>
        </w:rPr>
        <w:t xml:space="preserve">como sociedad con el futuro. </w:t>
      </w:r>
    </w:p>
    <w:p w14:paraId="39ABB24D" w14:textId="77777777" w:rsidR="00CD0516" w:rsidRPr="00847234" w:rsidRDefault="00CD0516" w:rsidP="007608AA">
      <w:pPr>
        <w:spacing w:line="360" w:lineRule="auto"/>
        <w:rPr>
          <w:rFonts w:ascii="Arial" w:hAnsi="Arial" w:cs="Arial"/>
          <w:bCs/>
        </w:rPr>
      </w:pPr>
    </w:p>
    <w:p w14:paraId="26A36215" w14:textId="77777777" w:rsidR="005B4F15" w:rsidRDefault="005B4F15" w:rsidP="009029F1">
      <w:pPr>
        <w:spacing w:line="360" w:lineRule="auto"/>
        <w:jc w:val="center"/>
        <w:rPr>
          <w:rFonts w:ascii="Arial" w:hAnsi="Arial" w:cs="Arial"/>
          <w:b/>
        </w:rPr>
      </w:pPr>
    </w:p>
    <w:p w14:paraId="21644A80" w14:textId="17836416" w:rsidR="009029F1" w:rsidRPr="00A9402C" w:rsidRDefault="009029F1" w:rsidP="009029F1">
      <w:pPr>
        <w:spacing w:line="360" w:lineRule="auto"/>
        <w:jc w:val="center"/>
        <w:rPr>
          <w:rFonts w:ascii="Arial" w:hAnsi="Arial" w:cs="Arial"/>
          <w:b/>
        </w:rPr>
      </w:pPr>
      <w:r w:rsidRPr="00A9402C">
        <w:rPr>
          <w:rFonts w:ascii="Arial" w:hAnsi="Arial" w:cs="Arial"/>
          <w:b/>
        </w:rPr>
        <w:lastRenderedPageBreak/>
        <w:t>Consideraciones previas</w:t>
      </w:r>
    </w:p>
    <w:p w14:paraId="2BBF362A" w14:textId="77777777" w:rsidR="00064FE2" w:rsidRPr="00847234" w:rsidRDefault="00064FE2" w:rsidP="006F789E">
      <w:pPr>
        <w:spacing w:line="360" w:lineRule="auto"/>
        <w:jc w:val="both"/>
        <w:rPr>
          <w:rFonts w:ascii="Arial" w:hAnsi="Arial" w:cs="Arial"/>
          <w:bCs/>
          <w:lang w:val="es-ES_tradnl"/>
        </w:rPr>
      </w:pPr>
    </w:p>
    <w:p w14:paraId="40FE5317" w14:textId="1C7F6899" w:rsidR="00064FE2" w:rsidRPr="00847234" w:rsidRDefault="005A2153" w:rsidP="006F789E">
      <w:pPr>
        <w:spacing w:line="360" w:lineRule="auto"/>
        <w:jc w:val="both"/>
        <w:rPr>
          <w:rFonts w:ascii="Arial" w:hAnsi="Arial" w:cs="Arial"/>
          <w:bCs/>
          <w:lang w:val="es-ES_tradnl"/>
        </w:rPr>
      </w:pPr>
      <w:r w:rsidRPr="00847234">
        <w:rPr>
          <w:rFonts w:ascii="Arial" w:hAnsi="Arial" w:cs="Arial"/>
          <w:bCs/>
          <w:lang w:val="es-ES_tradnl"/>
        </w:rPr>
        <w:t>El</w:t>
      </w:r>
      <w:r w:rsidR="00D51ECF" w:rsidRPr="00847234">
        <w:rPr>
          <w:rFonts w:ascii="Arial" w:hAnsi="Arial" w:cs="Arial"/>
          <w:bCs/>
          <w:lang w:val="es-ES_tradnl"/>
        </w:rPr>
        <w:t xml:space="preserve"> </w:t>
      </w:r>
      <w:r w:rsidR="00064FE2" w:rsidRPr="00847234">
        <w:rPr>
          <w:rFonts w:ascii="Arial" w:hAnsi="Arial" w:cs="Arial"/>
          <w:bCs/>
          <w:lang w:val="es-ES_tradnl"/>
        </w:rPr>
        <w:t xml:space="preserve">proyecto original </w:t>
      </w:r>
      <w:r w:rsidRPr="00847234">
        <w:rPr>
          <w:rFonts w:ascii="Arial" w:hAnsi="Arial" w:cs="Arial"/>
          <w:bCs/>
          <w:lang w:val="es-ES_tradnl"/>
        </w:rPr>
        <w:t xml:space="preserve">sugerido </w:t>
      </w:r>
      <w:r w:rsidR="00E10249" w:rsidRPr="00847234">
        <w:rPr>
          <w:rFonts w:ascii="Arial" w:hAnsi="Arial" w:cs="Arial"/>
          <w:bCs/>
          <w:lang w:val="es-ES_tradnl"/>
        </w:rPr>
        <w:t>al</w:t>
      </w:r>
      <w:r w:rsidR="00D51ECF" w:rsidRPr="00847234">
        <w:rPr>
          <w:rFonts w:ascii="Arial" w:hAnsi="Arial" w:cs="Arial"/>
          <w:bCs/>
          <w:lang w:val="es-ES_tradnl"/>
        </w:rPr>
        <w:t xml:space="preserve"> </w:t>
      </w:r>
      <w:r w:rsidR="00064FE2" w:rsidRPr="00847234">
        <w:rPr>
          <w:rFonts w:ascii="Arial" w:hAnsi="Arial" w:cs="Arial"/>
          <w:bCs/>
          <w:lang w:val="es-ES_tradnl"/>
        </w:rPr>
        <w:t>Tribunal Pleno</w:t>
      </w:r>
      <w:r w:rsidR="00642157" w:rsidRPr="00847234">
        <w:rPr>
          <w:rFonts w:ascii="Arial" w:hAnsi="Arial" w:cs="Arial"/>
          <w:bCs/>
          <w:lang w:val="es-ES_tradnl"/>
        </w:rPr>
        <w:t xml:space="preserve"> contenía</w:t>
      </w:r>
      <w:r w:rsidR="00064FE2" w:rsidRPr="00847234">
        <w:rPr>
          <w:rFonts w:ascii="Arial" w:hAnsi="Arial" w:cs="Arial"/>
          <w:bCs/>
          <w:lang w:val="es-ES_tradnl"/>
        </w:rPr>
        <w:t xml:space="preserve"> un apartado de consideraciones previas</w:t>
      </w:r>
      <w:r w:rsidR="00E10249" w:rsidRPr="00847234">
        <w:rPr>
          <w:rFonts w:ascii="Arial" w:hAnsi="Arial" w:cs="Arial"/>
          <w:bCs/>
          <w:lang w:val="es-ES_tradnl"/>
        </w:rPr>
        <w:t>. Este apartado</w:t>
      </w:r>
      <w:r w:rsidR="00D51ECF" w:rsidRPr="00847234">
        <w:rPr>
          <w:rFonts w:ascii="Arial" w:hAnsi="Arial" w:cs="Arial"/>
          <w:bCs/>
          <w:lang w:val="es-ES_tradnl"/>
        </w:rPr>
        <w:t xml:space="preserve"> proponía una </w:t>
      </w:r>
      <w:r w:rsidR="00064FE2" w:rsidRPr="00847234">
        <w:rPr>
          <w:rFonts w:ascii="Arial" w:hAnsi="Arial" w:cs="Arial"/>
          <w:bCs/>
          <w:lang w:val="es-ES_tradnl"/>
        </w:rPr>
        <w:t xml:space="preserve">caracterización del parámetro de control constitucional. En mi opinión, la propuesta más relevante </w:t>
      </w:r>
      <w:r w:rsidR="004104DC" w:rsidRPr="00847234">
        <w:rPr>
          <w:rFonts w:ascii="Arial" w:hAnsi="Arial" w:cs="Arial"/>
          <w:bCs/>
          <w:lang w:val="es-ES_tradnl"/>
        </w:rPr>
        <w:t>era</w:t>
      </w:r>
      <w:r w:rsidR="00374136" w:rsidRPr="00847234">
        <w:rPr>
          <w:rFonts w:ascii="Arial" w:hAnsi="Arial" w:cs="Arial"/>
          <w:bCs/>
          <w:lang w:val="es-ES_tradnl"/>
        </w:rPr>
        <w:t xml:space="preserve"> la </w:t>
      </w:r>
      <w:r w:rsidR="00D51ECF" w:rsidRPr="00847234">
        <w:rPr>
          <w:rFonts w:ascii="Arial" w:hAnsi="Arial" w:cs="Arial"/>
          <w:bCs/>
          <w:lang w:val="es-ES_tradnl"/>
        </w:rPr>
        <w:t>conclusión acerca</w:t>
      </w:r>
      <w:r w:rsidR="00D05D75" w:rsidRPr="00847234">
        <w:rPr>
          <w:rFonts w:ascii="Arial" w:hAnsi="Arial" w:cs="Arial"/>
          <w:bCs/>
          <w:lang w:val="es-ES_tradnl"/>
        </w:rPr>
        <w:t xml:space="preserve"> de</w:t>
      </w:r>
      <w:r w:rsidR="00064FE2" w:rsidRPr="00847234">
        <w:rPr>
          <w:rFonts w:ascii="Arial" w:hAnsi="Arial" w:cs="Arial"/>
          <w:bCs/>
          <w:lang w:val="es-ES_tradnl"/>
        </w:rPr>
        <w:t xml:space="preserve"> que </w:t>
      </w:r>
      <w:r w:rsidR="006F789E" w:rsidRPr="00847234">
        <w:rPr>
          <w:rFonts w:ascii="Arial" w:hAnsi="Arial" w:cs="Arial"/>
          <w:bCs/>
          <w:lang w:val="es-ES_tradnl"/>
        </w:rPr>
        <w:t>“</w:t>
      </w:r>
      <w:r w:rsidR="006F789E" w:rsidRPr="00847234">
        <w:rPr>
          <w:rFonts w:ascii="Arial" w:hAnsi="Arial" w:cs="Arial"/>
          <w:bCs/>
          <w:i/>
          <w:iCs/>
          <w:lang w:val="es-ES_tradnl"/>
        </w:rPr>
        <w:t>el acceso a la energía eléctrica constituye un derecho humano al ser un presupuesto indispensable para el goce de múltiples derechos fundamentales encaminados al ejercicio de una vida digna</w:t>
      </w:r>
      <w:r w:rsidR="006F789E" w:rsidRPr="00847234">
        <w:rPr>
          <w:rFonts w:ascii="Arial" w:hAnsi="Arial" w:cs="Arial"/>
          <w:bCs/>
          <w:lang w:val="es-ES_tradnl"/>
        </w:rPr>
        <w:t>”</w:t>
      </w:r>
      <w:r w:rsidR="007608AA" w:rsidRPr="00847234">
        <w:rPr>
          <w:rStyle w:val="Refdenotaalpie"/>
          <w:rFonts w:ascii="Arial" w:hAnsi="Arial" w:cs="Arial"/>
          <w:bCs/>
          <w:lang w:val="es-ES_tradnl"/>
        </w:rPr>
        <w:footnoteReference w:id="15"/>
      </w:r>
      <w:r w:rsidR="006F789E" w:rsidRPr="00847234">
        <w:rPr>
          <w:rFonts w:ascii="Arial" w:hAnsi="Arial" w:cs="Arial"/>
          <w:bCs/>
          <w:lang w:val="es-ES_tradnl"/>
        </w:rPr>
        <w:t>, como la salud, la educación o la vivienda.</w:t>
      </w:r>
      <w:r w:rsidR="00B14306" w:rsidRPr="00847234">
        <w:rPr>
          <w:rFonts w:ascii="Arial" w:hAnsi="Arial" w:cs="Arial"/>
          <w:bCs/>
          <w:lang w:val="es-ES_tradnl"/>
        </w:rPr>
        <w:t xml:space="preserve"> </w:t>
      </w:r>
      <w:r w:rsidR="00064FE2" w:rsidRPr="00847234">
        <w:rPr>
          <w:rFonts w:ascii="Arial" w:hAnsi="Arial" w:cs="Arial"/>
          <w:bCs/>
          <w:lang w:val="es-ES_tradnl"/>
        </w:rPr>
        <w:t xml:space="preserve">Me separé de esta propuesta y aunque en la ejecutoria no se contiene alguna mención al respecto, </w:t>
      </w:r>
      <w:r w:rsidR="007F5D03" w:rsidRPr="00847234">
        <w:rPr>
          <w:rFonts w:ascii="Arial" w:hAnsi="Arial" w:cs="Arial"/>
          <w:bCs/>
          <w:lang w:val="es-ES_tradnl"/>
        </w:rPr>
        <w:t xml:space="preserve">creo oportuno </w:t>
      </w:r>
      <w:r w:rsidR="00064FE2" w:rsidRPr="00847234">
        <w:rPr>
          <w:rFonts w:ascii="Arial" w:hAnsi="Arial" w:cs="Arial"/>
          <w:bCs/>
          <w:lang w:val="es-ES_tradnl"/>
        </w:rPr>
        <w:t xml:space="preserve">fijar mi criterio </w:t>
      </w:r>
      <w:r w:rsidR="001619C8" w:rsidRPr="00847234">
        <w:rPr>
          <w:rFonts w:ascii="Arial" w:hAnsi="Arial" w:cs="Arial"/>
          <w:bCs/>
          <w:lang w:val="es-ES_tradnl"/>
        </w:rPr>
        <w:t xml:space="preserve">acerca del tema, </w:t>
      </w:r>
      <w:r w:rsidR="007F5D03" w:rsidRPr="00847234">
        <w:rPr>
          <w:rFonts w:ascii="Arial" w:hAnsi="Arial" w:cs="Arial"/>
          <w:bCs/>
          <w:lang w:val="es-ES_tradnl"/>
        </w:rPr>
        <w:t xml:space="preserve">dado que mi distancia con este argumento </w:t>
      </w:r>
      <w:r w:rsidR="006378F5" w:rsidRPr="00847234">
        <w:rPr>
          <w:rFonts w:ascii="Arial" w:hAnsi="Arial" w:cs="Arial"/>
          <w:bCs/>
          <w:lang w:val="es-ES_tradnl"/>
        </w:rPr>
        <w:t>central condiciona</w:t>
      </w:r>
      <w:r w:rsidR="00642157" w:rsidRPr="00847234">
        <w:rPr>
          <w:rFonts w:ascii="Arial" w:hAnsi="Arial" w:cs="Arial"/>
          <w:bCs/>
          <w:lang w:val="es-ES_tradnl"/>
        </w:rPr>
        <w:t xml:space="preserve"> mis pronunciamientos</w:t>
      </w:r>
      <w:r w:rsidR="00064FE2" w:rsidRPr="00847234">
        <w:rPr>
          <w:rFonts w:ascii="Arial" w:hAnsi="Arial" w:cs="Arial"/>
          <w:bCs/>
          <w:lang w:val="es-ES_tradnl"/>
        </w:rPr>
        <w:t xml:space="preserve"> de fondo.</w:t>
      </w:r>
      <w:r w:rsidR="00276E79" w:rsidRPr="00847234">
        <w:rPr>
          <w:rFonts w:ascii="Arial" w:hAnsi="Arial" w:cs="Arial"/>
          <w:bCs/>
          <w:lang w:val="es-ES_tradnl"/>
        </w:rPr>
        <w:t xml:space="preserve"> </w:t>
      </w:r>
    </w:p>
    <w:p w14:paraId="7E04DBFE" w14:textId="77777777" w:rsidR="006378F5" w:rsidRPr="00847234" w:rsidRDefault="006378F5" w:rsidP="006F789E">
      <w:pPr>
        <w:spacing w:line="360" w:lineRule="auto"/>
        <w:jc w:val="both"/>
        <w:rPr>
          <w:rFonts w:ascii="Arial" w:hAnsi="Arial" w:cs="Arial"/>
          <w:bCs/>
          <w:lang w:val="es-ES_tradnl"/>
        </w:rPr>
      </w:pPr>
    </w:p>
    <w:p w14:paraId="2EC06738" w14:textId="59E9107E" w:rsidR="00602E6A" w:rsidRPr="00847234" w:rsidRDefault="004A1129" w:rsidP="00602E6A">
      <w:pPr>
        <w:spacing w:line="360" w:lineRule="auto"/>
        <w:jc w:val="both"/>
        <w:rPr>
          <w:rFonts w:ascii="Arial" w:hAnsi="Arial" w:cs="Arial"/>
          <w:bCs/>
          <w:lang w:val="es-ES_tradnl"/>
        </w:rPr>
      </w:pPr>
      <w:r w:rsidRPr="00847234">
        <w:rPr>
          <w:rFonts w:ascii="Arial" w:hAnsi="Arial" w:cs="Arial"/>
          <w:bCs/>
          <w:lang w:val="es-ES_tradnl"/>
        </w:rPr>
        <w:t xml:space="preserve">Discrepo de la caracterización </w:t>
      </w:r>
      <w:r w:rsidR="00CA3D5D" w:rsidRPr="00847234">
        <w:rPr>
          <w:rFonts w:ascii="Arial" w:hAnsi="Arial" w:cs="Arial"/>
          <w:bCs/>
          <w:lang w:val="es-ES_tradnl"/>
        </w:rPr>
        <w:t>del acceso</w:t>
      </w:r>
      <w:r w:rsidR="00602E6A" w:rsidRPr="00847234">
        <w:rPr>
          <w:rFonts w:ascii="Arial" w:hAnsi="Arial" w:cs="Arial"/>
          <w:bCs/>
          <w:lang w:val="es-ES_tradnl"/>
        </w:rPr>
        <w:t xml:space="preserve"> a la energía eléctrica como un derecho humano</w:t>
      </w:r>
      <w:r w:rsidR="0077239F" w:rsidRPr="00847234">
        <w:rPr>
          <w:rFonts w:ascii="Arial" w:hAnsi="Arial" w:cs="Arial"/>
          <w:bCs/>
          <w:lang w:val="es-ES_tradnl"/>
        </w:rPr>
        <w:t xml:space="preserve">. El hilo argumentativo que alimenta esa conclusión desoye </w:t>
      </w:r>
      <w:r w:rsidR="00602E6A" w:rsidRPr="00847234">
        <w:rPr>
          <w:rFonts w:ascii="Arial" w:hAnsi="Arial" w:cs="Arial"/>
          <w:bCs/>
          <w:lang w:val="es-ES_tradnl"/>
        </w:rPr>
        <w:t>nuestra doctrina constitucional</w:t>
      </w:r>
      <w:r w:rsidR="00BB5D0D" w:rsidRPr="00847234">
        <w:rPr>
          <w:rFonts w:ascii="Arial" w:hAnsi="Arial" w:cs="Arial"/>
          <w:bCs/>
          <w:lang w:val="es-ES_tradnl"/>
        </w:rPr>
        <w:t xml:space="preserve">. ¿Cuál </w:t>
      </w:r>
      <w:r w:rsidR="0090506C" w:rsidRPr="00847234">
        <w:rPr>
          <w:rFonts w:ascii="Arial" w:hAnsi="Arial" w:cs="Arial"/>
          <w:bCs/>
          <w:lang w:val="es-ES_tradnl"/>
        </w:rPr>
        <w:t xml:space="preserve">es </w:t>
      </w:r>
      <w:r w:rsidR="00BB5D0D" w:rsidRPr="00847234">
        <w:rPr>
          <w:rFonts w:ascii="Arial" w:hAnsi="Arial" w:cs="Arial"/>
          <w:bCs/>
          <w:lang w:val="es-ES_tradnl"/>
        </w:rPr>
        <w:t xml:space="preserve">este hilo argumentativo? En tanto condicionante del ejercicio de </w:t>
      </w:r>
      <w:r w:rsidR="00D3269D" w:rsidRPr="00847234">
        <w:rPr>
          <w:rFonts w:ascii="Arial" w:hAnsi="Arial" w:cs="Arial"/>
          <w:bCs/>
          <w:lang w:val="es-ES_tradnl"/>
        </w:rPr>
        <w:t xml:space="preserve">importantes derechos sociales, </w:t>
      </w:r>
      <w:r w:rsidR="00602E6A" w:rsidRPr="00847234">
        <w:rPr>
          <w:rFonts w:ascii="Arial" w:hAnsi="Arial" w:cs="Arial"/>
          <w:bCs/>
          <w:lang w:val="es-ES_tradnl"/>
        </w:rPr>
        <w:t xml:space="preserve">la energía eléctrica </w:t>
      </w:r>
      <w:r w:rsidR="00D3269D" w:rsidRPr="00847234">
        <w:rPr>
          <w:rFonts w:ascii="Arial" w:hAnsi="Arial" w:cs="Arial"/>
          <w:bCs/>
          <w:lang w:val="es-ES_tradnl"/>
        </w:rPr>
        <w:t xml:space="preserve">emerge como </w:t>
      </w:r>
      <w:r w:rsidR="00602E6A" w:rsidRPr="00847234">
        <w:rPr>
          <w:rFonts w:ascii="Arial" w:hAnsi="Arial" w:cs="Arial"/>
          <w:bCs/>
          <w:lang w:val="es-ES_tradnl"/>
        </w:rPr>
        <w:t>un derecho humano autónomo.</w:t>
      </w:r>
      <w:r w:rsidR="00EF47A7" w:rsidRPr="00847234">
        <w:rPr>
          <w:rFonts w:ascii="Arial" w:hAnsi="Arial" w:cs="Arial"/>
          <w:bCs/>
          <w:lang w:val="es-ES_tradnl"/>
        </w:rPr>
        <w:t xml:space="preserve"> </w:t>
      </w:r>
      <w:r w:rsidR="007763B0" w:rsidRPr="00847234">
        <w:rPr>
          <w:rFonts w:ascii="Arial" w:hAnsi="Arial" w:cs="Arial"/>
          <w:bCs/>
          <w:lang w:val="es-ES_tradnl"/>
        </w:rPr>
        <w:t xml:space="preserve">Encuentro este </w:t>
      </w:r>
      <w:r w:rsidR="00602E6A" w:rsidRPr="00847234">
        <w:rPr>
          <w:rFonts w:ascii="Arial" w:hAnsi="Arial" w:cs="Arial"/>
          <w:bCs/>
          <w:lang w:val="es-ES_tradnl"/>
        </w:rPr>
        <w:t>argumento muy riesgoso</w:t>
      </w:r>
      <w:r w:rsidR="00D53B61" w:rsidRPr="00847234">
        <w:rPr>
          <w:rFonts w:ascii="Arial" w:hAnsi="Arial" w:cs="Arial"/>
          <w:bCs/>
          <w:lang w:val="es-ES_tradnl"/>
        </w:rPr>
        <w:t xml:space="preserve">. </w:t>
      </w:r>
      <w:r w:rsidR="00A75F3D" w:rsidRPr="00847234">
        <w:rPr>
          <w:rFonts w:ascii="Arial" w:hAnsi="Arial" w:cs="Arial"/>
          <w:bCs/>
          <w:lang w:val="es-ES_tradnl"/>
        </w:rPr>
        <w:t xml:space="preserve">Suponer </w:t>
      </w:r>
      <w:r w:rsidR="00146E5C" w:rsidRPr="00847234">
        <w:rPr>
          <w:rFonts w:ascii="Arial" w:hAnsi="Arial" w:cs="Arial"/>
          <w:bCs/>
          <w:lang w:val="es-ES_tradnl"/>
        </w:rPr>
        <w:t>que una</w:t>
      </w:r>
      <w:r w:rsidR="00D53B61" w:rsidRPr="00847234">
        <w:rPr>
          <w:rFonts w:ascii="Arial" w:hAnsi="Arial" w:cs="Arial"/>
          <w:bCs/>
          <w:lang w:val="es-ES_tradnl"/>
        </w:rPr>
        <w:t xml:space="preserve"> mera precondición de ejercicio de un derecho</w:t>
      </w:r>
      <w:r w:rsidR="00B72CB7" w:rsidRPr="00847234">
        <w:rPr>
          <w:rFonts w:ascii="Arial" w:hAnsi="Arial" w:cs="Arial"/>
          <w:bCs/>
          <w:lang w:val="es-ES_tradnl"/>
        </w:rPr>
        <w:t xml:space="preserve"> se convierte, por ello, en un derecho constitucional autónomo </w:t>
      </w:r>
      <w:r w:rsidR="00F73006" w:rsidRPr="00847234">
        <w:rPr>
          <w:rFonts w:ascii="Arial" w:hAnsi="Arial" w:cs="Arial"/>
          <w:bCs/>
          <w:lang w:val="es-ES_tradnl"/>
        </w:rPr>
        <w:t>nos conduc</w:t>
      </w:r>
      <w:r w:rsidR="00A75F3D" w:rsidRPr="00847234">
        <w:rPr>
          <w:rFonts w:ascii="Arial" w:hAnsi="Arial" w:cs="Arial"/>
          <w:bCs/>
          <w:lang w:val="es-ES_tradnl"/>
        </w:rPr>
        <w:t xml:space="preserve">iría </w:t>
      </w:r>
      <w:r w:rsidR="00F73006" w:rsidRPr="00847234">
        <w:rPr>
          <w:rFonts w:ascii="Arial" w:hAnsi="Arial" w:cs="Arial"/>
          <w:bCs/>
          <w:lang w:val="es-ES_tradnl"/>
        </w:rPr>
        <w:t xml:space="preserve">una creación infinita de derechos constitucionales </w:t>
      </w:r>
      <w:r w:rsidR="008C2892" w:rsidRPr="00847234">
        <w:rPr>
          <w:rFonts w:ascii="Arial" w:hAnsi="Arial" w:cs="Arial"/>
          <w:bCs/>
          <w:lang w:val="es-ES_tradnl"/>
        </w:rPr>
        <w:t xml:space="preserve">cuyo </w:t>
      </w:r>
      <w:r w:rsidR="006378E0" w:rsidRPr="00847234">
        <w:rPr>
          <w:rFonts w:ascii="Arial" w:hAnsi="Arial" w:cs="Arial"/>
          <w:bCs/>
          <w:lang w:val="es-ES_tradnl"/>
        </w:rPr>
        <w:t>contenido</w:t>
      </w:r>
      <w:r w:rsidR="008C2892" w:rsidRPr="00847234">
        <w:rPr>
          <w:rFonts w:ascii="Arial" w:hAnsi="Arial" w:cs="Arial"/>
          <w:bCs/>
          <w:lang w:val="es-ES_tradnl"/>
        </w:rPr>
        <w:t xml:space="preserve"> se </w:t>
      </w:r>
      <w:r w:rsidR="00A07E11" w:rsidRPr="00847234">
        <w:rPr>
          <w:rFonts w:ascii="Arial" w:hAnsi="Arial" w:cs="Arial"/>
          <w:bCs/>
          <w:lang w:val="es-ES_tradnl"/>
        </w:rPr>
        <w:t>vaciaría y</w:t>
      </w:r>
      <w:r w:rsidR="006378E0" w:rsidRPr="00847234">
        <w:rPr>
          <w:rFonts w:ascii="Arial" w:hAnsi="Arial" w:cs="Arial"/>
          <w:bCs/>
          <w:lang w:val="es-ES_tradnl"/>
        </w:rPr>
        <w:t xml:space="preserve"> frente a los cuales </w:t>
      </w:r>
      <w:r w:rsidR="004D4DA4" w:rsidRPr="00847234">
        <w:rPr>
          <w:rFonts w:ascii="Arial" w:hAnsi="Arial" w:cs="Arial"/>
          <w:bCs/>
          <w:lang w:val="es-ES_tradnl"/>
        </w:rPr>
        <w:t xml:space="preserve">será imposible distinguir entre obligaciones </w:t>
      </w:r>
      <w:r w:rsidR="0066028A" w:rsidRPr="00847234">
        <w:rPr>
          <w:rFonts w:ascii="Arial" w:hAnsi="Arial" w:cs="Arial"/>
          <w:bCs/>
          <w:lang w:val="es-ES_tradnl"/>
        </w:rPr>
        <w:t>impostergables y postergables de las autoridades</w:t>
      </w:r>
      <w:r w:rsidR="00A07E11" w:rsidRPr="00847234">
        <w:rPr>
          <w:rFonts w:ascii="Arial" w:hAnsi="Arial" w:cs="Arial"/>
          <w:bCs/>
          <w:lang w:val="es-ES_tradnl"/>
        </w:rPr>
        <w:t xml:space="preserve">. </w:t>
      </w:r>
      <w:r w:rsidR="00FD5E82" w:rsidRPr="00847234">
        <w:rPr>
          <w:rFonts w:ascii="Arial" w:hAnsi="Arial" w:cs="Arial"/>
          <w:bCs/>
          <w:lang w:val="es-ES_tradnl"/>
        </w:rPr>
        <w:t xml:space="preserve">Esta construcción compulsiva de derechos amplía, además, </w:t>
      </w:r>
      <w:r w:rsidR="00C20A09" w:rsidRPr="00847234">
        <w:rPr>
          <w:rFonts w:ascii="Arial" w:hAnsi="Arial" w:cs="Arial"/>
          <w:bCs/>
          <w:lang w:val="es-ES_tradnl"/>
        </w:rPr>
        <w:t>las facultades de control constitucional en áreas de política pública donde -m</w:t>
      </w:r>
      <w:r w:rsidR="0093482E" w:rsidRPr="00847234">
        <w:rPr>
          <w:rFonts w:ascii="Arial" w:hAnsi="Arial" w:cs="Arial"/>
          <w:bCs/>
          <w:lang w:val="es-ES_tradnl"/>
        </w:rPr>
        <w:t xml:space="preserve">ás bien- deben tomarse decisiones estratégicas que corresponde a las autoridades ejecutivas adoptar con prontitud, con la mira en los recursos disponibles </w:t>
      </w:r>
      <w:r w:rsidR="0009461D" w:rsidRPr="00847234">
        <w:rPr>
          <w:rFonts w:ascii="Arial" w:hAnsi="Arial" w:cs="Arial"/>
          <w:bCs/>
          <w:lang w:val="es-ES_tradnl"/>
        </w:rPr>
        <w:t xml:space="preserve">y con la discreción necesaria para asumirlas en virtud de esas dos </w:t>
      </w:r>
      <w:r w:rsidR="00520810" w:rsidRPr="00847234">
        <w:rPr>
          <w:rFonts w:ascii="Arial" w:hAnsi="Arial" w:cs="Arial"/>
          <w:bCs/>
          <w:lang w:val="es-ES_tradnl"/>
        </w:rPr>
        <w:t>premisas.</w:t>
      </w:r>
      <w:r w:rsidR="00602E6A" w:rsidRPr="00847234">
        <w:rPr>
          <w:rFonts w:ascii="Arial" w:hAnsi="Arial" w:cs="Arial"/>
          <w:bCs/>
          <w:lang w:val="es-ES_tradnl"/>
        </w:rPr>
        <w:t xml:space="preserve"> </w:t>
      </w:r>
    </w:p>
    <w:p w14:paraId="26449135" w14:textId="77777777" w:rsidR="00602E6A" w:rsidRPr="00847234" w:rsidRDefault="00602E6A" w:rsidP="00602E6A">
      <w:pPr>
        <w:spacing w:line="360" w:lineRule="auto"/>
        <w:jc w:val="both"/>
        <w:rPr>
          <w:rFonts w:ascii="Arial" w:hAnsi="Arial" w:cs="Arial"/>
          <w:bCs/>
          <w:lang w:val="es-ES_tradnl"/>
        </w:rPr>
      </w:pPr>
    </w:p>
    <w:p w14:paraId="70B03A7E" w14:textId="486FC386" w:rsidR="00BD5451" w:rsidRPr="00847234" w:rsidRDefault="00EA374C" w:rsidP="00BD5451">
      <w:pPr>
        <w:spacing w:line="360" w:lineRule="auto"/>
        <w:jc w:val="both"/>
        <w:rPr>
          <w:rFonts w:ascii="Arial" w:hAnsi="Arial" w:cs="Arial"/>
          <w:bCs/>
          <w:lang w:val="es-ES_tradnl"/>
        </w:rPr>
      </w:pPr>
      <w:r w:rsidRPr="00847234">
        <w:rPr>
          <w:rFonts w:ascii="Arial" w:hAnsi="Arial" w:cs="Arial"/>
          <w:bCs/>
          <w:lang w:val="es-ES_tradnl"/>
        </w:rPr>
        <w:t xml:space="preserve">Me pareció -además- </w:t>
      </w:r>
      <w:r w:rsidR="004C4872" w:rsidRPr="00847234">
        <w:rPr>
          <w:rFonts w:ascii="Arial" w:hAnsi="Arial" w:cs="Arial"/>
          <w:bCs/>
          <w:lang w:val="es-ES_tradnl"/>
        </w:rPr>
        <w:t xml:space="preserve">un tanto excesiva la </w:t>
      </w:r>
      <w:r w:rsidR="00602E6A" w:rsidRPr="00847234">
        <w:rPr>
          <w:rFonts w:ascii="Arial" w:hAnsi="Arial" w:cs="Arial"/>
          <w:bCs/>
          <w:lang w:val="es-ES_tradnl"/>
        </w:rPr>
        <w:t xml:space="preserve">analogía planteada </w:t>
      </w:r>
      <w:r w:rsidR="00520810" w:rsidRPr="00847234">
        <w:rPr>
          <w:rFonts w:ascii="Arial" w:hAnsi="Arial" w:cs="Arial"/>
          <w:bCs/>
          <w:lang w:val="es-ES_tradnl"/>
        </w:rPr>
        <w:t>con el</w:t>
      </w:r>
      <w:r w:rsidR="004C4872" w:rsidRPr="00847234">
        <w:rPr>
          <w:rFonts w:ascii="Arial" w:hAnsi="Arial" w:cs="Arial"/>
          <w:bCs/>
          <w:lang w:val="es-ES_tradnl"/>
        </w:rPr>
        <w:t xml:space="preserve"> </w:t>
      </w:r>
      <w:r w:rsidR="00602E6A" w:rsidRPr="00847234">
        <w:rPr>
          <w:rFonts w:ascii="Arial" w:hAnsi="Arial" w:cs="Arial"/>
          <w:bCs/>
          <w:lang w:val="es-ES_tradnl"/>
        </w:rPr>
        <w:t>derecho al agua porque éste, a diferencia de la electricidad, sí tiene un reconocimiento expreso en el artículo 4° constitucional</w:t>
      </w:r>
      <w:r w:rsidR="00BB1624" w:rsidRPr="00847234">
        <w:rPr>
          <w:rFonts w:ascii="Arial" w:hAnsi="Arial" w:cs="Arial"/>
          <w:bCs/>
          <w:lang w:val="es-ES_tradnl"/>
        </w:rPr>
        <w:t xml:space="preserve"> y ha sido desarrollado ampliamente -como tal- en las decisiones y recomendaciones de los organismos internacionales</w:t>
      </w:r>
      <w:r w:rsidR="0042613D" w:rsidRPr="00847234">
        <w:rPr>
          <w:rFonts w:ascii="Arial" w:hAnsi="Arial" w:cs="Arial"/>
          <w:bCs/>
          <w:lang w:val="es-ES_tradnl"/>
        </w:rPr>
        <w:t>, así como en fallos de tribunales inferiores en nuestra jurisdicción constitucional.</w:t>
      </w:r>
      <w:r w:rsidR="00A9402C">
        <w:rPr>
          <w:rStyle w:val="Refdenotaalpie"/>
          <w:rFonts w:ascii="Arial" w:hAnsi="Arial" w:cs="Arial"/>
          <w:bCs/>
          <w:lang w:val="es-ES_tradnl"/>
        </w:rPr>
        <w:footnoteReference w:id="16"/>
      </w:r>
      <w:r w:rsidR="0042613D" w:rsidRPr="00847234">
        <w:rPr>
          <w:rFonts w:ascii="Arial" w:hAnsi="Arial" w:cs="Arial"/>
          <w:bCs/>
          <w:lang w:val="es-ES_tradnl"/>
        </w:rPr>
        <w:t xml:space="preserve"> </w:t>
      </w:r>
      <w:r w:rsidR="00602E6A" w:rsidRPr="00847234">
        <w:rPr>
          <w:rFonts w:ascii="Arial" w:hAnsi="Arial" w:cs="Arial"/>
          <w:bCs/>
          <w:lang w:val="es-ES_tradnl"/>
        </w:rPr>
        <w:t xml:space="preserve"> </w:t>
      </w:r>
      <w:r w:rsidR="009049C1" w:rsidRPr="00847234">
        <w:rPr>
          <w:rFonts w:ascii="Arial" w:hAnsi="Arial" w:cs="Arial"/>
          <w:bCs/>
          <w:lang w:val="es-ES_tradnl"/>
        </w:rPr>
        <w:t>L</w:t>
      </w:r>
      <w:r w:rsidR="00BD5451" w:rsidRPr="00847234">
        <w:rPr>
          <w:rFonts w:ascii="Arial" w:hAnsi="Arial" w:cs="Arial"/>
          <w:bCs/>
          <w:lang w:val="es-ES_tradnl"/>
        </w:rPr>
        <w:t xml:space="preserve">a energía </w:t>
      </w:r>
      <w:r w:rsidR="00BD5451" w:rsidRPr="00847234">
        <w:rPr>
          <w:rFonts w:ascii="Arial" w:hAnsi="Arial" w:cs="Arial"/>
          <w:bCs/>
          <w:lang w:val="es-ES_tradnl"/>
        </w:rPr>
        <w:lastRenderedPageBreak/>
        <w:t>eléctrica es</w:t>
      </w:r>
      <w:r w:rsidR="009049C1" w:rsidRPr="00847234">
        <w:rPr>
          <w:rFonts w:ascii="Arial" w:hAnsi="Arial" w:cs="Arial"/>
          <w:bCs/>
          <w:lang w:val="es-ES_tradnl"/>
        </w:rPr>
        <w:t>, sin duda,</w:t>
      </w:r>
      <w:r w:rsidR="00BD5451" w:rsidRPr="00847234">
        <w:rPr>
          <w:rFonts w:ascii="Arial" w:hAnsi="Arial" w:cs="Arial"/>
          <w:bCs/>
          <w:lang w:val="es-ES_tradnl"/>
        </w:rPr>
        <w:t xml:space="preserve"> un bien constitucionalmente protegido </w:t>
      </w:r>
      <w:r w:rsidR="007A28A3" w:rsidRPr="00847234">
        <w:rPr>
          <w:rFonts w:ascii="Arial" w:hAnsi="Arial" w:cs="Arial"/>
          <w:bCs/>
          <w:lang w:val="es-ES_tradnl"/>
        </w:rPr>
        <w:t xml:space="preserve">como </w:t>
      </w:r>
      <w:r w:rsidR="00BD5451" w:rsidRPr="00847234">
        <w:rPr>
          <w:rFonts w:ascii="Arial" w:hAnsi="Arial" w:cs="Arial"/>
          <w:bCs/>
          <w:lang w:val="es-ES_tradnl"/>
        </w:rPr>
        <w:t xml:space="preserve">parte de un servicio público de primera importancia, sobre el cual </w:t>
      </w:r>
      <w:r w:rsidR="007A28A3" w:rsidRPr="00847234">
        <w:rPr>
          <w:rFonts w:ascii="Arial" w:hAnsi="Arial" w:cs="Arial"/>
          <w:bCs/>
          <w:lang w:val="es-ES_tradnl"/>
        </w:rPr>
        <w:t>impactan d</w:t>
      </w:r>
      <w:r w:rsidR="00BD5451" w:rsidRPr="00847234">
        <w:rPr>
          <w:rFonts w:ascii="Arial" w:hAnsi="Arial" w:cs="Arial"/>
          <w:bCs/>
          <w:lang w:val="es-ES_tradnl"/>
        </w:rPr>
        <w:t xml:space="preserve">istintos principios, previstos en los artículos 25, 27 y 28 constitucionales, como sucede con otros bienes, cuya explotación, uso y comercialización </w:t>
      </w:r>
      <w:r w:rsidR="00E40EBF" w:rsidRPr="00847234">
        <w:rPr>
          <w:rFonts w:ascii="Arial" w:hAnsi="Arial" w:cs="Arial"/>
          <w:bCs/>
          <w:lang w:val="es-ES_tradnl"/>
        </w:rPr>
        <w:t>son r</w:t>
      </w:r>
      <w:r w:rsidR="00BD5451" w:rsidRPr="00847234">
        <w:rPr>
          <w:rFonts w:ascii="Arial" w:hAnsi="Arial" w:cs="Arial"/>
          <w:bCs/>
          <w:lang w:val="es-ES_tradnl"/>
        </w:rPr>
        <w:t>eglamentad</w:t>
      </w:r>
      <w:r w:rsidR="00E40EBF" w:rsidRPr="00847234">
        <w:rPr>
          <w:rFonts w:ascii="Arial" w:hAnsi="Arial" w:cs="Arial"/>
          <w:bCs/>
          <w:lang w:val="es-ES_tradnl"/>
        </w:rPr>
        <w:t xml:space="preserve">os </w:t>
      </w:r>
      <w:r w:rsidR="00BD5451" w:rsidRPr="00847234">
        <w:rPr>
          <w:rFonts w:ascii="Arial" w:hAnsi="Arial" w:cs="Arial"/>
          <w:bCs/>
          <w:lang w:val="es-ES_tradnl"/>
        </w:rPr>
        <w:t>en es</w:t>
      </w:r>
      <w:r w:rsidR="00E40EBF" w:rsidRPr="00847234">
        <w:rPr>
          <w:rFonts w:ascii="Arial" w:hAnsi="Arial" w:cs="Arial"/>
          <w:bCs/>
          <w:lang w:val="es-ES_tradnl"/>
        </w:rPr>
        <w:t>as</w:t>
      </w:r>
      <w:r w:rsidR="00BD5451" w:rsidRPr="00847234">
        <w:rPr>
          <w:rFonts w:ascii="Arial" w:hAnsi="Arial" w:cs="Arial"/>
          <w:bCs/>
          <w:lang w:val="es-ES_tradnl"/>
        </w:rPr>
        <w:t xml:space="preserve"> </w:t>
      </w:r>
      <w:r w:rsidR="00E40EBF" w:rsidRPr="00847234">
        <w:rPr>
          <w:rFonts w:ascii="Arial" w:hAnsi="Arial" w:cs="Arial"/>
          <w:bCs/>
          <w:lang w:val="es-ES_tradnl"/>
        </w:rPr>
        <w:t xml:space="preserve">disposiciones constitucionales. Obviamente, esta concepción no </w:t>
      </w:r>
      <w:r w:rsidR="0059507C" w:rsidRPr="00847234">
        <w:rPr>
          <w:rFonts w:ascii="Arial" w:hAnsi="Arial" w:cs="Arial"/>
          <w:bCs/>
          <w:lang w:val="es-ES_tradnl"/>
        </w:rPr>
        <w:t>resta importancia a</w:t>
      </w:r>
      <w:r w:rsidR="00D16A50" w:rsidRPr="00847234">
        <w:rPr>
          <w:rFonts w:ascii="Arial" w:hAnsi="Arial" w:cs="Arial"/>
          <w:bCs/>
          <w:lang w:val="es-ES_tradnl"/>
        </w:rPr>
        <w:t xml:space="preserve"> su correcta distribución y operación. De hecho, nos permite concentrarnos en </w:t>
      </w:r>
      <w:r w:rsidR="00995F0F" w:rsidRPr="00847234">
        <w:rPr>
          <w:rFonts w:ascii="Arial" w:hAnsi="Arial" w:cs="Arial"/>
          <w:bCs/>
          <w:lang w:val="es-ES_tradnl"/>
        </w:rPr>
        <w:t xml:space="preserve">discernir </w:t>
      </w:r>
      <w:r w:rsidR="00C05257" w:rsidRPr="00847234">
        <w:rPr>
          <w:rFonts w:ascii="Arial" w:hAnsi="Arial" w:cs="Arial"/>
          <w:bCs/>
          <w:lang w:val="es-ES_tradnl"/>
        </w:rPr>
        <w:t>las facultades y obligaciones de las aut</w:t>
      </w:r>
      <w:r w:rsidR="00A1093C" w:rsidRPr="00847234">
        <w:rPr>
          <w:rFonts w:ascii="Arial" w:hAnsi="Arial" w:cs="Arial"/>
          <w:bCs/>
          <w:lang w:val="es-ES_tradnl"/>
        </w:rPr>
        <w:t>oridades para que ésta</w:t>
      </w:r>
      <w:r w:rsidR="001C35CE" w:rsidRPr="00847234">
        <w:rPr>
          <w:rFonts w:ascii="Arial" w:hAnsi="Arial" w:cs="Arial"/>
          <w:bCs/>
          <w:lang w:val="es-ES_tradnl"/>
        </w:rPr>
        <w:t>s</w:t>
      </w:r>
      <w:r w:rsidR="00A1093C" w:rsidRPr="00847234">
        <w:rPr>
          <w:rFonts w:ascii="Arial" w:hAnsi="Arial" w:cs="Arial"/>
          <w:bCs/>
          <w:lang w:val="es-ES_tradnl"/>
        </w:rPr>
        <w:t xml:space="preserve"> no atente</w:t>
      </w:r>
      <w:r w:rsidR="001C35CE" w:rsidRPr="00847234">
        <w:rPr>
          <w:rFonts w:ascii="Arial" w:hAnsi="Arial" w:cs="Arial"/>
          <w:bCs/>
          <w:lang w:val="es-ES_tradnl"/>
        </w:rPr>
        <w:t>n</w:t>
      </w:r>
      <w:r w:rsidR="00A1093C" w:rsidRPr="00847234">
        <w:rPr>
          <w:rFonts w:ascii="Arial" w:hAnsi="Arial" w:cs="Arial"/>
          <w:bCs/>
          <w:lang w:val="es-ES_tradnl"/>
        </w:rPr>
        <w:t xml:space="preserve"> contra derechos humanos básicos, cuya jerarquía constitucional es incuestionable. </w:t>
      </w:r>
    </w:p>
    <w:p w14:paraId="2AB16108" w14:textId="77777777" w:rsidR="00BD5451" w:rsidRPr="00847234" w:rsidRDefault="00BD5451" w:rsidP="00602E6A">
      <w:pPr>
        <w:spacing w:line="360" w:lineRule="auto"/>
        <w:jc w:val="both"/>
        <w:rPr>
          <w:rFonts w:ascii="Arial" w:hAnsi="Arial" w:cs="Arial"/>
          <w:bCs/>
          <w:lang w:val="es-ES_tradnl"/>
        </w:rPr>
      </w:pPr>
    </w:p>
    <w:p w14:paraId="400A00A2" w14:textId="66A327ED" w:rsidR="00602E6A" w:rsidRPr="00847234" w:rsidRDefault="0048033C" w:rsidP="00602E6A">
      <w:pPr>
        <w:spacing w:line="360" w:lineRule="auto"/>
        <w:jc w:val="both"/>
        <w:rPr>
          <w:rFonts w:ascii="Arial" w:hAnsi="Arial" w:cs="Arial"/>
          <w:bCs/>
          <w:lang w:val="es-ES_tradnl"/>
        </w:rPr>
      </w:pPr>
      <w:r w:rsidRPr="00847234">
        <w:rPr>
          <w:rFonts w:ascii="Arial" w:hAnsi="Arial" w:cs="Arial"/>
          <w:bCs/>
          <w:lang w:val="es-ES_tradnl"/>
        </w:rPr>
        <w:t>E</w:t>
      </w:r>
      <w:r w:rsidR="00546706" w:rsidRPr="00847234">
        <w:rPr>
          <w:rFonts w:ascii="Arial" w:hAnsi="Arial" w:cs="Arial"/>
          <w:bCs/>
          <w:lang w:val="es-ES_tradnl"/>
        </w:rPr>
        <w:t xml:space="preserve">s </w:t>
      </w:r>
      <w:r w:rsidR="00A87E9B" w:rsidRPr="00847234">
        <w:rPr>
          <w:rFonts w:ascii="Arial" w:hAnsi="Arial" w:cs="Arial"/>
          <w:bCs/>
          <w:lang w:val="es-ES_tradnl"/>
        </w:rPr>
        <w:t>cr</w:t>
      </w:r>
      <w:r w:rsidR="009A505D" w:rsidRPr="00847234">
        <w:rPr>
          <w:rFonts w:ascii="Arial" w:hAnsi="Arial" w:cs="Arial"/>
          <w:bCs/>
          <w:lang w:val="es-ES_tradnl"/>
        </w:rPr>
        <w:t xml:space="preserve">ucial </w:t>
      </w:r>
      <w:r w:rsidR="00A87E9B" w:rsidRPr="00847234">
        <w:rPr>
          <w:rFonts w:ascii="Arial" w:hAnsi="Arial" w:cs="Arial"/>
          <w:bCs/>
          <w:lang w:val="es-ES_tradnl"/>
        </w:rPr>
        <w:t xml:space="preserve">para esta interpretación el hecho de </w:t>
      </w:r>
      <w:r w:rsidR="00602E6A" w:rsidRPr="00847234">
        <w:rPr>
          <w:rFonts w:ascii="Arial" w:hAnsi="Arial" w:cs="Arial"/>
          <w:bCs/>
          <w:lang w:val="es-ES_tradnl"/>
        </w:rPr>
        <w:t>que el Constituyente haya ubicado a la energía eléctrica en el capítulo económico de la Constitución</w:t>
      </w:r>
      <w:r w:rsidR="001C35CE" w:rsidRPr="00847234">
        <w:rPr>
          <w:rFonts w:ascii="Arial" w:hAnsi="Arial" w:cs="Arial"/>
          <w:bCs/>
          <w:lang w:val="es-ES_tradnl"/>
        </w:rPr>
        <w:t xml:space="preserve">. </w:t>
      </w:r>
      <w:r w:rsidR="005818BF" w:rsidRPr="00847234">
        <w:rPr>
          <w:rFonts w:ascii="Arial" w:hAnsi="Arial" w:cs="Arial"/>
          <w:bCs/>
          <w:lang w:val="es-ES_tradnl"/>
        </w:rPr>
        <w:t>S</w:t>
      </w:r>
      <w:r w:rsidR="00DE7F79" w:rsidRPr="00847234">
        <w:rPr>
          <w:rFonts w:ascii="Arial" w:hAnsi="Arial" w:cs="Arial"/>
          <w:bCs/>
          <w:lang w:val="es-ES_tradnl"/>
        </w:rPr>
        <w:t xml:space="preserve">i bien la voluntad del legislador no es </w:t>
      </w:r>
      <w:r w:rsidR="005818BF" w:rsidRPr="00847234">
        <w:rPr>
          <w:rFonts w:ascii="Arial" w:hAnsi="Arial" w:cs="Arial"/>
          <w:bCs/>
          <w:lang w:val="es-ES_tradnl"/>
        </w:rPr>
        <w:t xml:space="preserve">nuestra </w:t>
      </w:r>
      <w:r w:rsidR="00DE7F79" w:rsidRPr="00847234">
        <w:rPr>
          <w:rFonts w:ascii="Arial" w:hAnsi="Arial" w:cs="Arial"/>
          <w:bCs/>
          <w:lang w:val="es-ES_tradnl"/>
        </w:rPr>
        <w:t>única fuente interpretativa, sí es un indicador relevante</w:t>
      </w:r>
      <w:r w:rsidR="005818BF" w:rsidRPr="00847234">
        <w:rPr>
          <w:rFonts w:ascii="Arial" w:hAnsi="Arial" w:cs="Arial"/>
          <w:bCs/>
          <w:lang w:val="es-ES_tradnl"/>
        </w:rPr>
        <w:t xml:space="preserve"> para decidir la </w:t>
      </w:r>
      <w:r w:rsidR="00012B59" w:rsidRPr="00847234">
        <w:rPr>
          <w:rFonts w:ascii="Arial" w:hAnsi="Arial" w:cs="Arial"/>
          <w:bCs/>
          <w:lang w:val="es-ES_tradnl"/>
        </w:rPr>
        <w:t xml:space="preserve">naturaleza, contenido y alcance </w:t>
      </w:r>
      <w:r w:rsidR="003B2694" w:rsidRPr="00847234">
        <w:rPr>
          <w:rFonts w:ascii="Arial" w:hAnsi="Arial" w:cs="Arial"/>
          <w:bCs/>
          <w:lang w:val="es-ES_tradnl"/>
        </w:rPr>
        <w:t>de los bienes públicos, cuya administración puede -y debe</w:t>
      </w:r>
      <w:r w:rsidR="006D01A3" w:rsidRPr="00847234">
        <w:rPr>
          <w:rFonts w:ascii="Arial" w:hAnsi="Arial" w:cs="Arial"/>
          <w:bCs/>
          <w:lang w:val="es-ES_tradnl"/>
        </w:rPr>
        <w:t xml:space="preserve">- </w:t>
      </w:r>
      <w:r w:rsidR="006212BF" w:rsidRPr="00847234">
        <w:rPr>
          <w:rFonts w:ascii="Arial" w:hAnsi="Arial" w:cs="Arial"/>
          <w:bCs/>
          <w:lang w:val="es-ES_tradnl"/>
        </w:rPr>
        <w:t>ser supervisada</w:t>
      </w:r>
      <w:r w:rsidR="00825A58" w:rsidRPr="00847234">
        <w:rPr>
          <w:rFonts w:ascii="Arial" w:hAnsi="Arial" w:cs="Arial"/>
          <w:bCs/>
          <w:lang w:val="es-ES_tradnl"/>
        </w:rPr>
        <w:t xml:space="preserve"> constitucionalmente, pero desde un</w:t>
      </w:r>
      <w:r w:rsidR="00184F27" w:rsidRPr="00847234">
        <w:rPr>
          <w:rFonts w:ascii="Arial" w:hAnsi="Arial" w:cs="Arial"/>
          <w:bCs/>
          <w:lang w:val="es-ES_tradnl"/>
        </w:rPr>
        <w:t xml:space="preserve">a perspectiva de </w:t>
      </w:r>
      <w:r w:rsidR="00825A58" w:rsidRPr="00847234">
        <w:rPr>
          <w:rFonts w:ascii="Arial" w:hAnsi="Arial" w:cs="Arial"/>
          <w:bCs/>
          <w:lang w:val="es-ES_tradnl"/>
        </w:rPr>
        <w:t xml:space="preserve">prudencia y deferencia, y no con la contundencia </w:t>
      </w:r>
      <w:r w:rsidR="009A505D" w:rsidRPr="00847234">
        <w:rPr>
          <w:rFonts w:ascii="Arial" w:hAnsi="Arial" w:cs="Arial"/>
          <w:bCs/>
          <w:lang w:val="es-ES_tradnl"/>
        </w:rPr>
        <w:t xml:space="preserve">a la que compromete </w:t>
      </w:r>
      <w:r w:rsidR="00BC54D9" w:rsidRPr="00847234">
        <w:rPr>
          <w:rFonts w:ascii="Arial" w:hAnsi="Arial" w:cs="Arial"/>
          <w:bCs/>
          <w:lang w:val="es-ES_tradnl"/>
        </w:rPr>
        <w:t xml:space="preserve">la defensa de los derechos humanos de </w:t>
      </w:r>
      <w:r w:rsidR="005C36E8" w:rsidRPr="00847234">
        <w:rPr>
          <w:rFonts w:ascii="Arial" w:hAnsi="Arial" w:cs="Arial"/>
          <w:bCs/>
          <w:lang w:val="es-ES_tradnl"/>
        </w:rPr>
        <w:t xml:space="preserve">jerarquía constitucional. </w:t>
      </w:r>
      <w:r w:rsidR="00546706" w:rsidRPr="00847234">
        <w:rPr>
          <w:rFonts w:ascii="Arial" w:hAnsi="Arial" w:cs="Arial"/>
          <w:bCs/>
          <w:lang w:val="es-ES_tradnl"/>
        </w:rPr>
        <w:t xml:space="preserve"> </w:t>
      </w:r>
      <w:r w:rsidR="005C36E8" w:rsidRPr="00847234">
        <w:rPr>
          <w:rFonts w:ascii="Arial" w:hAnsi="Arial" w:cs="Arial"/>
          <w:bCs/>
          <w:lang w:val="es-ES_tradnl"/>
        </w:rPr>
        <w:t>Lo dicho hasta ahora</w:t>
      </w:r>
      <w:r w:rsidR="009A505D" w:rsidRPr="00847234">
        <w:rPr>
          <w:rFonts w:ascii="Arial" w:hAnsi="Arial" w:cs="Arial"/>
          <w:bCs/>
          <w:lang w:val="es-ES_tradnl"/>
        </w:rPr>
        <w:t xml:space="preserve"> nos revela </w:t>
      </w:r>
      <w:r w:rsidR="005C36E8" w:rsidRPr="00847234">
        <w:rPr>
          <w:rFonts w:ascii="Arial" w:hAnsi="Arial" w:cs="Arial"/>
          <w:bCs/>
          <w:lang w:val="es-ES_tradnl"/>
        </w:rPr>
        <w:t xml:space="preserve">la importancia de construir una doctrina constitucional congruente con el </w:t>
      </w:r>
      <w:r w:rsidR="004D5136" w:rsidRPr="00847234">
        <w:rPr>
          <w:rFonts w:ascii="Arial" w:hAnsi="Arial" w:cs="Arial"/>
          <w:bCs/>
          <w:lang w:val="es-ES_tradnl"/>
        </w:rPr>
        <w:t>pasado,</w:t>
      </w:r>
      <w:r w:rsidR="005C36E8" w:rsidRPr="00847234">
        <w:rPr>
          <w:rFonts w:ascii="Arial" w:hAnsi="Arial" w:cs="Arial"/>
          <w:bCs/>
          <w:lang w:val="es-ES_tradnl"/>
        </w:rPr>
        <w:t xml:space="preserve"> pero también con el futuro</w:t>
      </w:r>
      <w:r w:rsidR="004D5136" w:rsidRPr="00847234">
        <w:rPr>
          <w:rFonts w:ascii="Arial" w:hAnsi="Arial" w:cs="Arial"/>
          <w:bCs/>
          <w:lang w:val="es-ES_tradnl"/>
        </w:rPr>
        <w:t xml:space="preserve">; una </w:t>
      </w:r>
      <w:r w:rsidR="00F93152" w:rsidRPr="00847234">
        <w:rPr>
          <w:rFonts w:ascii="Arial" w:hAnsi="Arial" w:cs="Arial"/>
          <w:bCs/>
          <w:lang w:val="es-ES_tradnl"/>
        </w:rPr>
        <w:t>que anticipe</w:t>
      </w:r>
      <w:r w:rsidR="004D5136" w:rsidRPr="00847234">
        <w:rPr>
          <w:rFonts w:ascii="Arial" w:hAnsi="Arial" w:cs="Arial"/>
          <w:bCs/>
          <w:lang w:val="es-ES_tradnl"/>
        </w:rPr>
        <w:t xml:space="preserve">, </w:t>
      </w:r>
      <w:r w:rsidR="00F93152" w:rsidRPr="00847234">
        <w:rPr>
          <w:rFonts w:ascii="Arial" w:hAnsi="Arial" w:cs="Arial"/>
          <w:bCs/>
          <w:lang w:val="es-ES_tradnl"/>
        </w:rPr>
        <w:t xml:space="preserve">condicione </w:t>
      </w:r>
      <w:r w:rsidR="004D5136" w:rsidRPr="00847234">
        <w:rPr>
          <w:rFonts w:ascii="Arial" w:hAnsi="Arial" w:cs="Arial"/>
          <w:bCs/>
          <w:lang w:val="es-ES_tradnl"/>
        </w:rPr>
        <w:t xml:space="preserve">y delinee </w:t>
      </w:r>
      <w:r w:rsidR="00F93152" w:rsidRPr="00847234">
        <w:rPr>
          <w:rFonts w:ascii="Arial" w:hAnsi="Arial" w:cs="Arial"/>
          <w:bCs/>
          <w:lang w:val="es-ES_tradnl"/>
        </w:rPr>
        <w:t>el actuar del tribunal constitucional</w:t>
      </w:r>
      <w:r w:rsidR="00195326" w:rsidRPr="00847234">
        <w:rPr>
          <w:rFonts w:ascii="Arial" w:hAnsi="Arial" w:cs="Arial"/>
          <w:bCs/>
          <w:lang w:val="es-ES_tradnl"/>
        </w:rPr>
        <w:t xml:space="preserve"> en los asuntos subsecuentes. </w:t>
      </w:r>
    </w:p>
    <w:p w14:paraId="5AC720FD" w14:textId="77777777" w:rsidR="00602E6A" w:rsidRPr="00847234" w:rsidRDefault="00602E6A" w:rsidP="00602E6A">
      <w:pPr>
        <w:spacing w:line="360" w:lineRule="auto"/>
        <w:jc w:val="both"/>
        <w:rPr>
          <w:rFonts w:ascii="Arial" w:hAnsi="Arial" w:cs="Arial"/>
          <w:bCs/>
          <w:lang w:val="es-ES_tradnl"/>
        </w:rPr>
      </w:pPr>
    </w:p>
    <w:p w14:paraId="07EAAB82" w14:textId="3A690CA9" w:rsidR="00856C09" w:rsidRPr="00847234" w:rsidRDefault="00F655AB" w:rsidP="00856C09">
      <w:pPr>
        <w:spacing w:line="360" w:lineRule="auto"/>
        <w:jc w:val="both"/>
        <w:rPr>
          <w:rFonts w:ascii="Arial" w:hAnsi="Arial" w:cs="Arial"/>
          <w:bCs/>
          <w:lang w:val="es-ES_tradnl"/>
        </w:rPr>
      </w:pPr>
      <w:r w:rsidRPr="00847234">
        <w:rPr>
          <w:rFonts w:ascii="Arial" w:hAnsi="Arial" w:cs="Arial"/>
          <w:bCs/>
          <w:lang w:val="es-ES_tradnl"/>
        </w:rPr>
        <w:t xml:space="preserve">En resumen, </w:t>
      </w:r>
      <w:r w:rsidR="00802FBA" w:rsidRPr="00847234">
        <w:rPr>
          <w:rFonts w:ascii="Arial" w:hAnsi="Arial" w:cs="Arial"/>
          <w:bCs/>
          <w:lang w:val="es-ES_tradnl"/>
        </w:rPr>
        <w:t xml:space="preserve">elegir </w:t>
      </w:r>
      <w:r w:rsidR="006F789E" w:rsidRPr="00847234">
        <w:rPr>
          <w:rFonts w:ascii="Arial" w:hAnsi="Arial" w:cs="Arial"/>
          <w:bCs/>
          <w:lang w:val="es-ES_tradnl"/>
        </w:rPr>
        <w:t xml:space="preserve">una caracterización u otra no es </w:t>
      </w:r>
      <w:r w:rsidR="00FB1669" w:rsidRPr="00847234">
        <w:rPr>
          <w:rFonts w:ascii="Arial" w:hAnsi="Arial" w:cs="Arial"/>
          <w:bCs/>
          <w:lang w:val="es-ES_tradnl"/>
        </w:rPr>
        <w:t>una cuestión trivial</w:t>
      </w:r>
      <w:r w:rsidR="00D02060" w:rsidRPr="00847234">
        <w:rPr>
          <w:rFonts w:ascii="Arial" w:hAnsi="Arial" w:cs="Arial"/>
          <w:bCs/>
          <w:lang w:val="es-ES_tradnl"/>
        </w:rPr>
        <w:t xml:space="preserve">; por el contrario, </w:t>
      </w:r>
      <w:r w:rsidR="006F789E" w:rsidRPr="00847234">
        <w:rPr>
          <w:rFonts w:ascii="Arial" w:hAnsi="Arial" w:cs="Arial"/>
          <w:bCs/>
          <w:lang w:val="es-ES_tradnl"/>
        </w:rPr>
        <w:t>tiene consecuencias jurídicas</w:t>
      </w:r>
      <w:r w:rsidR="00FF6410" w:rsidRPr="00847234">
        <w:rPr>
          <w:rFonts w:ascii="Arial" w:hAnsi="Arial" w:cs="Arial"/>
          <w:bCs/>
          <w:lang w:val="es-ES_tradnl"/>
        </w:rPr>
        <w:t xml:space="preserve"> trascendentales.</w:t>
      </w:r>
      <w:r w:rsidR="006F789E" w:rsidRPr="00847234">
        <w:rPr>
          <w:rFonts w:ascii="Arial" w:hAnsi="Arial" w:cs="Arial"/>
          <w:bCs/>
          <w:lang w:val="es-ES_tradnl"/>
        </w:rPr>
        <w:t xml:space="preserve"> Si el acceso a la energía eléctrica se </w:t>
      </w:r>
      <w:r w:rsidR="00955B1B" w:rsidRPr="00847234">
        <w:rPr>
          <w:rFonts w:ascii="Arial" w:hAnsi="Arial" w:cs="Arial"/>
          <w:bCs/>
          <w:lang w:val="es-ES_tradnl"/>
        </w:rPr>
        <w:t xml:space="preserve">atiende </w:t>
      </w:r>
      <w:r w:rsidR="006F789E" w:rsidRPr="00847234">
        <w:rPr>
          <w:rFonts w:ascii="Arial" w:hAnsi="Arial" w:cs="Arial"/>
          <w:bCs/>
          <w:lang w:val="es-ES_tradnl"/>
        </w:rPr>
        <w:t xml:space="preserve">como un derecho humano, </w:t>
      </w:r>
      <w:r w:rsidR="00A03FA8" w:rsidRPr="00847234">
        <w:rPr>
          <w:rFonts w:ascii="Arial" w:hAnsi="Arial" w:cs="Arial"/>
          <w:bCs/>
          <w:lang w:val="es-ES_tradnl"/>
        </w:rPr>
        <w:t xml:space="preserve">subordinamos su protección y garantía </w:t>
      </w:r>
      <w:r w:rsidR="000A071B" w:rsidRPr="00847234">
        <w:rPr>
          <w:rFonts w:ascii="Arial" w:hAnsi="Arial" w:cs="Arial"/>
          <w:bCs/>
          <w:lang w:val="es-ES_tradnl"/>
        </w:rPr>
        <w:t xml:space="preserve">a </w:t>
      </w:r>
      <w:r w:rsidR="006F789E" w:rsidRPr="00847234">
        <w:rPr>
          <w:rFonts w:ascii="Arial" w:hAnsi="Arial" w:cs="Arial"/>
          <w:bCs/>
          <w:lang w:val="es-ES_tradnl"/>
        </w:rPr>
        <w:t>los principios del artículo 1 constitucional</w:t>
      </w:r>
      <w:r w:rsidR="001A5AF2" w:rsidRPr="00847234">
        <w:rPr>
          <w:rFonts w:ascii="Arial" w:hAnsi="Arial" w:cs="Arial"/>
          <w:bCs/>
          <w:lang w:val="es-ES_tradnl"/>
        </w:rPr>
        <w:t xml:space="preserve">. Esto significa que </w:t>
      </w:r>
      <w:r w:rsidR="006F789E" w:rsidRPr="00847234">
        <w:rPr>
          <w:rFonts w:ascii="Arial" w:hAnsi="Arial" w:cs="Arial"/>
          <w:bCs/>
          <w:lang w:val="es-ES_tradnl"/>
        </w:rPr>
        <w:t>el legislador estaría obligado a maximizar su accesibilidad</w:t>
      </w:r>
      <w:r w:rsidR="001A5AF2" w:rsidRPr="00847234">
        <w:rPr>
          <w:rFonts w:ascii="Arial" w:hAnsi="Arial" w:cs="Arial"/>
          <w:bCs/>
          <w:lang w:val="es-ES_tradnl"/>
        </w:rPr>
        <w:t xml:space="preserve">, lo que, evidentemente, reduce </w:t>
      </w:r>
      <w:r w:rsidR="00955B1B" w:rsidRPr="00847234">
        <w:rPr>
          <w:rFonts w:ascii="Arial" w:hAnsi="Arial" w:cs="Arial"/>
          <w:bCs/>
          <w:lang w:val="es-ES_tradnl"/>
        </w:rPr>
        <w:t>la</w:t>
      </w:r>
      <w:r w:rsidR="001A5AF2" w:rsidRPr="00847234">
        <w:rPr>
          <w:rFonts w:ascii="Arial" w:hAnsi="Arial" w:cs="Arial"/>
          <w:bCs/>
          <w:lang w:val="es-ES_tradnl"/>
        </w:rPr>
        <w:t xml:space="preserve"> </w:t>
      </w:r>
      <w:r w:rsidR="006F789E" w:rsidRPr="00847234">
        <w:rPr>
          <w:rFonts w:ascii="Arial" w:hAnsi="Arial" w:cs="Arial"/>
          <w:bCs/>
          <w:lang w:val="es-ES_tradnl"/>
        </w:rPr>
        <w:t>libertad configurativa</w:t>
      </w:r>
      <w:r w:rsidR="00955B1B" w:rsidRPr="00847234">
        <w:rPr>
          <w:rFonts w:ascii="Arial" w:hAnsi="Arial" w:cs="Arial"/>
          <w:bCs/>
          <w:lang w:val="es-ES_tradnl"/>
        </w:rPr>
        <w:t xml:space="preserve"> de este último</w:t>
      </w:r>
      <w:r w:rsidR="002A7B40" w:rsidRPr="00847234">
        <w:rPr>
          <w:rFonts w:ascii="Arial" w:hAnsi="Arial" w:cs="Arial"/>
          <w:bCs/>
          <w:lang w:val="es-ES_tradnl"/>
        </w:rPr>
        <w:t>. Pensemos en la</w:t>
      </w:r>
      <w:r w:rsidR="00FE1F75">
        <w:rPr>
          <w:rFonts w:ascii="Arial" w:hAnsi="Arial" w:cs="Arial"/>
          <w:bCs/>
          <w:lang w:val="es-ES_tradnl"/>
        </w:rPr>
        <w:t>s</w:t>
      </w:r>
      <w:r w:rsidR="002A7B40" w:rsidRPr="00847234">
        <w:rPr>
          <w:rFonts w:ascii="Arial" w:hAnsi="Arial" w:cs="Arial"/>
          <w:bCs/>
          <w:lang w:val="es-ES_tradnl"/>
        </w:rPr>
        <w:t xml:space="preserve"> implicaciones de la aplicación del principio de no regresividad al alegado derecho de acceso a la energía eléctrica: ¿</w:t>
      </w:r>
      <w:r w:rsidR="00463248">
        <w:rPr>
          <w:rFonts w:ascii="Arial" w:hAnsi="Arial" w:cs="Arial"/>
          <w:bCs/>
          <w:lang w:val="es-ES_tradnl"/>
        </w:rPr>
        <w:t>N</w:t>
      </w:r>
      <w:r w:rsidR="002A7B40" w:rsidRPr="00847234">
        <w:rPr>
          <w:rFonts w:ascii="Arial" w:hAnsi="Arial" w:cs="Arial"/>
          <w:bCs/>
          <w:lang w:val="es-ES_tradnl"/>
        </w:rPr>
        <w:t xml:space="preserve">o supondría atar las manos al legislador para tomar decisiones de política pública? </w:t>
      </w:r>
      <w:r w:rsidR="003E4B93" w:rsidRPr="00847234">
        <w:rPr>
          <w:rFonts w:ascii="Arial" w:hAnsi="Arial" w:cs="Arial"/>
          <w:bCs/>
          <w:lang w:val="es-ES_tradnl"/>
        </w:rPr>
        <w:t>Es decir, termin</w:t>
      </w:r>
      <w:r w:rsidR="001F6E77" w:rsidRPr="00847234">
        <w:rPr>
          <w:rFonts w:ascii="Arial" w:hAnsi="Arial" w:cs="Arial"/>
          <w:bCs/>
          <w:lang w:val="es-ES_tradnl"/>
        </w:rPr>
        <w:t>a</w:t>
      </w:r>
      <w:r w:rsidR="002A7B40" w:rsidRPr="00847234">
        <w:rPr>
          <w:rFonts w:ascii="Arial" w:hAnsi="Arial" w:cs="Arial"/>
          <w:bCs/>
          <w:lang w:val="es-ES_tradnl"/>
        </w:rPr>
        <w:t>ría</w:t>
      </w:r>
      <w:r w:rsidR="003E4B93" w:rsidRPr="00847234">
        <w:rPr>
          <w:rFonts w:ascii="Arial" w:hAnsi="Arial" w:cs="Arial"/>
          <w:bCs/>
          <w:lang w:val="es-ES_tradnl"/>
        </w:rPr>
        <w:t xml:space="preserve"> </w:t>
      </w:r>
      <w:r w:rsidR="00721F6F" w:rsidRPr="00847234">
        <w:rPr>
          <w:rFonts w:ascii="Arial" w:hAnsi="Arial" w:cs="Arial"/>
          <w:bCs/>
          <w:lang w:val="es-ES_tradnl"/>
        </w:rPr>
        <w:t xml:space="preserve">por </w:t>
      </w:r>
      <w:r w:rsidR="001F6E77" w:rsidRPr="00847234">
        <w:rPr>
          <w:rFonts w:ascii="Arial" w:hAnsi="Arial" w:cs="Arial"/>
          <w:bCs/>
          <w:lang w:val="es-ES_tradnl"/>
        </w:rPr>
        <w:t xml:space="preserve">dotarse </w:t>
      </w:r>
      <w:r w:rsidR="00721F6F" w:rsidRPr="00847234">
        <w:rPr>
          <w:rFonts w:ascii="Arial" w:hAnsi="Arial" w:cs="Arial"/>
          <w:bCs/>
          <w:lang w:val="es-ES_tradnl"/>
        </w:rPr>
        <w:t xml:space="preserve">el acceso a la </w:t>
      </w:r>
      <w:r w:rsidR="0036418C" w:rsidRPr="00847234">
        <w:rPr>
          <w:rFonts w:ascii="Arial" w:hAnsi="Arial" w:cs="Arial"/>
          <w:bCs/>
          <w:lang w:val="es-ES_tradnl"/>
        </w:rPr>
        <w:t>ener</w:t>
      </w:r>
      <w:r w:rsidR="00046734" w:rsidRPr="00847234">
        <w:rPr>
          <w:rFonts w:ascii="Arial" w:hAnsi="Arial" w:cs="Arial"/>
          <w:bCs/>
          <w:lang w:val="es-ES_tradnl"/>
        </w:rPr>
        <w:t>gía</w:t>
      </w:r>
      <w:r w:rsidR="003209A3" w:rsidRPr="00847234">
        <w:rPr>
          <w:rFonts w:ascii="Arial" w:hAnsi="Arial" w:cs="Arial"/>
          <w:bCs/>
          <w:lang w:val="es-ES_tradnl"/>
        </w:rPr>
        <w:t xml:space="preserve"> </w:t>
      </w:r>
      <w:r w:rsidR="00721F6F" w:rsidRPr="00847234">
        <w:rPr>
          <w:rFonts w:ascii="Arial" w:hAnsi="Arial" w:cs="Arial"/>
          <w:bCs/>
          <w:lang w:val="es-ES_tradnl"/>
        </w:rPr>
        <w:t xml:space="preserve">eléctrica </w:t>
      </w:r>
      <w:r w:rsidR="001F6E77" w:rsidRPr="00847234">
        <w:rPr>
          <w:rFonts w:ascii="Arial" w:hAnsi="Arial" w:cs="Arial"/>
          <w:bCs/>
          <w:lang w:val="es-ES_tradnl"/>
        </w:rPr>
        <w:t>de una esfera de indisponibilidad</w:t>
      </w:r>
      <w:r w:rsidR="00955B1B" w:rsidRPr="00847234">
        <w:rPr>
          <w:rFonts w:ascii="Arial" w:hAnsi="Arial" w:cs="Arial"/>
          <w:bCs/>
          <w:lang w:val="es-ES_tradnl"/>
        </w:rPr>
        <w:t xml:space="preserve"> y se le coloca</w:t>
      </w:r>
      <w:r w:rsidR="008564B7">
        <w:rPr>
          <w:rFonts w:ascii="Arial" w:hAnsi="Arial" w:cs="Arial"/>
          <w:bCs/>
          <w:lang w:val="es-ES_tradnl"/>
        </w:rPr>
        <w:t>ría</w:t>
      </w:r>
      <w:r w:rsidR="00955B1B" w:rsidRPr="00847234">
        <w:rPr>
          <w:rFonts w:ascii="Arial" w:hAnsi="Arial" w:cs="Arial"/>
          <w:bCs/>
          <w:lang w:val="es-ES_tradnl"/>
        </w:rPr>
        <w:t xml:space="preserve"> al mismo nivel </w:t>
      </w:r>
      <w:r w:rsidR="00E1576D" w:rsidRPr="00847234">
        <w:rPr>
          <w:rFonts w:ascii="Arial" w:hAnsi="Arial" w:cs="Arial"/>
          <w:bCs/>
          <w:lang w:val="es-ES_tradnl"/>
        </w:rPr>
        <w:t>de otros</w:t>
      </w:r>
      <w:r w:rsidR="006F789E" w:rsidRPr="00847234">
        <w:rPr>
          <w:rFonts w:ascii="Arial" w:hAnsi="Arial" w:cs="Arial"/>
          <w:bCs/>
          <w:lang w:val="es-ES_tradnl"/>
        </w:rPr>
        <w:t xml:space="preserve"> derechos humanos como el medio ambiente.</w:t>
      </w:r>
      <w:r w:rsidR="00856C09" w:rsidRPr="00847234">
        <w:rPr>
          <w:rFonts w:ascii="Arial" w:hAnsi="Arial" w:cs="Arial"/>
          <w:bCs/>
          <w:lang w:val="es-ES_tradnl"/>
        </w:rPr>
        <w:t xml:space="preserve"> Como anticipé, la respuesta correcta </w:t>
      </w:r>
      <w:r w:rsidR="007D6AAD" w:rsidRPr="00847234">
        <w:rPr>
          <w:rFonts w:ascii="Arial" w:hAnsi="Arial" w:cs="Arial"/>
          <w:bCs/>
          <w:lang w:val="es-ES_tradnl"/>
        </w:rPr>
        <w:t xml:space="preserve">-para mí- </w:t>
      </w:r>
      <w:r w:rsidR="00856C09" w:rsidRPr="00847234">
        <w:rPr>
          <w:rFonts w:ascii="Arial" w:hAnsi="Arial" w:cs="Arial"/>
          <w:bCs/>
          <w:lang w:val="es-ES_tradnl"/>
        </w:rPr>
        <w:t xml:space="preserve">es que el acceso a la energía eléctrica es un bien constitucionalmente protegido, </w:t>
      </w:r>
      <w:r w:rsidR="00856C09" w:rsidRPr="00847234">
        <w:rPr>
          <w:rFonts w:ascii="Arial" w:hAnsi="Arial" w:cs="Arial"/>
          <w:bCs/>
          <w:lang w:val="es-ES_tradnl"/>
        </w:rPr>
        <w:lastRenderedPageBreak/>
        <w:t xml:space="preserve">sobre el cual el legislador debe formular políticas públicas con amplia libertad configurativa para reglamentar sus condiciones de explotación. Por tanto, esa actividad legislativa tiene como parámetro de control los principios de los artículos 25, 27 y 28. </w:t>
      </w:r>
    </w:p>
    <w:p w14:paraId="51795F65" w14:textId="77777777" w:rsidR="00C77ECC" w:rsidRPr="00847234" w:rsidRDefault="00C77ECC" w:rsidP="00255BEA">
      <w:pPr>
        <w:spacing w:line="360" w:lineRule="auto"/>
        <w:jc w:val="both"/>
        <w:rPr>
          <w:rFonts w:ascii="Arial" w:hAnsi="Arial" w:cs="Arial"/>
          <w:bCs/>
          <w:lang w:val="es-ES_tradnl"/>
        </w:rPr>
      </w:pPr>
    </w:p>
    <w:p w14:paraId="4232C54C" w14:textId="58AAF387" w:rsidR="00255BEA" w:rsidRPr="00847234" w:rsidRDefault="00C77ECC" w:rsidP="00255BEA">
      <w:pPr>
        <w:spacing w:line="360" w:lineRule="auto"/>
        <w:jc w:val="both"/>
        <w:rPr>
          <w:rFonts w:ascii="Arial" w:hAnsi="Arial" w:cs="Arial"/>
          <w:bCs/>
          <w:lang w:val="es-ES_tradnl"/>
        </w:rPr>
      </w:pPr>
      <w:r w:rsidRPr="00847234">
        <w:rPr>
          <w:rFonts w:ascii="Arial" w:hAnsi="Arial" w:cs="Arial"/>
          <w:bCs/>
          <w:lang w:val="es-ES_tradnl"/>
        </w:rPr>
        <w:t>¿C</w:t>
      </w:r>
      <w:r w:rsidR="004B008C" w:rsidRPr="00847234">
        <w:rPr>
          <w:rFonts w:ascii="Arial" w:hAnsi="Arial" w:cs="Arial"/>
          <w:bCs/>
          <w:lang w:val="es-ES_tradnl"/>
        </w:rPr>
        <w:t xml:space="preserve">uál </w:t>
      </w:r>
      <w:r w:rsidR="00D66B4B" w:rsidRPr="00847234">
        <w:rPr>
          <w:rFonts w:ascii="Arial" w:hAnsi="Arial" w:cs="Arial"/>
          <w:bCs/>
          <w:lang w:val="es-ES_tradnl"/>
        </w:rPr>
        <w:t xml:space="preserve">era </w:t>
      </w:r>
      <w:r w:rsidR="004B008C" w:rsidRPr="00847234">
        <w:rPr>
          <w:rFonts w:ascii="Arial" w:hAnsi="Arial" w:cs="Arial"/>
          <w:bCs/>
          <w:lang w:val="es-ES_tradnl"/>
        </w:rPr>
        <w:t xml:space="preserve">la caracterización </w:t>
      </w:r>
      <w:r w:rsidR="00CF0D80" w:rsidRPr="00847234">
        <w:rPr>
          <w:rFonts w:ascii="Arial" w:hAnsi="Arial" w:cs="Arial"/>
          <w:bCs/>
          <w:lang w:val="es-ES_tradnl"/>
        </w:rPr>
        <w:t xml:space="preserve">que la ejecutoria debió </w:t>
      </w:r>
      <w:r w:rsidR="00AA5EEE" w:rsidRPr="00847234">
        <w:rPr>
          <w:rFonts w:ascii="Arial" w:hAnsi="Arial" w:cs="Arial"/>
          <w:bCs/>
          <w:lang w:val="es-ES_tradnl"/>
        </w:rPr>
        <w:t>acoger</w:t>
      </w:r>
      <w:r w:rsidRPr="00847234">
        <w:rPr>
          <w:rFonts w:ascii="Arial" w:hAnsi="Arial" w:cs="Arial"/>
          <w:bCs/>
          <w:lang w:val="es-ES_tradnl"/>
        </w:rPr>
        <w:t>?</w:t>
      </w:r>
      <w:r w:rsidR="00AA5EEE" w:rsidRPr="00847234">
        <w:rPr>
          <w:rFonts w:ascii="Arial" w:hAnsi="Arial" w:cs="Arial"/>
          <w:bCs/>
          <w:lang w:val="es-ES_tradnl"/>
        </w:rPr>
        <w:t xml:space="preserve"> </w:t>
      </w:r>
      <w:r w:rsidR="00255BEA" w:rsidRPr="00847234">
        <w:rPr>
          <w:rFonts w:ascii="Arial" w:hAnsi="Arial" w:cs="Arial"/>
          <w:bCs/>
          <w:lang w:val="es-ES_tradnl"/>
        </w:rPr>
        <w:t>A continuación, presento el parámetro que -a mi juicio- resultaba aplicable</w:t>
      </w:r>
      <w:r w:rsidR="004104DC" w:rsidRPr="00847234">
        <w:rPr>
          <w:rFonts w:ascii="Arial" w:hAnsi="Arial" w:cs="Arial"/>
          <w:bCs/>
          <w:lang w:val="es-ES_tradnl"/>
        </w:rPr>
        <w:t>,</w:t>
      </w:r>
      <w:r w:rsidR="00255BEA" w:rsidRPr="00847234">
        <w:rPr>
          <w:rFonts w:ascii="Arial" w:hAnsi="Arial" w:cs="Arial"/>
          <w:bCs/>
          <w:lang w:val="es-ES_tradnl"/>
        </w:rPr>
        <w:t xml:space="preserve"> </w:t>
      </w:r>
      <w:r w:rsidR="00D66B4B" w:rsidRPr="00847234">
        <w:rPr>
          <w:rFonts w:ascii="Arial" w:hAnsi="Arial" w:cs="Arial"/>
          <w:bCs/>
          <w:lang w:val="es-ES_tradnl"/>
        </w:rPr>
        <w:t>lo que aclara mis posicionamientos y su estructura cuando se decidía la s</w:t>
      </w:r>
      <w:r w:rsidR="00255BEA" w:rsidRPr="00847234">
        <w:rPr>
          <w:rFonts w:ascii="Arial" w:hAnsi="Arial" w:cs="Arial"/>
          <w:bCs/>
          <w:lang w:val="es-ES_tradnl"/>
        </w:rPr>
        <w:t xml:space="preserve">ustancia del asunto. </w:t>
      </w:r>
    </w:p>
    <w:p w14:paraId="2896B53E" w14:textId="77777777" w:rsidR="00856C09" w:rsidRPr="00847234" w:rsidRDefault="00856C09" w:rsidP="0075782F">
      <w:pPr>
        <w:spacing w:line="360" w:lineRule="auto"/>
        <w:jc w:val="both"/>
        <w:rPr>
          <w:rFonts w:ascii="Arial" w:hAnsi="Arial" w:cs="Arial"/>
          <w:bCs/>
        </w:rPr>
      </w:pPr>
    </w:p>
    <w:p w14:paraId="5A6928E1" w14:textId="4BF00CFA" w:rsidR="00133220" w:rsidRPr="00847234" w:rsidRDefault="00B00862" w:rsidP="0075782F">
      <w:pPr>
        <w:spacing w:line="360" w:lineRule="auto"/>
        <w:jc w:val="both"/>
        <w:rPr>
          <w:rFonts w:ascii="Arial" w:hAnsi="Arial" w:cs="Arial"/>
          <w:bCs/>
        </w:rPr>
      </w:pPr>
      <w:r w:rsidRPr="00847234">
        <w:rPr>
          <w:rFonts w:ascii="Arial" w:hAnsi="Arial" w:cs="Arial"/>
          <w:bCs/>
        </w:rPr>
        <w:t>L</w:t>
      </w:r>
      <w:r w:rsidR="0075782F" w:rsidRPr="00847234">
        <w:rPr>
          <w:rFonts w:ascii="Arial" w:hAnsi="Arial" w:cs="Arial"/>
          <w:bCs/>
        </w:rPr>
        <w:t xml:space="preserve">a reforma constitucional de </w:t>
      </w:r>
      <w:r w:rsidR="007C6748" w:rsidRPr="00847234">
        <w:rPr>
          <w:rFonts w:ascii="Arial" w:hAnsi="Arial" w:cs="Arial"/>
          <w:bCs/>
        </w:rPr>
        <w:t xml:space="preserve">2013 </w:t>
      </w:r>
      <w:r w:rsidR="0075782F" w:rsidRPr="00847234">
        <w:rPr>
          <w:rFonts w:ascii="Arial" w:hAnsi="Arial" w:cs="Arial"/>
          <w:bCs/>
        </w:rPr>
        <w:t>elevó a jerarquía constitucional una serie de reglas mínimas para crear un mercado en la generación y comercialización de energía eléctrica</w:t>
      </w:r>
      <w:r w:rsidR="00AF0416" w:rsidRPr="00847234">
        <w:rPr>
          <w:rFonts w:ascii="Arial" w:hAnsi="Arial" w:cs="Arial"/>
          <w:bCs/>
        </w:rPr>
        <w:t xml:space="preserve">. Dichas reglas </w:t>
      </w:r>
      <w:r w:rsidR="008E14FB" w:rsidRPr="00847234">
        <w:rPr>
          <w:rFonts w:ascii="Arial" w:hAnsi="Arial" w:cs="Arial"/>
          <w:bCs/>
        </w:rPr>
        <w:t xml:space="preserve">muestran </w:t>
      </w:r>
      <w:r w:rsidR="00AF0416" w:rsidRPr="00847234">
        <w:rPr>
          <w:rFonts w:ascii="Arial" w:hAnsi="Arial" w:cs="Arial"/>
          <w:bCs/>
        </w:rPr>
        <w:t xml:space="preserve">la </w:t>
      </w:r>
      <w:r w:rsidR="0075782F" w:rsidRPr="00847234">
        <w:rPr>
          <w:rFonts w:ascii="Arial" w:hAnsi="Arial" w:cs="Arial"/>
          <w:bCs/>
        </w:rPr>
        <w:t>garantía orgánica de dos principios sustantivos: 1) libre competencia</w:t>
      </w:r>
      <w:r w:rsidR="000F2C79" w:rsidRPr="00847234">
        <w:rPr>
          <w:rFonts w:ascii="Arial" w:hAnsi="Arial" w:cs="Arial"/>
          <w:bCs/>
        </w:rPr>
        <w:t>,</w:t>
      </w:r>
      <w:r w:rsidR="0075782F" w:rsidRPr="00847234">
        <w:rPr>
          <w:rFonts w:ascii="Arial" w:hAnsi="Arial" w:cs="Arial"/>
          <w:bCs/>
        </w:rPr>
        <w:t xml:space="preserve"> y 2) medio ambiente.</w:t>
      </w:r>
      <w:r w:rsidR="00AB5F8B" w:rsidRPr="00847234">
        <w:rPr>
          <w:rFonts w:ascii="Arial" w:hAnsi="Arial" w:cs="Arial"/>
          <w:bCs/>
        </w:rPr>
        <w:t xml:space="preserve"> </w:t>
      </w:r>
      <w:r w:rsidR="00133220" w:rsidRPr="00847234">
        <w:rPr>
          <w:rFonts w:ascii="Arial" w:hAnsi="Arial" w:cs="Arial"/>
          <w:bCs/>
        </w:rPr>
        <w:t>El primero de ellos no es un derecho humano</w:t>
      </w:r>
      <w:r w:rsidR="00436BB6" w:rsidRPr="00847234">
        <w:rPr>
          <w:rFonts w:ascii="Arial" w:hAnsi="Arial" w:cs="Arial"/>
          <w:bCs/>
        </w:rPr>
        <w:t xml:space="preserve">, por más que se trate de un principio constitucional </w:t>
      </w:r>
      <w:r w:rsidR="006D0D75" w:rsidRPr="00847234">
        <w:rPr>
          <w:rFonts w:ascii="Arial" w:hAnsi="Arial" w:cs="Arial"/>
          <w:bCs/>
        </w:rPr>
        <w:t xml:space="preserve">el cual será dotado de contenido. </w:t>
      </w:r>
      <w:r w:rsidR="00436BB6" w:rsidRPr="00847234">
        <w:rPr>
          <w:rFonts w:ascii="Arial" w:hAnsi="Arial" w:cs="Arial"/>
          <w:bCs/>
        </w:rPr>
        <w:t xml:space="preserve">El </w:t>
      </w:r>
      <w:r w:rsidR="00133220" w:rsidRPr="00847234">
        <w:rPr>
          <w:rFonts w:ascii="Arial" w:hAnsi="Arial" w:cs="Arial"/>
          <w:bCs/>
        </w:rPr>
        <w:t>segundo</w:t>
      </w:r>
      <w:r w:rsidR="003753A2" w:rsidRPr="00847234">
        <w:rPr>
          <w:rFonts w:ascii="Arial" w:hAnsi="Arial" w:cs="Arial"/>
          <w:bCs/>
        </w:rPr>
        <w:t xml:space="preserve"> </w:t>
      </w:r>
      <w:r w:rsidR="00133220" w:rsidRPr="00847234">
        <w:rPr>
          <w:rFonts w:ascii="Arial" w:hAnsi="Arial" w:cs="Arial"/>
          <w:bCs/>
        </w:rPr>
        <w:t>lo es</w:t>
      </w:r>
      <w:r w:rsidR="003753A2" w:rsidRPr="00847234">
        <w:rPr>
          <w:rFonts w:ascii="Arial" w:hAnsi="Arial" w:cs="Arial"/>
          <w:bCs/>
        </w:rPr>
        <w:t xml:space="preserve"> indubitablemente</w:t>
      </w:r>
      <w:r w:rsidR="00133220" w:rsidRPr="00847234">
        <w:rPr>
          <w:rFonts w:ascii="Arial" w:hAnsi="Arial" w:cs="Arial"/>
          <w:bCs/>
        </w:rPr>
        <w:t xml:space="preserve">. Además, se trata de un derecho cuya protección </w:t>
      </w:r>
      <w:r w:rsidR="006D0D75" w:rsidRPr="00847234">
        <w:rPr>
          <w:rFonts w:ascii="Arial" w:hAnsi="Arial" w:cs="Arial"/>
          <w:bCs/>
        </w:rPr>
        <w:t xml:space="preserve">es crítica. </w:t>
      </w:r>
      <w:r w:rsidR="002F28CD" w:rsidRPr="00847234">
        <w:rPr>
          <w:rFonts w:ascii="Arial" w:hAnsi="Arial" w:cs="Arial"/>
          <w:bCs/>
        </w:rPr>
        <w:t>E</w:t>
      </w:r>
      <w:r w:rsidR="00D31218" w:rsidRPr="00847234">
        <w:rPr>
          <w:rFonts w:ascii="Arial" w:hAnsi="Arial" w:cs="Arial"/>
          <w:bCs/>
        </w:rPr>
        <w:t xml:space="preserve">sta diferenciación </w:t>
      </w:r>
      <w:r w:rsidR="00A34FD9" w:rsidRPr="00847234">
        <w:rPr>
          <w:rFonts w:ascii="Arial" w:hAnsi="Arial" w:cs="Arial"/>
          <w:bCs/>
        </w:rPr>
        <w:t xml:space="preserve">dirigiría la mirada </w:t>
      </w:r>
      <w:r w:rsidR="00DF51D5" w:rsidRPr="00847234">
        <w:rPr>
          <w:rFonts w:ascii="Arial" w:hAnsi="Arial" w:cs="Arial"/>
          <w:bCs/>
        </w:rPr>
        <w:t>de este tribunal constitucional</w:t>
      </w:r>
      <w:r w:rsidR="00A34FD9" w:rsidRPr="00847234">
        <w:rPr>
          <w:rFonts w:ascii="Arial" w:hAnsi="Arial" w:cs="Arial"/>
          <w:bCs/>
        </w:rPr>
        <w:t xml:space="preserve"> en cuanto</w:t>
      </w:r>
      <w:r w:rsidR="00DF51D5" w:rsidRPr="00847234">
        <w:rPr>
          <w:rFonts w:ascii="Arial" w:hAnsi="Arial" w:cs="Arial"/>
          <w:bCs/>
        </w:rPr>
        <w:t xml:space="preserve"> a la invalidez d</w:t>
      </w:r>
      <w:r w:rsidR="00892749" w:rsidRPr="00847234">
        <w:rPr>
          <w:rFonts w:ascii="Arial" w:hAnsi="Arial" w:cs="Arial"/>
          <w:bCs/>
        </w:rPr>
        <w:t xml:space="preserve">e los </w:t>
      </w:r>
      <w:r w:rsidR="00DF51D5" w:rsidRPr="00847234">
        <w:rPr>
          <w:rFonts w:ascii="Arial" w:hAnsi="Arial" w:cs="Arial"/>
          <w:bCs/>
        </w:rPr>
        <w:t xml:space="preserve">preceptos discutidos. </w:t>
      </w:r>
      <w:r w:rsidR="00A34FD9" w:rsidRPr="00847234">
        <w:rPr>
          <w:rFonts w:ascii="Arial" w:hAnsi="Arial" w:cs="Arial"/>
          <w:bCs/>
        </w:rPr>
        <w:t xml:space="preserve">Aun cuando </w:t>
      </w:r>
      <w:r w:rsidR="00DF51D5" w:rsidRPr="00847234">
        <w:rPr>
          <w:rFonts w:ascii="Arial" w:hAnsi="Arial" w:cs="Arial"/>
          <w:bCs/>
        </w:rPr>
        <w:t>su garantía orgánica sea la misma</w:t>
      </w:r>
      <w:r w:rsidR="00AB1AC2" w:rsidRPr="00847234">
        <w:rPr>
          <w:rFonts w:ascii="Arial" w:hAnsi="Arial" w:cs="Arial"/>
          <w:bCs/>
        </w:rPr>
        <w:t xml:space="preserve"> -la estructura de mercado- </w:t>
      </w:r>
      <w:r w:rsidR="00DF7A82" w:rsidRPr="00847234">
        <w:rPr>
          <w:rFonts w:ascii="Arial" w:hAnsi="Arial" w:cs="Arial"/>
          <w:bCs/>
        </w:rPr>
        <w:t xml:space="preserve">para ambos principios, </w:t>
      </w:r>
      <w:r w:rsidR="00AB1AC2" w:rsidRPr="00847234">
        <w:rPr>
          <w:rFonts w:ascii="Arial" w:hAnsi="Arial" w:cs="Arial"/>
          <w:bCs/>
        </w:rPr>
        <w:t xml:space="preserve">el tratamiento </w:t>
      </w:r>
      <w:r w:rsidR="00DF7A82" w:rsidRPr="00847234">
        <w:rPr>
          <w:rFonts w:ascii="Arial" w:hAnsi="Arial" w:cs="Arial"/>
          <w:bCs/>
        </w:rPr>
        <w:t xml:space="preserve">no </w:t>
      </w:r>
      <w:r w:rsidR="0018339C" w:rsidRPr="00847234">
        <w:rPr>
          <w:rFonts w:ascii="Arial" w:hAnsi="Arial" w:cs="Arial"/>
          <w:bCs/>
        </w:rPr>
        <w:t xml:space="preserve">es </w:t>
      </w:r>
      <w:r w:rsidR="00AB1AC2" w:rsidRPr="00847234">
        <w:rPr>
          <w:rFonts w:ascii="Arial" w:hAnsi="Arial" w:cs="Arial"/>
          <w:bCs/>
        </w:rPr>
        <w:t xml:space="preserve">idéntico.  </w:t>
      </w:r>
      <w:r w:rsidR="00DF51D5" w:rsidRPr="00847234">
        <w:rPr>
          <w:rFonts w:ascii="Arial" w:hAnsi="Arial" w:cs="Arial"/>
          <w:bCs/>
        </w:rPr>
        <w:t xml:space="preserve"> </w:t>
      </w:r>
    </w:p>
    <w:p w14:paraId="5FA62667" w14:textId="77777777" w:rsidR="00542A43" w:rsidRPr="00847234" w:rsidRDefault="00542A43" w:rsidP="009A0040">
      <w:pPr>
        <w:spacing w:line="360" w:lineRule="auto"/>
        <w:jc w:val="both"/>
        <w:rPr>
          <w:rFonts w:ascii="Arial" w:hAnsi="Arial" w:cs="Arial"/>
          <w:bCs/>
        </w:rPr>
      </w:pPr>
    </w:p>
    <w:p w14:paraId="0E7B5266" w14:textId="7A9B2482" w:rsidR="003A2B5C" w:rsidRPr="00847234" w:rsidRDefault="008E60AE" w:rsidP="0069353D">
      <w:pPr>
        <w:spacing w:line="360" w:lineRule="auto"/>
        <w:jc w:val="both"/>
        <w:rPr>
          <w:rFonts w:ascii="Arial" w:hAnsi="Arial" w:cs="Arial"/>
          <w:bCs/>
          <w:lang w:val="es-ES_tradnl"/>
        </w:rPr>
      </w:pPr>
      <w:r w:rsidRPr="00847234">
        <w:rPr>
          <w:rFonts w:ascii="Arial" w:hAnsi="Arial" w:cs="Arial"/>
          <w:bCs/>
          <w:lang w:val="es-ES_tradnl"/>
        </w:rPr>
        <w:t xml:space="preserve">Los artículos 25, 27 y 28, así como los transitorios de la reforma constitucional de </w:t>
      </w:r>
      <w:r w:rsidR="0018339C" w:rsidRPr="00847234">
        <w:rPr>
          <w:rFonts w:ascii="Arial" w:hAnsi="Arial" w:cs="Arial"/>
          <w:bCs/>
          <w:lang w:val="es-ES_tradnl"/>
        </w:rPr>
        <w:t>2013</w:t>
      </w:r>
      <w:r w:rsidR="006B201E" w:rsidRPr="00847234">
        <w:rPr>
          <w:rFonts w:ascii="Arial" w:hAnsi="Arial" w:cs="Arial"/>
          <w:bCs/>
          <w:lang w:val="es-ES_tradnl"/>
        </w:rPr>
        <w:t>,</w:t>
      </w:r>
      <w:r w:rsidRPr="00847234">
        <w:rPr>
          <w:rFonts w:ascii="Arial" w:hAnsi="Arial" w:cs="Arial"/>
          <w:bCs/>
          <w:lang w:val="es-ES_tradnl"/>
        </w:rPr>
        <w:t xml:space="preserve"> </w:t>
      </w:r>
      <w:r w:rsidR="00D326B7" w:rsidRPr="00847234">
        <w:rPr>
          <w:rFonts w:ascii="Arial" w:hAnsi="Arial" w:cs="Arial"/>
          <w:bCs/>
          <w:lang w:val="es-ES_tradnl"/>
        </w:rPr>
        <w:t xml:space="preserve">obedecen a ciertos principios y </w:t>
      </w:r>
      <w:r w:rsidR="00C40BF1" w:rsidRPr="00847234">
        <w:rPr>
          <w:rFonts w:ascii="Arial" w:hAnsi="Arial" w:cs="Arial"/>
          <w:bCs/>
          <w:lang w:val="es-ES_tradnl"/>
        </w:rPr>
        <w:t xml:space="preserve">establecen </w:t>
      </w:r>
      <w:r w:rsidRPr="00847234">
        <w:rPr>
          <w:rFonts w:ascii="Arial" w:hAnsi="Arial" w:cs="Arial"/>
          <w:bCs/>
          <w:lang w:val="es-ES_tradnl"/>
        </w:rPr>
        <w:t xml:space="preserve">distintas reglas </w:t>
      </w:r>
      <w:r w:rsidR="000E533F" w:rsidRPr="00847234">
        <w:rPr>
          <w:rFonts w:ascii="Arial" w:hAnsi="Arial" w:cs="Arial"/>
          <w:bCs/>
          <w:lang w:val="es-ES_tradnl"/>
        </w:rPr>
        <w:t>para proteger la libre competencia y el medio ambiente</w:t>
      </w:r>
      <w:r w:rsidR="00C40BF1" w:rsidRPr="00847234">
        <w:rPr>
          <w:rFonts w:ascii="Arial" w:hAnsi="Arial" w:cs="Arial"/>
          <w:bCs/>
          <w:lang w:val="es-ES_tradnl"/>
        </w:rPr>
        <w:t>. Ahora bien, el dilema constitucional que enfrentábamos no requ</w:t>
      </w:r>
      <w:r w:rsidR="00225F51" w:rsidRPr="00847234">
        <w:rPr>
          <w:rFonts w:ascii="Arial" w:hAnsi="Arial" w:cs="Arial"/>
          <w:bCs/>
          <w:lang w:val="es-ES_tradnl"/>
        </w:rPr>
        <w:t xml:space="preserve">ería la </w:t>
      </w:r>
      <w:r w:rsidR="00C40BF1" w:rsidRPr="00847234">
        <w:rPr>
          <w:rFonts w:ascii="Arial" w:hAnsi="Arial" w:cs="Arial"/>
          <w:bCs/>
          <w:lang w:val="es-ES_tradnl"/>
        </w:rPr>
        <w:t>aplicación de las reglas -las más de las veces refractarias a la interpretación- sino</w:t>
      </w:r>
      <w:r w:rsidR="00225F51" w:rsidRPr="00847234">
        <w:rPr>
          <w:rFonts w:ascii="Arial" w:hAnsi="Arial" w:cs="Arial"/>
          <w:bCs/>
          <w:lang w:val="es-ES_tradnl"/>
        </w:rPr>
        <w:t xml:space="preserve"> mirar los principios como instrumentos de contraste</w:t>
      </w:r>
      <w:r w:rsidR="005C33C3" w:rsidRPr="00847234">
        <w:rPr>
          <w:rFonts w:ascii="Arial" w:hAnsi="Arial" w:cs="Arial"/>
          <w:bCs/>
          <w:lang w:val="es-ES_tradnl"/>
        </w:rPr>
        <w:t xml:space="preserve"> para decidir sobre la validez de los preceptos impugnados. </w:t>
      </w:r>
      <w:r w:rsidR="00C40BF1" w:rsidRPr="00847234">
        <w:rPr>
          <w:rFonts w:ascii="Arial" w:hAnsi="Arial" w:cs="Arial"/>
          <w:bCs/>
          <w:lang w:val="es-ES_tradnl"/>
        </w:rPr>
        <w:t xml:space="preserve"> </w:t>
      </w:r>
    </w:p>
    <w:p w14:paraId="3460A444" w14:textId="77777777" w:rsidR="003A2B5C" w:rsidRPr="00847234" w:rsidRDefault="003A2B5C" w:rsidP="0069353D">
      <w:pPr>
        <w:spacing w:line="360" w:lineRule="auto"/>
        <w:jc w:val="both"/>
        <w:rPr>
          <w:rFonts w:ascii="Arial" w:hAnsi="Arial" w:cs="Arial"/>
          <w:bCs/>
          <w:lang w:val="es-ES_tradnl"/>
        </w:rPr>
      </w:pPr>
    </w:p>
    <w:p w14:paraId="1DDA57AC" w14:textId="70BBBB8F" w:rsidR="009A0040" w:rsidRPr="00847234" w:rsidRDefault="005C33C3" w:rsidP="009A0040">
      <w:pPr>
        <w:spacing w:line="360" w:lineRule="auto"/>
        <w:jc w:val="both"/>
        <w:rPr>
          <w:rFonts w:ascii="Arial" w:hAnsi="Arial" w:cs="Arial"/>
          <w:bCs/>
          <w:lang w:val="es-ES_tradnl"/>
        </w:rPr>
      </w:pPr>
      <w:r w:rsidRPr="00847234">
        <w:rPr>
          <w:rFonts w:ascii="Arial" w:hAnsi="Arial" w:cs="Arial"/>
          <w:bCs/>
          <w:lang w:val="es-ES_tradnl"/>
        </w:rPr>
        <w:t xml:space="preserve">Esta Corte ha distinguido </w:t>
      </w:r>
      <w:r w:rsidR="00681665" w:rsidRPr="00847234">
        <w:rPr>
          <w:rFonts w:ascii="Arial" w:hAnsi="Arial" w:cs="Arial"/>
          <w:bCs/>
          <w:lang w:val="es-ES_tradnl"/>
        </w:rPr>
        <w:t xml:space="preserve">ya </w:t>
      </w:r>
      <w:r w:rsidRPr="00847234">
        <w:rPr>
          <w:rFonts w:ascii="Arial" w:hAnsi="Arial" w:cs="Arial"/>
          <w:bCs/>
          <w:lang w:val="es-ES_tradnl"/>
        </w:rPr>
        <w:t xml:space="preserve">entre reglas </w:t>
      </w:r>
      <w:r w:rsidR="007E17E7" w:rsidRPr="00847234">
        <w:rPr>
          <w:rFonts w:ascii="Arial" w:hAnsi="Arial" w:cs="Arial"/>
          <w:bCs/>
          <w:lang w:val="es-ES_tradnl"/>
        </w:rPr>
        <w:t>y</w:t>
      </w:r>
      <w:r w:rsidRPr="00847234">
        <w:rPr>
          <w:rFonts w:ascii="Arial" w:hAnsi="Arial" w:cs="Arial"/>
          <w:bCs/>
          <w:lang w:val="es-ES_tradnl"/>
        </w:rPr>
        <w:t xml:space="preserve"> principios, tal como se hace en otras jurisdicciones constitucionales</w:t>
      </w:r>
      <w:r w:rsidR="00FA3861" w:rsidRPr="00847234">
        <w:rPr>
          <w:rFonts w:ascii="Arial" w:hAnsi="Arial" w:cs="Arial"/>
          <w:bCs/>
          <w:lang w:val="es-ES_tradnl"/>
        </w:rPr>
        <w:t xml:space="preserve">. Las reglas son </w:t>
      </w:r>
      <w:r w:rsidR="00F31C59" w:rsidRPr="00847234">
        <w:rPr>
          <w:rFonts w:ascii="Arial" w:hAnsi="Arial" w:cs="Arial"/>
          <w:bCs/>
          <w:lang w:val="es-ES_tradnl"/>
        </w:rPr>
        <w:t xml:space="preserve">proposiciones </w:t>
      </w:r>
      <w:r w:rsidR="00CD7E32" w:rsidRPr="00847234">
        <w:rPr>
          <w:rFonts w:ascii="Arial" w:hAnsi="Arial" w:cs="Arial"/>
          <w:bCs/>
          <w:lang w:val="es-ES_tradnl"/>
        </w:rPr>
        <w:t xml:space="preserve">de “todo o nada”. </w:t>
      </w:r>
      <w:r w:rsidR="00F31C59" w:rsidRPr="00847234">
        <w:rPr>
          <w:rFonts w:ascii="Arial" w:hAnsi="Arial" w:cs="Arial"/>
          <w:bCs/>
          <w:lang w:val="es-ES_tradnl"/>
        </w:rPr>
        <w:t xml:space="preserve">Una vez en la </w:t>
      </w:r>
      <w:r w:rsidR="00CD7E32" w:rsidRPr="00847234">
        <w:rPr>
          <w:rFonts w:ascii="Arial" w:hAnsi="Arial" w:cs="Arial"/>
          <w:bCs/>
          <w:lang w:val="es-ES_tradnl"/>
        </w:rPr>
        <w:t>hip</w:t>
      </w:r>
      <w:r w:rsidR="00804673" w:rsidRPr="00847234">
        <w:rPr>
          <w:rFonts w:ascii="Arial" w:hAnsi="Arial" w:cs="Arial"/>
          <w:bCs/>
          <w:lang w:val="es-ES_tradnl"/>
        </w:rPr>
        <w:t xml:space="preserve">ótesis de la regla, </w:t>
      </w:r>
      <w:r w:rsidR="00651B8F" w:rsidRPr="00847234">
        <w:rPr>
          <w:rFonts w:ascii="Arial" w:hAnsi="Arial" w:cs="Arial"/>
          <w:bCs/>
          <w:lang w:val="es-ES_tradnl"/>
        </w:rPr>
        <w:t>é</w:t>
      </w:r>
      <w:r w:rsidR="00804673" w:rsidRPr="00847234">
        <w:rPr>
          <w:rFonts w:ascii="Arial" w:hAnsi="Arial" w:cs="Arial"/>
          <w:bCs/>
          <w:lang w:val="es-ES_tradnl"/>
        </w:rPr>
        <w:t>sta se aplica.</w:t>
      </w:r>
      <w:r w:rsidR="00804673" w:rsidRPr="00847234">
        <w:rPr>
          <w:rStyle w:val="Refdenotaalpie"/>
          <w:rFonts w:ascii="Arial" w:hAnsi="Arial" w:cs="Arial"/>
          <w:bCs/>
          <w:lang w:val="es-ES_tradnl"/>
        </w:rPr>
        <w:footnoteReference w:id="17"/>
      </w:r>
      <w:r w:rsidR="00804673" w:rsidRPr="00847234">
        <w:rPr>
          <w:rFonts w:ascii="Arial" w:hAnsi="Arial" w:cs="Arial"/>
          <w:bCs/>
          <w:lang w:val="es-ES_tradnl"/>
        </w:rPr>
        <w:t xml:space="preserve">  Los principios no tienen esa estructura: no son de enunciados condicionales de “todo o nada”. Los principios </w:t>
      </w:r>
      <w:r w:rsidR="000C767F" w:rsidRPr="00847234">
        <w:rPr>
          <w:rFonts w:ascii="Arial" w:hAnsi="Arial" w:cs="Arial"/>
          <w:bCs/>
          <w:lang w:val="es-ES_tradnl"/>
        </w:rPr>
        <w:t xml:space="preserve">tienen una enunciación explícita o interpretativa </w:t>
      </w:r>
      <w:r w:rsidR="00276A01" w:rsidRPr="00847234">
        <w:rPr>
          <w:rFonts w:ascii="Arial" w:hAnsi="Arial" w:cs="Arial"/>
          <w:bCs/>
          <w:lang w:val="es-ES_tradnl"/>
        </w:rPr>
        <w:t xml:space="preserve">que ordena </w:t>
      </w:r>
      <w:r w:rsidR="0069353D" w:rsidRPr="00847234">
        <w:rPr>
          <w:rFonts w:ascii="Arial" w:hAnsi="Arial" w:cs="Arial"/>
          <w:bCs/>
          <w:lang w:val="es-ES_tradnl"/>
        </w:rPr>
        <w:t xml:space="preserve">realizar algo hasta el máximo. De ahí que se les llame mandatos de optimización.  </w:t>
      </w:r>
      <w:r w:rsidR="003F7F32" w:rsidRPr="00847234">
        <w:rPr>
          <w:rFonts w:ascii="Arial" w:hAnsi="Arial" w:cs="Arial"/>
          <w:bCs/>
          <w:lang w:val="es-ES_tradnl"/>
        </w:rPr>
        <w:t xml:space="preserve">Como puede observarse, no existe una medida precisa y absoluta para </w:t>
      </w:r>
      <w:r w:rsidR="00E46627" w:rsidRPr="00847234">
        <w:rPr>
          <w:rFonts w:ascii="Arial" w:hAnsi="Arial" w:cs="Arial"/>
          <w:bCs/>
          <w:lang w:val="es-ES_tradnl"/>
        </w:rPr>
        <w:t xml:space="preserve">supervisar el </w:t>
      </w:r>
      <w:r w:rsidR="00E46627" w:rsidRPr="00847234">
        <w:rPr>
          <w:rFonts w:ascii="Arial" w:hAnsi="Arial" w:cs="Arial"/>
          <w:bCs/>
          <w:lang w:val="es-ES_tradnl"/>
        </w:rPr>
        <w:lastRenderedPageBreak/>
        <w:t>cumplimiento de un principio. Un principio admite graduación</w:t>
      </w:r>
      <w:r w:rsidR="00A62F0D" w:rsidRPr="00847234">
        <w:rPr>
          <w:rFonts w:ascii="Arial" w:hAnsi="Arial" w:cs="Arial"/>
          <w:bCs/>
          <w:lang w:val="es-ES_tradnl"/>
        </w:rPr>
        <w:t xml:space="preserve"> y lo que se </w:t>
      </w:r>
      <w:r w:rsidR="000E79A1" w:rsidRPr="00847234">
        <w:rPr>
          <w:rFonts w:ascii="Arial" w:hAnsi="Arial" w:cs="Arial"/>
          <w:bCs/>
          <w:lang w:val="es-ES_tradnl"/>
        </w:rPr>
        <w:t xml:space="preserve">espera del </w:t>
      </w:r>
      <w:r w:rsidR="00A62F0D" w:rsidRPr="00847234">
        <w:rPr>
          <w:rFonts w:ascii="Arial" w:hAnsi="Arial" w:cs="Arial"/>
          <w:bCs/>
          <w:lang w:val="es-ES_tradnl"/>
        </w:rPr>
        <w:t xml:space="preserve">legislador es una justificación suficiente </w:t>
      </w:r>
      <w:r w:rsidR="00506894" w:rsidRPr="00847234">
        <w:rPr>
          <w:rFonts w:ascii="Arial" w:hAnsi="Arial" w:cs="Arial"/>
          <w:bCs/>
          <w:lang w:val="es-ES_tradnl"/>
        </w:rPr>
        <w:t xml:space="preserve">y </w:t>
      </w:r>
      <w:r w:rsidR="00A62F0D" w:rsidRPr="00847234">
        <w:rPr>
          <w:rFonts w:ascii="Arial" w:hAnsi="Arial" w:cs="Arial"/>
          <w:bCs/>
          <w:lang w:val="es-ES_tradnl"/>
        </w:rPr>
        <w:t>vinculada operativa</w:t>
      </w:r>
      <w:r w:rsidR="00E26747" w:rsidRPr="00847234">
        <w:rPr>
          <w:rFonts w:ascii="Arial" w:hAnsi="Arial" w:cs="Arial"/>
          <w:bCs/>
          <w:lang w:val="es-ES_tradnl"/>
        </w:rPr>
        <w:t>mente con el cumplimiento del mandato.</w:t>
      </w:r>
      <w:r w:rsidR="00C16D2A" w:rsidRPr="00847234">
        <w:rPr>
          <w:rFonts w:ascii="Arial" w:hAnsi="Arial" w:cs="Arial"/>
          <w:bCs/>
          <w:lang w:val="es-ES_tradnl"/>
        </w:rPr>
        <w:t xml:space="preserve"> </w:t>
      </w:r>
      <w:r w:rsidR="003A754D" w:rsidRPr="00847234">
        <w:rPr>
          <w:rFonts w:ascii="Arial" w:hAnsi="Arial" w:cs="Arial"/>
          <w:bCs/>
          <w:lang w:val="es-ES_tradnl"/>
        </w:rPr>
        <w:t>Esto es lo que ocurre con los principios de competitividad, libre concurrencia o libre mercado</w:t>
      </w:r>
      <w:r w:rsidR="0050712B" w:rsidRPr="00847234">
        <w:rPr>
          <w:rFonts w:ascii="Arial" w:hAnsi="Arial" w:cs="Arial"/>
          <w:bCs/>
          <w:lang w:val="es-ES_tradnl"/>
        </w:rPr>
        <w:t xml:space="preserve">. Su </w:t>
      </w:r>
      <w:r w:rsidR="003A754D" w:rsidRPr="00847234">
        <w:rPr>
          <w:rFonts w:ascii="Arial" w:hAnsi="Arial" w:cs="Arial"/>
          <w:bCs/>
          <w:lang w:val="es-ES_tradnl"/>
        </w:rPr>
        <w:t xml:space="preserve">aplicación se individualiza </w:t>
      </w:r>
      <w:r w:rsidR="0050712B" w:rsidRPr="00847234">
        <w:rPr>
          <w:rFonts w:ascii="Arial" w:hAnsi="Arial" w:cs="Arial"/>
          <w:bCs/>
          <w:lang w:val="es-ES_tradnl"/>
        </w:rPr>
        <w:t xml:space="preserve">de acuerdo con </w:t>
      </w:r>
      <w:r w:rsidR="003A754D" w:rsidRPr="00847234">
        <w:rPr>
          <w:rFonts w:ascii="Arial" w:hAnsi="Arial" w:cs="Arial"/>
          <w:bCs/>
          <w:lang w:val="es-ES_tradnl"/>
        </w:rPr>
        <w:t>cada mercado</w:t>
      </w:r>
      <w:r w:rsidR="00CE609B" w:rsidRPr="00847234">
        <w:rPr>
          <w:rFonts w:ascii="Arial" w:hAnsi="Arial" w:cs="Arial"/>
          <w:bCs/>
          <w:lang w:val="es-ES_tradnl"/>
        </w:rPr>
        <w:t xml:space="preserve"> y en un contexto temporal y espacial. </w:t>
      </w:r>
      <w:r w:rsidR="0050712B" w:rsidRPr="00847234">
        <w:rPr>
          <w:rFonts w:ascii="Arial" w:hAnsi="Arial" w:cs="Arial"/>
          <w:bCs/>
          <w:lang w:val="es-ES_tradnl"/>
        </w:rPr>
        <w:t xml:space="preserve"> </w:t>
      </w:r>
      <w:r w:rsidR="000E1404" w:rsidRPr="00847234">
        <w:rPr>
          <w:rFonts w:ascii="Arial" w:hAnsi="Arial" w:cs="Arial"/>
          <w:bCs/>
          <w:lang w:val="es-ES_tradnl"/>
        </w:rPr>
        <w:t xml:space="preserve">Esta </w:t>
      </w:r>
      <w:r w:rsidR="00BC1444" w:rsidRPr="00847234">
        <w:rPr>
          <w:rFonts w:ascii="Arial" w:hAnsi="Arial" w:cs="Arial"/>
          <w:bCs/>
          <w:lang w:val="es-ES_tradnl"/>
        </w:rPr>
        <w:t>gradualidad de</w:t>
      </w:r>
      <w:r w:rsidR="00CE609B" w:rsidRPr="00847234">
        <w:rPr>
          <w:rFonts w:ascii="Arial" w:hAnsi="Arial" w:cs="Arial"/>
          <w:bCs/>
          <w:lang w:val="es-ES_tradnl"/>
        </w:rPr>
        <w:t xml:space="preserve"> los </w:t>
      </w:r>
      <w:r w:rsidR="000E1404" w:rsidRPr="00847234">
        <w:rPr>
          <w:rFonts w:ascii="Arial" w:hAnsi="Arial" w:cs="Arial"/>
          <w:bCs/>
          <w:lang w:val="es-ES_tradnl"/>
        </w:rPr>
        <w:t>principios</w:t>
      </w:r>
      <w:r w:rsidR="004104DC" w:rsidRPr="00847234">
        <w:rPr>
          <w:rFonts w:ascii="Arial" w:hAnsi="Arial" w:cs="Arial"/>
          <w:bCs/>
          <w:lang w:val="es-ES_tradnl"/>
        </w:rPr>
        <w:t xml:space="preserve"> de</w:t>
      </w:r>
      <w:r w:rsidR="000E1404" w:rsidRPr="00847234">
        <w:rPr>
          <w:rFonts w:ascii="Arial" w:hAnsi="Arial" w:cs="Arial"/>
          <w:bCs/>
          <w:lang w:val="es-ES_tradnl"/>
        </w:rPr>
        <w:t xml:space="preserve"> </w:t>
      </w:r>
      <w:r w:rsidR="00FA12BC" w:rsidRPr="00847234">
        <w:rPr>
          <w:rFonts w:ascii="Arial" w:hAnsi="Arial" w:cs="Arial"/>
          <w:bCs/>
          <w:lang w:val="es-ES_tradnl"/>
        </w:rPr>
        <w:t xml:space="preserve">competitividad, libre concurrencia o libre mercado </w:t>
      </w:r>
      <w:r w:rsidR="000E1404" w:rsidRPr="00847234">
        <w:rPr>
          <w:rFonts w:ascii="Arial" w:hAnsi="Arial" w:cs="Arial"/>
          <w:bCs/>
          <w:lang w:val="es-ES_tradnl"/>
        </w:rPr>
        <w:t>se enlaza con</w:t>
      </w:r>
      <w:r w:rsidR="009A0040" w:rsidRPr="00847234">
        <w:rPr>
          <w:rFonts w:ascii="Arial" w:hAnsi="Arial" w:cs="Arial"/>
          <w:bCs/>
          <w:lang w:val="es-ES_tradnl"/>
        </w:rPr>
        <w:t xml:space="preserve"> una premisa ampliamente aceptada por la literatura económica: no existen mercados perfectos</w:t>
      </w:r>
      <w:r w:rsidR="00FA12BC" w:rsidRPr="00847234">
        <w:rPr>
          <w:rFonts w:ascii="Arial" w:hAnsi="Arial" w:cs="Arial"/>
          <w:bCs/>
          <w:lang w:val="es-ES_tradnl"/>
        </w:rPr>
        <w:t xml:space="preserve">. Todos </w:t>
      </w:r>
      <w:r w:rsidR="009A0040" w:rsidRPr="00847234">
        <w:rPr>
          <w:rFonts w:ascii="Arial" w:hAnsi="Arial" w:cs="Arial"/>
          <w:bCs/>
          <w:lang w:val="es-ES_tradnl"/>
        </w:rPr>
        <w:t>presentan distorsiones</w:t>
      </w:r>
      <w:r w:rsidR="00FA12BC" w:rsidRPr="00847234">
        <w:rPr>
          <w:rFonts w:ascii="Arial" w:hAnsi="Arial" w:cs="Arial"/>
          <w:bCs/>
          <w:lang w:val="es-ES_tradnl"/>
        </w:rPr>
        <w:t xml:space="preserve">; así, </w:t>
      </w:r>
      <w:r w:rsidR="009A0040" w:rsidRPr="00847234">
        <w:rPr>
          <w:rFonts w:ascii="Arial" w:hAnsi="Arial" w:cs="Arial"/>
          <w:bCs/>
          <w:lang w:val="es-ES_tradnl"/>
        </w:rPr>
        <w:t xml:space="preserve">la libre competencia es un ideal realizable </w:t>
      </w:r>
      <w:r w:rsidR="00C120F0" w:rsidRPr="00847234">
        <w:rPr>
          <w:rFonts w:ascii="Arial" w:hAnsi="Arial" w:cs="Arial"/>
          <w:bCs/>
          <w:lang w:val="es-ES_tradnl"/>
        </w:rPr>
        <w:t xml:space="preserve">paulatinamente. </w:t>
      </w:r>
    </w:p>
    <w:p w14:paraId="42D25965" w14:textId="1ABC4EFD" w:rsidR="00BD5451" w:rsidRPr="00847234" w:rsidRDefault="00BD5451" w:rsidP="009A0040">
      <w:pPr>
        <w:spacing w:line="360" w:lineRule="auto"/>
        <w:jc w:val="both"/>
        <w:rPr>
          <w:rFonts w:ascii="Arial" w:hAnsi="Arial" w:cs="Arial"/>
          <w:bCs/>
          <w:lang w:val="es-ES_tradnl"/>
        </w:rPr>
      </w:pPr>
    </w:p>
    <w:p w14:paraId="341F5ED7" w14:textId="69E4FBA0" w:rsidR="00B50DB5" w:rsidRPr="00FE1F75" w:rsidRDefault="00110E3E" w:rsidP="009A0040">
      <w:pPr>
        <w:spacing w:line="360" w:lineRule="auto"/>
        <w:jc w:val="both"/>
        <w:rPr>
          <w:rFonts w:ascii="Arial" w:hAnsi="Arial" w:cs="Arial"/>
          <w:bCs/>
          <w:lang w:val="es-ES_tradnl"/>
        </w:rPr>
      </w:pPr>
      <w:r w:rsidRPr="00FE1F75">
        <w:rPr>
          <w:rFonts w:ascii="Arial" w:hAnsi="Arial" w:cs="Arial"/>
          <w:bCs/>
          <w:lang w:val="es-ES_tradnl"/>
        </w:rPr>
        <w:t xml:space="preserve">Ahora bien, debemos recordar que los derechos </w:t>
      </w:r>
      <w:r w:rsidR="00E73B07" w:rsidRPr="00FE1F75">
        <w:rPr>
          <w:rFonts w:ascii="Arial" w:hAnsi="Arial" w:cs="Arial"/>
          <w:bCs/>
          <w:lang w:val="es-ES_tradnl"/>
        </w:rPr>
        <w:t xml:space="preserve">humanos </w:t>
      </w:r>
      <w:r w:rsidRPr="00FE1F75">
        <w:rPr>
          <w:rFonts w:ascii="Arial" w:hAnsi="Arial" w:cs="Arial"/>
          <w:bCs/>
          <w:lang w:val="es-ES_tradnl"/>
        </w:rPr>
        <w:t xml:space="preserve">son también mandatos de optimización. Son </w:t>
      </w:r>
      <w:r w:rsidR="00455C5E" w:rsidRPr="00FE1F75">
        <w:rPr>
          <w:rFonts w:ascii="Arial" w:hAnsi="Arial" w:cs="Arial"/>
          <w:bCs/>
          <w:lang w:val="es-ES_tradnl"/>
        </w:rPr>
        <w:t>enunciaciones éticas</w:t>
      </w:r>
      <w:r w:rsidRPr="00FE1F75">
        <w:rPr>
          <w:rFonts w:ascii="Arial" w:hAnsi="Arial" w:cs="Arial"/>
          <w:bCs/>
          <w:lang w:val="es-ES_tradnl"/>
        </w:rPr>
        <w:t xml:space="preserve"> </w:t>
      </w:r>
      <w:r w:rsidR="00E63665" w:rsidRPr="00FE1F75">
        <w:rPr>
          <w:rFonts w:ascii="Arial" w:hAnsi="Arial" w:cs="Arial"/>
          <w:bCs/>
          <w:lang w:val="es-ES_tradnl"/>
        </w:rPr>
        <w:t>que protegen a las personas sujetas a la jurisdicción del Estado, surgidas de la Constitución y de los tratados internacionales de derechos humanos. A partir de esa enunciación</w:t>
      </w:r>
      <w:r w:rsidR="00212BF0" w:rsidRPr="00FE1F75">
        <w:rPr>
          <w:rFonts w:ascii="Arial" w:hAnsi="Arial" w:cs="Arial"/>
          <w:bCs/>
          <w:lang w:val="es-ES_tradnl"/>
        </w:rPr>
        <w:t>,</w:t>
      </w:r>
      <w:r w:rsidR="00E63665" w:rsidRPr="00FE1F75">
        <w:rPr>
          <w:rFonts w:ascii="Arial" w:hAnsi="Arial" w:cs="Arial"/>
          <w:bCs/>
          <w:lang w:val="es-ES_tradnl"/>
        </w:rPr>
        <w:t xml:space="preserve"> se </w:t>
      </w:r>
      <w:r w:rsidR="00455C5E" w:rsidRPr="00FE1F75">
        <w:rPr>
          <w:rFonts w:ascii="Arial" w:hAnsi="Arial" w:cs="Arial"/>
          <w:bCs/>
          <w:lang w:val="es-ES_tradnl"/>
        </w:rPr>
        <w:t xml:space="preserve">les </w:t>
      </w:r>
      <w:r w:rsidR="00E63665" w:rsidRPr="00FE1F75">
        <w:rPr>
          <w:rFonts w:ascii="Arial" w:hAnsi="Arial" w:cs="Arial"/>
          <w:bCs/>
          <w:lang w:val="es-ES_tradnl"/>
        </w:rPr>
        <w:t xml:space="preserve">atribuye titularidad subjetiva y se exige una construcción de su </w:t>
      </w:r>
      <w:r w:rsidR="00E02686" w:rsidRPr="00FE1F75">
        <w:rPr>
          <w:rFonts w:ascii="Arial" w:hAnsi="Arial" w:cs="Arial"/>
          <w:bCs/>
          <w:lang w:val="es-ES_tradnl"/>
        </w:rPr>
        <w:t xml:space="preserve">dimensión objetiva </w:t>
      </w:r>
      <w:r w:rsidR="00B01205" w:rsidRPr="00FE1F75">
        <w:rPr>
          <w:rFonts w:ascii="Arial" w:hAnsi="Arial" w:cs="Arial"/>
          <w:bCs/>
          <w:lang w:val="es-ES_tradnl"/>
        </w:rPr>
        <w:t xml:space="preserve">-las obligaciones a cargo del Estado- </w:t>
      </w:r>
      <w:r w:rsidR="00E02686" w:rsidRPr="00FE1F75">
        <w:rPr>
          <w:rFonts w:ascii="Arial" w:hAnsi="Arial" w:cs="Arial"/>
          <w:bCs/>
          <w:lang w:val="es-ES_tradnl"/>
        </w:rPr>
        <w:t xml:space="preserve">que potencie su </w:t>
      </w:r>
      <w:r w:rsidR="00212BF0" w:rsidRPr="00FE1F75">
        <w:rPr>
          <w:rFonts w:ascii="Arial" w:hAnsi="Arial" w:cs="Arial"/>
          <w:bCs/>
          <w:lang w:val="es-ES_tradnl"/>
        </w:rPr>
        <w:t>ámbito de</w:t>
      </w:r>
      <w:r w:rsidR="00E02686" w:rsidRPr="00FE1F75">
        <w:rPr>
          <w:rFonts w:ascii="Arial" w:hAnsi="Arial" w:cs="Arial"/>
          <w:bCs/>
          <w:lang w:val="es-ES_tradnl"/>
        </w:rPr>
        <w:t xml:space="preserve"> protección</w:t>
      </w:r>
      <w:r w:rsidR="00212BF0" w:rsidRPr="00FE1F75">
        <w:rPr>
          <w:rFonts w:ascii="Arial" w:hAnsi="Arial" w:cs="Arial"/>
          <w:bCs/>
          <w:lang w:val="es-ES_tradnl"/>
        </w:rPr>
        <w:t xml:space="preserve">. La meta es -obviamente- la realización plena, universal e igualitaria del derecho. </w:t>
      </w:r>
      <w:r w:rsidR="002D1F65" w:rsidRPr="00FE1F75">
        <w:rPr>
          <w:rFonts w:ascii="Arial" w:hAnsi="Arial" w:cs="Arial"/>
          <w:bCs/>
          <w:lang w:val="es-ES_tradnl"/>
        </w:rPr>
        <w:t xml:space="preserve">Los derechos humanos, su garantía y vigencia </w:t>
      </w:r>
      <w:r w:rsidR="00723606" w:rsidRPr="00FE1F75">
        <w:rPr>
          <w:rFonts w:ascii="Arial" w:hAnsi="Arial" w:cs="Arial"/>
          <w:bCs/>
          <w:lang w:val="es-ES_tradnl"/>
        </w:rPr>
        <w:t>quedan sujetas al principio de no regresividad</w:t>
      </w:r>
      <w:r w:rsidR="00E73B07" w:rsidRPr="00FE1F75">
        <w:rPr>
          <w:rStyle w:val="Refdenotaalpie"/>
          <w:rFonts w:ascii="Arial" w:hAnsi="Arial" w:cs="Arial"/>
          <w:bCs/>
          <w:lang w:val="es-ES_tradnl"/>
        </w:rPr>
        <w:footnoteReference w:id="18"/>
      </w:r>
      <w:r w:rsidR="00723606" w:rsidRPr="00FE1F75">
        <w:rPr>
          <w:rFonts w:ascii="Arial" w:hAnsi="Arial" w:cs="Arial"/>
          <w:bCs/>
          <w:lang w:val="es-ES_tradnl"/>
        </w:rPr>
        <w:t xml:space="preserve"> por mandato expreso del texto constitucional</w:t>
      </w:r>
      <w:r w:rsidR="00B710AC" w:rsidRPr="00FE1F75">
        <w:rPr>
          <w:rFonts w:ascii="Arial" w:hAnsi="Arial" w:cs="Arial"/>
          <w:bCs/>
          <w:lang w:val="es-ES_tradnl"/>
        </w:rPr>
        <w:t xml:space="preserve">; </w:t>
      </w:r>
      <w:r w:rsidR="00723606" w:rsidRPr="00FE1F75">
        <w:rPr>
          <w:rFonts w:ascii="Arial" w:hAnsi="Arial" w:cs="Arial"/>
          <w:bCs/>
          <w:lang w:val="es-ES_tradnl"/>
        </w:rPr>
        <w:t xml:space="preserve">el derecho humano al medio ambiente </w:t>
      </w:r>
      <w:r w:rsidR="00680866" w:rsidRPr="00FE1F75">
        <w:rPr>
          <w:rFonts w:ascii="Arial" w:hAnsi="Arial" w:cs="Arial"/>
          <w:bCs/>
          <w:lang w:val="es-ES_tradnl"/>
        </w:rPr>
        <w:t xml:space="preserve">participa de la naturaleza y </w:t>
      </w:r>
      <w:r w:rsidR="00242471" w:rsidRPr="00FE1F75">
        <w:rPr>
          <w:rFonts w:ascii="Arial" w:hAnsi="Arial" w:cs="Arial"/>
          <w:bCs/>
          <w:lang w:val="es-ES_tradnl"/>
        </w:rPr>
        <w:t xml:space="preserve">de los </w:t>
      </w:r>
      <w:r w:rsidR="00680866" w:rsidRPr="00FE1F75">
        <w:rPr>
          <w:rFonts w:ascii="Arial" w:hAnsi="Arial" w:cs="Arial"/>
          <w:bCs/>
          <w:lang w:val="es-ES_tradnl"/>
        </w:rPr>
        <w:t>mandatos</w:t>
      </w:r>
      <w:r w:rsidR="00B710AC" w:rsidRPr="00FE1F75">
        <w:rPr>
          <w:rFonts w:ascii="Arial" w:hAnsi="Arial" w:cs="Arial"/>
          <w:bCs/>
          <w:lang w:val="es-ES_tradnl"/>
        </w:rPr>
        <w:t xml:space="preserve"> asociados al</w:t>
      </w:r>
      <w:r w:rsidR="00680866" w:rsidRPr="00FE1F75">
        <w:rPr>
          <w:rFonts w:ascii="Arial" w:hAnsi="Arial" w:cs="Arial"/>
          <w:bCs/>
          <w:lang w:val="es-ES_tradnl"/>
        </w:rPr>
        <w:t xml:space="preserve"> resto de los derechos humanos. </w:t>
      </w:r>
      <w:r w:rsidR="00B50DB5" w:rsidRPr="00FE1F75">
        <w:rPr>
          <w:rFonts w:ascii="Arial" w:hAnsi="Arial" w:cs="Arial"/>
          <w:bCs/>
          <w:lang w:val="es-ES_tradnl"/>
        </w:rPr>
        <w:t xml:space="preserve">Como puede deducirse, la necesidad de que los derechos </w:t>
      </w:r>
      <w:r w:rsidR="00E73B07" w:rsidRPr="00FE1F75">
        <w:rPr>
          <w:rFonts w:ascii="Arial" w:hAnsi="Arial" w:cs="Arial"/>
          <w:bCs/>
          <w:lang w:val="es-ES_tradnl"/>
        </w:rPr>
        <w:t xml:space="preserve">humanos </w:t>
      </w:r>
      <w:r w:rsidR="00B50DB5" w:rsidRPr="00FE1F75">
        <w:rPr>
          <w:rFonts w:ascii="Arial" w:hAnsi="Arial" w:cs="Arial"/>
          <w:bCs/>
          <w:lang w:val="es-ES_tradnl"/>
        </w:rPr>
        <w:t xml:space="preserve">sean elevados al máximo nivel de cumplimiento </w:t>
      </w:r>
      <w:r w:rsidR="00077BE2" w:rsidRPr="00FE1F75">
        <w:rPr>
          <w:rFonts w:ascii="Arial" w:hAnsi="Arial" w:cs="Arial"/>
          <w:bCs/>
          <w:lang w:val="es-ES_tradnl"/>
        </w:rPr>
        <w:t xml:space="preserve">y tengan titularidad subjetiva </w:t>
      </w:r>
      <w:r w:rsidR="00B50DB5" w:rsidRPr="00FE1F75">
        <w:rPr>
          <w:rFonts w:ascii="Arial" w:hAnsi="Arial" w:cs="Arial"/>
          <w:bCs/>
          <w:lang w:val="es-ES_tradnl"/>
        </w:rPr>
        <w:t xml:space="preserve">implica que la intervención de la jurisdicción constitucional </w:t>
      </w:r>
      <w:r w:rsidR="00077BE2" w:rsidRPr="00FE1F75">
        <w:rPr>
          <w:rFonts w:ascii="Arial" w:hAnsi="Arial" w:cs="Arial"/>
          <w:bCs/>
          <w:lang w:val="es-ES_tradnl"/>
        </w:rPr>
        <w:t xml:space="preserve">en las decisiones legislativas o de política pública susceptibles de afectarles </w:t>
      </w:r>
      <w:r w:rsidR="00B550F2" w:rsidRPr="00FE1F75">
        <w:rPr>
          <w:rFonts w:ascii="Arial" w:hAnsi="Arial" w:cs="Arial"/>
          <w:bCs/>
          <w:lang w:val="es-ES_tradnl"/>
        </w:rPr>
        <w:t xml:space="preserve">será mayor. </w:t>
      </w:r>
    </w:p>
    <w:p w14:paraId="646A115F" w14:textId="542950B0" w:rsidR="00520557" w:rsidRPr="00FE1F75" w:rsidRDefault="00520557" w:rsidP="00BB4EBD">
      <w:pPr>
        <w:spacing w:line="360" w:lineRule="auto"/>
        <w:jc w:val="both"/>
        <w:rPr>
          <w:rFonts w:ascii="Arial" w:hAnsi="Arial" w:cs="Arial"/>
          <w:bCs/>
        </w:rPr>
      </w:pPr>
    </w:p>
    <w:p w14:paraId="50096559" w14:textId="3B0E1B19" w:rsidR="00520557" w:rsidRPr="00847234" w:rsidRDefault="00520557" w:rsidP="00BB4EBD">
      <w:pPr>
        <w:spacing w:line="360" w:lineRule="auto"/>
        <w:jc w:val="both"/>
        <w:rPr>
          <w:rFonts w:ascii="Arial" w:hAnsi="Arial" w:cs="Arial"/>
          <w:bCs/>
        </w:rPr>
      </w:pPr>
      <w:r w:rsidRPr="00FE1F75">
        <w:rPr>
          <w:rFonts w:ascii="Arial" w:hAnsi="Arial" w:cs="Arial"/>
          <w:bCs/>
        </w:rPr>
        <w:t xml:space="preserve">Como lo ha determinado esta Suprema Corte, “el principio de progresividad de los derechos humanos se relaciona no sólo con la prohibición de regresividad del disfrute de los derechos fundamentales, sino también con la obligación positiva de </w:t>
      </w:r>
      <w:r w:rsidRPr="00FE1F75">
        <w:rPr>
          <w:rFonts w:ascii="Arial" w:hAnsi="Arial" w:cs="Arial"/>
          <w:bCs/>
        </w:rPr>
        <w:lastRenderedPageBreak/>
        <w:t>promoverlos de manera progresiva y gradual, pues como lo señaló el Constituyente Permanente, el Estado mexicano tiene el mandato constitucional de realizar todos los cambios y transformaciones necesarias en la es</w:t>
      </w:r>
      <w:r w:rsidR="0081415F" w:rsidRPr="00FE1F75">
        <w:rPr>
          <w:rFonts w:ascii="Arial" w:hAnsi="Arial" w:cs="Arial"/>
          <w:bCs/>
        </w:rPr>
        <w:t xml:space="preserve">tructura </w:t>
      </w:r>
      <w:r w:rsidRPr="00FE1F75">
        <w:rPr>
          <w:rFonts w:ascii="Arial" w:hAnsi="Arial" w:cs="Arial"/>
          <w:bCs/>
        </w:rPr>
        <w:t>económica, social, política y cultural del país, de manera que se garantice que todas las personas puedan disfrutar de sus derechos”. Así, todas las autoridades, incluida la legislativa tienen la prohibición, “en virtud de su expresión de no regresividad, [de] adoptar medidas que</w:t>
      </w:r>
      <w:r w:rsidR="0081415F" w:rsidRPr="00FE1F75">
        <w:rPr>
          <w:rFonts w:ascii="Arial" w:hAnsi="Arial" w:cs="Arial"/>
          <w:bCs/>
        </w:rPr>
        <w:t xml:space="preserve">, </w:t>
      </w:r>
      <w:r w:rsidRPr="00FE1F75">
        <w:rPr>
          <w:rFonts w:ascii="Arial" w:hAnsi="Arial" w:cs="Arial"/>
          <w:bCs/>
        </w:rPr>
        <w:t>sin plena justificación constitucional</w:t>
      </w:r>
      <w:r w:rsidR="0081415F" w:rsidRPr="00FE1F75">
        <w:rPr>
          <w:rFonts w:ascii="Arial" w:hAnsi="Arial" w:cs="Arial"/>
          <w:bCs/>
        </w:rPr>
        <w:t>,</w:t>
      </w:r>
      <w:r w:rsidRPr="00FE1F75">
        <w:rPr>
          <w:rFonts w:ascii="Arial" w:hAnsi="Arial" w:cs="Arial"/>
          <w:bCs/>
        </w:rPr>
        <w:t xml:space="preserve"> disminuyan el nivel de protección de los derechos humanos de quienes se someten al orden jurídico del Estado mexicano.”</w:t>
      </w:r>
      <w:r w:rsidRPr="00FE1F75">
        <w:rPr>
          <w:rStyle w:val="Refdenotaalpie"/>
          <w:rFonts w:ascii="Arial" w:hAnsi="Arial" w:cs="Arial"/>
          <w:bCs/>
        </w:rPr>
        <w:footnoteReference w:id="19"/>
      </w:r>
    </w:p>
    <w:p w14:paraId="1E4A3EA2" w14:textId="5A3E3731" w:rsidR="009A0040" w:rsidRPr="00847234" w:rsidRDefault="009A0040" w:rsidP="009A0040">
      <w:pPr>
        <w:spacing w:line="360" w:lineRule="auto"/>
        <w:jc w:val="both"/>
        <w:rPr>
          <w:rFonts w:ascii="Arial" w:hAnsi="Arial" w:cs="Arial"/>
          <w:bCs/>
          <w:lang w:val="es-ES_tradnl"/>
        </w:rPr>
      </w:pPr>
    </w:p>
    <w:p w14:paraId="650502F8" w14:textId="30B2F9D7" w:rsidR="004662B5" w:rsidRPr="00847234" w:rsidRDefault="004662B5" w:rsidP="004662B5">
      <w:pPr>
        <w:spacing w:line="360" w:lineRule="auto"/>
        <w:jc w:val="both"/>
        <w:rPr>
          <w:rFonts w:ascii="Arial" w:hAnsi="Arial" w:cs="Arial"/>
          <w:bCs/>
        </w:rPr>
      </w:pPr>
      <w:r w:rsidRPr="00847234">
        <w:rPr>
          <w:rFonts w:ascii="Arial" w:hAnsi="Arial" w:cs="Arial"/>
          <w:bCs/>
        </w:rPr>
        <w:t xml:space="preserve">¿El libre mercado y el medio ambiente son principios con las mismas condiciones de aplicación? En otras palabras, ¿en ambos es igualmente legitima la misma severidad de intervención judicial? </w:t>
      </w:r>
      <w:r w:rsidR="00AC7966">
        <w:rPr>
          <w:rFonts w:ascii="Arial" w:hAnsi="Arial" w:cs="Arial"/>
          <w:bCs/>
        </w:rPr>
        <w:t>L</w:t>
      </w:r>
      <w:r w:rsidRPr="00847234">
        <w:rPr>
          <w:rFonts w:ascii="Arial" w:hAnsi="Arial" w:cs="Arial"/>
          <w:bCs/>
        </w:rPr>
        <w:t>a respuesta es negativa.</w:t>
      </w:r>
    </w:p>
    <w:p w14:paraId="4411415A" w14:textId="77777777" w:rsidR="004662B5" w:rsidRPr="00847234" w:rsidRDefault="004662B5" w:rsidP="009A0040">
      <w:pPr>
        <w:spacing w:line="360" w:lineRule="auto"/>
        <w:jc w:val="both"/>
        <w:rPr>
          <w:rFonts w:ascii="Arial" w:hAnsi="Arial" w:cs="Arial"/>
          <w:bCs/>
        </w:rPr>
      </w:pPr>
    </w:p>
    <w:p w14:paraId="21518965" w14:textId="580192B4" w:rsidR="009A0040" w:rsidRPr="00847234" w:rsidRDefault="009A0040" w:rsidP="009A0040">
      <w:pPr>
        <w:spacing w:line="360" w:lineRule="auto"/>
        <w:jc w:val="both"/>
        <w:rPr>
          <w:rFonts w:ascii="Arial" w:hAnsi="Arial" w:cs="Arial"/>
          <w:bCs/>
          <w:lang w:val="es-ES_tradnl"/>
        </w:rPr>
      </w:pPr>
      <w:r w:rsidRPr="00847234">
        <w:rPr>
          <w:rFonts w:ascii="Arial" w:hAnsi="Arial" w:cs="Arial"/>
          <w:bCs/>
          <w:lang w:val="es-ES_tradnl"/>
        </w:rPr>
        <w:t xml:space="preserve">Hemos dicho que existen dos tipos de principios constitucionales: unos que </w:t>
      </w:r>
      <w:r w:rsidR="001A31A7" w:rsidRPr="00847234">
        <w:rPr>
          <w:rFonts w:ascii="Arial" w:hAnsi="Arial" w:cs="Arial"/>
          <w:bCs/>
          <w:lang w:val="es-ES_tradnl"/>
        </w:rPr>
        <w:t xml:space="preserve">escapan a la </w:t>
      </w:r>
      <w:r w:rsidRPr="00847234">
        <w:rPr>
          <w:rFonts w:ascii="Arial" w:hAnsi="Arial" w:cs="Arial"/>
          <w:bCs/>
          <w:lang w:val="es-ES_tradnl"/>
        </w:rPr>
        <w:t>libre configuración legislativa</w:t>
      </w:r>
      <w:r w:rsidR="001A31A7" w:rsidRPr="00847234">
        <w:rPr>
          <w:rFonts w:ascii="Arial" w:hAnsi="Arial" w:cs="Arial"/>
          <w:bCs/>
          <w:lang w:val="es-ES_tradnl"/>
        </w:rPr>
        <w:t xml:space="preserve"> </w:t>
      </w:r>
      <w:r w:rsidR="001B674C" w:rsidRPr="00847234">
        <w:rPr>
          <w:rFonts w:ascii="Arial" w:hAnsi="Arial" w:cs="Arial"/>
          <w:bCs/>
          <w:lang w:val="es-ES_tradnl"/>
        </w:rPr>
        <w:t xml:space="preserve">al entenderse </w:t>
      </w:r>
      <w:r w:rsidR="00034E5D" w:rsidRPr="00847234">
        <w:rPr>
          <w:rFonts w:ascii="Arial" w:hAnsi="Arial" w:cs="Arial"/>
          <w:bCs/>
          <w:lang w:val="es-ES_tradnl"/>
        </w:rPr>
        <w:t xml:space="preserve">como </w:t>
      </w:r>
      <w:r w:rsidRPr="00847234">
        <w:rPr>
          <w:rFonts w:ascii="Arial" w:hAnsi="Arial" w:cs="Arial"/>
          <w:bCs/>
          <w:lang w:val="es-ES_tradnl"/>
        </w:rPr>
        <w:t>precondiciones de la democracia</w:t>
      </w:r>
      <w:r w:rsidR="004104DC" w:rsidRPr="00847234">
        <w:rPr>
          <w:rFonts w:ascii="Arial" w:hAnsi="Arial" w:cs="Arial"/>
          <w:bCs/>
          <w:lang w:val="es-ES_tradnl"/>
        </w:rPr>
        <w:t>, los cuales comúnmente</w:t>
      </w:r>
      <w:r w:rsidR="00CD7E2F" w:rsidRPr="00847234">
        <w:rPr>
          <w:rFonts w:ascii="Arial" w:hAnsi="Arial" w:cs="Arial"/>
          <w:bCs/>
          <w:lang w:val="es-ES_tradnl"/>
        </w:rPr>
        <w:t xml:space="preserve"> definen </w:t>
      </w:r>
      <w:r w:rsidR="000C162C" w:rsidRPr="00847234">
        <w:rPr>
          <w:rFonts w:ascii="Arial" w:hAnsi="Arial" w:cs="Arial"/>
          <w:bCs/>
          <w:lang w:val="es-ES_tradnl"/>
        </w:rPr>
        <w:t>derechos y libertades fundamentales</w:t>
      </w:r>
      <w:r w:rsidR="00B442AA" w:rsidRPr="00847234">
        <w:rPr>
          <w:rFonts w:ascii="Arial" w:hAnsi="Arial" w:cs="Arial"/>
          <w:bCs/>
          <w:lang w:val="es-ES_tradnl"/>
        </w:rPr>
        <w:t xml:space="preserve">; por </w:t>
      </w:r>
      <w:r w:rsidRPr="00847234">
        <w:rPr>
          <w:rFonts w:ascii="Arial" w:hAnsi="Arial" w:cs="Arial"/>
          <w:bCs/>
          <w:lang w:val="es-ES_tradnl"/>
        </w:rPr>
        <w:t>ello, cuando el legislador secundario pretende restringirlos</w:t>
      </w:r>
      <w:r w:rsidR="000C162C" w:rsidRPr="00847234">
        <w:rPr>
          <w:rFonts w:ascii="Arial" w:hAnsi="Arial" w:cs="Arial"/>
          <w:bCs/>
          <w:lang w:val="es-ES_tradnl"/>
        </w:rPr>
        <w:t>,</w:t>
      </w:r>
      <w:r w:rsidRPr="00847234">
        <w:rPr>
          <w:rFonts w:ascii="Arial" w:hAnsi="Arial" w:cs="Arial"/>
          <w:bCs/>
          <w:lang w:val="es-ES_tradnl"/>
        </w:rPr>
        <w:t xml:space="preserve"> su legislación queda sujeta a un escrutinio estricto.</w:t>
      </w:r>
      <w:r w:rsidR="00214D60">
        <w:rPr>
          <w:rStyle w:val="Refdenotaalpie"/>
          <w:rFonts w:ascii="Arial" w:hAnsi="Arial" w:cs="Arial"/>
          <w:bCs/>
          <w:lang w:val="es-ES_tradnl"/>
        </w:rPr>
        <w:footnoteReference w:id="20"/>
      </w:r>
      <w:r w:rsidRPr="00847234">
        <w:rPr>
          <w:rFonts w:ascii="Arial" w:hAnsi="Arial" w:cs="Arial"/>
          <w:bCs/>
          <w:lang w:val="es-ES_tradnl"/>
        </w:rPr>
        <w:t xml:space="preserve"> </w:t>
      </w:r>
      <w:r w:rsidR="004104DC" w:rsidRPr="00847234">
        <w:rPr>
          <w:rFonts w:ascii="Arial" w:hAnsi="Arial" w:cs="Arial"/>
          <w:bCs/>
          <w:lang w:val="es-ES_tradnl"/>
        </w:rPr>
        <w:t xml:space="preserve">En cambio, existen otros principios, cuyo contenido debe desarrollarse por el legislador democrático y son, por regla general, los </w:t>
      </w:r>
      <w:r w:rsidR="00F12FEF" w:rsidRPr="00847234">
        <w:rPr>
          <w:rFonts w:ascii="Arial" w:hAnsi="Arial" w:cs="Arial"/>
          <w:bCs/>
          <w:lang w:val="es-ES_tradnl"/>
        </w:rPr>
        <w:t>referentes a la rec</w:t>
      </w:r>
      <w:r w:rsidR="004104DC" w:rsidRPr="00847234">
        <w:rPr>
          <w:rFonts w:ascii="Arial" w:hAnsi="Arial" w:cs="Arial"/>
          <w:bCs/>
          <w:lang w:val="es-ES_tradnl"/>
        </w:rPr>
        <w:t xml:space="preserve">toría </w:t>
      </w:r>
      <w:r w:rsidR="00A03473" w:rsidRPr="00847234">
        <w:rPr>
          <w:rFonts w:ascii="Arial" w:hAnsi="Arial" w:cs="Arial"/>
          <w:bCs/>
          <w:lang w:val="es-ES_tradnl"/>
        </w:rPr>
        <w:t>económica</w:t>
      </w:r>
      <w:r w:rsidR="004104DC" w:rsidRPr="00847234">
        <w:rPr>
          <w:rFonts w:ascii="Arial" w:hAnsi="Arial" w:cs="Arial"/>
          <w:bCs/>
          <w:lang w:val="es-ES_tradnl"/>
        </w:rPr>
        <w:t xml:space="preserve"> del Estado. Estos últimos son</w:t>
      </w:r>
      <w:r w:rsidRPr="00847234">
        <w:rPr>
          <w:rFonts w:ascii="Arial" w:hAnsi="Arial" w:cs="Arial"/>
          <w:bCs/>
          <w:lang w:val="es-ES_tradnl"/>
        </w:rPr>
        <w:t xml:space="preserve"> modul</w:t>
      </w:r>
      <w:r w:rsidR="004104DC" w:rsidRPr="00847234">
        <w:rPr>
          <w:rFonts w:ascii="Arial" w:hAnsi="Arial" w:cs="Arial"/>
          <w:bCs/>
          <w:lang w:val="es-ES_tradnl"/>
        </w:rPr>
        <w:t>ables y las leyes que los reglamentan</w:t>
      </w:r>
      <w:r w:rsidRPr="00847234">
        <w:rPr>
          <w:rFonts w:ascii="Arial" w:hAnsi="Arial" w:cs="Arial"/>
          <w:bCs/>
          <w:lang w:val="es-ES_tradnl"/>
        </w:rPr>
        <w:t xml:space="preserve"> se controla</w:t>
      </w:r>
      <w:r w:rsidR="004104DC" w:rsidRPr="00847234">
        <w:rPr>
          <w:rFonts w:ascii="Arial" w:hAnsi="Arial" w:cs="Arial"/>
          <w:bCs/>
          <w:lang w:val="es-ES_tradnl"/>
        </w:rPr>
        <w:t>n</w:t>
      </w:r>
      <w:r w:rsidRPr="00847234">
        <w:rPr>
          <w:rFonts w:ascii="Arial" w:hAnsi="Arial" w:cs="Arial"/>
          <w:bCs/>
          <w:lang w:val="es-ES_tradnl"/>
        </w:rPr>
        <w:t xml:space="preserve"> con un escrutinio ordinario. </w:t>
      </w:r>
      <w:r w:rsidR="00D468B9" w:rsidRPr="00847234">
        <w:rPr>
          <w:rFonts w:ascii="Arial" w:hAnsi="Arial" w:cs="Arial"/>
          <w:bCs/>
          <w:lang w:val="es-ES_tradnl"/>
        </w:rPr>
        <w:t xml:space="preserve">En cuanto a los </w:t>
      </w:r>
      <w:r w:rsidR="004104DC" w:rsidRPr="00847234">
        <w:rPr>
          <w:rFonts w:ascii="Arial" w:hAnsi="Arial" w:cs="Arial"/>
          <w:bCs/>
          <w:lang w:val="es-ES_tradnl"/>
        </w:rPr>
        <w:t>primeros</w:t>
      </w:r>
      <w:r w:rsidR="00D468B9" w:rsidRPr="00847234">
        <w:rPr>
          <w:rFonts w:ascii="Arial" w:hAnsi="Arial" w:cs="Arial"/>
          <w:bCs/>
          <w:lang w:val="es-ES_tradnl"/>
        </w:rPr>
        <w:t xml:space="preserve"> </w:t>
      </w:r>
      <w:r w:rsidR="001F7C04" w:rsidRPr="00847234">
        <w:rPr>
          <w:rFonts w:ascii="Arial" w:hAnsi="Arial" w:cs="Arial"/>
          <w:bCs/>
          <w:lang w:val="es-ES_tradnl"/>
        </w:rPr>
        <w:t>exi</w:t>
      </w:r>
      <w:r w:rsidRPr="00847234">
        <w:rPr>
          <w:rFonts w:ascii="Arial" w:hAnsi="Arial" w:cs="Arial"/>
          <w:bCs/>
          <w:lang w:val="es-ES_tradnl"/>
        </w:rPr>
        <w:t>ste una presunción de invalidez</w:t>
      </w:r>
      <w:r w:rsidR="004104DC" w:rsidRPr="00847234">
        <w:rPr>
          <w:rFonts w:ascii="Arial" w:hAnsi="Arial" w:cs="Arial"/>
          <w:bCs/>
          <w:lang w:val="es-ES_tradnl"/>
        </w:rPr>
        <w:t xml:space="preserve"> de las leyes que los </w:t>
      </w:r>
      <w:r w:rsidR="00543661" w:rsidRPr="00847234">
        <w:rPr>
          <w:rFonts w:ascii="Arial" w:hAnsi="Arial" w:cs="Arial"/>
          <w:bCs/>
          <w:lang w:val="es-ES_tradnl"/>
        </w:rPr>
        <w:t>impactan adversamente</w:t>
      </w:r>
      <w:r w:rsidRPr="00847234">
        <w:rPr>
          <w:rFonts w:ascii="Arial" w:hAnsi="Arial" w:cs="Arial"/>
          <w:bCs/>
          <w:lang w:val="es-ES_tradnl"/>
        </w:rPr>
        <w:t>; sobre l</w:t>
      </w:r>
      <w:r w:rsidR="004104DC" w:rsidRPr="00847234">
        <w:rPr>
          <w:rFonts w:ascii="Arial" w:hAnsi="Arial" w:cs="Arial"/>
          <w:bCs/>
          <w:lang w:val="es-ES_tradnl"/>
        </w:rPr>
        <w:t>a</w:t>
      </w:r>
      <w:r w:rsidRPr="00847234">
        <w:rPr>
          <w:rFonts w:ascii="Arial" w:hAnsi="Arial" w:cs="Arial"/>
          <w:bCs/>
          <w:lang w:val="es-ES_tradnl"/>
        </w:rPr>
        <w:t>s</w:t>
      </w:r>
      <w:r w:rsidR="004104DC" w:rsidRPr="00847234">
        <w:rPr>
          <w:rFonts w:ascii="Arial" w:hAnsi="Arial" w:cs="Arial"/>
          <w:bCs/>
          <w:lang w:val="es-ES_tradnl"/>
        </w:rPr>
        <w:t xml:space="preserve"> leyes que d</w:t>
      </w:r>
      <w:r w:rsidR="001328BD" w:rsidRPr="00847234">
        <w:rPr>
          <w:rFonts w:ascii="Arial" w:hAnsi="Arial" w:cs="Arial"/>
          <w:bCs/>
          <w:lang w:val="es-ES_tradnl"/>
        </w:rPr>
        <w:t xml:space="preserve">otan de </w:t>
      </w:r>
      <w:r w:rsidR="004104DC" w:rsidRPr="00847234">
        <w:rPr>
          <w:rFonts w:ascii="Arial" w:hAnsi="Arial" w:cs="Arial"/>
          <w:bCs/>
          <w:lang w:val="es-ES_tradnl"/>
        </w:rPr>
        <w:t>contenido a los segundos</w:t>
      </w:r>
      <w:r w:rsidR="004B1635" w:rsidRPr="00847234">
        <w:rPr>
          <w:rFonts w:ascii="Arial" w:hAnsi="Arial" w:cs="Arial"/>
          <w:bCs/>
          <w:lang w:val="es-ES_tradnl"/>
        </w:rPr>
        <w:t xml:space="preserve">, la </w:t>
      </w:r>
      <w:r w:rsidRPr="00847234">
        <w:rPr>
          <w:rFonts w:ascii="Arial" w:hAnsi="Arial" w:cs="Arial"/>
          <w:bCs/>
          <w:lang w:val="es-ES_tradnl"/>
        </w:rPr>
        <w:t xml:space="preserve">presunción </w:t>
      </w:r>
      <w:r w:rsidR="004B1635" w:rsidRPr="00847234">
        <w:rPr>
          <w:rFonts w:ascii="Arial" w:hAnsi="Arial" w:cs="Arial"/>
          <w:bCs/>
          <w:lang w:val="es-ES_tradnl"/>
        </w:rPr>
        <w:t xml:space="preserve">es la </w:t>
      </w:r>
      <w:r w:rsidRPr="00847234">
        <w:rPr>
          <w:rFonts w:ascii="Arial" w:hAnsi="Arial" w:cs="Arial"/>
          <w:bCs/>
          <w:lang w:val="es-ES_tradnl"/>
        </w:rPr>
        <w:t>validez.</w:t>
      </w:r>
    </w:p>
    <w:p w14:paraId="5010B88A" w14:textId="77777777" w:rsidR="009A0040" w:rsidRPr="00847234" w:rsidRDefault="009A0040" w:rsidP="009A0040">
      <w:pPr>
        <w:spacing w:line="360" w:lineRule="auto"/>
        <w:jc w:val="both"/>
        <w:rPr>
          <w:rFonts w:ascii="Arial" w:hAnsi="Arial" w:cs="Arial"/>
          <w:bCs/>
          <w:lang w:val="es-ES_tradnl"/>
        </w:rPr>
      </w:pPr>
    </w:p>
    <w:p w14:paraId="2C845F99" w14:textId="7A2B06FD" w:rsidR="009A0040" w:rsidRPr="00847234" w:rsidRDefault="009A0040" w:rsidP="009A0040">
      <w:pPr>
        <w:spacing w:line="360" w:lineRule="auto"/>
        <w:jc w:val="both"/>
        <w:rPr>
          <w:rFonts w:ascii="Arial" w:hAnsi="Arial" w:cs="Arial"/>
          <w:bCs/>
          <w:lang w:val="es-ES_tradnl"/>
        </w:rPr>
      </w:pPr>
      <w:r w:rsidRPr="00847234">
        <w:rPr>
          <w:rFonts w:ascii="Arial" w:hAnsi="Arial" w:cs="Arial"/>
          <w:bCs/>
          <w:lang w:val="es-ES_tradnl"/>
        </w:rPr>
        <w:t>L</w:t>
      </w:r>
      <w:r w:rsidR="007E17E7" w:rsidRPr="00847234">
        <w:rPr>
          <w:rFonts w:ascii="Arial" w:hAnsi="Arial" w:cs="Arial"/>
          <w:bCs/>
          <w:lang w:val="es-ES_tradnl"/>
        </w:rPr>
        <w:t>a</w:t>
      </w:r>
      <w:r w:rsidRPr="00847234">
        <w:rPr>
          <w:rFonts w:ascii="Arial" w:hAnsi="Arial" w:cs="Arial"/>
          <w:bCs/>
          <w:lang w:val="es-ES_tradnl"/>
        </w:rPr>
        <w:t>s</w:t>
      </w:r>
      <w:r w:rsidR="007E17E7" w:rsidRPr="00847234">
        <w:rPr>
          <w:rFonts w:ascii="Arial" w:hAnsi="Arial" w:cs="Arial"/>
          <w:bCs/>
          <w:lang w:val="es-ES_tradnl"/>
        </w:rPr>
        <w:t xml:space="preserve"> leyes que afectan</w:t>
      </w:r>
      <w:r w:rsidRPr="00847234">
        <w:rPr>
          <w:rFonts w:ascii="Arial" w:hAnsi="Arial" w:cs="Arial"/>
          <w:bCs/>
          <w:lang w:val="es-ES_tradnl"/>
        </w:rPr>
        <w:t xml:space="preserve"> </w:t>
      </w:r>
      <w:r w:rsidR="00B442AA" w:rsidRPr="00847234">
        <w:rPr>
          <w:rFonts w:ascii="Arial" w:hAnsi="Arial" w:cs="Arial"/>
          <w:bCs/>
          <w:lang w:val="es-ES_tradnl"/>
        </w:rPr>
        <w:t>principios relativos a</w:t>
      </w:r>
      <w:r w:rsidR="00886C55" w:rsidRPr="00847234">
        <w:rPr>
          <w:rFonts w:ascii="Arial" w:hAnsi="Arial" w:cs="Arial"/>
          <w:bCs/>
          <w:lang w:val="es-ES_tradnl"/>
        </w:rPr>
        <w:t xml:space="preserve">l reconocimiento de derechos y libertades fundamentales </w:t>
      </w:r>
      <w:r w:rsidR="0059473A" w:rsidRPr="00847234">
        <w:rPr>
          <w:rFonts w:ascii="Arial" w:hAnsi="Arial" w:cs="Arial"/>
          <w:bCs/>
          <w:lang w:val="es-ES_tradnl"/>
        </w:rPr>
        <w:t>sólo</w:t>
      </w:r>
      <w:r w:rsidR="007E17E7" w:rsidRPr="00847234">
        <w:rPr>
          <w:rFonts w:ascii="Arial" w:hAnsi="Arial" w:cs="Arial"/>
          <w:bCs/>
          <w:lang w:val="es-ES_tradnl"/>
        </w:rPr>
        <w:t xml:space="preserve"> </w:t>
      </w:r>
      <w:r w:rsidR="00755394" w:rsidRPr="00847234">
        <w:rPr>
          <w:rFonts w:ascii="Arial" w:hAnsi="Arial" w:cs="Arial"/>
          <w:bCs/>
          <w:lang w:val="es-ES_tradnl"/>
        </w:rPr>
        <w:t>ameritarán reconocimiento de validez</w:t>
      </w:r>
      <w:r w:rsidR="00394E8E" w:rsidRPr="00847234">
        <w:rPr>
          <w:rFonts w:ascii="Arial" w:hAnsi="Arial" w:cs="Arial"/>
          <w:bCs/>
          <w:lang w:val="es-ES_tradnl"/>
        </w:rPr>
        <w:t xml:space="preserve"> </w:t>
      </w:r>
      <w:r w:rsidRPr="00847234">
        <w:rPr>
          <w:rFonts w:ascii="Arial" w:hAnsi="Arial" w:cs="Arial"/>
          <w:bCs/>
          <w:lang w:val="es-ES_tradnl"/>
        </w:rPr>
        <w:t xml:space="preserve">si el legislador </w:t>
      </w:r>
      <w:r w:rsidR="0059473A" w:rsidRPr="00847234">
        <w:rPr>
          <w:rFonts w:ascii="Arial" w:hAnsi="Arial" w:cs="Arial"/>
          <w:bCs/>
          <w:lang w:val="es-ES_tradnl"/>
        </w:rPr>
        <w:t xml:space="preserve">persigue </w:t>
      </w:r>
      <w:r w:rsidRPr="00847234">
        <w:rPr>
          <w:rFonts w:ascii="Arial" w:hAnsi="Arial" w:cs="Arial"/>
          <w:bCs/>
          <w:lang w:val="es-ES_tradnl"/>
        </w:rPr>
        <w:t xml:space="preserve">un fin imperioso, con los medios menos gravosos posibles y de una manera proporcional. Por ello, para su validez se requiere de un máximo grado de racionalidad legislativa. Los </w:t>
      </w:r>
      <w:r w:rsidR="009F7882" w:rsidRPr="00847234">
        <w:rPr>
          <w:rFonts w:ascii="Arial" w:hAnsi="Arial" w:cs="Arial"/>
          <w:bCs/>
          <w:lang w:val="es-ES_tradnl"/>
        </w:rPr>
        <w:t>principios relacionados con la operación de l</w:t>
      </w:r>
      <w:r w:rsidR="004104DC" w:rsidRPr="00847234">
        <w:rPr>
          <w:rFonts w:ascii="Arial" w:hAnsi="Arial" w:cs="Arial"/>
          <w:bCs/>
          <w:lang w:val="es-ES_tradnl"/>
        </w:rPr>
        <w:t xml:space="preserve">os </w:t>
      </w:r>
      <w:r w:rsidR="004104DC" w:rsidRPr="00847234">
        <w:rPr>
          <w:rFonts w:ascii="Arial" w:hAnsi="Arial" w:cs="Arial"/>
          <w:bCs/>
          <w:lang w:val="es-ES_tradnl"/>
        </w:rPr>
        <w:lastRenderedPageBreak/>
        <w:t>mercados</w:t>
      </w:r>
      <w:r w:rsidRPr="00847234">
        <w:rPr>
          <w:rFonts w:ascii="Arial" w:hAnsi="Arial" w:cs="Arial"/>
          <w:bCs/>
          <w:lang w:val="es-ES_tradnl"/>
        </w:rPr>
        <w:t xml:space="preserve"> (de naturaleza mayoritaria) </w:t>
      </w:r>
      <w:r w:rsidR="00C44AAF" w:rsidRPr="00847234">
        <w:rPr>
          <w:rFonts w:ascii="Arial" w:hAnsi="Arial" w:cs="Arial"/>
          <w:bCs/>
          <w:lang w:val="es-ES_tradnl"/>
        </w:rPr>
        <w:t xml:space="preserve">serán moldeados </w:t>
      </w:r>
      <w:r w:rsidRPr="00847234">
        <w:rPr>
          <w:rFonts w:ascii="Arial" w:hAnsi="Arial" w:cs="Arial"/>
          <w:bCs/>
          <w:lang w:val="es-ES_tradnl"/>
        </w:rPr>
        <w:t xml:space="preserve">por el legislador </w:t>
      </w:r>
      <w:r w:rsidR="00D5769D" w:rsidRPr="00847234">
        <w:rPr>
          <w:rFonts w:ascii="Arial" w:hAnsi="Arial" w:cs="Arial"/>
          <w:bCs/>
          <w:lang w:val="es-ES_tradnl"/>
        </w:rPr>
        <w:t>con</w:t>
      </w:r>
      <w:r w:rsidR="001D3BB0" w:rsidRPr="00847234">
        <w:rPr>
          <w:rFonts w:ascii="Arial" w:hAnsi="Arial" w:cs="Arial"/>
          <w:bCs/>
          <w:lang w:val="es-ES_tradnl"/>
        </w:rPr>
        <w:t xml:space="preserve"> </w:t>
      </w:r>
      <w:r w:rsidRPr="00847234">
        <w:rPr>
          <w:rFonts w:ascii="Arial" w:hAnsi="Arial" w:cs="Arial"/>
          <w:bCs/>
          <w:lang w:val="es-ES_tradnl"/>
        </w:rPr>
        <w:t>medidas instrumentalmente adecuadas y proporcional</w:t>
      </w:r>
      <w:r w:rsidR="00D5769D" w:rsidRPr="00847234">
        <w:rPr>
          <w:rFonts w:ascii="Arial" w:hAnsi="Arial" w:cs="Arial"/>
          <w:bCs/>
          <w:lang w:val="es-ES_tradnl"/>
        </w:rPr>
        <w:t>es</w:t>
      </w:r>
      <w:r w:rsidRPr="00847234">
        <w:rPr>
          <w:rFonts w:ascii="Arial" w:hAnsi="Arial" w:cs="Arial"/>
          <w:bCs/>
          <w:lang w:val="es-ES_tradnl"/>
        </w:rPr>
        <w:t xml:space="preserve">. Por ello, para lograr validez, estas medidas sólo deben reunir un mínimo de racionalidad. </w:t>
      </w:r>
      <w:r w:rsidR="00174A0A" w:rsidRPr="00847234">
        <w:rPr>
          <w:rStyle w:val="Refdenotaalpie"/>
          <w:rFonts w:ascii="Arial" w:hAnsi="Arial" w:cs="Arial"/>
          <w:bCs/>
          <w:lang w:val="es-ES_tradnl"/>
        </w:rPr>
        <w:footnoteReference w:id="21"/>
      </w:r>
    </w:p>
    <w:p w14:paraId="6D5445C6" w14:textId="77777777" w:rsidR="009A0040" w:rsidRPr="00847234" w:rsidRDefault="009A0040" w:rsidP="009A0040">
      <w:pPr>
        <w:spacing w:line="360" w:lineRule="auto"/>
        <w:jc w:val="both"/>
        <w:rPr>
          <w:rFonts w:ascii="Arial" w:hAnsi="Arial" w:cs="Arial"/>
          <w:bCs/>
          <w:lang w:val="es-ES_tradnl"/>
        </w:rPr>
      </w:pPr>
    </w:p>
    <w:p w14:paraId="40A93330" w14:textId="31AC83BF" w:rsidR="008A1B9E" w:rsidRPr="00847234" w:rsidRDefault="00F80823" w:rsidP="008A1B9E">
      <w:pPr>
        <w:spacing w:line="360" w:lineRule="auto"/>
        <w:jc w:val="both"/>
        <w:rPr>
          <w:rFonts w:ascii="Arial" w:hAnsi="Arial" w:cs="Arial"/>
          <w:bCs/>
          <w:lang w:val="es-ES_tradnl"/>
        </w:rPr>
      </w:pPr>
      <w:r w:rsidRPr="00847234">
        <w:rPr>
          <w:rFonts w:ascii="Arial" w:hAnsi="Arial" w:cs="Arial"/>
          <w:bCs/>
          <w:lang w:val="es-ES_tradnl"/>
        </w:rPr>
        <w:t>Dado la naturaleza de la normativa impugnada y su compleja estructura, es obvio que</w:t>
      </w:r>
      <w:r w:rsidR="007847A0" w:rsidRPr="00847234">
        <w:rPr>
          <w:rFonts w:ascii="Arial" w:hAnsi="Arial" w:cs="Arial"/>
          <w:bCs/>
          <w:lang w:val="es-ES_tradnl"/>
        </w:rPr>
        <w:t xml:space="preserve"> </w:t>
      </w:r>
      <w:r w:rsidRPr="00847234">
        <w:rPr>
          <w:rFonts w:ascii="Arial" w:hAnsi="Arial" w:cs="Arial"/>
          <w:bCs/>
          <w:lang w:val="es-ES_tradnl"/>
        </w:rPr>
        <w:t>una primera decisión metodológica</w:t>
      </w:r>
      <w:r w:rsidR="007847A0" w:rsidRPr="00847234">
        <w:rPr>
          <w:rFonts w:ascii="Arial" w:hAnsi="Arial" w:cs="Arial"/>
          <w:bCs/>
          <w:lang w:val="es-ES_tradnl"/>
        </w:rPr>
        <w:t xml:space="preserve"> debe ser caracterizar la norma y sus preceptos o presupuestos. </w:t>
      </w:r>
      <w:r w:rsidRPr="00847234">
        <w:rPr>
          <w:rFonts w:ascii="Arial" w:hAnsi="Arial" w:cs="Arial"/>
          <w:bCs/>
          <w:lang w:val="es-ES_tradnl"/>
        </w:rPr>
        <w:t xml:space="preserve"> </w:t>
      </w:r>
      <w:r w:rsidR="009A0040" w:rsidRPr="00847234">
        <w:rPr>
          <w:rFonts w:ascii="Arial" w:hAnsi="Arial" w:cs="Arial"/>
          <w:bCs/>
          <w:lang w:val="es-ES_tradnl"/>
        </w:rPr>
        <w:t xml:space="preserve">Si es una regla, </w:t>
      </w:r>
      <w:r w:rsidR="004473D4" w:rsidRPr="00847234">
        <w:rPr>
          <w:rFonts w:ascii="Arial" w:hAnsi="Arial" w:cs="Arial"/>
          <w:bCs/>
          <w:lang w:val="es-ES_tradnl"/>
        </w:rPr>
        <w:t xml:space="preserve">aplicará </w:t>
      </w:r>
      <w:r w:rsidR="009A0040" w:rsidRPr="00847234">
        <w:rPr>
          <w:rFonts w:ascii="Arial" w:hAnsi="Arial" w:cs="Arial"/>
          <w:bCs/>
          <w:lang w:val="es-ES_tradnl"/>
        </w:rPr>
        <w:t>la metodología de la subsunción</w:t>
      </w:r>
      <w:r w:rsidR="004473D4" w:rsidRPr="00847234">
        <w:rPr>
          <w:rFonts w:ascii="Arial" w:hAnsi="Arial" w:cs="Arial"/>
          <w:bCs/>
          <w:lang w:val="es-ES_tradnl"/>
        </w:rPr>
        <w:t xml:space="preserve">; </w:t>
      </w:r>
      <w:r w:rsidR="009A0040" w:rsidRPr="00847234">
        <w:rPr>
          <w:rFonts w:ascii="Arial" w:hAnsi="Arial" w:cs="Arial"/>
          <w:bCs/>
          <w:lang w:val="es-ES_tradnl"/>
        </w:rPr>
        <w:t xml:space="preserve">es decir, </w:t>
      </w:r>
      <w:r w:rsidR="004473D4" w:rsidRPr="00847234">
        <w:rPr>
          <w:rFonts w:ascii="Arial" w:hAnsi="Arial" w:cs="Arial"/>
          <w:bCs/>
          <w:lang w:val="es-ES_tradnl"/>
        </w:rPr>
        <w:t xml:space="preserve">se </w:t>
      </w:r>
      <w:r w:rsidR="005113A0" w:rsidRPr="00847234">
        <w:rPr>
          <w:rFonts w:ascii="Arial" w:hAnsi="Arial" w:cs="Arial"/>
          <w:bCs/>
          <w:lang w:val="es-ES_tradnl"/>
        </w:rPr>
        <w:t>localizar</w:t>
      </w:r>
      <w:r w:rsidR="004473D4" w:rsidRPr="00847234">
        <w:rPr>
          <w:rFonts w:ascii="Arial" w:hAnsi="Arial" w:cs="Arial"/>
          <w:bCs/>
          <w:lang w:val="es-ES_tradnl"/>
        </w:rPr>
        <w:t>á</w:t>
      </w:r>
      <w:r w:rsidR="005113A0" w:rsidRPr="00847234">
        <w:rPr>
          <w:rFonts w:ascii="Arial" w:hAnsi="Arial" w:cs="Arial"/>
          <w:bCs/>
          <w:lang w:val="es-ES_tradnl"/>
        </w:rPr>
        <w:t xml:space="preserve"> </w:t>
      </w:r>
      <w:r w:rsidR="009A0040" w:rsidRPr="00847234">
        <w:rPr>
          <w:rFonts w:ascii="Arial" w:hAnsi="Arial" w:cs="Arial"/>
          <w:bCs/>
          <w:lang w:val="es-ES_tradnl"/>
        </w:rPr>
        <w:t xml:space="preserve">si se actualizan los elementos del antecedente para </w:t>
      </w:r>
      <w:r w:rsidR="004473D4" w:rsidRPr="00847234">
        <w:rPr>
          <w:rFonts w:ascii="Arial" w:hAnsi="Arial" w:cs="Arial"/>
          <w:bCs/>
          <w:lang w:val="es-ES_tradnl"/>
        </w:rPr>
        <w:t xml:space="preserve">indefectiblemente </w:t>
      </w:r>
      <w:r w:rsidR="0070180D" w:rsidRPr="00847234">
        <w:rPr>
          <w:rFonts w:ascii="Arial" w:hAnsi="Arial" w:cs="Arial"/>
          <w:bCs/>
          <w:lang w:val="es-ES_tradnl"/>
        </w:rPr>
        <w:t xml:space="preserve">adjudicar </w:t>
      </w:r>
      <w:r w:rsidR="000D3151" w:rsidRPr="00847234">
        <w:rPr>
          <w:rFonts w:ascii="Arial" w:hAnsi="Arial" w:cs="Arial"/>
          <w:bCs/>
          <w:lang w:val="es-ES_tradnl"/>
        </w:rPr>
        <w:t xml:space="preserve">la </w:t>
      </w:r>
      <w:r w:rsidR="00FC182B" w:rsidRPr="00847234">
        <w:rPr>
          <w:rFonts w:ascii="Arial" w:hAnsi="Arial" w:cs="Arial"/>
          <w:bCs/>
          <w:lang w:val="es-ES_tradnl"/>
        </w:rPr>
        <w:t>consecuencia.</w:t>
      </w:r>
      <w:r w:rsidR="00174A0A" w:rsidRPr="00847234">
        <w:rPr>
          <w:rFonts w:ascii="Arial" w:hAnsi="Arial" w:cs="Arial"/>
          <w:bCs/>
          <w:lang w:val="es-ES_tradnl"/>
        </w:rPr>
        <w:t xml:space="preserve"> </w:t>
      </w:r>
      <w:r w:rsidR="00F74E6F" w:rsidRPr="00847234">
        <w:rPr>
          <w:rFonts w:ascii="Arial" w:hAnsi="Arial" w:cs="Arial"/>
          <w:bCs/>
          <w:lang w:val="es-ES_tradnl"/>
        </w:rPr>
        <w:t>S</w:t>
      </w:r>
      <w:r w:rsidR="008A1B9E" w:rsidRPr="00847234">
        <w:rPr>
          <w:rFonts w:ascii="Arial" w:hAnsi="Arial" w:cs="Arial"/>
          <w:bCs/>
          <w:lang w:val="es-ES_tradnl"/>
        </w:rPr>
        <w:t>i es un principio</w:t>
      </w:r>
      <w:r w:rsidR="00F74E6F" w:rsidRPr="00847234">
        <w:rPr>
          <w:rFonts w:ascii="Arial" w:hAnsi="Arial" w:cs="Arial"/>
          <w:bCs/>
          <w:lang w:val="es-ES_tradnl"/>
        </w:rPr>
        <w:t>,</w:t>
      </w:r>
      <w:r w:rsidR="008A1B9E" w:rsidRPr="00847234">
        <w:rPr>
          <w:rFonts w:ascii="Arial" w:hAnsi="Arial" w:cs="Arial"/>
          <w:bCs/>
          <w:lang w:val="es-ES_tradnl"/>
        </w:rPr>
        <w:t xml:space="preserve"> debemos descartar la subsunción y </w:t>
      </w:r>
      <w:r w:rsidR="00435FDF" w:rsidRPr="00847234">
        <w:rPr>
          <w:rFonts w:ascii="Arial" w:hAnsi="Arial" w:cs="Arial"/>
          <w:bCs/>
          <w:lang w:val="es-ES_tradnl"/>
        </w:rPr>
        <w:t>o</w:t>
      </w:r>
      <w:r w:rsidR="00B217F5" w:rsidRPr="00847234">
        <w:rPr>
          <w:rFonts w:ascii="Arial" w:hAnsi="Arial" w:cs="Arial"/>
          <w:bCs/>
          <w:lang w:val="es-ES_tradnl"/>
        </w:rPr>
        <w:t xml:space="preserve">ptar por </w:t>
      </w:r>
      <w:r w:rsidR="008A1B9E" w:rsidRPr="00847234">
        <w:rPr>
          <w:rFonts w:ascii="Arial" w:hAnsi="Arial" w:cs="Arial"/>
          <w:bCs/>
          <w:lang w:val="es-ES_tradnl"/>
        </w:rPr>
        <w:t>algunos de los estándares de escrutinio,</w:t>
      </w:r>
      <w:r w:rsidR="006010C6" w:rsidRPr="00847234">
        <w:rPr>
          <w:rFonts w:ascii="Arial" w:hAnsi="Arial" w:cs="Arial"/>
          <w:bCs/>
          <w:lang w:val="es-ES_tradnl"/>
        </w:rPr>
        <w:t xml:space="preserve"> ya se</w:t>
      </w:r>
      <w:r w:rsidR="00401906">
        <w:rPr>
          <w:rFonts w:ascii="Arial" w:hAnsi="Arial" w:cs="Arial"/>
          <w:bCs/>
          <w:lang w:val="es-ES_tradnl"/>
        </w:rPr>
        <w:t>a</w:t>
      </w:r>
      <w:r w:rsidR="006010C6" w:rsidRPr="00847234">
        <w:rPr>
          <w:rFonts w:ascii="Arial" w:hAnsi="Arial" w:cs="Arial"/>
          <w:bCs/>
          <w:lang w:val="es-ES_tradnl"/>
        </w:rPr>
        <w:t xml:space="preserve"> </w:t>
      </w:r>
      <w:r w:rsidR="00FC182B" w:rsidRPr="00847234">
        <w:rPr>
          <w:rFonts w:ascii="Arial" w:hAnsi="Arial" w:cs="Arial"/>
          <w:bCs/>
          <w:lang w:val="es-ES_tradnl"/>
        </w:rPr>
        <w:t>ordinario o</w:t>
      </w:r>
      <w:r w:rsidR="008A1B9E" w:rsidRPr="00847234">
        <w:rPr>
          <w:rFonts w:ascii="Arial" w:hAnsi="Arial" w:cs="Arial"/>
          <w:bCs/>
          <w:lang w:val="es-ES_tradnl"/>
        </w:rPr>
        <w:t xml:space="preserve"> estricto. </w:t>
      </w:r>
    </w:p>
    <w:p w14:paraId="0470AF7B" w14:textId="77777777" w:rsidR="00B217F5" w:rsidRPr="00847234" w:rsidRDefault="00B217F5" w:rsidP="0075782F">
      <w:pPr>
        <w:spacing w:line="360" w:lineRule="auto"/>
        <w:jc w:val="both"/>
        <w:rPr>
          <w:rFonts w:ascii="Arial" w:hAnsi="Arial" w:cs="Arial"/>
          <w:bCs/>
          <w:lang w:val="es-ES_tradnl"/>
        </w:rPr>
      </w:pPr>
    </w:p>
    <w:p w14:paraId="40118CE4" w14:textId="5300D8BB" w:rsidR="005C7ABC" w:rsidRPr="00847234" w:rsidRDefault="00B217F5" w:rsidP="0075782F">
      <w:pPr>
        <w:spacing w:line="360" w:lineRule="auto"/>
        <w:jc w:val="both"/>
        <w:rPr>
          <w:rFonts w:ascii="Arial" w:hAnsi="Arial" w:cs="Arial"/>
          <w:bCs/>
        </w:rPr>
      </w:pPr>
      <w:r w:rsidRPr="00847234">
        <w:rPr>
          <w:rFonts w:ascii="Arial" w:hAnsi="Arial" w:cs="Arial"/>
          <w:bCs/>
          <w:lang w:val="es-ES_tradnl"/>
        </w:rPr>
        <w:t>L</w:t>
      </w:r>
      <w:r w:rsidR="009A0040" w:rsidRPr="00847234">
        <w:rPr>
          <w:rFonts w:ascii="Arial" w:hAnsi="Arial" w:cs="Arial"/>
          <w:bCs/>
          <w:lang w:val="es-ES_tradnl"/>
        </w:rPr>
        <w:t>os estándares de escrutinio no son mer</w:t>
      </w:r>
      <w:r w:rsidR="000D15EF" w:rsidRPr="00847234">
        <w:rPr>
          <w:rFonts w:ascii="Arial" w:hAnsi="Arial" w:cs="Arial"/>
          <w:bCs/>
          <w:lang w:val="es-ES_tradnl"/>
        </w:rPr>
        <w:t xml:space="preserve">a </w:t>
      </w:r>
      <w:r w:rsidR="009A0040" w:rsidRPr="00847234">
        <w:rPr>
          <w:rFonts w:ascii="Arial" w:hAnsi="Arial" w:cs="Arial"/>
          <w:bCs/>
          <w:lang w:val="es-ES_tradnl"/>
        </w:rPr>
        <w:t>retóric</w:t>
      </w:r>
      <w:r w:rsidR="000D15EF" w:rsidRPr="00847234">
        <w:rPr>
          <w:rFonts w:ascii="Arial" w:hAnsi="Arial" w:cs="Arial"/>
          <w:bCs/>
          <w:lang w:val="es-ES_tradnl"/>
        </w:rPr>
        <w:t>a</w:t>
      </w:r>
      <w:r w:rsidR="009A0040" w:rsidRPr="00847234">
        <w:rPr>
          <w:rFonts w:ascii="Arial" w:hAnsi="Arial" w:cs="Arial"/>
          <w:bCs/>
          <w:lang w:val="es-ES_tradnl"/>
        </w:rPr>
        <w:t xml:space="preserve">, sino instrumentos que disciplinan </w:t>
      </w:r>
      <w:r w:rsidR="00CB200C" w:rsidRPr="00847234">
        <w:rPr>
          <w:rFonts w:ascii="Arial" w:hAnsi="Arial" w:cs="Arial"/>
          <w:bCs/>
          <w:lang w:val="es-ES_tradnl"/>
        </w:rPr>
        <w:t xml:space="preserve">a </w:t>
      </w:r>
      <w:r w:rsidR="009A0040" w:rsidRPr="00847234">
        <w:rPr>
          <w:rFonts w:ascii="Arial" w:hAnsi="Arial" w:cs="Arial"/>
          <w:bCs/>
          <w:lang w:val="es-ES_tradnl"/>
        </w:rPr>
        <w:t xml:space="preserve">los jueces constitucionales para resolver conflictos suscitados alrededor de los principios con una metodología </w:t>
      </w:r>
      <w:r w:rsidR="002A2537" w:rsidRPr="00847234">
        <w:rPr>
          <w:rFonts w:ascii="Arial" w:hAnsi="Arial" w:cs="Arial"/>
          <w:bCs/>
          <w:lang w:val="es-ES_tradnl"/>
        </w:rPr>
        <w:t xml:space="preserve">distinguible y con aspiraciones de </w:t>
      </w:r>
      <w:r w:rsidR="009A0040" w:rsidRPr="00847234">
        <w:rPr>
          <w:rFonts w:ascii="Arial" w:hAnsi="Arial" w:cs="Arial"/>
          <w:bCs/>
          <w:lang w:val="es-ES_tradnl"/>
        </w:rPr>
        <w:t>objetiv</w:t>
      </w:r>
      <w:r w:rsidR="002A2537" w:rsidRPr="00847234">
        <w:rPr>
          <w:rFonts w:ascii="Arial" w:hAnsi="Arial" w:cs="Arial"/>
          <w:bCs/>
          <w:lang w:val="es-ES_tradnl"/>
        </w:rPr>
        <w:t>idad</w:t>
      </w:r>
      <w:r w:rsidR="009A0040" w:rsidRPr="00847234">
        <w:rPr>
          <w:rFonts w:ascii="Arial" w:hAnsi="Arial" w:cs="Arial"/>
          <w:bCs/>
          <w:lang w:val="es-ES_tradnl"/>
        </w:rPr>
        <w:t>; es</w:t>
      </w:r>
      <w:r w:rsidR="00C65D41" w:rsidRPr="00847234">
        <w:rPr>
          <w:rFonts w:ascii="Arial" w:hAnsi="Arial" w:cs="Arial"/>
          <w:bCs/>
          <w:lang w:val="es-ES_tradnl"/>
        </w:rPr>
        <w:t xml:space="preserve">to es, </w:t>
      </w:r>
      <w:r w:rsidR="009A0040" w:rsidRPr="00847234">
        <w:rPr>
          <w:rFonts w:ascii="Arial" w:hAnsi="Arial" w:cs="Arial"/>
          <w:bCs/>
          <w:lang w:val="es-ES_tradnl"/>
        </w:rPr>
        <w:t>permiten que las preguntas constitucionales se resuelvan</w:t>
      </w:r>
      <w:r w:rsidR="00CB200C" w:rsidRPr="00847234">
        <w:rPr>
          <w:rFonts w:ascii="Arial" w:hAnsi="Arial" w:cs="Arial"/>
          <w:bCs/>
          <w:lang w:val="es-ES_tradnl"/>
        </w:rPr>
        <w:t xml:space="preserve"> de manera racional -justificada, argumentada y razonada- más </w:t>
      </w:r>
      <w:r w:rsidR="005C7ABC" w:rsidRPr="00847234">
        <w:rPr>
          <w:rFonts w:ascii="Arial" w:hAnsi="Arial" w:cs="Arial"/>
          <w:bCs/>
          <w:lang w:val="es-ES_tradnl"/>
        </w:rPr>
        <w:t>allá de</w:t>
      </w:r>
      <w:r w:rsidR="009A0040" w:rsidRPr="00847234">
        <w:rPr>
          <w:rFonts w:ascii="Arial" w:hAnsi="Arial" w:cs="Arial"/>
          <w:bCs/>
          <w:lang w:val="es-ES_tradnl"/>
        </w:rPr>
        <w:t xml:space="preserve"> las preferencias </w:t>
      </w:r>
      <w:r w:rsidR="000646F4" w:rsidRPr="00847234">
        <w:rPr>
          <w:rFonts w:ascii="Arial" w:hAnsi="Arial" w:cs="Arial"/>
          <w:bCs/>
          <w:lang w:val="es-ES_tradnl"/>
        </w:rPr>
        <w:t xml:space="preserve">meramente </w:t>
      </w:r>
      <w:r w:rsidR="009A0040" w:rsidRPr="00847234">
        <w:rPr>
          <w:rFonts w:ascii="Arial" w:hAnsi="Arial" w:cs="Arial"/>
          <w:bCs/>
          <w:lang w:val="es-ES_tradnl"/>
        </w:rPr>
        <w:t>subjetivas de los juzgadores</w:t>
      </w:r>
      <w:r w:rsidR="00F4219E" w:rsidRPr="00847234">
        <w:rPr>
          <w:rFonts w:ascii="Arial" w:hAnsi="Arial" w:cs="Arial"/>
          <w:bCs/>
          <w:lang w:val="es-ES_tradnl"/>
        </w:rPr>
        <w:t xml:space="preserve">. </w:t>
      </w:r>
      <w:r w:rsidR="008A1B9E" w:rsidRPr="00847234">
        <w:rPr>
          <w:rFonts w:ascii="Arial" w:hAnsi="Arial" w:cs="Arial"/>
          <w:bCs/>
          <w:lang w:val="es-ES_tradnl"/>
        </w:rPr>
        <w:t xml:space="preserve"> </w:t>
      </w:r>
      <w:r w:rsidR="0078662A" w:rsidRPr="00847234">
        <w:rPr>
          <w:rFonts w:ascii="Arial" w:hAnsi="Arial" w:cs="Arial"/>
          <w:bCs/>
          <w:lang w:val="es-ES_tradnl"/>
        </w:rPr>
        <w:t xml:space="preserve">En cuanto a esta decisión primaria, mi </w:t>
      </w:r>
      <w:r w:rsidR="00EA445F" w:rsidRPr="00847234">
        <w:rPr>
          <w:rFonts w:ascii="Arial" w:hAnsi="Arial" w:cs="Arial"/>
          <w:bCs/>
          <w:lang w:val="es-ES_tradnl"/>
        </w:rPr>
        <w:t>conclusión es que las interferencias legislativas</w:t>
      </w:r>
      <w:r w:rsidR="0078662A" w:rsidRPr="00847234">
        <w:rPr>
          <w:rFonts w:ascii="Arial" w:hAnsi="Arial" w:cs="Arial"/>
          <w:bCs/>
          <w:lang w:val="es-ES_tradnl"/>
        </w:rPr>
        <w:t xml:space="preserve"> en </w:t>
      </w:r>
      <w:r w:rsidR="00EA445F" w:rsidRPr="00847234">
        <w:rPr>
          <w:rFonts w:ascii="Arial" w:hAnsi="Arial" w:cs="Arial"/>
          <w:bCs/>
          <w:lang w:val="es-ES_tradnl"/>
        </w:rPr>
        <w:t>ambos principios</w:t>
      </w:r>
      <w:r w:rsidR="008A1B9E" w:rsidRPr="00847234">
        <w:rPr>
          <w:rFonts w:ascii="Arial" w:hAnsi="Arial" w:cs="Arial"/>
          <w:bCs/>
          <w:lang w:val="es-ES_tradnl"/>
        </w:rPr>
        <w:t xml:space="preserve"> -libre competencia y medio ambiente-</w:t>
      </w:r>
      <w:r w:rsidR="0078662A" w:rsidRPr="00847234">
        <w:rPr>
          <w:rFonts w:ascii="Arial" w:hAnsi="Arial" w:cs="Arial"/>
          <w:bCs/>
          <w:lang w:val="es-ES_tradnl"/>
        </w:rPr>
        <w:t xml:space="preserve"> se rige</w:t>
      </w:r>
      <w:r w:rsidR="005C7ABC" w:rsidRPr="00847234">
        <w:rPr>
          <w:rFonts w:ascii="Arial" w:hAnsi="Arial" w:cs="Arial"/>
          <w:bCs/>
          <w:lang w:val="es-ES_tradnl"/>
        </w:rPr>
        <w:t>n</w:t>
      </w:r>
      <w:r w:rsidR="0078662A" w:rsidRPr="00847234">
        <w:rPr>
          <w:rFonts w:ascii="Arial" w:hAnsi="Arial" w:cs="Arial"/>
          <w:bCs/>
          <w:lang w:val="es-ES_tradnl"/>
        </w:rPr>
        <w:t xml:space="preserve"> por estándares diferenciados en cuanto a su aplicabilidad, contenido y alcance. </w:t>
      </w:r>
      <w:r w:rsidR="00EA445F" w:rsidRPr="00847234">
        <w:rPr>
          <w:rFonts w:ascii="Arial" w:hAnsi="Arial" w:cs="Arial"/>
          <w:bCs/>
          <w:lang w:val="es-ES_tradnl"/>
        </w:rPr>
        <w:t xml:space="preserve"> </w:t>
      </w:r>
    </w:p>
    <w:p w14:paraId="1C35DC80" w14:textId="77777777" w:rsidR="00024417" w:rsidRPr="00847234" w:rsidRDefault="00024417" w:rsidP="0075782F">
      <w:pPr>
        <w:spacing w:line="360" w:lineRule="auto"/>
        <w:jc w:val="both"/>
        <w:rPr>
          <w:rFonts w:ascii="Arial" w:hAnsi="Arial" w:cs="Arial"/>
          <w:bCs/>
        </w:rPr>
      </w:pPr>
    </w:p>
    <w:p w14:paraId="176F1872" w14:textId="6048C237" w:rsidR="0075782F" w:rsidRPr="00847234" w:rsidRDefault="0075782F" w:rsidP="0075782F">
      <w:pPr>
        <w:spacing w:line="360" w:lineRule="auto"/>
        <w:jc w:val="both"/>
        <w:rPr>
          <w:rFonts w:ascii="Arial" w:hAnsi="Arial" w:cs="Arial"/>
          <w:bCs/>
        </w:rPr>
      </w:pPr>
      <w:r w:rsidRPr="00847234">
        <w:rPr>
          <w:rFonts w:ascii="Arial" w:hAnsi="Arial" w:cs="Arial"/>
          <w:bCs/>
        </w:rPr>
        <w:t>En mi trayectoria de casi diez años como ministro mi respuesta a esta pregunta cada vez que se me ha planteado</w:t>
      </w:r>
      <w:r w:rsidR="00F63258" w:rsidRPr="00847234">
        <w:rPr>
          <w:rFonts w:ascii="Arial" w:hAnsi="Arial" w:cs="Arial"/>
          <w:bCs/>
        </w:rPr>
        <w:t xml:space="preserve"> ha sido la misma</w:t>
      </w:r>
      <w:r w:rsidRPr="00847234">
        <w:rPr>
          <w:rFonts w:ascii="Arial" w:hAnsi="Arial" w:cs="Arial"/>
          <w:bCs/>
        </w:rPr>
        <w:t xml:space="preserve">: nuestro modelo democrático nos </w:t>
      </w:r>
      <w:r w:rsidR="00E05E51" w:rsidRPr="00847234">
        <w:rPr>
          <w:rFonts w:ascii="Arial" w:hAnsi="Arial" w:cs="Arial"/>
          <w:bCs/>
        </w:rPr>
        <w:t xml:space="preserve">impone </w:t>
      </w:r>
      <w:r w:rsidRPr="00847234">
        <w:rPr>
          <w:rFonts w:ascii="Arial" w:hAnsi="Arial" w:cs="Arial"/>
          <w:bCs/>
        </w:rPr>
        <w:t xml:space="preserve">reconocer que el legislador tiene amplias facultades de configuración para </w:t>
      </w:r>
      <w:r w:rsidR="00C87773" w:rsidRPr="00847234">
        <w:rPr>
          <w:rFonts w:ascii="Arial" w:hAnsi="Arial" w:cs="Arial"/>
          <w:bCs/>
        </w:rPr>
        <w:t xml:space="preserve">ordenar </w:t>
      </w:r>
      <w:r w:rsidR="00E05E51" w:rsidRPr="00847234">
        <w:rPr>
          <w:rFonts w:ascii="Arial" w:hAnsi="Arial" w:cs="Arial"/>
          <w:bCs/>
        </w:rPr>
        <w:t xml:space="preserve">el </w:t>
      </w:r>
      <w:r w:rsidRPr="00847234">
        <w:rPr>
          <w:rFonts w:ascii="Arial" w:hAnsi="Arial" w:cs="Arial"/>
          <w:bCs/>
        </w:rPr>
        <w:t>libre mercado, siempre y cuando no lo haga de manera arbitraria</w:t>
      </w:r>
      <w:r w:rsidR="00CA33DE" w:rsidRPr="00847234">
        <w:rPr>
          <w:rFonts w:ascii="Arial" w:hAnsi="Arial" w:cs="Arial"/>
          <w:bCs/>
        </w:rPr>
        <w:t xml:space="preserve">. </w:t>
      </w:r>
      <w:r w:rsidR="00AC7966" w:rsidRPr="00847234">
        <w:rPr>
          <w:rFonts w:ascii="Arial" w:hAnsi="Arial" w:cs="Arial"/>
          <w:bCs/>
        </w:rPr>
        <w:t>El legislador</w:t>
      </w:r>
      <w:r w:rsidR="00CA33DE" w:rsidRPr="00847234">
        <w:rPr>
          <w:rFonts w:ascii="Arial" w:hAnsi="Arial" w:cs="Arial"/>
          <w:bCs/>
        </w:rPr>
        <w:t xml:space="preserve"> no merece </w:t>
      </w:r>
      <w:r w:rsidR="003B5EAD" w:rsidRPr="00847234">
        <w:rPr>
          <w:rFonts w:ascii="Arial" w:hAnsi="Arial" w:cs="Arial"/>
          <w:bCs/>
        </w:rPr>
        <w:t>l</w:t>
      </w:r>
      <w:r w:rsidR="00CA33DE" w:rsidRPr="00847234">
        <w:rPr>
          <w:rFonts w:ascii="Arial" w:hAnsi="Arial" w:cs="Arial"/>
          <w:bCs/>
        </w:rPr>
        <w:t>a misma</w:t>
      </w:r>
      <w:r w:rsidR="003B5EAD" w:rsidRPr="00847234">
        <w:rPr>
          <w:rFonts w:ascii="Arial" w:hAnsi="Arial" w:cs="Arial"/>
          <w:bCs/>
        </w:rPr>
        <w:t xml:space="preserve"> </w:t>
      </w:r>
      <w:r w:rsidRPr="00847234">
        <w:rPr>
          <w:rFonts w:ascii="Arial" w:hAnsi="Arial" w:cs="Arial"/>
          <w:bCs/>
        </w:rPr>
        <w:t xml:space="preserve">deferencia </w:t>
      </w:r>
      <w:r w:rsidR="00CA33DE" w:rsidRPr="00847234">
        <w:rPr>
          <w:rFonts w:ascii="Arial" w:hAnsi="Arial" w:cs="Arial"/>
          <w:bCs/>
        </w:rPr>
        <w:t xml:space="preserve">cuando </w:t>
      </w:r>
      <w:r w:rsidR="006D231F" w:rsidRPr="00847234">
        <w:rPr>
          <w:rFonts w:ascii="Arial" w:hAnsi="Arial" w:cs="Arial"/>
          <w:bCs/>
        </w:rPr>
        <w:t xml:space="preserve">lidia con </w:t>
      </w:r>
      <w:r w:rsidRPr="00847234">
        <w:rPr>
          <w:rFonts w:ascii="Arial" w:hAnsi="Arial" w:cs="Arial"/>
          <w:bCs/>
        </w:rPr>
        <w:t>derechos humanos</w:t>
      </w:r>
      <w:r w:rsidR="00CA33DE" w:rsidRPr="00847234">
        <w:rPr>
          <w:rFonts w:ascii="Arial" w:hAnsi="Arial" w:cs="Arial"/>
          <w:bCs/>
        </w:rPr>
        <w:t xml:space="preserve">; en este </w:t>
      </w:r>
      <w:r w:rsidR="003B5EAD" w:rsidRPr="00847234">
        <w:rPr>
          <w:rFonts w:ascii="Arial" w:hAnsi="Arial" w:cs="Arial"/>
          <w:bCs/>
        </w:rPr>
        <w:t>caso, el</w:t>
      </w:r>
      <w:r w:rsidRPr="00847234">
        <w:rPr>
          <w:rFonts w:ascii="Arial" w:hAnsi="Arial" w:cs="Arial"/>
          <w:bCs/>
        </w:rPr>
        <w:t xml:space="preserve"> medio ambiente.</w:t>
      </w:r>
      <w:r w:rsidR="00BB4563" w:rsidRPr="00847234">
        <w:rPr>
          <w:rStyle w:val="Refdenotaalpie"/>
          <w:rFonts w:ascii="Arial" w:hAnsi="Arial" w:cs="Arial"/>
          <w:bCs/>
        </w:rPr>
        <w:footnoteReference w:id="22"/>
      </w:r>
    </w:p>
    <w:p w14:paraId="1C098CA8" w14:textId="77777777" w:rsidR="0075782F" w:rsidRPr="00847234" w:rsidRDefault="0075782F" w:rsidP="0075782F">
      <w:pPr>
        <w:spacing w:line="360" w:lineRule="auto"/>
        <w:jc w:val="both"/>
        <w:rPr>
          <w:rFonts w:ascii="Arial" w:hAnsi="Arial" w:cs="Arial"/>
          <w:bCs/>
        </w:rPr>
      </w:pPr>
    </w:p>
    <w:p w14:paraId="327EC065" w14:textId="5264E173" w:rsidR="0075782F" w:rsidRPr="00847234" w:rsidRDefault="0075782F" w:rsidP="00177D7B">
      <w:pPr>
        <w:spacing w:line="360" w:lineRule="auto"/>
        <w:jc w:val="both"/>
        <w:rPr>
          <w:rFonts w:ascii="Arial" w:hAnsi="Arial" w:cs="Arial"/>
          <w:bCs/>
        </w:rPr>
      </w:pPr>
      <w:r w:rsidRPr="00847234">
        <w:rPr>
          <w:rFonts w:ascii="Arial" w:hAnsi="Arial" w:cs="Arial"/>
          <w:bCs/>
        </w:rPr>
        <w:t xml:space="preserve">Esta conclusión </w:t>
      </w:r>
      <w:r w:rsidR="00034308" w:rsidRPr="00847234">
        <w:rPr>
          <w:rFonts w:ascii="Arial" w:hAnsi="Arial" w:cs="Arial"/>
          <w:bCs/>
        </w:rPr>
        <w:t xml:space="preserve">confirma </w:t>
      </w:r>
      <w:r w:rsidRPr="00847234">
        <w:rPr>
          <w:rFonts w:ascii="Arial" w:hAnsi="Arial" w:cs="Arial"/>
          <w:bCs/>
        </w:rPr>
        <w:t>una larga línea de precedentes</w:t>
      </w:r>
      <w:r w:rsidR="002E2B35" w:rsidRPr="00847234">
        <w:rPr>
          <w:rFonts w:ascii="Arial" w:hAnsi="Arial" w:cs="Arial"/>
          <w:bCs/>
        </w:rPr>
        <w:t xml:space="preserve">. En mucho de los cuales, he </w:t>
      </w:r>
      <w:r w:rsidR="003B5EAD" w:rsidRPr="00847234">
        <w:rPr>
          <w:rFonts w:ascii="Arial" w:hAnsi="Arial" w:cs="Arial"/>
          <w:bCs/>
        </w:rPr>
        <w:t>participado como</w:t>
      </w:r>
      <w:r w:rsidRPr="00847234">
        <w:rPr>
          <w:rFonts w:ascii="Arial" w:hAnsi="Arial" w:cs="Arial"/>
          <w:bCs/>
        </w:rPr>
        <w:t xml:space="preserve"> ponente.</w:t>
      </w:r>
      <w:r w:rsidR="00004B9C" w:rsidRPr="00847234">
        <w:rPr>
          <w:rFonts w:ascii="Arial" w:hAnsi="Arial" w:cs="Arial"/>
          <w:bCs/>
        </w:rPr>
        <w:t xml:space="preserve"> Por ejemplo,</w:t>
      </w:r>
      <w:r w:rsidRPr="00847234">
        <w:rPr>
          <w:rFonts w:ascii="Arial" w:hAnsi="Arial" w:cs="Arial"/>
          <w:bCs/>
        </w:rPr>
        <w:t xml:space="preserve"> he considerado que las garantías tributarias, contenidas en el artículo 31, fracción IV</w:t>
      </w:r>
      <w:r w:rsidR="00004B9C" w:rsidRPr="00847234">
        <w:rPr>
          <w:rFonts w:ascii="Arial" w:hAnsi="Arial" w:cs="Arial"/>
          <w:bCs/>
        </w:rPr>
        <w:t>,</w:t>
      </w:r>
      <w:r w:rsidRPr="00847234">
        <w:rPr>
          <w:rFonts w:ascii="Arial" w:hAnsi="Arial" w:cs="Arial"/>
          <w:bCs/>
        </w:rPr>
        <w:t xml:space="preserve"> de la Constitución </w:t>
      </w:r>
      <w:r w:rsidR="00172A2D" w:rsidRPr="00847234">
        <w:rPr>
          <w:rFonts w:ascii="Arial" w:hAnsi="Arial" w:cs="Arial"/>
          <w:bCs/>
        </w:rPr>
        <w:t xml:space="preserve">son modulables </w:t>
      </w:r>
      <w:r w:rsidRPr="00847234">
        <w:rPr>
          <w:rFonts w:ascii="Arial" w:hAnsi="Arial" w:cs="Arial"/>
          <w:bCs/>
        </w:rPr>
        <w:t xml:space="preserve">por el legislador con una amplia libertad configurativa </w:t>
      </w:r>
      <w:r w:rsidR="00C14664" w:rsidRPr="00847234">
        <w:rPr>
          <w:rFonts w:ascii="Arial" w:hAnsi="Arial" w:cs="Arial"/>
          <w:bCs/>
        </w:rPr>
        <w:t xml:space="preserve">sujeta esencialmente a un </w:t>
      </w:r>
      <w:r w:rsidRPr="00847234">
        <w:rPr>
          <w:rFonts w:ascii="Arial" w:hAnsi="Arial" w:cs="Arial"/>
          <w:bCs/>
        </w:rPr>
        <w:t>estándar de mera razonabilidad</w:t>
      </w:r>
      <w:r w:rsidR="00C14664" w:rsidRPr="00847234">
        <w:rPr>
          <w:rFonts w:ascii="Arial" w:hAnsi="Arial" w:cs="Arial"/>
          <w:bCs/>
        </w:rPr>
        <w:t xml:space="preserve"> -escrutinio ordinario.</w:t>
      </w:r>
      <w:r w:rsidR="00BB4563" w:rsidRPr="00847234">
        <w:rPr>
          <w:rStyle w:val="Refdenotaalpie"/>
          <w:rFonts w:ascii="Arial" w:hAnsi="Arial" w:cs="Arial"/>
          <w:bCs/>
        </w:rPr>
        <w:footnoteReference w:id="23"/>
      </w:r>
      <w:r w:rsidRPr="00847234">
        <w:rPr>
          <w:rFonts w:ascii="Arial" w:hAnsi="Arial" w:cs="Arial"/>
          <w:bCs/>
        </w:rPr>
        <w:t xml:space="preserve"> </w:t>
      </w:r>
      <w:r w:rsidR="00D25FDD" w:rsidRPr="00847234">
        <w:rPr>
          <w:rFonts w:ascii="Arial" w:hAnsi="Arial" w:cs="Arial"/>
          <w:bCs/>
        </w:rPr>
        <w:t xml:space="preserve">También </w:t>
      </w:r>
      <w:r w:rsidRPr="00847234">
        <w:rPr>
          <w:rFonts w:ascii="Arial" w:hAnsi="Arial" w:cs="Arial"/>
          <w:bCs/>
        </w:rPr>
        <w:t>he sostenido ininterrumpida</w:t>
      </w:r>
      <w:r w:rsidR="00D25FDD" w:rsidRPr="00847234">
        <w:rPr>
          <w:rFonts w:ascii="Arial" w:hAnsi="Arial" w:cs="Arial"/>
          <w:bCs/>
        </w:rPr>
        <w:t>mente</w:t>
      </w:r>
      <w:r w:rsidRPr="00847234">
        <w:rPr>
          <w:rFonts w:ascii="Arial" w:hAnsi="Arial" w:cs="Arial"/>
          <w:bCs/>
        </w:rPr>
        <w:t xml:space="preserve"> que el legislador merece deferencia </w:t>
      </w:r>
      <w:r w:rsidR="00D25FDD" w:rsidRPr="00847234">
        <w:rPr>
          <w:rFonts w:ascii="Arial" w:hAnsi="Arial" w:cs="Arial"/>
          <w:bCs/>
        </w:rPr>
        <w:t xml:space="preserve">cuando </w:t>
      </w:r>
      <w:r w:rsidR="00BC2FA7" w:rsidRPr="00847234">
        <w:rPr>
          <w:rFonts w:ascii="Arial" w:hAnsi="Arial" w:cs="Arial"/>
          <w:bCs/>
        </w:rPr>
        <w:t>interf</w:t>
      </w:r>
      <w:r w:rsidR="00447A55" w:rsidRPr="00847234">
        <w:rPr>
          <w:rFonts w:ascii="Arial" w:hAnsi="Arial" w:cs="Arial"/>
          <w:bCs/>
        </w:rPr>
        <w:t>iere con l</w:t>
      </w:r>
      <w:r w:rsidRPr="00847234">
        <w:rPr>
          <w:rFonts w:ascii="Arial" w:hAnsi="Arial" w:cs="Arial"/>
          <w:bCs/>
        </w:rPr>
        <w:t xml:space="preserve">as libertades económicas. Finalmente, he sostenido que el modelo de </w:t>
      </w:r>
      <w:r w:rsidR="004A29CB" w:rsidRPr="00847234">
        <w:rPr>
          <w:rFonts w:ascii="Arial" w:hAnsi="Arial" w:cs="Arial"/>
          <w:bCs/>
        </w:rPr>
        <w:t>Es</w:t>
      </w:r>
      <w:r w:rsidRPr="00847234">
        <w:rPr>
          <w:rFonts w:ascii="Arial" w:hAnsi="Arial" w:cs="Arial"/>
          <w:bCs/>
        </w:rPr>
        <w:t xml:space="preserve">tado </w:t>
      </w:r>
      <w:r w:rsidR="004A29CB" w:rsidRPr="00847234">
        <w:rPr>
          <w:rFonts w:ascii="Arial" w:hAnsi="Arial" w:cs="Arial"/>
          <w:bCs/>
        </w:rPr>
        <w:t>R</w:t>
      </w:r>
      <w:r w:rsidRPr="00847234">
        <w:rPr>
          <w:rFonts w:ascii="Arial" w:hAnsi="Arial" w:cs="Arial"/>
          <w:bCs/>
        </w:rPr>
        <w:t>egulador</w:t>
      </w:r>
      <w:r w:rsidR="0020570F" w:rsidRPr="00AC7966">
        <w:rPr>
          <w:rStyle w:val="Refdenotaalpie"/>
          <w:rFonts w:ascii="Arial" w:hAnsi="Arial" w:cs="Arial"/>
          <w:bCs/>
          <w:lang w:val="es-ES" w:eastAsia="es-ES"/>
        </w:rPr>
        <w:footnoteReference w:id="24"/>
      </w:r>
      <w:r w:rsidR="0020570F" w:rsidRPr="00847234">
        <w:rPr>
          <w:rFonts w:ascii="Arial" w:hAnsi="Arial" w:cs="Arial"/>
          <w:bCs/>
          <w:lang w:val="es-ES" w:eastAsia="es-ES"/>
        </w:rPr>
        <w:t xml:space="preserve"> </w:t>
      </w:r>
      <w:r w:rsidRPr="00847234">
        <w:rPr>
          <w:rFonts w:ascii="Arial" w:hAnsi="Arial" w:cs="Arial"/>
          <w:bCs/>
        </w:rPr>
        <w:t xml:space="preserve"> distribu</w:t>
      </w:r>
      <w:r w:rsidR="006A6BDC" w:rsidRPr="00847234">
        <w:rPr>
          <w:rFonts w:ascii="Arial" w:hAnsi="Arial" w:cs="Arial"/>
          <w:bCs/>
        </w:rPr>
        <w:t xml:space="preserve">ye </w:t>
      </w:r>
      <w:r w:rsidRPr="00847234">
        <w:rPr>
          <w:rFonts w:ascii="Arial" w:hAnsi="Arial" w:cs="Arial"/>
          <w:bCs/>
        </w:rPr>
        <w:t xml:space="preserve">esa deferencia entre los órganos reguladores y el legislador: </w:t>
      </w:r>
      <w:r w:rsidR="006A6BDC" w:rsidRPr="00847234">
        <w:rPr>
          <w:rFonts w:ascii="Arial" w:hAnsi="Arial" w:cs="Arial"/>
          <w:bCs/>
        </w:rPr>
        <w:t xml:space="preserve">el segundo la </w:t>
      </w:r>
      <w:r w:rsidRPr="00847234">
        <w:rPr>
          <w:rFonts w:ascii="Arial" w:hAnsi="Arial" w:cs="Arial"/>
          <w:bCs/>
        </w:rPr>
        <w:t xml:space="preserve">tiene para </w:t>
      </w:r>
      <w:r w:rsidR="006A6BDC" w:rsidRPr="00847234">
        <w:rPr>
          <w:rFonts w:ascii="Arial" w:hAnsi="Arial" w:cs="Arial"/>
          <w:bCs/>
        </w:rPr>
        <w:t xml:space="preserve">organizar </w:t>
      </w:r>
      <w:r w:rsidRPr="00847234">
        <w:rPr>
          <w:rFonts w:ascii="Arial" w:hAnsi="Arial" w:cs="Arial"/>
          <w:bCs/>
        </w:rPr>
        <w:t>la estructura de mercado</w:t>
      </w:r>
      <w:r w:rsidR="006A6BDC" w:rsidRPr="00847234">
        <w:rPr>
          <w:rFonts w:ascii="Arial" w:hAnsi="Arial" w:cs="Arial"/>
          <w:bCs/>
        </w:rPr>
        <w:t>; los primeros para</w:t>
      </w:r>
      <w:r w:rsidR="00606F2E" w:rsidRPr="00847234">
        <w:rPr>
          <w:rFonts w:ascii="Arial" w:hAnsi="Arial" w:cs="Arial"/>
          <w:bCs/>
        </w:rPr>
        <w:t xml:space="preserve"> </w:t>
      </w:r>
      <w:r w:rsidRPr="00847234">
        <w:rPr>
          <w:rFonts w:ascii="Arial" w:hAnsi="Arial" w:cs="Arial"/>
          <w:bCs/>
        </w:rPr>
        <w:t>regular cuestiones técnicas.</w:t>
      </w:r>
      <w:r w:rsidR="00BB4563" w:rsidRPr="00847234">
        <w:rPr>
          <w:rStyle w:val="Refdenotaalpie"/>
          <w:rFonts w:ascii="Arial" w:hAnsi="Arial" w:cs="Arial"/>
          <w:bCs/>
        </w:rPr>
        <w:footnoteReference w:id="25"/>
      </w:r>
      <w:r w:rsidRPr="00847234">
        <w:rPr>
          <w:rFonts w:ascii="Arial" w:hAnsi="Arial" w:cs="Arial"/>
          <w:bCs/>
        </w:rPr>
        <w:t xml:space="preserve"> Todos estos pronunciamientos </w:t>
      </w:r>
      <w:r w:rsidR="004218A1" w:rsidRPr="00847234">
        <w:rPr>
          <w:rFonts w:ascii="Arial" w:hAnsi="Arial" w:cs="Arial"/>
          <w:bCs/>
        </w:rPr>
        <w:t xml:space="preserve">surgen </w:t>
      </w:r>
      <w:r w:rsidR="00A463E5" w:rsidRPr="00847234">
        <w:rPr>
          <w:rFonts w:ascii="Arial" w:hAnsi="Arial" w:cs="Arial"/>
          <w:bCs/>
        </w:rPr>
        <w:t>de una</w:t>
      </w:r>
      <w:r w:rsidRPr="00847234">
        <w:rPr>
          <w:rFonts w:ascii="Arial" w:hAnsi="Arial" w:cs="Arial"/>
          <w:bCs/>
        </w:rPr>
        <w:t xml:space="preserve"> misma filosofía constitucional: en ausencia de una regla </w:t>
      </w:r>
      <w:r w:rsidR="00606F2E" w:rsidRPr="00847234">
        <w:rPr>
          <w:rFonts w:ascii="Arial" w:hAnsi="Arial" w:cs="Arial"/>
          <w:bCs/>
        </w:rPr>
        <w:t xml:space="preserve">precisa, </w:t>
      </w:r>
      <w:r w:rsidRPr="00847234">
        <w:rPr>
          <w:rFonts w:ascii="Arial" w:hAnsi="Arial" w:cs="Arial"/>
          <w:bCs/>
        </w:rPr>
        <w:t xml:space="preserve">un tribunal constitucional </w:t>
      </w:r>
      <w:r w:rsidR="00606F2E" w:rsidRPr="00847234">
        <w:rPr>
          <w:rFonts w:ascii="Arial" w:hAnsi="Arial" w:cs="Arial"/>
          <w:bCs/>
        </w:rPr>
        <w:t xml:space="preserve">será respetuoso de la capacidad de </w:t>
      </w:r>
      <w:r w:rsidR="00CC1A8A" w:rsidRPr="00847234">
        <w:rPr>
          <w:rFonts w:ascii="Arial" w:hAnsi="Arial" w:cs="Arial"/>
          <w:bCs/>
        </w:rPr>
        <w:t>los procesos</w:t>
      </w:r>
      <w:r w:rsidRPr="00847234">
        <w:rPr>
          <w:rFonts w:ascii="Arial" w:hAnsi="Arial" w:cs="Arial"/>
          <w:bCs/>
        </w:rPr>
        <w:t xml:space="preserve"> democráticos para decidir el modelo de mercado que prefiera</w:t>
      </w:r>
      <w:r w:rsidR="00255036" w:rsidRPr="00847234">
        <w:rPr>
          <w:rFonts w:ascii="Arial" w:hAnsi="Arial" w:cs="Arial"/>
          <w:bCs/>
        </w:rPr>
        <w:t>n</w:t>
      </w:r>
      <w:r w:rsidR="00CC1A8A" w:rsidRPr="00847234">
        <w:rPr>
          <w:rFonts w:ascii="Arial" w:hAnsi="Arial" w:cs="Arial"/>
          <w:bCs/>
        </w:rPr>
        <w:t xml:space="preserve">; el tribunal constitucional </w:t>
      </w:r>
      <w:r w:rsidRPr="00847234">
        <w:rPr>
          <w:rFonts w:ascii="Arial" w:hAnsi="Arial" w:cs="Arial"/>
          <w:bCs/>
        </w:rPr>
        <w:t xml:space="preserve">sólo </w:t>
      </w:r>
      <w:r w:rsidR="00CC1A8A" w:rsidRPr="00847234">
        <w:rPr>
          <w:rFonts w:ascii="Arial" w:hAnsi="Arial" w:cs="Arial"/>
          <w:bCs/>
        </w:rPr>
        <w:t xml:space="preserve">intervendrá </w:t>
      </w:r>
      <w:r w:rsidRPr="00847234">
        <w:rPr>
          <w:rFonts w:ascii="Arial" w:hAnsi="Arial" w:cs="Arial"/>
          <w:bCs/>
        </w:rPr>
        <w:t xml:space="preserve">cuando el legislador </w:t>
      </w:r>
      <w:r w:rsidR="00CC1A8A" w:rsidRPr="00847234">
        <w:rPr>
          <w:rFonts w:ascii="Arial" w:hAnsi="Arial" w:cs="Arial"/>
          <w:bCs/>
        </w:rPr>
        <w:t xml:space="preserve">incumpla </w:t>
      </w:r>
      <w:r w:rsidRPr="00847234">
        <w:rPr>
          <w:rFonts w:ascii="Arial" w:hAnsi="Arial" w:cs="Arial"/>
          <w:bCs/>
        </w:rPr>
        <w:t>con un mínimo de razonabilidad.</w:t>
      </w:r>
      <w:r w:rsidR="00EB7D4B" w:rsidRPr="00847234">
        <w:rPr>
          <w:rFonts w:ascii="Arial" w:hAnsi="Arial" w:cs="Arial"/>
          <w:bCs/>
        </w:rPr>
        <w:t xml:space="preserve"> </w:t>
      </w:r>
      <w:r w:rsidRPr="00847234">
        <w:rPr>
          <w:rFonts w:ascii="Arial" w:hAnsi="Arial" w:cs="Arial"/>
          <w:bCs/>
        </w:rPr>
        <w:t xml:space="preserve">Esta posición no fue construida el día de hoy; la he </w:t>
      </w:r>
      <w:r w:rsidR="00CC1A8A" w:rsidRPr="00847234">
        <w:rPr>
          <w:rFonts w:ascii="Arial" w:hAnsi="Arial" w:cs="Arial"/>
          <w:bCs/>
        </w:rPr>
        <w:t xml:space="preserve">adoptado </w:t>
      </w:r>
      <w:r w:rsidRPr="00847234">
        <w:rPr>
          <w:rFonts w:ascii="Arial" w:hAnsi="Arial" w:cs="Arial"/>
          <w:bCs/>
        </w:rPr>
        <w:t>en diversas ocasiones y</w:t>
      </w:r>
      <w:r w:rsidR="008E02F8" w:rsidRPr="00847234">
        <w:rPr>
          <w:rFonts w:ascii="Arial" w:hAnsi="Arial" w:cs="Arial"/>
          <w:bCs/>
        </w:rPr>
        <w:t xml:space="preserve"> </w:t>
      </w:r>
      <w:r w:rsidRPr="00847234">
        <w:rPr>
          <w:rFonts w:ascii="Arial" w:hAnsi="Arial" w:cs="Arial"/>
          <w:bCs/>
        </w:rPr>
        <w:t xml:space="preserve">cuando he sido ponente </w:t>
      </w:r>
      <w:r w:rsidR="00BF1760" w:rsidRPr="00847234">
        <w:rPr>
          <w:rFonts w:ascii="Arial" w:hAnsi="Arial" w:cs="Arial"/>
          <w:bCs/>
        </w:rPr>
        <w:t xml:space="preserve">en </w:t>
      </w:r>
      <w:r w:rsidRPr="00847234">
        <w:rPr>
          <w:rFonts w:ascii="Arial" w:hAnsi="Arial" w:cs="Arial"/>
          <w:bCs/>
        </w:rPr>
        <w:t xml:space="preserve">casos en los cuales este criterio ha sido </w:t>
      </w:r>
      <w:r w:rsidR="00392605" w:rsidRPr="00847234">
        <w:rPr>
          <w:rFonts w:ascii="Arial" w:hAnsi="Arial" w:cs="Arial"/>
          <w:bCs/>
        </w:rPr>
        <w:t xml:space="preserve">indispensable </w:t>
      </w:r>
      <w:r w:rsidRPr="00847234">
        <w:rPr>
          <w:rFonts w:ascii="Arial" w:hAnsi="Arial" w:cs="Arial"/>
          <w:bCs/>
        </w:rPr>
        <w:t xml:space="preserve">para dar una solución, lo he puesto a consideración de los integrantes de esta Suprema Corte. </w:t>
      </w:r>
      <w:r w:rsidR="004B00F5" w:rsidRPr="00847234">
        <w:rPr>
          <w:rFonts w:ascii="Arial" w:hAnsi="Arial" w:cs="Arial"/>
          <w:bCs/>
        </w:rPr>
        <w:t>Entre otros casos donde esta postura es patente, cito</w:t>
      </w:r>
      <w:r w:rsidR="00177D7B" w:rsidRPr="00847234">
        <w:rPr>
          <w:rFonts w:ascii="Arial" w:hAnsi="Arial" w:cs="Arial"/>
          <w:bCs/>
        </w:rPr>
        <w:t>:</w:t>
      </w:r>
      <w:r w:rsidR="004B00F5" w:rsidRPr="00847234">
        <w:rPr>
          <w:rFonts w:ascii="Arial" w:hAnsi="Arial" w:cs="Arial"/>
          <w:bCs/>
        </w:rPr>
        <w:t xml:space="preserve"> </w:t>
      </w:r>
    </w:p>
    <w:p w14:paraId="43A7B6C3" w14:textId="77777777" w:rsidR="0075782F" w:rsidRPr="00847234" w:rsidRDefault="0075782F" w:rsidP="0075782F">
      <w:pPr>
        <w:spacing w:line="360" w:lineRule="auto"/>
        <w:jc w:val="both"/>
        <w:rPr>
          <w:rFonts w:ascii="Arial" w:hAnsi="Arial" w:cs="Arial"/>
          <w:bCs/>
        </w:rPr>
      </w:pPr>
    </w:p>
    <w:p w14:paraId="141B290A" w14:textId="2464A590" w:rsidR="0075782F" w:rsidRPr="00847234" w:rsidRDefault="0075782F" w:rsidP="0075782F">
      <w:pPr>
        <w:spacing w:line="360" w:lineRule="auto"/>
        <w:jc w:val="both"/>
        <w:rPr>
          <w:rFonts w:ascii="Arial" w:hAnsi="Arial" w:cs="Arial"/>
          <w:bCs/>
        </w:rPr>
      </w:pPr>
      <w:r w:rsidRPr="00847234">
        <w:rPr>
          <w:rFonts w:ascii="Arial" w:hAnsi="Arial" w:cs="Arial"/>
          <w:bCs/>
        </w:rPr>
        <w:t>“LIBERTADES ECONÓMICAS. LAS INTERFERENCIAS A ESTAS LIBERTADES SE CONTROLAN MEDIANTE EL ESCRUTINIO ORDINARIO Y NO POR UN TEST DE PROPORCIONALIDAD O ESCRUTINIO ESTRICTO.”</w:t>
      </w:r>
      <w:r w:rsidRPr="00847234">
        <w:rPr>
          <w:rStyle w:val="Refdenotaalpie"/>
          <w:rFonts w:ascii="Arial" w:hAnsi="Arial" w:cs="Arial"/>
          <w:bCs/>
        </w:rPr>
        <w:footnoteReference w:id="26"/>
      </w:r>
    </w:p>
    <w:p w14:paraId="71022212" w14:textId="77777777" w:rsidR="0075782F" w:rsidRPr="00847234" w:rsidRDefault="0075782F" w:rsidP="0075782F">
      <w:pPr>
        <w:spacing w:line="360" w:lineRule="auto"/>
        <w:jc w:val="both"/>
        <w:rPr>
          <w:rFonts w:ascii="Arial" w:hAnsi="Arial" w:cs="Arial"/>
          <w:bCs/>
        </w:rPr>
      </w:pPr>
    </w:p>
    <w:p w14:paraId="13CA1F10" w14:textId="1A6AF521" w:rsidR="0075782F" w:rsidRPr="00847234" w:rsidRDefault="0075782F" w:rsidP="0075782F">
      <w:pPr>
        <w:spacing w:line="360" w:lineRule="auto"/>
        <w:jc w:val="both"/>
        <w:rPr>
          <w:rFonts w:ascii="Arial" w:hAnsi="Arial" w:cs="Arial"/>
          <w:bCs/>
          <w:lang w:val="es-ES_tradnl"/>
        </w:rPr>
      </w:pPr>
      <w:r w:rsidRPr="00847234">
        <w:rPr>
          <w:rFonts w:ascii="Arial" w:hAnsi="Arial" w:cs="Arial"/>
          <w:bCs/>
          <w:lang w:val="es-ES_tradnl"/>
        </w:rPr>
        <w:t xml:space="preserve">En contraste, siempre he </w:t>
      </w:r>
      <w:r w:rsidR="00E321AB" w:rsidRPr="00847234">
        <w:rPr>
          <w:rFonts w:ascii="Arial" w:hAnsi="Arial" w:cs="Arial"/>
          <w:bCs/>
          <w:lang w:val="es-ES_tradnl"/>
        </w:rPr>
        <w:t xml:space="preserve">afirmado </w:t>
      </w:r>
      <w:r w:rsidRPr="00847234">
        <w:rPr>
          <w:rFonts w:ascii="Arial" w:hAnsi="Arial" w:cs="Arial"/>
          <w:bCs/>
          <w:lang w:val="es-ES_tradnl"/>
        </w:rPr>
        <w:t>que el medio ambiente es un derecho humano</w:t>
      </w:r>
      <w:r w:rsidR="006D541F" w:rsidRPr="00847234">
        <w:rPr>
          <w:rFonts w:ascii="Arial" w:hAnsi="Arial" w:cs="Arial"/>
          <w:bCs/>
          <w:lang w:val="es-ES_tradnl"/>
        </w:rPr>
        <w:t xml:space="preserve">. Por ello, </w:t>
      </w:r>
      <w:r w:rsidRPr="00847234">
        <w:rPr>
          <w:rFonts w:ascii="Arial" w:hAnsi="Arial" w:cs="Arial"/>
          <w:bCs/>
          <w:lang w:val="es-ES_tradnl"/>
        </w:rPr>
        <w:t xml:space="preserve">sólo las autoridades técnicas y especializadas </w:t>
      </w:r>
      <w:r w:rsidR="006D541F" w:rsidRPr="00847234">
        <w:rPr>
          <w:rFonts w:ascii="Arial" w:hAnsi="Arial" w:cs="Arial"/>
          <w:bCs/>
          <w:lang w:val="es-ES_tradnl"/>
        </w:rPr>
        <w:t>tendrán deferencia para regularlo.</w:t>
      </w:r>
      <w:r w:rsidR="004104DC" w:rsidRPr="00847234">
        <w:rPr>
          <w:rFonts w:ascii="Arial" w:hAnsi="Arial" w:cs="Arial"/>
          <w:bCs/>
          <w:lang w:val="es-ES_tradnl"/>
        </w:rPr>
        <w:t xml:space="preserve"> Pero si son las autoridades ejecutivas quienes deciden restringir su contenido al margen de algún procedimiento en el cual se apliquen conocimientos técnicos y especializados, el estándar se vuelve </w:t>
      </w:r>
      <w:r w:rsidR="00E64010" w:rsidRPr="00847234">
        <w:rPr>
          <w:rFonts w:ascii="Arial" w:hAnsi="Arial" w:cs="Arial"/>
          <w:bCs/>
          <w:lang w:val="es-ES_tradnl"/>
        </w:rPr>
        <w:t>estricto, tal</w:t>
      </w:r>
      <w:r w:rsidR="00985253" w:rsidRPr="00847234">
        <w:rPr>
          <w:rFonts w:ascii="Arial" w:hAnsi="Arial" w:cs="Arial"/>
          <w:bCs/>
          <w:lang w:val="es-ES_tradnl"/>
        </w:rPr>
        <w:t xml:space="preserve"> como resolviera</w:t>
      </w:r>
      <w:r w:rsidR="000A1432" w:rsidRPr="00847234">
        <w:rPr>
          <w:rFonts w:ascii="Arial" w:hAnsi="Arial" w:cs="Arial"/>
          <w:bCs/>
          <w:lang w:val="es-ES_tradnl"/>
        </w:rPr>
        <w:t xml:space="preserve"> </w:t>
      </w:r>
      <w:r w:rsidR="006A41A7" w:rsidRPr="00847234">
        <w:rPr>
          <w:rFonts w:ascii="Arial" w:hAnsi="Arial" w:cs="Arial"/>
          <w:bCs/>
          <w:lang w:val="es-ES_tradnl"/>
        </w:rPr>
        <w:t>la Primera</w:t>
      </w:r>
      <w:r w:rsidRPr="00847234">
        <w:rPr>
          <w:rFonts w:ascii="Arial" w:hAnsi="Arial" w:cs="Arial"/>
          <w:bCs/>
          <w:lang w:val="es-ES_tradnl"/>
        </w:rPr>
        <w:t xml:space="preserve"> Sala</w:t>
      </w:r>
      <w:r w:rsidR="00A730B2" w:rsidRPr="00847234">
        <w:rPr>
          <w:rFonts w:ascii="Arial" w:hAnsi="Arial" w:cs="Arial"/>
          <w:bCs/>
          <w:lang w:val="es-ES_tradnl"/>
        </w:rPr>
        <w:t xml:space="preserve"> en una tesis</w:t>
      </w:r>
      <w:r w:rsidR="00222C95" w:rsidRPr="00847234">
        <w:rPr>
          <w:rFonts w:ascii="Arial" w:hAnsi="Arial" w:cs="Arial"/>
          <w:bCs/>
          <w:lang w:val="es-ES_tradnl"/>
        </w:rPr>
        <w:t>,</w:t>
      </w:r>
      <w:r w:rsidRPr="00847234">
        <w:rPr>
          <w:rFonts w:ascii="Arial" w:hAnsi="Arial" w:cs="Arial"/>
          <w:bCs/>
          <w:lang w:val="es-ES_tradnl"/>
        </w:rPr>
        <w:t xml:space="preserve"> </w:t>
      </w:r>
      <w:r w:rsidR="00A730B2" w:rsidRPr="00847234">
        <w:rPr>
          <w:rFonts w:ascii="Arial" w:hAnsi="Arial" w:cs="Arial"/>
          <w:bCs/>
          <w:lang w:val="es-ES_tradnl"/>
        </w:rPr>
        <w:t xml:space="preserve">publicada </w:t>
      </w:r>
      <w:r w:rsidRPr="00847234">
        <w:rPr>
          <w:rFonts w:ascii="Arial" w:hAnsi="Arial" w:cs="Arial"/>
          <w:bCs/>
          <w:lang w:val="es-ES_tradnl"/>
        </w:rPr>
        <w:t xml:space="preserve">el 20 de agosto de </w:t>
      </w:r>
      <w:r w:rsidR="006A41A7" w:rsidRPr="00847234">
        <w:rPr>
          <w:rFonts w:ascii="Arial" w:hAnsi="Arial" w:cs="Arial"/>
          <w:bCs/>
          <w:lang w:val="es-ES_tradnl"/>
        </w:rPr>
        <w:t>2021, derivada</w:t>
      </w:r>
      <w:r w:rsidR="00A730B2" w:rsidRPr="00847234">
        <w:rPr>
          <w:rFonts w:ascii="Arial" w:hAnsi="Arial" w:cs="Arial"/>
          <w:bCs/>
          <w:lang w:val="es-ES_tradnl"/>
        </w:rPr>
        <w:t xml:space="preserve"> de un asunto del que fui ponente: </w:t>
      </w:r>
    </w:p>
    <w:p w14:paraId="4C166F78" w14:textId="77777777" w:rsidR="0075782F" w:rsidRPr="00847234" w:rsidRDefault="0075782F" w:rsidP="0075782F">
      <w:pPr>
        <w:spacing w:line="360" w:lineRule="auto"/>
        <w:jc w:val="both"/>
        <w:rPr>
          <w:rFonts w:ascii="Arial" w:hAnsi="Arial" w:cs="Arial"/>
          <w:bCs/>
          <w:lang w:val="es-ES_tradnl"/>
        </w:rPr>
      </w:pPr>
    </w:p>
    <w:p w14:paraId="13BF3373" w14:textId="77CDA812" w:rsidR="0075782F" w:rsidRPr="00847234" w:rsidRDefault="0075782F" w:rsidP="0075782F">
      <w:pPr>
        <w:spacing w:line="360" w:lineRule="auto"/>
        <w:jc w:val="both"/>
        <w:rPr>
          <w:rFonts w:ascii="Arial" w:hAnsi="Arial" w:cs="Arial"/>
          <w:bCs/>
          <w:lang w:val="es-ES_tradnl"/>
        </w:rPr>
      </w:pPr>
      <w:r w:rsidRPr="00847234">
        <w:rPr>
          <w:rFonts w:ascii="Arial" w:hAnsi="Arial" w:cs="Arial"/>
          <w:bCs/>
          <w:lang w:val="es-ES_tradnl"/>
        </w:rPr>
        <w:t>“el estándar será más exigente, pudiendo llegar a ser aplicable un escrutinio estricto si las medidas contenidas son totalmente indiferentes al impacto medio ambiental.”</w:t>
      </w:r>
      <w:r w:rsidRPr="00847234">
        <w:rPr>
          <w:rStyle w:val="Refdenotaalpie"/>
          <w:rFonts w:ascii="Arial" w:hAnsi="Arial" w:cs="Arial"/>
          <w:bCs/>
          <w:lang w:val="es-ES_tradnl"/>
        </w:rPr>
        <w:footnoteReference w:id="27"/>
      </w:r>
    </w:p>
    <w:p w14:paraId="27B5B520" w14:textId="77777777" w:rsidR="00520557" w:rsidRPr="00847234" w:rsidRDefault="00520557" w:rsidP="0075782F">
      <w:pPr>
        <w:spacing w:line="360" w:lineRule="auto"/>
        <w:jc w:val="both"/>
        <w:rPr>
          <w:rFonts w:ascii="Arial" w:hAnsi="Arial" w:cs="Arial"/>
          <w:bCs/>
          <w:lang w:val="es-ES_tradnl"/>
        </w:rPr>
      </w:pPr>
    </w:p>
    <w:p w14:paraId="2E6B57E4" w14:textId="57A29FB8" w:rsidR="00C30A55" w:rsidRPr="00847234" w:rsidRDefault="005703E7" w:rsidP="0009296E">
      <w:pPr>
        <w:spacing w:line="360" w:lineRule="auto"/>
        <w:jc w:val="both"/>
        <w:rPr>
          <w:rFonts w:ascii="Arial" w:hAnsi="Arial" w:cs="Arial"/>
          <w:bCs/>
          <w:lang w:val="es-ES_tradnl"/>
        </w:rPr>
      </w:pPr>
      <w:r w:rsidRPr="00AC7966">
        <w:rPr>
          <w:rFonts w:ascii="Arial" w:hAnsi="Arial" w:cs="Arial"/>
          <w:bCs/>
          <w:lang w:val="es-ES_tradnl"/>
        </w:rPr>
        <w:t xml:space="preserve">Entonces, si bien </w:t>
      </w:r>
      <w:r w:rsidR="00797EA7" w:rsidRPr="00AC7966">
        <w:rPr>
          <w:rFonts w:ascii="Arial" w:hAnsi="Arial" w:cs="Arial"/>
          <w:bCs/>
          <w:lang w:val="es-ES_tradnl"/>
        </w:rPr>
        <w:t>el principio</w:t>
      </w:r>
      <w:r w:rsidR="00525386" w:rsidRPr="00AC7966">
        <w:rPr>
          <w:rFonts w:ascii="Arial" w:hAnsi="Arial" w:cs="Arial"/>
          <w:bCs/>
          <w:lang w:val="es-ES_tradnl"/>
        </w:rPr>
        <w:t xml:space="preserve"> de libre </w:t>
      </w:r>
      <w:r w:rsidR="00666DD5" w:rsidRPr="00AC7966">
        <w:rPr>
          <w:rFonts w:ascii="Arial" w:hAnsi="Arial" w:cs="Arial"/>
          <w:bCs/>
          <w:lang w:val="es-ES_tradnl"/>
        </w:rPr>
        <w:t>competencia</w:t>
      </w:r>
      <w:r w:rsidR="00525386" w:rsidRPr="00AC7966">
        <w:rPr>
          <w:rFonts w:ascii="Arial" w:hAnsi="Arial" w:cs="Arial"/>
          <w:bCs/>
          <w:lang w:val="es-ES_tradnl"/>
        </w:rPr>
        <w:t xml:space="preserve"> debe maxim</w:t>
      </w:r>
      <w:r w:rsidR="00797EA7" w:rsidRPr="00AC7966">
        <w:rPr>
          <w:rFonts w:ascii="Arial" w:hAnsi="Arial" w:cs="Arial"/>
          <w:bCs/>
          <w:lang w:val="es-ES_tradnl"/>
        </w:rPr>
        <w:t>iz</w:t>
      </w:r>
      <w:r w:rsidR="00525386" w:rsidRPr="00AC7966">
        <w:rPr>
          <w:rFonts w:ascii="Arial" w:hAnsi="Arial" w:cs="Arial"/>
          <w:bCs/>
          <w:lang w:val="es-ES_tradnl"/>
        </w:rPr>
        <w:t>arse</w:t>
      </w:r>
      <w:r w:rsidRPr="00AC7966">
        <w:rPr>
          <w:rFonts w:ascii="Arial" w:hAnsi="Arial" w:cs="Arial"/>
          <w:bCs/>
          <w:lang w:val="es-ES_tradnl"/>
        </w:rPr>
        <w:t xml:space="preserve"> </w:t>
      </w:r>
      <w:r w:rsidR="00FE10D3" w:rsidRPr="00AC7966">
        <w:rPr>
          <w:rFonts w:ascii="Arial" w:hAnsi="Arial" w:cs="Arial"/>
          <w:bCs/>
          <w:lang w:val="es-ES_tradnl"/>
        </w:rPr>
        <w:t xml:space="preserve">y, en consecuencia, </w:t>
      </w:r>
      <w:r w:rsidRPr="00AC7966">
        <w:rPr>
          <w:rFonts w:ascii="Arial" w:hAnsi="Arial" w:cs="Arial"/>
          <w:bCs/>
          <w:lang w:val="es-ES_tradnl"/>
        </w:rPr>
        <w:t xml:space="preserve">las decisiones de los poderes públicos deben fomentar mercados libres, en tanto </w:t>
      </w:r>
      <w:r w:rsidR="00686A6C" w:rsidRPr="00AC7966">
        <w:rPr>
          <w:rFonts w:ascii="Arial" w:hAnsi="Arial" w:cs="Arial"/>
          <w:bCs/>
          <w:lang w:val="es-ES_tradnl"/>
        </w:rPr>
        <w:t>principio y no derecho humano</w:t>
      </w:r>
      <w:r w:rsidR="00FE10D3" w:rsidRPr="00AC7966">
        <w:rPr>
          <w:rFonts w:ascii="Arial" w:hAnsi="Arial" w:cs="Arial"/>
          <w:bCs/>
          <w:lang w:val="es-ES_tradnl"/>
        </w:rPr>
        <w:t xml:space="preserve"> la s</w:t>
      </w:r>
      <w:r w:rsidR="00747C49" w:rsidRPr="00AC7966">
        <w:rPr>
          <w:rFonts w:ascii="Arial" w:hAnsi="Arial" w:cs="Arial"/>
          <w:bCs/>
          <w:lang w:val="es-ES_tradnl"/>
        </w:rPr>
        <w:t xml:space="preserve">upervisión de </w:t>
      </w:r>
      <w:r w:rsidR="00AD6056" w:rsidRPr="00AC7966">
        <w:rPr>
          <w:rFonts w:ascii="Arial" w:hAnsi="Arial" w:cs="Arial"/>
          <w:bCs/>
          <w:lang w:val="es-ES_tradnl"/>
        </w:rPr>
        <w:t xml:space="preserve">esas decisiones por las cortes debe someterse a escrutinio ordinario </w:t>
      </w:r>
      <w:r w:rsidR="00797EA7" w:rsidRPr="00AC7966">
        <w:rPr>
          <w:rFonts w:ascii="Arial" w:hAnsi="Arial" w:cs="Arial"/>
          <w:bCs/>
          <w:lang w:val="es-ES_tradnl"/>
        </w:rPr>
        <w:t>con el</w:t>
      </w:r>
      <w:r w:rsidR="00AD6056" w:rsidRPr="00AC7966">
        <w:rPr>
          <w:rFonts w:ascii="Arial" w:hAnsi="Arial" w:cs="Arial"/>
          <w:bCs/>
          <w:lang w:val="es-ES_tradnl"/>
        </w:rPr>
        <w:t xml:space="preserve"> </w:t>
      </w:r>
      <w:r w:rsidR="00797EA7" w:rsidRPr="00AC7966">
        <w:rPr>
          <w:rFonts w:ascii="Arial" w:hAnsi="Arial" w:cs="Arial"/>
          <w:bCs/>
          <w:lang w:val="es-ES_tradnl"/>
        </w:rPr>
        <w:t>fin</w:t>
      </w:r>
      <w:r w:rsidR="00AD6056" w:rsidRPr="00AC7966">
        <w:rPr>
          <w:rFonts w:ascii="Arial" w:hAnsi="Arial" w:cs="Arial"/>
          <w:bCs/>
          <w:lang w:val="es-ES_tradnl"/>
        </w:rPr>
        <w:t xml:space="preserve"> de garantizar regulaciones adecuadas </w:t>
      </w:r>
      <w:r w:rsidR="00B254B2" w:rsidRPr="00AC7966">
        <w:rPr>
          <w:rFonts w:ascii="Arial" w:hAnsi="Arial" w:cs="Arial"/>
          <w:bCs/>
          <w:lang w:val="es-ES_tradnl"/>
        </w:rPr>
        <w:t>tanto a la naturaleza de los mercados como a su funcionamiento en determinado contexto espacial y temporal</w:t>
      </w:r>
      <w:r w:rsidR="00F53A25" w:rsidRPr="00AC7966">
        <w:rPr>
          <w:rFonts w:ascii="Arial" w:hAnsi="Arial" w:cs="Arial"/>
          <w:bCs/>
          <w:lang w:val="es-ES_tradnl"/>
        </w:rPr>
        <w:t xml:space="preserve">. Frente a estas decisiones, el papel del tribunal </w:t>
      </w:r>
      <w:r w:rsidR="00797EA7" w:rsidRPr="00AC7966">
        <w:rPr>
          <w:rFonts w:ascii="Arial" w:hAnsi="Arial" w:cs="Arial"/>
          <w:bCs/>
          <w:lang w:val="es-ES_tradnl"/>
        </w:rPr>
        <w:t>constitucional</w:t>
      </w:r>
      <w:r w:rsidR="00F53A25" w:rsidRPr="00AC7966">
        <w:rPr>
          <w:rFonts w:ascii="Arial" w:hAnsi="Arial" w:cs="Arial"/>
          <w:bCs/>
          <w:lang w:val="es-ES_tradnl"/>
        </w:rPr>
        <w:t xml:space="preserve"> es dejar que el legislador ordinario </w:t>
      </w:r>
      <w:r w:rsidR="00F53A25" w:rsidRPr="00AC7966">
        <w:rPr>
          <w:rFonts w:ascii="Arial" w:hAnsi="Arial" w:cs="Arial"/>
          <w:bCs/>
          <w:i/>
          <w:iCs/>
          <w:lang w:val="es-ES_tradnl"/>
        </w:rPr>
        <w:t>se entienda</w:t>
      </w:r>
      <w:r w:rsidR="00F53A25" w:rsidRPr="00AC7966">
        <w:rPr>
          <w:rFonts w:ascii="Arial" w:hAnsi="Arial" w:cs="Arial"/>
          <w:bCs/>
          <w:lang w:val="es-ES_tradnl"/>
        </w:rPr>
        <w:t xml:space="preserve"> con el mercado</w:t>
      </w:r>
      <w:r w:rsidR="00797EA7" w:rsidRPr="00AC7966">
        <w:rPr>
          <w:rFonts w:ascii="Arial" w:hAnsi="Arial" w:cs="Arial"/>
          <w:bCs/>
          <w:lang w:val="es-ES_tradnl"/>
        </w:rPr>
        <w:t xml:space="preserve"> </w:t>
      </w:r>
      <w:r w:rsidR="00666DD5" w:rsidRPr="00AC7966">
        <w:rPr>
          <w:rFonts w:ascii="Arial" w:hAnsi="Arial" w:cs="Arial"/>
          <w:bCs/>
          <w:lang w:val="es-ES_tradnl"/>
        </w:rPr>
        <w:t>ejerciendo su legitimidad democrática con prudencia y racionalidad.</w:t>
      </w:r>
      <w:r w:rsidR="004013F2" w:rsidRPr="00847234">
        <w:rPr>
          <w:rFonts w:ascii="Arial" w:hAnsi="Arial" w:cs="Arial"/>
          <w:bCs/>
          <w:lang w:val="es-ES_tradnl"/>
        </w:rPr>
        <w:t xml:space="preserve"> </w:t>
      </w:r>
    </w:p>
    <w:p w14:paraId="0E4A0C55" w14:textId="77777777" w:rsidR="00C30A55" w:rsidRPr="00847234" w:rsidRDefault="00C30A55" w:rsidP="0009296E">
      <w:pPr>
        <w:spacing w:line="360" w:lineRule="auto"/>
        <w:jc w:val="both"/>
        <w:rPr>
          <w:rFonts w:ascii="Arial" w:hAnsi="Arial" w:cs="Arial"/>
          <w:bCs/>
          <w:lang w:val="es-ES_tradnl"/>
        </w:rPr>
      </w:pPr>
    </w:p>
    <w:p w14:paraId="45CFD7DC" w14:textId="75B9D551" w:rsidR="007D7EDA" w:rsidRDefault="009744A2" w:rsidP="0075782F">
      <w:pPr>
        <w:spacing w:line="360" w:lineRule="auto"/>
        <w:jc w:val="both"/>
        <w:rPr>
          <w:rFonts w:ascii="Arial" w:hAnsi="Arial" w:cs="Arial"/>
          <w:bCs/>
          <w:lang w:val="es-ES_tradnl"/>
        </w:rPr>
      </w:pPr>
      <w:r w:rsidRPr="00847234">
        <w:rPr>
          <w:rFonts w:ascii="Arial" w:hAnsi="Arial" w:cs="Arial"/>
          <w:bCs/>
          <w:lang w:val="es-ES_tradnl"/>
        </w:rPr>
        <w:t>L</w:t>
      </w:r>
      <w:r w:rsidR="007D7EDA" w:rsidRPr="00847234">
        <w:rPr>
          <w:rFonts w:ascii="Arial" w:hAnsi="Arial" w:cs="Arial"/>
          <w:bCs/>
          <w:lang w:val="es-ES_tradnl"/>
        </w:rPr>
        <w:t>a</w:t>
      </w:r>
      <w:r w:rsidR="009103DC" w:rsidRPr="00847234">
        <w:rPr>
          <w:rFonts w:ascii="Arial" w:hAnsi="Arial" w:cs="Arial"/>
          <w:bCs/>
          <w:lang w:val="es-ES_tradnl"/>
        </w:rPr>
        <w:t xml:space="preserve"> </w:t>
      </w:r>
      <w:r w:rsidR="00B15462" w:rsidRPr="00847234">
        <w:rPr>
          <w:rFonts w:ascii="Arial" w:hAnsi="Arial" w:cs="Arial"/>
          <w:bCs/>
          <w:lang w:val="es-ES_tradnl"/>
        </w:rPr>
        <w:t>su</w:t>
      </w:r>
      <w:r w:rsidR="00AB4B0D" w:rsidRPr="00847234">
        <w:rPr>
          <w:rFonts w:ascii="Arial" w:hAnsi="Arial" w:cs="Arial"/>
          <w:bCs/>
          <w:lang w:val="es-ES_tradnl"/>
        </w:rPr>
        <w:t>jeción de l</w:t>
      </w:r>
      <w:r w:rsidR="007D7EDA" w:rsidRPr="00847234">
        <w:rPr>
          <w:rFonts w:ascii="Arial" w:hAnsi="Arial" w:cs="Arial"/>
          <w:bCs/>
          <w:lang w:val="es-ES_tradnl"/>
        </w:rPr>
        <w:t xml:space="preserve">a legislación que regula las actividades económicas en mercados o actividades comerciales </w:t>
      </w:r>
      <w:r w:rsidR="00AB4B0D" w:rsidRPr="00847234">
        <w:rPr>
          <w:rFonts w:ascii="Arial" w:hAnsi="Arial" w:cs="Arial"/>
          <w:bCs/>
          <w:lang w:val="es-ES_tradnl"/>
        </w:rPr>
        <w:t xml:space="preserve">a un escrutinio ordinario </w:t>
      </w:r>
      <w:r w:rsidR="007D7EDA" w:rsidRPr="00847234">
        <w:rPr>
          <w:rFonts w:ascii="Arial" w:hAnsi="Arial" w:cs="Arial"/>
          <w:bCs/>
          <w:lang w:val="es-ES_tradnl"/>
        </w:rPr>
        <w:t xml:space="preserve">es un criterio que se remonta a la Novena Época del Semanario Judicial de la Federación. Este Tribunal Pleno </w:t>
      </w:r>
      <w:r w:rsidR="006F0E7D" w:rsidRPr="00847234">
        <w:rPr>
          <w:rFonts w:ascii="Arial" w:hAnsi="Arial" w:cs="Arial"/>
          <w:bCs/>
          <w:lang w:val="es-ES_tradnl"/>
        </w:rPr>
        <w:t xml:space="preserve">lo recuperó </w:t>
      </w:r>
      <w:r w:rsidR="007D7EDA" w:rsidRPr="00847234">
        <w:rPr>
          <w:rFonts w:ascii="Arial" w:hAnsi="Arial" w:cs="Arial"/>
          <w:bCs/>
          <w:lang w:val="es-ES_tradnl"/>
        </w:rPr>
        <w:t>al</w:t>
      </w:r>
      <w:r w:rsidR="0025111E" w:rsidRPr="00847234">
        <w:rPr>
          <w:rFonts w:ascii="Arial" w:hAnsi="Arial" w:cs="Arial"/>
          <w:bCs/>
          <w:lang w:val="es-ES_tradnl"/>
        </w:rPr>
        <w:t xml:space="preserve"> conocer de un conjunto de juicios de amparo en los cuales se</w:t>
      </w:r>
      <w:r w:rsidR="007D7EDA" w:rsidRPr="00847234">
        <w:rPr>
          <w:rFonts w:ascii="Arial" w:hAnsi="Arial" w:cs="Arial"/>
          <w:bCs/>
          <w:lang w:val="es-ES_tradnl"/>
        </w:rPr>
        <w:t xml:space="preserve"> analiz</w:t>
      </w:r>
      <w:r w:rsidR="0025111E" w:rsidRPr="00847234">
        <w:rPr>
          <w:rFonts w:ascii="Arial" w:hAnsi="Arial" w:cs="Arial"/>
          <w:bCs/>
          <w:lang w:val="es-ES_tradnl"/>
        </w:rPr>
        <w:t>ó</w:t>
      </w:r>
      <w:r w:rsidR="007D7EDA" w:rsidRPr="00847234">
        <w:rPr>
          <w:rFonts w:ascii="Arial" w:hAnsi="Arial" w:cs="Arial"/>
          <w:bCs/>
          <w:lang w:val="es-ES_tradnl"/>
        </w:rPr>
        <w:t xml:space="preserve"> la validez de las leyes que limitaron la libertad de comercio de las personas</w:t>
      </w:r>
      <w:r w:rsidR="006F0E7D" w:rsidRPr="00847234">
        <w:rPr>
          <w:rFonts w:ascii="Arial" w:hAnsi="Arial" w:cs="Arial"/>
          <w:bCs/>
          <w:lang w:val="es-ES_tradnl"/>
        </w:rPr>
        <w:t xml:space="preserve"> </w:t>
      </w:r>
      <w:r w:rsidR="003E197B" w:rsidRPr="00847234">
        <w:rPr>
          <w:rFonts w:ascii="Arial" w:hAnsi="Arial" w:cs="Arial"/>
          <w:bCs/>
          <w:lang w:val="es-ES_tradnl"/>
        </w:rPr>
        <w:t xml:space="preserve">al interferir </w:t>
      </w:r>
      <w:r w:rsidR="005C17C0" w:rsidRPr="00847234">
        <w:rPr>
          <w:rFonts w:ascii="Arial" w:hAnsi="Arial" w:cs="Arial"/>
          <w:bCs/>
          <w:lang w:val="es-ES_tradnl"/>
        </w:rPr>
        <w:t xml:space="preserve">con </w:t>
      </w:r>
      <w:r w:rsidR="003E197B" w:rsidRPr="00847234">
        <w:rPr>
          <w:rFonts w:ascii="Arial" w:hAnsi="Arial" w:cs="Arial"/>
          <w:bCs/>
          <w:lang w:val="es-ES_tradnl"/>
        </w:rPr>
        <w:t xml:space="preserve">el </w:t>
      </w:r>
      <w:r w:rsidR="007D7EDA" w:rsidRPr="00847234">
        <w:rPr>
          <w:rFonts w:ascii="Arial" w:hAnsi="Arial" w:cs="Arial"/>
          <w:bCs/>
          <w:lang w:val="es-ES_tradnl"/>
        </w:rPr>
        <w:t xml:space="preserve">consumo de tabaco </w:t>
      </w:r>
      <w:r w:rsidR="003E197B" w:rsidRPr="00847234">
        <w:rPr>
          <w:rFonts w:ascii="Arial" w:hAnsi="Arial" w:cs="Arial"/>
          <w:bCs/>
          <w:lang w:val="es-ES_tradnl"/>
        </w:rPr>
        <w:t>dentro de</w:t>
      </w:r>
      <w:r w:rsidR="007D7EDA" w:rsidRPr="00847234">
        <w:rPr>
          <w:rFonts w:ascii="Arial" w:hAnsi="Arial" w:cs="Arial"/>
          <w:bCs/>
          <w:lang w:val="es-ES_tradnl"/>
        </w:rPr>
        <w:t xml:space="preserve"> establecimientos mercantiles</w:t>
      </w:r>
      <w:r w:rsidR="0025111E" w:rsidRPr="00847234">
        <w:rPr>
          <w:rStyle w:val="Refdenotaalpie"/>
          <w:rFonts w:ascii="Arial" w:hAnsi="Arial" w:cs="Arial"/>
          <w:bCs/>
          <w:lang w:val="es-ES_tradnl"/>
        </w:rPr>
        <w:footnoteReference w:id="28"/>
      </w:r>
      <w:r w:rsidR="0066503A" w:rsidRPr="00847234">
        <w:rPr>
          <w:rFonts w:ascii="Arial" w:hAnsi="Arial" w:cs="Arial"/>
          <w:bCs/>
          <w:lang w:val="es-ES_tradnl"/>
        </w:rPr>
        <w:t xml:space="preserve">. </w:t>
      </w:r>
      <w:r w:rsidR="002100C8" w:rsidRPr="00847234">
        <w:rPr>
          <w:rFonts w:ascii="Arial" w:hAnsi="Arial" w:cs="Arial"/>
          <w:bCs/>
          <w:lang w:val="es-ES_tradnl"/>
        </w:rPr>
        <w:t>Esta aproximación</w:t>
      </w:r>
      <w:r w:rsidR="005240D7" w:rsidRPr="00847234">
        <w:rPr>
          <w:rFonts w:ascii="Arial" w:hAnsi="Arial" w:cs="Arial"/>
          <w:bCs/>
          <w:lang w:val="es-ES_tradnl"/>
        </w:rPr>
        <w:t xml:space="preserve"> se</w:t>
      </w:r>
      <w:r w:rsidR="007D7EDA" w:rsidRPr="00847234">
        <w:rPr>
          <w:rFonts w:ascii="Arial" w:hAnsi="Arial" w:cs="Arial"/>
          <w:bCs/>
          <w:lang w:val="es-ES_tradnl"/>
        </w:rPr>
        <w:t xml:space="preserve"> ha consolidado en el derecho comparado, </w:t>
      </w:r>
      <w:r w:rsidR="00BB3A92" w:rsidRPr="00847234">
        <w:rPr>
          <w:rFonts w:ascii="Arial" w:hAnsi="Arial" w:cs="Arial"/>
          <w:bCs/>
          <w:lang w:val="es-ES_tradnl"/>
        </w:rPr>
        <w:t>al estimarse como i</w:t>
      </w:r>
      <w:r w:rsidR="007D7EDA" w:rsidRPr="00847234">
        <w:rPr>
          <w:rFonts w:ascii="Arial" w:hAnsi="Arial" w:cs="Arial"/>
          <w:bCs/>
          <w:lang w:val="es-ES_tradnl"/>
        </w:rPr>
        <w:t>ndispensable para reconciliar el control judicial de las leyes con el gobierno democrático.</w:t>
      </w:r>
      <w:r w:rsidR="007978F0" w:rsidRPr="00847234">
        <w:rPr>
          <w:rStyle w:val="Refdenotaalpie"/>
          <w:rFonts w:ascii="Arial" w:hAnsi="Arial" w:cs="Arial"/>
          <w:bCs/>
          <w:lang w:val="es-ES_tradnl"/>
        </w:rPr>
        <w:footnoteReference w:id="29"/>
      </w:r>
    </w:p>
    <w:p w14:paraId="66A0A882" w14:textId="30B1C6CF" w:rsidR="00A9402C" w:rsidRPr="003E3D39" w:rsidRDefault="00445D98" w:rsidP="0075782F">
      <w:pPr>
        <w:spacing w:line="360" w:lineRule="auto"/>
        <w:jc w:val="both"/>
        <w:rPr>
          <w:rFonts w:ascii="Arial" w:hAnsi="Arial" w:cs="Arial"/>
          <w:bCs/>
          <w:lang w:val="es-ES_tradnl"/>
        </w:rPr>
      </w:pPr>
      <w:r w:rsidRPr="003E3D39">
        <w:rPr>
          <w:rFonts w:ascii="Arial" w:hAnsi="Arial" w:cs="Arial"/>
          <w:bCs/>
          <w:lang w:val="es-ES_tradnl"/>
        </w:rPr>
        <w:lastRenderedPageBreak/>
        <w:t>En resumen,</w:t>
      </w:r>
      <w:r w:rsidR="00A9402C" w:rsidRPr="003E3D39">
        <w:rPr>
          <w:rFonts w:ascii="Arial" w:hAnsi="Arial" w:cs="Arial"/>
          <w:bCs/>
          <w:lang w:val="es-ES_tradnl"/>
        </w:rPr>
        <w:t xml:space="preserve"> para resolver una cuestión constitucional,</w:t>
      </w:r>
      <w:r w:rsidRPr="003E3D39">
        <w:rPr>
          <w:rFonts w:ascii="Arial" w:hAnsi="Arial" w:cs="Arial"/>
          <w:bCs/>
          <w:lang w:val="es-ES_tradnl"/>
        </w:rPr>
        <w:t xml:space="preserve"> </w:t>
      </w:r>
      <w:r w:rsidR="00A9402C" w:rsidRPr="003E3D39">
        <w:rPr>
          <w:rFonts w:ascii="Arial" w:hAnsi="Arial" w:cs="Arial"/>
          <w:bCs/>
          <w:lang w:val="es-ES_tradnl"/>
        </w:rPr>
        <w:t>un tribunal identificar</w:t>
      </w:r>
      <w:r w:rsidR="00B62288" w:rsidRPr="003E3D39">
        <w:rPr>
          <w:rFonts w:ascii="Arial" w:hAnsi="Arial" w:cs="Arial"/>
          <w:bCs/>
          <w:lang w:val="es-ES_tradnl"/>
        </w:rPr>
        <w:t>á</w:t>
      </w:r>
      <w:r w:rsidR="00A9402C" w:rsidRPr="003E3D39">
        <w:rPr>
          <w:rFonts w:ascii="Arial" w:hAnsi="Arial" w:cs="Arial"/>
          <w:bCs/>
          <w:lang w:val="es-ES_tradnl"/>
        </w:rPr>
        <w:t xml:space="preserve"> si el parámetro de control que utilizará se conforma por una regla o por un principio. De tratarse de un principio, </w:t>
      </w:r>
      <w:r w:rsidR="00B62288" w:rsidRPr="003E3D39">
        <w:rPr>
          <w:rFonts w:ascii="Arial" w:hAnsi="Arial" w:cs="Arial"/>
          <w:bCs/>
          <w:lang w:val="es-ES_tradnl"/>
        </w:rPr>
        <w:t xml:space="preserve">decidirá </w:t>
      </w:r>
      <w:r w:rsidR="00A9402C" w:rsidRPr="003E3D39">
        <w:rPr>
          <w:rFonts w:ascii="Arial" w:hAnsi="Arial" w:cs="Arial"/>
          <w:bCs/>
          <w:lang w:val="es-ES_tradnl"/>
        </w:rPr>
        <w:t xml:space="preserve">el estándar de escrutinio aplicable: uno ordinario para aquellos principios </w:t>
      </w:r>
      <w:r w:rsidR="00B62288" w:rsidRPr="003E3D39">
        <w:rPr>
          <w:rFonts w:ascii="Arial" w:hAnsi="Arial" w:cs="Arial"/>
          <w:bCs/>
          <w:lang w:val="es-ES_tradnl"/>
        </w:rPr>
        <w:t xml:space="preserve">relacionados con </w:t>
      </w:r>
      <w:r w:rsidR="00A9402C" w:rsidRPr="003E3D39">
        <w:rPr>
          <w:rFonts w:ascii="Arial" w:hAnsi="Arial" w:cs="Arial"/>
          <w:bCs/>
          <w:lang w:val="es-ES_tradnl"/>
        </w:rPr>
        <w:t xml:space="preserve">en el ámbito en </w:t>
      </w:r>
      <w:r w:rsidR="00A355AE" w:rsidRPr="003E3D39">
        <w:rPr>
          <w:rFonts w:ascii="Arial" w:hAnsi="Arial" w:cs="Arial"/>
          <w:bCs/>
          <w:lang w:val="es-ES_tradnl"/>
        </w:rPr>
        <w:t xml:space="preserve">el </w:t>
      </w:r>
      <w:r w:rsidR="00A9402C" w:rsidRPr="003E3D39">
        <w:rPr>
          <w:rFonts w:ascii="Arial" w:hAnsi="Arial" w:cs="Arial"/>
          <w:bCs/>
          <w:lang w:val="es-ES_tradnl"/>
        </w:rPr>
        <w:t>cual</w:t>
      </w:r>
      <w:r w:rsidR="00A355AE" w:rsidRPr="003E3D39">
        <w:rPr>
          <w:rFonts w:ascii="Arial" w:hAnsi="Arial" w:cs="Arial"/>
          <w:bCs/>
          <w:lang w:val="es-ES_tradnl"/>
        </w:rPr>
        <w:t xml:space="preserve"> </w:t>
      </w:r>
      <w:r w:rsidR="00A9402C" w:rsidRPr="003E3D39">
        <w:rPr>
          <w:rFonts w:ascii="Arial" w:hAnsi="Arial" w:cs="Arial"/>
          <w:bCs/>
          <w:lang w:val="es-ES_tradnl"/>
        </w:rPr>
        <w:t>el legislador tiene amplia libertad configurativa; uno estricto para aquellos que cubren espacios donde no existe esa libertad configurativa</w:t>
      </w:r>
      <w:r w:rsidR="00A355AE" w:rsidRPr="003E3D39">
        <w:rPr>
          <w:rFonts w:ascii="Arial" w:hAnsi="Arial" w:cs="Arial"/>
          <w:bCs/>
          <w:lang w:val="es-ES_tradnl"/>
        </w:rPr>
        <w:t xml:space="preserve">, </w:t>
      </w:r>
      <w:r w:rsidR="00A9402C" w:rsidRPr="003E3D39">
        <w:rPr>
          <w:rFonts w:ascii="Arial" w:hAnsi="Arial" w:cs="Arial"/>
          <w:bCs/>
          <w:lang w:val="es-ES_tradnl"/>
        </w:rPr>
        <w:t>y uno de proporcionalidad cuando los bienes constitucionales en juego requieren de una ponderación cuidadosa para determinar si el equilibrio obtenido constitucionalmente por el legislador es aceptable.</w:t>
      </w:r>
      <w:r w:rsidRPr="003E3D39">
        <w:rPr>
          <w:rFonts w:ascii="Arial" w:hAnsi="Arial" w:cs="Arial"/>
          <w:bCs/>
          <w:lang w:val="es-ES_tradnl"/>
        </w:rPr>
        <w:t xml:space="preserve"> </w:t>
      </w:r>
    </w:p>
    <w:p w14:paraId="4E74FA5C" w14:textId="77777777" w:rsidR="00A9402C" w:rsidRPr="003E3D39" w:rsidRDefault="00A9402C" w:rsidP="0075782F">
      <w:pPr>
        <w:spacing w:line="360" w:lineRule="auto"/>
        <w:jc w:val="both"/>
        <w:rPr>
          <w:rFonts w:ascii="Arial" w:hAnsi="Arial" w:cs="Arial"/>
          <w:bCs/>
          <w:lang w:val="es-ES_tradnl"/>
        </w:rPr>
      </w:pPr>
    </w:p>
    <w:p w14:paraId="47A52847" w14:textId="3AE35EA8" w:rsidR="00445D98" w:rsidRDefault="00A9402C" w:rsidP="0075782F">
      <w:pPr>
        <w:spacing w:line="360" w:lineRule="auto"/>
        <w:jc w:val="both"/>
        <w:rPr>
          <w:rFonts w:ascii="Arial" w:hAnsi="Arial" w:cs="Arial"/>
          <w:bCs/>
          <w:lang w:val="es-ES_tradnl"/>
        </w:rPr>
      </w:pPr>
      <w:r w:rsidRPr="003E3D39">
        <w:rPr>
          <w:rFonts w:ascii="Arial" w:hAnsi="Arial" w:cs="Arial"/>
          <w:bCs/>
          <w:lang w:val="es-ES_tradnl"/>
        </w:rPr>
        <w:t>En este marco conceptual, los de libre competencia y concurrencia</w:t>
      </w:r>
      <w:r w:rsidR="00BE658D" w:rsidRPr="003E3D39">
        <w:rPr>
          <w:rFonts w:ascii="Arial" w:hAnsi="Arial" w:cs="Arial"/>
          <w:bCs/>
          <w:lang w:val="es-ES_tradnl"/>
        </w:rPr>
        <w:t xml:space="preserve"> no son reglas sino </w:t>
      </w:r>
      <w:r w:rsidRPr="003E3D39">
        <w:rPr>
          <w:rFonts w:ascii="Arial" w:hAnsi="Arial" w:cs="Arial"/>
          <w:bCs/>
          <w:lang w:val="es-ES_tradnl"/>
        </w:rPr>
        <w:t>principi</w:t>
      </w:r>
      <w:r w:rsidR="009E329C" w:rsidRPr="003E3D39">
        <w:rPr>
          <w:rFonts w:ascii="Arial" w:hAnsi="Arial" w:cs="Arial"/>
          <w:bCs/>
          <w:lang w:val="es-ES_tradnl"/>
        </w:rPr>
        <w:t>os</w:t>
      </w:r>
      <w:r w:rsidR="00BE658D" w:rsidRPr="003E3D39">
        <w:rPr>
          <w:rFonts w:ascii="Arial" w:hAnsi="Arial" w:cs="Arial"/>
          <w:bCs/>
          <w:lang w:val="es-ES_tradnl"/>
        </w:rPr>
        <w:t>,</w:t>
      </w:r>
      <w:r w:rsidRPr="003E3D39">
        <w:rPr>
          <w:rFonts w:ascii="Arial" w:hAnsi="Arial" w:cs="Arial"/>
          <w:bCs/>
          <w:lang w:val="es-ES_tradnl"/>
        </w:rPr>
        <w:t xml:space="preserve"> </w:t>
      </w:r>
      <w:r w:rsidR="009E329C" w:rsidRPr="003E3D39">
        <w:rPr>
          <w:rFonts w:ascii="Arial" w:hAnsi="Arial" w:cs="Arial"/>
          <w:bCs/>
          <w:lang w:val="es-ES_tradnl"/>
        </w:rPr>
        <w:t xml:space="preserve">respecto de los cuales </w:t>
      </w:r>
      <w:r w:rsidRPr="003E3D39">
        <w:rPr>
          <w:rFonts w:ascii="Arial" w:hAnsi="Arial" w:cs="Arial"/>
          <w:bCs/>
          <w:lang w:val="es-ES_tradnl"/>
        </w:rPr>
        <w:t>existe libertad configurativa</w:t>
      </w:r>
      <w:r w:rsidR="00372AAA" w:rsidRPr="003E3D39">
        <w:rPr>
          <w:rFonts w:ascii="Arial" w:hAnsi="Arial" w:cs="Arial"/>
          <w:bCs/>
          <w:lang w:val="es-ES_tradnl"/>
        </w:rPr>
        <w:t>.</w:t>
      </w:r>
      <w:r w:rsidR="00C46C6E" w:rsidRPr="003E3D39">
        <w:rPr>
          <w:rFonts w:ascii="Arial" w:hAnsi="Arial" w:cs="Arial"/>
          <w:bCs/>
          <w:lang w:val="es-ES_tradnl"/>
        </w:rPr>
        <w:t xml:space="preserve"> Caracterizados como </w:t>
      </w:r>
      <w:r w:rsidRPr="003E3D39">
        <w:rPr>
          <w:rFonts w:ascii="Arial" w:hAnsi="Arial" w:cs="Arial"/>
          <w:bCs/>
          <w:lang w:val="es-ES_tradnl"/>
        </w:rPr>
        <w:t>mandatos de optimización</w:t>
      </w:r>
      <w:r w:rsidR="007C1A78">
        <w:rPr>
          <w:rFonts w:ascii="Arial" w:hAnsi="Arial" w:cs="Arial"/>
          <w:bCs/>
          <w:lang w:val="es-ES_tradnl"/>
        </w:rPr>
        <w:t xml:space="preserve">, </w:t>
      </w:r>
      <w:r w:rsidRPr="003E3D39">
        <w:rPr>
          <w:rFonts w:ascii="Arial" w:hAnsi="Arial" w:cs="Arial"/>
          <w:bCs/>
          <w:lang w:val="es-ES_tradnl"/>
        </w:rPr>
        <w:t xml:space="preserve">para determinar si el legislador ha violado o no los principios de libre competencia y concurrencia, un tribunal constitucional </w:t>
      </w:r>
      <w:r w:rsidR="00D20B99" w:rsidRPr="003E3D39">
        <w:rPr>
          <w:rFonts w:ascii="Arial" w:hAnsi="Arial" w:cs="Arial"/>
          <w:bCs/>
          <w:lang w:val="es-ES_tradnl"/>
        </w:rPr>
        <w:t xml:space="preserve">verificará </w:t>
      </w:r>
      <w:r w:rsidRPr="003E3D39">
        <w:rPr>
          <w:rFonts w:ascii="Arial" w:hAnsi="Arial" w:cs="Arial"/>
          <w:bCs/>
          <w:lang w:val="es-ES_tradnl"/>
        </w:rPr>
        <w:t xml:space="preserve">que </w:t>
      </w:r>
      <w:r w:rsidR="00D20B99" w:rsidRPr="003E3D39">
        <w:rPr>
          <w:rFonts w:ascii="Arial" w:hAnsi="Arial" w:cs="Arial"/>
          <w:bCs/>
          <w:lang w:val="es-ES_tradnl"/>
        </w:rPr>
        <w:t xml:space="preserve">la </w:t>
      </w:r>
      <w:r w:rsidRPr="003E3D39">
        <w:rPr>
          <w:rFonts w:ascii="Arial" w:hAnsi="Arial" w:cs="Arial"/>
          <w:bCs/>
          <w:lang w:val="es-ES_tradnl"/>
        </w:rPr>
        <w:t>legislación no frustre su contenido injustificadamente</w:t>
      </w:r>
      <w:r w:rsidR="00D20B99" w:rsidRPr="003E3D39">
        <w:rPr>
          <w:rFonts w:ascii="Arial" w:hAnsi="Arial" w:cs="Arial"/>
          <w:bCs/>
          <w:lang w:val="es-ES_tradnl"/>
        </w:rPr>
        <w:t xml:space="preserve">. De ser el caso, </w:t>
      </w:r>
      <w:r w:rsidRPr="003E3D39">
        <w:rPr>
          <w:rFonts w:ascii="Arial" w:hAnsi="Arial" w:cs="Arial"/>
          <w:bCs/>
          <w:lang w:val="es-ES_tradnl"/>
        </w:rPr>
        <w:t>declarar</w:t>
      </w:r>
      <w:r w:rsidR="00D20B99" w:rsidRPr="003E3D39">
        <w:rPr>
          <w:rFonts w:ascii="Arial" w:hAnsi="Arial" w:cs="Arial"/>
          <w:bCs/>
          <w:lang w:val="es-ES_tradnl"/>
        </w:rPr>
        <w:t>á</w:t>
      </w:r>
      <w:r w:rsidRPr="003E3D39">
        <w:rPr>
          <w:rFonts w:ascii="Arial" w:hAnsi="Arial" w:cs="Arial"/>
          <w:bCs/>
          <w:lang w:val="es-ES_tradnl"/>
        </w:rPr>
        <w:t xml:space="preserve"> su invalidez</w:t>
      </w:r>
      <w:r w:rsidR="00D82FE0" w:rsidRPr="003E3D39">
        <w:rPr>
          <w:rFonts w:ascii="Arial" w:hAnsi="Arial" w:cs="Arial"/>
          <w:bCs/>
          <w:lang w:val="es-ES_tradnl"/>
        </w:rPr>
        <w:t>,</w:t>
      </w:r>
      <w:r w:rsidRPr="003E3D39">
        <w:rPr>
          <w:rFonts w:ascii="Arial" w:hAnsi="Arial" w:cs="Arial"/>
          <w:bCs/>
          <w:lang w:val="es-ES_tradnl"/>
        </w:rPr>
        <w:t xml:space="preserve"> si</w:t>
      </w:r>
      <w:r w:rsidR="000F73F4">
        <w:rPr>
          <w:rFonts w:ascii="Arial" w:hAnsi="Arial" w:cs="Arial"/>
          <w:bCs/>
          <w:lang w:val="es-ES_tradnl"/>
        </w:rPr>
        <w:t xml:space="preserve"> con esto </w:t>
      </w:r>
      <w:r w:rsidRPr="003E3D39">
        <w:rPr>
          <w:rFonts w:ascii="Arial" w:hAnsi="Arial" w:cs="Arial"/>
          <w:bCs/>
          <w:lang w:val="es-ES_tradnl"/>
        </w:rPr>
        <w:t xml:space="preserve">permite que esos principios recuperen su valor </w:t>
      </w:r>
      <w:proofErr w:type="spellStart"/>
      <w:r w:rsidRPr="003E3D39">
        <w:rPr>
          <w:rFonts w:ascii="Arial" w:hAnsi="Arial" w:cs="Arial"/>
          <w:bCs/>
          <w:lang w:val="es-ES_tradnl"/>
        </w:rPr>
        <w:t>maximizador</w:t>
      </w:r>
      <w:proofErr w:type="spellEnd"/>
      <w:r w:rsidR="00297B06" w:rsidRPr="003E3D39">
        <w:rPr>
          <w:rFonts w:ascii="Arial" w:hAnsi="Arial" w:cs="Arial"/>
          <w:bCs/>
          <w:lang w:val="es-ES_tradnl"/>
        </w:rPr>
        <w:t>.</w:t>
      </w:r>
      <w:r w:rsidRPr="003E3D39">
        <w:rPr>
          <w:rFonts w:ascii="Arial" w:hAnsi="Arial" w:cs="Arial"/>
          <w:bCs/>
          <w:lang w:val="es-ES_tradnl"/>
        </w:rPr>
        <w:t xml:space="preserve"> </w:t>
      </w:r>
      <w:r w:rsidR="00297B06" w:rsidRPr="003E3D39">
        <w:rPr>
          <w:rFonts w:ascii="Arial" w:hAnsi="Arial" w:cs="Arial"/>
          <w:bCs/>
          <w:lang w:val="es-ES_tradnl"/>
        </w:rPr>
        <w:t xml:space="preserve"> </w:t>
      </w:r>
      <w:r w:rsidRPr="003E3D39">
        <w:rPr>
          <w:rFonts w:ascii="Arial" w:hAnsi="Arial" w:cs="Arial"/>
          <w:bCs/>
          <w:lang w:val="es-ES_tradnl"/>
        </w:rPr>
        <w:t xml:space="preserve">Esta Corte ha resuelto casos en los cuales se ha declarado la invalidez de disposiciones legislativas violatorias de </w:t>
      </w:r>
      <w:r w:rsidR="00FE1F58" w:rsidRPr="003E3D39">
        <w:rPr>
          <w:rFonts w:ascii="Arial" w:hAnsi="Arial" w:cs="Arial"/>
          <w:bCs/>
          <w:lang w:val="es-ES_tradnl"/>
        </w:rPr>
        <w:t>dichos principios. Veamos</w:t>
      </w:r>
      <w:r w:rsidRPr="003E3D39">
        <w:rPr>
          <w:rFonts w:ascii="Arial" w:hAnsi="Arial" w:cs="Arial"/>
          <w:bCs/>
          <w:lang w:val="es-ES_tradnl"/>
        </w:rPr>
        <w:t xml:space="preserve"> algunos ejemplos para precisar las condiciones en las cuales un </w:t>
      </w:r>
      <w:r w:rsidR="00FE1F58" w:rsidRPr="003E3D39">
        <w:rPr>
          <w:rFonts w:ascii="Arial" w:hAnsi="Arial" w:cs="Arial"/>
          <w:bCs/>
          <w:lang w:val="es-ES_tradnl"/>
        </w:rPr>
        <w:t>t</w:t>
      </w:r>
      <w:r w:rsidRPr="003E3D39">
        <w:rPr>
          <w:rFonts w:ascii="Arial" w:hAnsi="Arial" w:cs="Arial"/>
          <w:bCs/>
          <w:lang w:val="es-ES_tradnl"/>
        </w:rPr>
        <w:t xml:space="preserve">ribunal </w:t>
      </w:r>
      <w:r w:rsidR="00FE1F58" w:rsidRPr="003E3D39">
        <w:rPr>
          <w:rFonts w:ascii="Arial" w:hAnsi="Arial" w:cs="Arial"/>
          <w:bCs/>
          <w:lang w:val="es-ES_tradnl"/>
        </w:rPr>
        <w:t>c</w:t>
      </w:r>
      <w:r w:rsidRPr="003E3D39">
        <w:rPr>
          <w:rFonts w:ascii="Arial" w:hAnsi="Arial" w:cs="Arial"/>
          <w:bCs/>
          <w:lang w:val="es-ES_tradnl"/>
        </w:rPr>
        <w:t>onstitucional puede remediar una vulneración a los referidos principios.</w:t>
      </w:r>
      <w:r>
        <w:rPr>
          <w:rFonts w:ascii="Arial" w:hAnsi="Arial" w:cs="Arial"/>
          <w:bCs/>
          <w:lang w:val="es-ES_tradnl"/>
        </w:rPr>
        <w:t xml:space="preserve"> </w:t>
      </w:r>
    </w:p>
    <w:p w14:paraId="262B9ADD" w14:textId="77777777" w:rsidR="00616BD3" w:rsidRDefault="00616BD3" w:rsidP="00616BD3">
      <w:pPr>
        <w:spacing w:line="360" w:lineRule="auto"/>
        <w:jc w:val="both"/>
        <w:rPr>
          <w:rFonts w:ascii="Arial" w:hAnsi="Arial" w:cs="Arial"/>
          <w:bCs/>
          <w:highlight w:val="yellow"/>
          <w:lang w:val="es-ES_tradnl"/>
        </w:rPr>
      </w:pPr>
    </w:p>
    <w:p w14:paraId="729C213B" w14:textId="1896702D" w:rsidR="007668CA" w:rsidRPr="00A9402C" w:rsidRDefault="00445D98" w:rsidP="00A9402C">
      <w:pPr>
        <w:spacing w:line="360" w:lineRule="auto"/>
        <w:rPr>
          <w:rFonts w:ascii="Arial" w:hAnsi="Arial" w:cs="Arial"/>
          <w:b/>
          <w:i/>
          <w:iCs/>
          <w:highlight w:val="yellow"/>
          <w:lang w:val="es-ES_tradnl"/>
        </w:rPr>
      </w:pPr>
      <w:r w:rsidRPr="00A9402C">
        <w:rPr>
          <w:rFonts w:ascii="Arial" w:hAnsi="Arial" w:cs="Arial"/>
          <w:b/>
          <w:i/>
          <w:iCs/>
          <w:lang w:val="es-ES_tradnl"/>
        </w:rPr>
        <w:t>¿Cómo maximizar el principio de libre competencia y concurrencia</w:t>
      </w:r>
      <w:r w:rsidR="00A20BEA" w:rsidRPr="00A9402C">
        <w:rPr>
          <w:rFonts w:ascii="Arial" w:hAnsi="Arial" w:cs="Arial"/>
          <w:b/>
          <w:i/>
          <w:iCs/>
          <w:lang w:val="es-ES_tradnl"/>
        </w:rPr>
        <w:t xml:space="preserve"> </w:t>
      </w:r>
      <w:r w:rsidR="00AC1ECC" w:rsidRPr="00A9402C">
        <w:rPr>
          <w:rFonts w:ascii="Arial" w:hAnsi="Arial" w:cs="Arial"/>
          <w:b/>
          <w:i/>
          <w:iCs/>
          <w:lang w:val="es-ES_tradnl"/>
        </w:rPr>
        <w:t xml:space="preserve">previsto por el </w:t>
      </w:r>
      <w:r w:rsidR="00A20BEA" w:rsidRPr="00A9402C">
        <w:rPr>
          <w:rFonts w:ascii="Arial" w:hAnsi="Arial" w:cs="Arial"/>
          <w:b/>
          <w:i/>
          <w:iCs/>
          <w:lang w:val="es-ES_tradnl"/>
        </w:rPr>
        <w:t>artículo 28</w:t>
      </w:r>
      <w:r w:rsidR="00AC1ECC" w:rsidRPr="00A9402C">
        <w:rPr>
          <w:rFonts w:ascii="Arial" w:hAnsi="Arial" w:cs="Arial"/>
          <w:b/>
          <w:i/>
          <w:iCs/>
          <w:lang w:val="es-ES_tradnl"/>
        </w:rPr>
        <w:t xml:space="preserve"> constitucional</w:t>
      </w:r>
      <w:r w:rsidRPr="00A9402C">
        <w:rPr>
          <w:rFonts w:ascii="Arial" w:hAnsi="Arial" w:cs="Arial"/>
          <w:b/>
          <w:i/>
          <w:iCs/>
          <w:lang w:val="es-ES_tradnl"/>
        </w:rPr>
        <w:t>?</w:t>
      </w:r>
    </w:p>
    <w:p w14:paraId="4BE34185" w14:textId="7626C746" w:rsidR="002F714A" w:rsidRPr="00A9402C" w:rsidRDefault="002F714A" w:rsidP="0075782F">
      <w:pPr>
        <w:spacing w:line="360" w:lineRule="auto"/>
        <w:jc w:val="both"/>
        <w:rPr>
          <w:rFonts w:ascii="Arial" w:hAnsi="Arial" w:cs="Arial"/>
          <w:bCs/>
          <w:highlight w:val="yellow"/>
          <w:lang w:val="es-ES_tradnl"/>
        </w:rPr>
      </w:pPr>
    </w:p>
    <w:p w14:paraId="48B7ADBC" w14:textId="00602447" w:rsidR="00A9402C" w:rsidRPr="00826E96" w:rsidRDefault="00A9402C" w:rsidP="0075782F">
      <w:pPr>
        <w:spacing w:line="360" w:lineRule="auto"/>
        <w:jc w:val="both"/>
        <w:rPr>
          <w:rFonts w:ascii="Arial" w:hAnsi="Arial" w:cs="Arial"/>
          <w:bCs/>
          <w:lang w:val="es-ES_tradnl"/>
        </w:rPr>
      </w:pPr>
      <w:r w:rsidRPr="00826E96">
        <w:rPr>
          <w:rFonts w:ascii="Arial" w:hAnsi="Arial" w:cs="Arial"/>
          <w:bCs/>
          <w:lang w:val="es-ES_tradnl"/>
        </w:rPr>
        <w:t xml:space="preserve">Cuando un </w:t>
      </w:r>
      <w:r w:rsidR="007C1A78" w:rsidRPr="00826E96">
        <w:rPr>
          <w:rFonts w:ascii="Arial" w:hAnsi="Arial" w:cs="Arial"/>
          <w:bCs/>
          <w:lang w:val="es-ES_tradnl"/>
        </w:rPr>
        <w:t>t</w:t>
      </w:r>
      <w:r w:rsidRPr="00826E96">
        <w:rPr>
          <w:rFonts w:ascii="Arial" w:hAnsi="Arial" w:cs="Arial"/>
          <w:bCs/>
          <w:lang w:val="es-ES_tradnl"/>
        </w:rPr>
        <w:t xml:space="preserve">ribunal </w:t>
      </w:r>
      <w:r w:rsidR="007C1A78" w:rsidRPr="00826E96">
        <w:rPr>
          <w:rFonts w:ascii="Arial" w:hAnsi="Arial" w:cs="Arial"/>
          <w:bCs/>
          <w:lang w:val="es-ES_tradnl"/>
        </w:rPr>
        <w:t>c</w:t>
      </w:r>
      <w:r w:rsidRPr="00826E96">
        <w:rPr>
          <w:rFonts w:ascii="Arial" w:hAnsi="Arial" w:cs="Arial"/>
          <w:bCs/>
          <w:lang w:val="es-ES_tradnl"/>
        </w:rPr>
        <w:t xml:space="preserve">onstitucional </w:t>
      </w:r>
      <w:r w:rsidR="00981644">
        <w:rPr>
          <w:rFonts w:ascii="Arial" w:hAnsi="Arial" w:cs="Arial"/>
          <w:bCs/>
          <w:lang w:val="es-ES_tradnl"/>
        </w:rPr>
        <w:t>lidi</w:t>
      </w:r>
      <w:r w:rsidR="000F73F4">
        <w:rPr>
          <w:rFonts w:ascii="Arial" w:hAnsi="Arial" w:cs="Arial"/>
          <w:bCs/>
          <w:lang w:val="es-ES_tradnl"/>
        </w:rPr>
        <w:t xml:space="preserve">a </w:t>
      </w:r>
      <w:r w:rsidR="00981644">
        <w:rPr>
          <w:rFonts w:ascii="Arial" w:hAnsi="Arial" w:cs="Arial"/>
          <w:bCs/>
          <w:lang w:val="es-ES_tradnl"/>
        </w:rPr>
        <w:t xml:space="preserve">con </w:t>
      </w:r>
      <w:r w:rsidRPr="00826E96">
        <w:rPr>
          <w:rFonts w:ascii="Arial" w:hAnsi="Arial" w:cs="Arial"/>
          <w:bCs/>
          <w:lang w:val="es-ES_tradnl"/>
        </w:rPr>
        <w:t xml:space="preserve">un principio, como el de libre competencia, como parámetro de control de una ley, </w:t>
      </w:r>
      <w:r w:rsidR="00D54853" w:rsidRPr="00826E96">
        <w:rPr>
          <w:rFonts w:ascii="Arial" w:hAnsi="Arial" w:cs="Arial"/>
          <w:bCs/>
          <w:lang w:val="es-ES_tradnl"/>
        </w:rPr>
        <w:t xml:space="preserve">se cerciorará de que </w:t>
      </w:r>
      <w:r w:rsidRPr="00826E96">
        <w:rPr>
          <w:rFonts w:ascii="Arial" w:hAnsi="Arial" w:cs="Arial"/>
          <w:bCs/>
          <w:lang w:val="es-ES_tradnl"/>
        </w:rPr>
        <w:t xml:space="preserve">el resultado de su evaluación de validez </w:t>
      </w:r>
      <w:r w:rsidR="00025B4D">
        <w:rPr>
          <w:rFonts w:ascii="Arial" w:hAnsi="Arial" w:cs="Arial"/>
          <w:bCs/>
          <w:lang w:val="es-ES_tradnl"/>
        </w:rPr>
        <w:t>s</w:t>
      </w:r>
      <w:r w:rsidR="00C02383">
        <w:rPr>
          <w:rFonts w:ascii="Arial" w:hAnsi="Arial" w:cs="Arial"/>
          <w:bCs/>
          <w:lang w:val="es-ES_tradnl"/>
        </w:rPr>
        <w:t>erá</w:t>
      </w:r>
      <w:r w:rsidRPr="00826E96">
        <w:rPr>
          <w:rFonts w:ascii="Arial" w:hAnsi="Arial" w:cs="Arial"/>
          <w:bCs/>
          <w:lang w:val="es-ES_tradnl"/>
        </w:rPr>
        <w:t xml:space="preserve"> </w:t>
      </w:r>
      <w:r w:rsidR="00654C17">
        <w:rPr>
          <w:rFonts w:ascii="Arial" w:hAnsi="Arial" w:cs="Arial"/>
          <w:bCs/>
          <w:lang w:val="es-ES_tradnl"/>
        </w:rPr>
        <w:t xml:space="preserve">el </w:t>
      </w:r>
      <w:r w:rsidRPr="00826E96">
        <w:rPr>
          <w:rFonts w:ascii="Arial" w:hAnsi="Arial" w:cs="Arial"/>
          <w:bCs/>
          <w:lang w:val="es-ES_tradnl"/>
        </w:rPr>
        <w:t>idóneo para remediar la eventual violación constitucional</w:t>
      </w:r>
      <w:r w:rsidR="00D60798" w:rsidRPr="00826E96">
        <w:rPr>
          <w:rFonts w:ascii="Arial" w:hAnsi="Arial" w:cs="Arial"/>
          <w:bCs/>
          <w:lang w:val="es-ES_tradnl"/>
        </w:rPr>
        <w:t xml:space="preserve">. Es decir, </w:t>
      </w:r>
      <w:r w:rsidR="00C02383">
        <w:rPr>
          <w:rFonts w:ascii="Arial" w:hAnsi="Arial" w:cs="Arial"/>
          <w:bCs/>
          <w:lang w:val="es-ES_tradnl"/>
        </w:rPr>
        <w:t xml:space="preserve">decidirá </w:t>
      </w:r>
      <w:r w:rsidR="00966803" w:rsidRPr="00826E96">
        <w:rPr>
          <w:rFonts w:ascii="Arial" w:hAnsi="Arial" w:cs="Arial"/>
          <w:bCs/>
          <w:lang w:val="es-ES_tradnl"/>
        </w:rPr>
        <w:t>s</w:t>
      </w:r>
      <w:r w:rsidRPr="00826E96">
        <w:rPr>
          <w:rFonts w:ascii="Arial" w:hAnsi="Arial" w:cs="Arial"/>
          <w:bCs/>
          <w:lang w:val="es-ES_tradnl"/>
        </w:rPr>
        <w:t xml:space="preserve">i es </w:t>
      </w:r>
      <w:r w:rsidR="00966803" w:rsidRPr="00826E96">
        <w:rPr>
          <w:rFonts w:ascii="Arial" w:hAnsi="Arial" w:cs="Arial"/>
          <w:bCs/>
          <w:lang w:val="es-ES_tradnl"/>
        </w:rPr>
        <w:t xml:space="preserve">viable </w:t>
      </w:r>
      <w:r w:rsidRPr="00826E96">
        <w:rPr>
          <w:rFonts w:ascii="Arial" w:hAnsi="Arial" w:cs="Arial"/>
          <w:bCs/>
          <w:lang w:val="es-ES_tradnl"/>
        </w:rPr>
        <w:t xml:space="preserve">que la invalidez </w:t>
      </w:r>
      <w:r w:rsidR="003725B2" w:rsidRPr="00826E96">
        <w:rPr>
          <w:rFonts w:ascii="Arial" w:hAnsi="Arial" w:cs="Arial"/>
          <w:bCs/>
          <w:lang w:val="es-ES_tradnl"/>
        </w:rPr>
        <w:t xml:space="preserve">decretada </w:t>
      </w:r>
      <w:r w:rsidR="003725B2" w:rsidRPr="00826E96">
        <w:rPr>
          <w:rFonts w:ascii="Arial" w:hAnsi="Arial" w:cs="Arial"/>
          <w:bCs/>
          <w:lang w:val="es-ES_tradnl"/>
        </w:rPr>
        <w:lastRenderedPageBreak/>
        <w:t>reinstale</w:t>
      </w:r>
      <w:r w:rsidRPr="00826E96">
        <w:rPr>
          <w:rFonts w:ascii="Arial" w:hAnsi="Arial" w:cs="Arial"/>
          <w:bCs/>
          <w:lang w:val="es-ES_tradnl"/>
        </w:rPr>
        <w:t xml:space="preserve"> la maximización del principio previamente frustrado</w:t>
      </w:r>
      <w:r w:rsidR="007106DC">
        <w:rPr>
          <w:rFonts w:ascii="Arial" w:hAnsi="Arial" w:cs="Arial"/>
          <w:bCs/>
          <w:lang w:val="es-ES_tradnl"/>
        </w:rPr>
        <w:t>,</w:t>
      </w:r>
      <w:r w:rsidR="00966803" w:rsidRPr="00826E96">
        <w:rPr>
          <w:rFonts w:ascii="Arial" w:hAnsi="Arial" w:cs="Arial"/>
          <w:bCs/>
          <w:lang w:val="es-ES_tradnl"/>
        </w:rPr>
        <w:t xml:space="preserve"> y </w:t>
      </w:r>
      <w:r w:rsidR="00981644">
        <w:rPr>
          <w:rFonts w:ascii="Arial" w:hAnsi="Arial" w:cs="Arial"/>
          <w:bCs/>
          <w:lang w:val="es-ES_tradnl"/>
        </w:rPr>
        <w:t>evitará que</w:t>
      </w:r>
      <w:r w:rsidRPr="00826E96">
        <w:rPr>
          <w:rFonts w:ascii="Arial" w:hAnsi="Arial" w:cs="Arial"/>
          <w:bCs/>
          <w:lang w:val="es-ES_tradnl"/>
        </w:rPr>
        <w:t xml:space="preserve"> una eventual declaratoria de invalidez empeor</w:t>
      </w:r>
      <w:r w:rsidR="00826E96" w:rsidRPr="00826E96">
        <w:rPr>
          <w:rFonts w:ascii="Arial" w:hAnsi="Arial" w:cs="Arial"/>
          <w:bCs/>
          <w:lang w:val="es-ES_tradnl"/>
        </w:rPr>
        <w:t>e</w:t>
      </w:r>
      <w:r w:rsidRPr="00826E96">
        <w:rPr>
          <w:rFonts w:ascii="Arial" w:hAnsi="Arial" w:cs="Arial"/>
          <w:bCs/>
          <w:lang w:val="es-ES_tradnl"/>
        </w:rPr>
        <w:t xml:space="preserve"> la posición del contenido constitucional.</w:t>
      </w:r>
    </w:p>
    <w:p w14:paraId="4F802593" w14:textId="022E5E29" w:rsidR="00A9402C" w:rsidRDefault="00A9402C" w:rsidP="0075782F">
      <w:pPr>
        <w:spacing w:line="360" w:lineRule="auto"/>
        <w:jc w:val="both"/>
        <w:rPr>
          <w:rFonts w:ascii="Arial" w:hAnsi="Arial" w:cs="Arial"/>
          <w:bCs/>
          <w:highlight w:val="yellow"/>
          <w:lang w:val="es-ES_tradnl"/>
        </w:rPr>
      </w:pPr>
    </w:p>
    <w:p w14:paraId="068306FB" w14:textId="108074C3" w:rsidR="00A9402C" w:rsidRDefault="009100F9" w:rsidP="00BB4563">
      <w:pPr>
        <w:spacing w:line="360" w:lineRule="auto"/>
        <w:jc w:val="both"/>
        <w:rPr>
          <w:rFonts w:ascii="Arial" w:hAnsi="Arial" w:cs="Arial"/>
          <w:bCs/>
          <w:lang w:val="es-ES_tradnl"/>
        </w:rPr>
      </w:pPr>
      <w:r>
        <w:rPr>
          <w:rFonts w:ascii="Arial" w:hAnsi="Arial" w:cs="Arial"/>
          <w:bCs/>
          <w:lang w:val="es-ES_tradnl"/>
        </w:rPr>
        <w:t>E</w:t>
      </w:r>
      <w:r w:rsidR="003725B2">
        <w:rPr>
          <w:rFonts w:ascii="Arial" w:hAnsi="Arial" w:cs="Arial"/>
          <w:bCs/>
          <w:lang w:val="es-ES_tradnl"/>
        </w:rPr>
        <w:t xml:space="preserve">n </w:t>
      </w:r>
      <w:r w:rsidR="00A9402C" w:rsidRPr="002C10FF">
        <w:rPr>
          <w:rFonts w:ascii="Arial" w:hAnsi="Arial" w:cs="Arial"/>
          <w:bCs/>
          <w:lang w:val="es-ES_tradnl"/>
        </w:rPr>
        <w:t xml:space="preserve">materia de competencia económica, cuando esta Corte </w:t>
      </w:r>
      <w:r w:rsidR="00D4493F" w:rsidRPr="002C10FF">
        <w:rPr>
          <w:rFonts w:ascii="Arial" w:hAnsi="Arial" w:cs="Arial"/>
          <w:bCs/>
          <w:lang w:val="es-ES_tradnl"/>
        </w:rPr>
        <w:t xml:space="preserve">determina que una </w:t>
      </w:r>
      <w:r w:rsidR="00A9402C" w:rsidRPr="002C10FF">
        <w:rPr>
          <w:rFonts w:ascii="Arial" w:hAnsi="Arial" w:cs="Arial"/>
          <w:bCs/>
          <w:lang w:val="es-ES_tradnl"/>
        </w:rPr>
        <w:t>ley impone una “barrera de entrada”</w:t>
      </w:r>
      <w:r w:rsidR="00A9402C" w:rsidRPr="002C10FF">
        <w:rPr>
          <w:rStyle w:val="Refdenotaalpie"/>
          <w:rFonts w:ascii="Arial" w:hAnsi="Arial" w:cs="Arial"/>
          <w:bCs/>
          <w:lang w:val="es-ES_tradnl"/>
        </w:rPr>
        <w:footnoteReference w:id="30"/>
      </w:r>
      <w:r w:rsidR="00A9402C" w:rsidRPr="002C10FF">
        <w:rPr>
          <w:rFonts w:ascii="Arial" w:hAnsi="Arial" w:cs="Arial"/>
          <w:bCs/>
          <w:lang w:val="es-ES_tradnl"/>
        </w:rPr>
        <w:t xml:space="preserve"> </w:t>
      </w:r>
      <w:r w:rsidR="00D4493F" w:rsidRPr="002C10FF">
        <w:rPr>
          <w:rFonts w:ascii="Arial" w:hAnsi="Arial" w:cs="Arial"/>
          <w:bCs/>
          <w:lang w:val="es-ES_tradnl"/>
        </w:rPr>
        <w:t>en un mercado</w:t>
      </w:r>
      <w:r w:rsidR="00071187" w:rsidRPr="002C10FF">
        <w:rPr>
          <w:rFonts w:ascii="Arial" w:hAnsi="Arial" w:cs="Arial"/>
          <w:bCs/>
          <w:lang w:val="es-ES_tradnl"/>
        </w:rPr>
        <w:t xml:space="preserve"> </w:t>
      </w:r>
      <w:r w:rsidR="00A9402C" w:rsidRPr="002C10FF">
        <w:rPr>
          <w:rFonts w:ascii="Arial" w:hAnsi="Arial" w:cs="Arial"/>
          <w:bCs/>
          <w:lang w:val="es-ES_tradnl"/>
        </w:rPr>
        <w:t>que constitucionalmente</w:t>
      </w:r>
      <w:r w:rsidR="00071187" w:rsidRPr="002C10FF">
        <w:rPr>
          <w:rFonts w:ascii="Arial" w:hAnsi="Arial" w:cs="Arial"/>
          <w:bCs/>
          <w:lang w:val="es-ES_tradnl"/>
        </w:rPr>
        <w:t xml:space="preserve"> no debiera </w:t>
      </w:r>
      <w:r w:rsidR="00A9402C" w:rsidRPr="002C10FF">
        <w:rPr>
          <w:rFonts w:ascii="Arial" w:hAnsi="Arial" w:cs="Arial"/>
          <w:bCs/>
          <w:lang w:val="es-ES_tradnl"/>
        </w:rPr>
        <w:t>soportar esa intervención legislativa</w:t>
      </w:r>
      <w:r w:rsidR="00071187" w:rsidRPr="002C10FF">
        <w:rPr>
          <w:rFonts w:ascii="Arial" w:hAnsi="Arial" w:cs="Arial"/>
          <w:bCs/>
          <w:lang w:val="es-ES_tradnl"/>
        </w:rPr>
        <w:t xml:space="preserve">, </w:t>
      </w:r>
      <w:r w:rsidR="00A9402C" w:rsidRPr="002C10FF">
        <w:rPr>
          <w:rFonts w:ascii="Arial" w:hAnsi="Arial" w:cs="Arial"/>
          <w:bCs/>
          <w:lang w:val="es-ES_tradnl"/>
        </w:rPr>
        <w:t>la expulsión de la norma remed</w:t>
      </w:r>
      <w:r w:rsidR="00674654" w:rsidRPr="002C10FF">
        <w:rPr>
          <w:rFonts w:ascii="Arial" w:hAnsi="Arial" w:cs="Arial"/>
          <w:bCs/>
          <w:lang w:val="es-ES_tradnl"/>
        </w:rPr>
        <w:t>i</w:t>
      </w:r>
      <w:r w:rsidR="00A9402C" w:rsidRPr="002C10FF">
        <w:rPr>
          <w:rFonts w:ascii="Arial" w:hAnsi="Arial" w:cs="Arial"/>
          <w:bCs/>
          <w:lang w:val="es-ES_tradnl"/>
        </w:rPr>
        <w:t xml:space="preserve">a la violación constitucional, pues permite que el mercado se libere de </w:t>
      </w:r>
      <w:r w:rsidR="002C10FF">
        <w:rPr>
          <w:rFonts w:ascii="Arial" w:hAnsi="Arial" w:cs="Arial"/>
          <w:bCs/>
          <w:lang w:val="es-ES_tradnl"/>
        </w:rPr>
        <w:t>es</w:t>
      </w:r>
      <w:r w:rsidR="00702ABE">
        <w:rPr>
          <w:rFonts w:ascii="Arial" w:hAnsi="Arial" w:cs="Arial"/>
          <w:bCs/>
          <w:lang w:val="es-ES_tradnl"/>
        </w:rPr>
        <w:t>t</w:t>
      </w:r>
      <w:r w:rsidR="002C10FF">
        <w:rPr>
          <w:rFonts w:ascii="Arial" w:hAnsi="Arial" w:cs="Arial"/>
          <w:bCs/>
          <w:lang w:val="es-ES_tradnl"/>
        </w:rPr>
        <w:t xml:space="preserve">a </w:t>
      </w:r>
      <w:r w:rsidR="00A9402C" w:rsidRPr="002C10FF">
        <w:rPr>
          <w:rFonts w:ascii="Arial" w:hAnsi="Arial" w:cs="Arial"/>
          <w:bCs/>
          <w:lang w:val="es-ES_tradnl"/>
        </w:rPr>
        <w:t xml:space="preserve">atadura </w:t>
      </w:r>
      <w:r w:rsidR="002C10FF">
        <w:rPr>
          <w:rFonts w:ascii="Arial" w:hAnsi="Arial" w:cs="Arial"/>
          <w:bCs/>
          <w:lang w:val="es-ES_tradnl"/>
        </w:rPr>
        <w:t xml:space="preserve">y se autorregule </w:t>
      </w:r>
      <w:r w:rsidR="00A9402C" w:rsidRPr="002C10FF">
        <w:rPr>
          <w:rFonts w:ascii="Arial" w:hAnsi="Arial" w:cs="Arial"/>
          <w:bCs/>
          <w:lang w:val="es-ES_tradnl"/>
        </w:rPr>
        <w:t>con las fuerzas de la oferta y la demanda.</w:t>
      </w:r>
      <w:r w:rsidR="00550A28">
        <w:rPr>
          <w:rFonts w:ascii="Arial" w:hAnsi="Arial" w:cs="Arial"/>
          <w:bCs/>
          <w:lang w:val="es-ES_tradnl"/>
        </w:rPr>
        <w:t xml:space="preserve"> </w:t>
      </w:r>
      <w:r w:rsidR="00543BAE" w:rsidRPr="007F5D05">
        <w:rPr>
          <w:rFonts w:ascii="Arial" w:hAnsi="Arial" w:cs="Arial"/>
          <w:bCs/>
          <w:lang w:val="es-ES_tradnl"/>
        </w:rPr>
        <w:t xml:space="preserve">Así </w:t>
      </w:r>
      <w:r w:rsidR="006A55D2">
        <w:rPr>
          <w:rFonts w:ascii="Arial" w:hAnsi="Arial" w:cs="Arial"/>
          <w:bCs/>
          <w:lang w:val="es-ES_tradnl"/>
        </w:rPr>
        <w:t>lo entendi</w:t>
      </w:r>
      <w:r w:rsidR="00D96F44">
        <w:rPr>
          <w:rFonts w:ascii="Arial" w:hAnsi="Arial" w:cs="Arial"/>
          <w:bCs/>
          <w:lang w:val="es-ES_tradnl"/>
        </w:rPr>
        <w:t>ó este Pleno cuando</w:t>
      </w:r>
      <w:r w:rsidR="00543BAE" w:rsidRPr="007F5D05">
        <w:rPr>
          <w:rFonts w:ascii="Arial" w:hAnsi="Arial" w:cs="Arial"/>
          <w:bCs/>
          <w:lang w:val="es-ES_tradnl"/>
        </w:rPr>
        <w:t xml:space="preserve"> </w:t>
      </w:r>
      <w:r w:rsidR="00C2557E" w:rsidRPr="007F5D05">
        <w:rPr>
          <w:rFonts w:ascii="Arial" w:hAnsi="Arial" w:cs="Arial"/>
          <w:bCs/>
          <w:lang w:val="es-ES_tradnl"/>
        </w:rPr>
        <w:t>fal</w:t>
      </w:r>
      <w:r w:rsidR="00702ABE">
        <w:rPr>
          <w:rFonts w:ascii="Arial" w:hAnsi="Arial" w:cs="Arial"/>
          <w:bCs/>
          <w:lang w:val="es-ES_tradnl"/>
        </w:rPr>
        <w:t>lamos</w:t>
      </w:r>
      <w:r w:rsidR="00C2557E" w:rsidRPr="007F5D05">
        <w:rPr>
          <w:rFonts w:ascii="Arial" w:hAnsi="Arial" w:cs="Arial"/>
          <w:bCs/>
          <w:lang w:val="es-ES_tradnl"/>
        </w:rPr>
        <w:t xml:space="preserve"> </w:t>
      </w:r>
      <w:r w:rsidR="00157890" w:rsidRPr="007F5D05">
        <w:rPr>
          <w:rFonts w:ascii="Arial" w:hAnsi="Arial" w:cs="Arial"/>
          <w:bCs/>
          <w:lang w:val="es-ES_tradnl"/>
        </w:rPr>
        <w:t>las acciones de inconstitucionalidad</w:t>
      </w:r>
      <w:r w:rsidR="00756F12" w:rsidRPr="007F5D05">
        <w:rPr>
          <w:rFonts w:ascii="Arial" w:hAnsi="Arial" w:cs="Arial"/>
          <w:bCs/>
          <w:lang w:val="es-ES_tradnl"/>
        </w:rPr>
        <w:t xml:space="preserve"> 63/2016 y</w:t>
      </w:r>
      <w:r w:rsidR="00157890" w:rsidRPr="007F5D05">
        <w:rPr>
          <w:rFonts w:ascii="Arial" w:hAnsi="Arial" w:cs="Arial"/>
          <w:bCs/>
          <w:lang w:val="es-ES_tradnl"/>
        </w:rPr>
        <w:t xml:space="preserve"> 13/2017</w:t>
      </w:r>
      <w:r w:rsidR="00756F12" w:rsidRPr="007F5D05">
        <w:rPr>
          <w:rFonts w:ascii="Arial" w:hAnsi="Arial" w:cs="Arial"/>
          <w:bCs/>
          <w:lang w:val="es-ES_tradnl"/>
        </w:rPr>
        <w:t xml:space="preserve">, </w:t>
      </w:r>
      <w:r w:rsidR="00E23D60" w:rsidRPr="007F5D05">
        <w:rPr>
          <w:rFonts w:ascii="Arial" w:hAnsi="Arial" w:cs="Arial"/>
          <w:bCs/>
          <w:lang w:val="es-ES_tradnl"/>
        </w:rPr>
        <w:t xml:space="preserve">resueltas </w:t>
      </w:r>
      <w:r w:rsidR="004104DC" w:rsidRPr="007F5D05">
        <w:rPr>
          <w:rFonts w:ascii="Arial" w:hAnsi="Arial" w:cs="Arial"/>
          <w:bCs/>
          <w:lang w:val="es-ES_tradnl"/>
        </w:rPr>
        <w:t xml:space="preserve">en sesiones </w:t>
      </w:r>
      <w:r w:rsidR="00C852CE" w:rsidRPr="007F5D05">
        <w:rPr>
          <w:rFonts w:ascii="Arial" w:hAnsi="Arial" w:cs="Arial"/>
          <w:bCs/>
          <w:lang w:val="es-ES_tradnl"/>
        </w:rPr>
        <w:t>d</w:t>
      </w:r>
      <w:r w:rsidR="00E23D60" w:rsidRPr="007F5D05">
        <w:rPr>
          <w:rFonts w:ascii="Arial" w:hAnsi="Arial" w:cs="Arial"/>
          <w:bCs/>
          <w:lang w:val="es-ES_tradnl"/>
        </w:rPr>
        <w:t xml:space="preserve">e </w:t>
      </w:r>
      <w:r w:rsidR="00607FB7" w:rsidRPr="007F5D05">
        <w:rPr>
          <w:rFonts w:ascii="Arial" w:hAnsi="Arial" w:cs="Arial"/>
          <w:bCs/>
          <w:lang w:val="es-ES_tradnl"/>
        </w:rPr>
        <w:t xml:space="preserve">25 </w:t>
      </w:r>
      <w:r w:rsidR="00756F12" w:rsidRPr="007F5D05">
        <w:rPr>
          <w:rFonts w:ascii="Arial" w:hAnsi="Arial" w:cs="Arial"/>
          <w:bCs/>
          <w:lang w:val="es-ES_tradnl"/>
        </w:rPr>
        <w:t>de mayo de</w:t>
      </w:r>
      <w:r w:rsidR="001F6D25" w:rsidRPr="007F5D05">
        <w:rPr>
          <w:rFonts w:ascii="Arial" w:hAnsi="Arial" w:cs="Arial"/>
          <w:bCs/>
          <w:lang w:val="es-ES_tradnl"/>
        </w:rPr>
        <w:t xml:space="preserve"> 2017 </w:t>
      </w:r>
      <w:r w:rsidR="00756F12" w:rsidRPr="007F5D05">
        <w:rPr>
          <w:rFonts w:ascii="Arial" w:hAnsi="Arial" w:cs="Arial"/>
          <w:bCs/>
          <w:lang w:val="es-ES_tradnl"/>
        </w:rPr>
        <w:t xml:space="preserve">y </w:t>
      </w:r>
      <w:r w:rsidR="00A65AE5" w:rsidRPr="007F5D05">
        <w:rPr>
          <w:rFonts w:ascii="Arial" w:hAnsi="Arial" w:cs="Arial"/>
          <w:bCs/>
          <w:lang w:val="es-ES_tradnl"/>
        </w:rPr>
        <w:t xml:space="preserve">de </w:t>
      </w:r>
      <w:r w:rsidR="00023E30" w:rsidRPr="007F5D05">
        <w:rPr>
          <w:rFonts w:ascii="Arial" w:hAnsi="Arial" w:cs="Arial"/>
          <w:bCs/>
          <w:lang w:val="es-ES_tradnl"/>
        </w:rPr>
        <w:t>16 d</w:t>
      </w:r>
      <w:r w:rsidR="00756F12" w:rsidRPr="007F5D05">
        <w:rPr>
          <w:rFonts w:ascii="Arial" w:hAnsi="Arial" w:cs="Arial"/>
          <w:bCs/>
          <w:lang w:val="es-ES_tradnl"/>
        </w:rPr>
        <w:t xml:space="preserve">e octubre de </w:t>
      </w:r>
      <w:r w:rsidR="00023E30" w:rsidRPr="007F5D05">
        <w:rPr>
          <w:rFonts w:ascii="Arial" w:hAnsi="Arial" w:cs="Arial"/>
          <w:bCs/>
          <w:lang w:val="es-ES_tradnl"/>
        </w:rPr>
        <w:t>2018,</w:t>
      </w:r>
      <w:r w:rsidR="00E23D60" w:rsidRPr="007F5D05">
        <w:rPr>
          <w:rFonts w:ascii="Arial" w:hAnsi="Arial" w:cs="Arial"/>
          <w:bCs/>
          <w:lang w:val="es-ES_tradnl"/>
        </w:rPr>
        <w:t xml:space="preserve"> respectivamente. </w:t>
      </w:r>
      <w:r w:rsidR="00392A66" w:rsidRPr="007F5D05">
        <w:rPr>
          <w:rFonts w:ascii="Arial" w:hAnsi="Arial" w:cs="Arial"/>
          <w:bCs/>
          <w:lang w:val="es-ES_tradnl"/>
        </w:rPr>
        <w:t xml:space="preserve">En el primer </w:t>
      </w:r>
      <w:r w:rsidR="00ED7705" w:rsidRPr="007F5D05">
        <w:rPr>
          <w:rFonts w:ascii="Arial" w:hAnsi="Arial" w:cs="Arial"/>
          <w:bCs/>
          <w:lang w:val="es-ES_tradnl"/>
        </w:rPr>
        <w:t>caso</w:t>
      </w:r>
      <w:r w:rsidR="00D96F44">
        <w:rPr>
          <w:rFonts w:ascii="Arial" w:hAnsi="Arial" w:cs="Arial"/>
          <w:bCs/>
          <w:lang w:val="es-ES_tradnl"/>
        </w:rPr>
        <w:t xml:space="preserve">, discernimos  </w:t>
      </w:r>
      <w:r w:rsidR="00E23D60" w:rsidRPr="007F5D05">
        <w:rPr>
          <w:rFonts w:ascii="Arial" w:hAnsi="Arial" w:cs="Arial"/>
          <w:bCs/>
          <w:lang w:val="es-ES_tradnl"/>
        </w:rPr>
        <w:t xml:space="preserve"> </w:t>
      </w:r>
      <w:r w:rsidR="004A34C5" w:rsidRPr="007F5D05">
        <w:rPr>
          <w:rFonts w:ascii="Arial" w:hAnsi="Arial" w:cs="Arial"/>
          <w:bCs/>
          <w:lang w:val="es-ES_tradnl"/>
        </w:rPr>
        <w:t xml:space="preserve">sobre </w:t>
      </w:r>
      <w:r w:rsidR="00392A66" w:rsidRPr="007F5D05">
        <w:rPr>
          <w:rFonts w:ascii="Arial" w:hAnsi="Arial" w:cs="Arial"/>
          <w:bCs/>
          <w:lang w:val="es-ES_tradnl"/>
        </w:rPr>
        <w:t>la validez de la Ley de Transporte de Yucatán</w:t>
      </w:r>
      <w:r w:rsidR="00ED7705" w:rsidRPr="007F5D05">
        <w:rPr>
          <w:rFonts w:ascii="Arial" w:hAnsi="Arial" w:cs="Arial"/>
          <w:bCs/>
          <w:lang w:val="es-ES_tradnl"/>
        </w:rPr>
        <w:t xml:space="preserve">; </w:t>
      </w:r>
      <w:r w:rsidR="00392A66" w:rsidRPr="007F5D05">
        <w:rPr>
          <w:rFonts w:ascii="Arial" w:hAnsi="Arial" w:cs="Arial"/>
          <w:bCs/>
          <w:lang w:val="es-ES_tradnl"/>
        </w:rPr>
        <w:t>e</w:t>
      </w:r>
      <w:r w:rsidR="00756F12" w:rsidRPr="007F5D05">
        <w:rPr>
          <w:rFonts w:ascii="Arial" w:hAnsi="Arial" w:cs="Arial"/>
          <w:bCs/>
          <w:lang w:val="es-ES_tradnl"/>
        </w:rPr>
        <w:t>n el segundo</w:t>
      </w:r>
      <w:r w:rsidR="00ED7705" w:rsidRPr="007F5D05">
        <w:rPr>
          <w:rFonts w:ascii="Arial" w:hAnsi="Arial" w:cs="Arial"/>
          <w:bCs/>
          <w:lang w:val="es-ES_tradnl"/>
        </w:rPr>
        <w:t>,</w:t>
      </w:r>
      <w:r w:rsidR="00756F12" w:rsidRPr="007F5D05">
        <w:rPr>
          <w:rFonts w:ascii="Arial" w:hAnsi="Arial" w:cs="Arial"/>
          <w:bCs/>
          <w:lang w:val="es-ES_tradnl"/>
        </w:rPr>
        <w:t xml:space="preserve"> </w:t>
      </w:r>
      <w:r w:rsidR="004A34C5" w:rsidRPr="007F5D05">
        <w:rPr>
          <w:rFonts w:ascii="Arial" w:hAnsi="Arial" w:cs="Arial"/>
          <w:bCs/>
          <w:lang w:val="es-ES_tradnl"/>
        </w:rPr>
        <w:t xml:space="preserve">sobre </w:t>
      </w:r>
      <w:r w:rsidR="00756F12" w:rsidRPr="007F5D05">
        <w:rPr>
          <w:rFonts w:ascii="Arial" w:hAnsi="Arial" w:cs="Arial"/>
          <w:bCs/>
          <w:lang w:val="es-ES_tradnl"/>
        </w:rPr>
        <w:t>la validez de algunas de las disposiciones de la Ley de Movilidad de Colima</w:t>
      </w:r>
      <w:r w:rsidR="00392A66" w:rsidRPr="007F5D05">
        <w:rPr>
          <w:rFonts w:ascii="Arial" w:hAnsi="Arial" w:cs="Arial"/>
          <w:bCs/>
          <w:lang w:val="es-ES_tradnl"/>
        </w:rPr>
        <w:t>. En ambos asuntos se declaró la invalidez de porciones normativas</w:t>
      </w:r>
      <w:r w:rsidR="00B77662" w:rsidRPr="007F5D05">
        <w:rPr>
          <w:rFonts w:ascii="Arial" w:hAnsi="Arial" w:cs="Arial"/>
          <w:bCs/>
          <w:lang w:val="es-ES_tradnl"/>
        </w:rPr>
        <w:t xml:space="preserve"> </w:t>
      </w:r>
      <w:r w:rsidR="004A34C5" w:rsidRPr="007F5D05">
        <w:rPr>
          <w:rFonts w:ascii="Arial" w:hAnsi="Arial" w:cs="Arial"/>
          <w:bCs/>
          <w:lang w:val="es-ES_tradnl"/>
        </w:rPr>
        <w:t xml:space="preserve">por </w:t>
      </w:r>
      <w:r w:rsidR="00D57803">
        <w:rPr>
          <w:rFonts w:ascii="Arial" w:hAnsi="Arial" w:cs="Arial"/>
          <w:bCs/>
          <w:lang w:val="es-ES_tradnl"/>
        </w:rPr>
        <w:t xml:space="preserve">constituir </w:t>
      </w:r>
      <w:r w:rsidR="00392A66" w:rsidRPr="007F5D05">
        <w:rPr>
          <w:rFonts w:ascii="Arial" w:hAnsi="Arial" w:cs="Arial"/>
          <w:bCs/>
          <w:lang w:val="es-ES_tradnl"/>
        </w:rPr>
        <w:t xml:space="preserve">barreras de entrada al mercado de transporte privado accesible </w:t>
      </w:r>
      <w:r w:rsidR="00B77662" w:rsidRPr="007F5D05">
        <w:rPr>
          <w:rFonts w:ascii="Arial" w:hAnsi="Arial" w:cs="Arial"/>
          <w:bCs/>
          <w:lang w:val="es-ES_tradnl"/>
        </w:rPr>
        <w:t>mediante las</w:t>
      </w:r>
      <w:r w:rsidR="00392A66" w:rsidRPr="007F5D05">
        <w:rPr>
          <w:rFonts w:ascii="Arial" w:hAnsi="Arial" w:cs="Arial"/>
          <w:bCs/>
          <w:lang w:val="es-ES_tradnl"/>
        </w:rPr>
        <w:t xml:space="preserve"> plataformas tecnológicas. En algunas de esas decisiones yo formé parte de la mayoría.</w:t>
      </w:r>
      <w:r w:rsidR="00550A28">
        <w:rPr>
          <w:rFonts w:ascii="Arial" w:hAnsi="Arial" w:cs="Arial"/>
          <w:bCs/>
          <w:lang w:val="es-ES_tradnl"/>
        </w:rPr>
        <w:t xml:space="preserve"> </w:t>
      </w:r>
      <w:r w:rsidR="00A9402C">
        <w:rPr>
          <w:rFonts w:ascii="Arial" w:hAnsi="Arial" w:cs="Arial"/>
          <w:bCs/>
          <w:lang w:val="es-ES_tradnl"/>
        </w:rPr>
        <w:t>En ambos casos, est</w:t>
      </w:r>
      <w:r w:rsidR="00A24FB3">
        <w:rPr>
          <w:rFonts w:ascii="Arial" w:hAnsi="Arial" w:cs="Arial"/>
          <w:bCs/>
          <w:lang w:val="es-ES_tradnl"/>
        </w:rPr>
        <w:t>e</w:t>
      </w:r>
      <w:r w:rsidR="00A9402C">
        <w:rPr>
          <w:rFonts w:ascii="Arial" w:hAnsi="Arial" w:cs="Arial"/>
          <w:bCs/>
          <w:lang w:val="es-ES_tradnl"/>
        </w:rPr>
        <w:t xml:space="preserve"> Tribunal Pleno se </w:t>
      </w:r>
      <w:r w:rsidR="00317585">
        <w:rPr>
          <w:rFonts w:ascii="Arial" w:hAnsi="Arial" w:cs="Arial"/>
          <w:bCs/>
          <w:lang w:val="es-ES_tradnl"/>
        </w:rPr>
        <w:t xml:space="preserve">aseguró de </w:t>
      </w:r>
      <w:r w:rsidR="00A9402C">
        <w:rPr>
          <w:rFonts w:ascii="Arial" w:hAnsi="Arial" w:cs="Arial"/>
          <w:bCs/>
          <w:lang w:val="es-ES_tradnl"/>
        </w:rPr>
        <w:t>que la eventual declaratoria de inconstitucionalidad remedi</w:t>
      </w:r>
      <w:r w:rsidR="00317585">
        <w:rPr>
          <w:rFonts w:ascii="Arial" w:hAnsi="Arial" w:cs="Arial"/>
          <w:bCs/>
          <w:lang w:val="es-ES_tradnl"/>
        </w:rPr>
        <w:t>ara el</w:t>
      </w:r>
      <w:r w:rsidR="00A9402C">
        <w:rPr>
          <w:rFonts w:ascii="Arial" w:hAnsi="Arial" w:cs="Arial"/>
          <w:bCs/>
          <w:lang w:val="es-ES_tradnl"/>
        </w:rPr>
        <w:t xml:space="preserve"> vicio al eliminarse el obstáculo de ingreso al mercado</w:t>
      </w:r>
      <w:r w:rsidR="0052580B">
        <w:rPr>
          <w:rFonts w:ascii="Arial" w:hAnsi="Arial" w:cs="Arial"/>
          <w:bCs/>
          <w:lang w:val="es-ES_tradnl"/>
        </w:rPr>
        <w:t xml:space="preserve"> y permitiera </w:t>
      </w:r>
      <w:r w:rsidR="00A9402C">
        <w:rPr>
          <w:rFonts w:ascii="Arial" w:hAnsi="Arial" w:cs="Arial"/>
          <w:bCs/>
          <w:lang w:val="es-ES_tradnl"/>
        </w:rPr>
        <w:t xml:space="preserve">que éste se autorregulara. </w:t>
      </w:r>
    </w:p>
    <w:p w14:paraId="7FDDCE8B" w14:textId="77777777" w:rsidR="00B9176F" w:rsidRDefault="00B9176F" w:rsidP="000456B2">
      <w:pPr>
        <w:spacing w:line="360" w:lineRule="auto"/>
        <w:jc w:val="both"/>
        <w:rPr>
          <w:rFonts w:ascii="Arial" w:hAnsi="Arial" w:cs="Arial"/>
          <w:bCs/>
          <w:lang w:val="es-ES_tradnl"/>
        </w:rPr>
      </w:pPr>
    </w:p>
    <w:p w14:paraId="126CCA57" w14:textId="444AAD0E" w:rsidR="00E62ACE" w:rsidRDefault="0052580B" w:rsidP="000456B2">
      <w:pPr>
        <w:spacing w:line="360" w:lineRule="auto"/>
        <w:jc w:val="both"/>
        <w:rPr>
          <w:rFonts w:ascii="Arial" w:hAnsi="Arial" w:cs="Arial"/>
          <w:bCs/>
          <w:lang w:val="es-ES_tradnl"/>
        </w:rPr>
      </w:pPr>
      <w:r>
        <w:rPr>
          <w:rFonts w:ascii="Arial" w:hAnsi="Arial" w:cs="Arial"/>
          <w:bCs/>
          <w:lang w:val="es-ES_tradnl"/>
        </w:rPr>
        <w:t xml:space="preserve">En </w:t>
      </w:r>
      <w:r w:rsidR="00BB4563" w:rsidRPr="00847234">
        <w:rPr>
          <w:rFonts w:ascii="Arial" w:hAnsi="Arial" w:cs="Arial"/>
          <w:bCs/>
          <w:lang w:val="es-ES_tradnl"/>
        </w:rPr>
        <w:t xml:space="preserve">aquellos casos, el mercado del servicio de transporte privado prestado a través de determinadas plataformas tecnológicas surgió de la iniciativa privada, donde los agentes económicos eran privados y </w:t>
      </w:r>
      <w:r w:rsidR="00921762" w:rsidRPr="00847234">
        <w:rPr>
          <w:rFonts w:ascii="Arial" w:hAnsi="Arial" w:cs="Arial"/>
          <w:bCs/>
          <w:lang w:val="es-ES_tradnl"/>
        </w:rPr>
        <w:t xml:space="preserve">donde </w:t>
      </w:r>
      <w:r w:rsidR="00BB4563" w:rsidRPr="00847234">
        <w:rPr>
          <w:rFonts w:ascii="Arial" w:hAnsi="Arial" w:cs="Arial"/>
          <w:bCs/>
          <w:lang w:val="es-ES_tradnl"/>
        </w:rPr>
        <w:t xml:space="preserve">ninguno de ellos contaba con una protección constitucional para prestar ese servicio de manera </w:t>
      </w:r>
      <w:r w:rsidR="00974A1C" w:rsidRPr="00847234">
        <w:rPr>
          <w:rFonts w:ascii="Arial" w:hAnsi="Arial" w:cs="Arial"/>
          <w:bCs/>
          <w:lang w:val="es-ES_tradnl"/>
        </w:rPr>
        <w:t>cuasi</w:t>
      </w:r>
      <w:r w:rsidR="00BB4563" w:rsidRPr="00847234">
        <w:rPr>
          <w:rFonts w:ascii="Arial" w:hAnsi="Arial" w:cs="Arial"/>
          <w:bCs/>
          <w:lang w:val="es-ES_tradnl"/>
        </w:rPr>
        <w:t xml:space="preserve"> monopólica. </w:t>
      </w:r>
      <w:r w:rsidR="00C96F17" w:rsidRPr="00847234">
        <w:rPr>
          <w:rFonts w:ascii="Arial" w:hAnsi="Arial" w:cs="Arial"/>
          <w:bCs/>
          <w:lang w:val="es-ES_tradnl"/>
        </w:rPr>
        <w:t>En</w:t>
      </w:r>
      <w:r w:rsidR="00BB4563" w:rsidRPr="00847234">
        <w:rPr>
          <w:rFonts w:ascii="Arial" w:hAnsi="Arial" w:cs="Arial"/>
          <w:bCs/>
          <w:lang w:val="es-ES_tradnl"/>
        </w:rPr>
        <w:t xml:space="preserve"> ambos casos</w:t>
      </w:r>
      <w:r w:rsidR="00C96F17" w:rsidRPr="00847234">
        <w:rPr>
          <w:rFonts w:ascii="Arial" w:hAnsi="Arial" w:cs="Arial"/>
          <w:bCs/>
          <w:lang w:val="es-ES_tradnl"/>
        </w:rPr>
        <w:t>, cuando</w:t>
      </w:r>
      <w:r w:rsidR="00BB4563" w:rsidRPr="00847234">
        <w:rPr>
          <w:rFonts w:ascii="Arial" w:hAnsi="Arial" w:cs="Arial"/>
          <w:bCs/>
          <w:lang w:val="es-ES_tradnl"/>
        </w:rPr>
        <w:t xml:space="preserve"> las legislaturas estatales </w:t>
      </w:r>
      <w:r w:rsidR="00E03E0D" w:rsidRPr="00847234">
        <w:rPr>
          <w:rFonts w:ascii="Arial" w:hAnsi="Arial" w:cs="Arial"/>
          <w:bCs/>
          <w:lang w:val="es-ES_tradnl"/>
        </w:rPr>
        <w:t xml:space="preserve">reglamentaron el </w:t>
      </w:r>
      <w:r w:rsidR="00BB4563" w:rsidRPr="00847234">
        <w:rPr>
          <w:rFonts w:ascii="Arial" w:hAnsi="Arial" w:cs="Arial"/>
          <w:bCs/>
          <w:lang w:val="es-ES_tradnl"/>
        </w:rPr>
        <w:t xml:space="preserve">mercado, </w:t>
      </w:r>
      <w:r w:rsidR="00E03E0D" w:rsidRPr="00847234">
        <w:rPr>
          <w:rFonts w:ascii="Arial" w:hAnsi="Arial" w:cs="Arial"/>
          <w:bCs/>
          <w:lang w:val="es-ES_tradnl"/>
        </w:rPr>
        <w:t xml:space="preserve">la supervisión constitucional </w:t>
      </w:r>
      <w:r w:rsidR="00C96F17" w:rsidRPr="00847234">
        <w:rPr>
          <w:rFonts w:ascii="Arial" w:hAnsi="Arial" w:cs="Arial"/>
          <w:bCs/>
          <w:lang w:val="es-ES_tradnl"/>
        </w:rPr>
        <w:t xml:space="preserve">se dirigió </w:t>
      </w:r>
      <w:r w:rsidR="000C47FA" w:rsidRPr="00847234">
        <w:rPr>
          <w:rFonts w:ascii="Arial" w:hAnsi="Arial" w:cs="Arial"/>
          <w:bCs/>
          <w:lang w:val="es-ES_tradnl"/>
        </w:rPr>
        <w:t xml:space="preserve">a </w:t>
      </w:r>
      <w:r w:rsidR="00BB4563" w:rsidRPr="00847234">
        <w:rPr>
          <w:rFonts w:ascii="Arial" w:hAnsi="Arial" w:cs="Arial"/>
          <w:bCs/>
          <w:lang w:val="es-ES_tradnl"/>
        </w:rPr>
        <w:t>contra</w:t>
      </w:r>
      <w:r w:rsidR="00C96F17" w:rsidRPr="00847234">
        <w:rPr>
          <w:rFonts w:ascii="Arial" w:hAnsi="Arial" w:cs="Arial"/>
          <w:bCs/>
          <w:lang w:val="es-ES_tradnl"/>
        </w:rPr>
        <w:t>s</w:t>
      </w:r>
      <w:r w:rsidR="00BB4563" w:rsidRPr="00847234">
        <w:rPr>
          <w:rFonts w:ascii="Arial" w:hAnsi="Arial" w:cs="Arial"/>
          <w:bCs/>
          <w:lang w:val="es-ES_tradnl"/>
        </w:rPr>
        <w:t xml:space="preserve">tar esas medidas legislativas </w:t>
      </w:r>
      <w:r w:rsidR="000C47FA" w:rsidRPr="00847234">
        <w:rPr>
          <w:rFonts w:ascii="Arial" w:hAnsi="Arial" w:cs="Arial"/>
          <w:bCs/>
          <w:lang w:val="es-ES_tradnl"/>
        </w:rPr>
        <w:t xml:space="preserve">con </w:t>
      </w:r>
      <w:r w:rsidR="00BB4563" w:rsidRPr="00847234">
        <w:rPr>
          <w:rFonts w:ascii="Arial" w:hAnsi="Arial" w:cs="Arial"/>
          <w:bCs/>
          <w:lang w:val="es-ES_tradnl"/>
        </w:rPr>
        <w:t>los principios del artículo 28 constitucional</w:t>
      </w:r>
      <w:r w:rsidR="000C47FA" w:rsidRPr="00847234">
        <w:rPr>
          <w:rFonts w:ascii="Arial" w:hAnsi="Arial" w:cs="Arial"/>
          <w:bCs/>
          <w:lang w:val="es-ES_tradnl"/>
        </w:rPr>
        <w:t xml:space="preserve">. El propósito </w:t>
      </w:r>
      <w:r w:rsidR="00BB4563" w:rsidRPr="00847234">
        <w:rPr>
          <w:rFonts w:ascii="Arial" w:hAnsi="Arial" w:cs="Arial"/>
          <w:bCs/>
          <w:lang w:val="es-ES_tradnl"/>
        </w:rPr>
        <w:t xml:space="preserve">remedial </w:t>
      </w:r>
      <w:r w:rsidR="0091550B" w:rsidRPr="00847234">
        <w:rPr>
          <w:rFonts w:ascii="Arial" w:hAnsi="Arial" w:cs="Arial"/>
          <w:bCs/>
          <w:lang w:val="es-ES_tradnl"/>
        </w:rPr>
        <w:t>era obvio:</w:t>
      </w:r>
      <w:r w:rsidR="00BB4563" w:rsidRPr="00847234">
        <w:rPr>
          <w:rFonts w:ascii="Arial" w:hAnsi="Arial" w:cs="Arial"/>
          <w:bCs/>
          <w:lang w:val="es-ES_tradnl"/>
        </w:rPr>
        <w:t xml:space="preserve"> si </w:t>
      </w:r>
      <w:r w:rsidR="0091550B" w:rsidRPr="00847234">
        <w:rPr>
          <w:rFonts w:ascii="Arial" w:hAnsi="Arial" w:cs="Arial"/>
          <w:bCs/>
          <w:lang w:val="es-ES_tradnl"/>
        </w:rPr>
        <w:t>la legislación estatal fuera hallada inconstitucional, e</w:t>
      </w:r>
      <w:r w:rsidR="00031479" w:rsidRPr="00847234">
        <w:rPr>
          <w:rFonts w:ascii="Arial" w:hAnsi="Arial" w:cs="Arial"/>
          <w:bCs/>
          <w:lang w:val="es-ES_tradnl"/>
        </w:rPr>
        <w:t>se</w:t>
      </w:r>
      <w:r w:rsidR="0091550B" w:rsidRPr="00847234">
        <w:rPr>
          <w:rFonts w:ascii="Arial" w:hAnsi="Arial" w:cs="Arial"/>
          <w:bCs/>
          <w:lang w:val="es-ES_tradnl"/>
        </w:rPr>
        <w:t xml:space="preserve"> régimen</w:t>
      </w:r>
      <w:r w:rsidR="001C726F" w:rsidRPr="00847234">
        <w:rPr>
          <w:rFonts w:ascii="Arial" w:hAnsi="Arial" w:cs="Arial"/>
          <w:bCs/>
          <w:lang w:val="es-ES_tradnl"/>
        </w:rPr>
        <w:t xml:space="preserve"> sería expulsado del </w:t>
      </w:r>
      <w:r w:rsidR="00BB4563" w:rsidRPr="00847234">
        <w:rPr>
          <w:rFonts w:ascii="Arial" w:hAnsi="Arial" w:cs="Arial"/>
          <w:bCs/>
          <w:lang w:val="es-ES_tradnl"/>
        </w:rPr>
        <w:t>sistema</w:t>
      </w:r>
      <w:r w:rsidR="00745436" w:rsidRPr="00847234">
        <w:rPr>
          <w:rFonts w:ascii="Arial" w:hAnsi="Arial" w:cs="Arial"/>
          <w:bCs/>
          <w:lang w:val="es-ES_tradnl"/>
        </w:rPr>
        <w:t xml:space="preserve"> y </w:t>
      </w:r>
      <w:r w:rsidR="001C726F" w:rsidRPr="00847234">
        <w:rPr>
          <w:rFonts w:ascii="Arial" w:hAnsi="Arial" w:cs="Arial"/>
          <w:bCs/>
          <w:lang w:val="es-ES_tradnl"/>
        </w:rPr>
        <w:t xml:space="preserve">el mercado quedaba en libertad para autorregularse. </w:t>
      </w:r>
    </w:p>
    <w:p w14:paraId="353F5237" w14:textId="77777777" w:rsidR="00A86702" w:rsidRDefault="00A86702" w:rsidP="000456B2">
      <w:pPr>
        <w:spacing w:line="360" w:lineRule="auto"/>
        <w:jc w:val="both"/>
        <w:rPr>
          <w:rFonts w:ascii="Arial" w:hAnsi="Arial" w:cs="Arial"/>
          <w:bCs/>
          <w:lang w:val="es-ES_tradnl"/>
        </w:rPr>
      </w:pPr>
    </w:p>
    <w:p w14:paraId="621B4293" w14:textId="30154319" w:rsidR="00A9402C" w:rsidRPr="00847234" w:rsidRDefault="00A86702" w:rsidP="000456B2">
      <w:pPr>
        <w:spacing w:line="360" w:lineRule="auto"/>
        <w:jc w:val="both"/>
        <w:rPr>
          <w:rFonts w:ascii="Arial" w:hAnsi="Arial" w:cs="Arial"/>
          <w:bCs/>
          <w:lang w:val="es-ES_tradnl"/>
        </w:rPr>
      </w:pPr>
      <w:r w:rsidRPr="00E47405">
        <w:rPr>
          <w:rFonts w:ascii="Arial" w:hAnsi="Arial" w:cs="Arial"/>
          <w:bCs/>
          <w:lang w:val="es-ES_tradnl"/>
        </w:rPr>
        <w:t xml:space="preserve">No es el </w:t>
      </w:r>
      <w:r w:rsidR="00A9402C" w:rsidRPr="00E47405">
        <w:rPr>
          <w:rFonts w:ascii="Arial" w:hAnsi="Arial" w:cs="Arial"/>
          <w:bCs/>
          <w:lang w:val="es-ES_tradnl"/>
        </w:rPr>
        <w:t>caso de la Ley de la Industria Eléctrica</w:t>
      </w:r>
      <w:r w:rsidR="00721355">
        <w:rPr>
          <w:rFonts w:ascii="Arial" w:hAnsi="Arial" w:cs="Arial"/>
          <w:bCs/>
          <w:lang w:val="es-ES_tradnl"/>
        </w:rPr>
        <w:t xml:space="preserve">. Una </w:t>
      </w:r>
      <w:r w:rsidR="00A9402C" w:rsidRPr="00E47405">
        <w:rPr>
          <w:rFonts w:ascii="Arial" w:hAnsi="Arial" w:cs="Arial"/>
          <w:bCs/>
          <w:lang w:val="es-ES_tradnl"/>
        </w:rPr>
        <w:t>eventual declaratoria de inconstitucional</w:t>
      </w:r>
      <w:r w:rsidR="00D557B0">
        <w:rPr>
          <w:rFonts w:ascii="Arial" w:hAnsi="Arial" w:cs="Arial"/>
          <w:bCs/>
          <w:lang w:val="es-ES_tradnl"/>
        </w:rPr>
        <w:t>idad</w:t>
      </w:r>
      <w:r w:rsidR="00A9402C" w:rsidRPr="00E47405">
        <w:rPr>
          <w:rFonts w:ascii="Arial" w:hAnsi="Arial" w:cs="Arial"/>
          <w:bCs/>
          <w:lang w:val="es-ES_tradnl"/>
        </w:rPr>
        <w:t xml:space="preserve"> no reme</w:t>
      </w:r>
      <w:r w:rsidR="003C24BD">
        <w:rPr>
          <w:rFonts w:ascii="Arial" w:hAnsi="Arial" w:cs="Arial"/>
          <w:bCs/>
          <w:lang w:val="es-ES_tradnl"/>
        </w:rPr>
        <w:t>dia</w:t>
      </w:r>
      <w:r w:rsidR="00A9402C" w:rsidRPr="00E47405">
        <w:rPr>
          <w:rFonts w:ascii="Arial" w:hAnsi="Arial" w:cs="Arial"/>
          <w:bCs/>
          <w:lang w:val="es-ES_tradnl"/>
        </w:rPr>
        <w:t>ría el vicio</w:t>
      </w:r>
      <w:r w:rsidR="00984E04">
        <w:rPr>
          <w:rFonts w:ascii="Arial" w:hAnsi="Arial" w:cs="Arial"/>
          <w:bCs/>
          <w:lang w:val="es-ES_tradnl"/>
        </w:rPr>
        <w:t xml:space="preserve">: </w:t>
      </w:r>
      <w:r w:rsidR="00A9402C" w:rsidRPr="00E47405">
        <w:rPr>
          <w:rFonts w:ascii="Arial" w:hAnsi="Arial" w:cs="Arial"/>
          <w:bCs/>
          <w:lang w:val="es-ES_tradnl"/>
        </w:rPr>
        <w:t>la expulsión de las normas impugnadas no</w:t>
      </w:r>
      <w:r w:rsidR="009117BB" w:rsidRPr="00E47405">
        <w:rPr>
          <w:rFonts w:ascii="Arial" w:hAnsi="Arial" w:cs="Arial"/>
          <w:bCs/>
          <w:lang w:val="es-ES_tradnl"/>
        </w:rPr>
        <w:t xml:space="preserve"> </w:t>
      </w:r>
      <w:r w:rsidR="0063597F">
        <w:rPr>
          <w:rFonts w:ascii="Arial" w:hAnsi="Arial" w:cs="Arial"/>
          <w:bCs/>
          <w:lang w:val="es-ES_tradnl"/>
        </w:rPr>
        <w:t>causaría</w:t>
      </w:r>
      <w:r w:rsidR="009117BB" w:rsidRPr="00E47405">
        <w:rPr>
          <w:rFonts w:ascii="Arial" w:hAnsi="Arial" w:cs="Arial"/>
          <w:bCs/>
          <w:lang w:val="es-ES_tradnl"/>
        </w:rPr>
        <w:t xml:space="preserve"> </w:t>
      </w:r>
      <w:r w:rsidR="00A9402C" w:rsidRPr="00E47405">
        <w:rPr>
          <w:rFonts w:ascii="Arial" w:hAnsi="Arial" w:cs="Arial"/>
          <w:bCs/>
          <w:lang w:val="es-ES_tradnl"/>
        </w:rPr>
        <w:t xml:space="preserve">que el mercado de generación de energía eléctrica se </w:t>
      </w:r>
      <w:r w:rsidR="009117BB" w:rsidRPr="00E47405">
        <w:rPr>
          <w:rFonts w:ascii="Arial" w:hAnsi="Arial" w:cs="Arial"/>
          <w:bCs/>
          <w:lang w:val="es-ES_tradnl"/>
        </w:rPr>
        <w:t>autorregule</w:t>
      </w:r>
      <w:r w:rsidR="00A9402C" w:rsidRPr="00E47405">
        <w:rPr>
          <w:rFonts w:ascii="Arial" w:hAnsi="Arial" w:cs="Arial"/>
          <w:bCs/>
          <w:lang w:val="es-ES_tradnl"/>
        </w:rPr>
        <w:t xml:space="preserve"> para </w:t>
      </w:r>
      <w:r w:rsidR="00A9402C" w:rsidRPr="00E47405">
        <w:rPr>
          <w:rFonts w:ascii="Arial" w:hAnsi="Arial" w:cs="Arial"/>
          <w:bCs/>
          <w:lang w:val="es-ES_tradnl"/>
        </w:rPr>
        <w:lastRenderedPageBreak/>
        <w:t>maximizar los principios de libre competencia y concurrencia</w:t>
      </w:r>
      <w:r w:rsidR="0075713D" w:rsidRPr="00E47405">
        <w:rPr>
          <w:rFonts w:ascii="Arial" w:hAnsi="Arial" w:cs="Arial"/>
          <w:bCs/>
          <w:lang w:val="es-ES_tradnl"/>
        </w:rPr>
        <w:t xml:space="preserve">. En </w:t>
      </w:r>
      <w:r w:rsidR="00D136A0" w:rsidRPr="00E47405">
        <w:rPr>
          <w:rFonts w:ascii="Arial" w:hAnsi="Arial" w:cs="Arial"/>
          <w:bCs/>
          <w:lang w:val="es-ES_tradnl"/>
        </w:rPr>
        <w:t>este mercado</w:t>
      </w:r>
      <w:r w:rsidR="0075713D" w:rsidRPr="00E47405">
        <w:rPr>
          <w:rFonts w:ascii="Arial" w:hAnsi="Arial" w:cs="Arial"/>
          <w:bCs/>
          <w:lang w:val="es-ES_tradnl"/>
        </w:rPr>
        <w:t xml:space="preserve"> </w:t>
      </w:r>
      <w:r w:rsidR="00A9402C" w:rsidRPr="00E47405">
        <w:rPr>
          <w:rFonts w:ascii="Arial" w:hAnsi="Arial" w:cs="Arial"/>
          <w:bCs/>
          <w:lang w:val="es-ES_tradnl"/>
        </w:rPr>
        <w:t xml:space="preserve">existe </w:t>
      </w:r>
      <w:r w:rsidR="0075713D" w:rsidRPr="00E47405">
        <w:rPr>
          <w:rFonts w:ascii="Arial" w:hAnsi="Arial" w:cs="Arial"/>
          <w:bCs/>
          <w:lang w:val="es-ES_tradnl"/>
        </w:rPr>
        <w:t xml:space="preserve">ya </w:t>
      </w:r>
      <w:r w:rsidR="00A9402C" w:rsidRPr="00E47405">
        <w:rPr>
          <w:rFonts w:ascii="Arial" w:hAnsi="Arial" w:cs="Arial"/>
          <w:bCs/>
          <w:lang w:val="es-ES_tradnl"/>
        </w:rPr>
        <w:t>un agente preponderant</w:t>
      </w:r>
      <w:r w:rsidR="0075713D" w:rsidRPr="00E47405">
        <w:rPr>
          <w:rFonts w:ascii="Arial" w:hAnsi="Arial" w:cs="Arial"/>
          <w:bCs/>
          <w:lang w:val="es-ES_tradnl"/>
        </w:rPr>
        <w:t>e</w:t>
      </w:r>
      <w:r w:rsidR="00154802" w:rsidRPr="00E47405">
        <w:rPr>
          <w:rFonts w:ascii="Arial" w:hAnsi="Arial" w:cs="Arial"/>
          <w:bCs/>
          <w:lang w:val="es-ES_tradnl"/>
        </w:rPr>
        <w:t xml:space="preserve">: </w:t>
      </w:r>
      <w:r w:rsidR="00A9402C" w:rsidRPr="00E47405">
        <w:rPr>
          <w:rFonts w:ascii="Arial" w:hAnsi="Arial" w:cs="Arial"/>
          <w:bCs/>
          <w:lang w:val="es-ES_tradnl"/>
        </w:rPr>
        <w:t xml:space="preserve">la CFE, </w:t>
      </w:r>
      <w:r w:rsidR="00154802" w:rsidRPr="00E47405">
        <w:rPr>
          <w:rFonts w:ascii="Arial" w:hAnsi="Arial" w:cs="Arial"/>
          <w:bCs/>
          <w:lang w:val="es-ES_tradnl"/>
        </w:rPr>
        <w:t xml:space="preserve">la </w:t>
      </w:r>
      <w:r w:rsidR="00FF42CC" w:rsidRPr="00E47405">
        <w:rPr>
          <w:rFonts w:ascii="Arial" w:hAnsi="Arial" w:cs="Arial"/>
          <w:bCs/>
          <w:lang w:val="es-ES_tradnl"/>
        </w:rPr>
        <w:t>cual requiere</w:t>
      </w:r>
      <w:r w:rsidR="00A9402C" w:rsidRPr="00E47405">
        <w:rPr>
          <w:rFonts w:ascii="Arial" w:hAnsi="Arial" w:cs="Arial"/>
          <w:bCs/>
          <w:lang w:val="es-ES_tradnl"/>
        </w:rPr>
        <w:t xml:space="preserve"> </w:t>
      </w:r>
      <w:r w:rsidR="00154802" w:rsidRPr="00E47405">
        <w:rPr>
          <w:rFonts w:ascii="Arial" w:hAnsi="Arial" w:cs="Arial"/>
          <w:bCs/>
          <w:lang w:val="es-ES_tradnl"/>
        </w:rPr>
        <w:t xml:space="preserve">forzosamente </w:t>
      </w:r>
      <w:r w:rsidR="00A9402C" w:rsidRPr="00E47405">
        <w:rPr>
          <w:rFonts w:ascii="Arial" w:hAnsi="Arial" w:cs="Arial"/>
          <w:bCs/>
          <w:lang w:val="es-ES_tradnl"/>
        </w:rPr>
        <w:t xml:space="preserve">una legislación que le imponga medidas asimétricas. </w:t>
      </w:r>
      <w:r w:rsidR="00FF42CC" w:rsidRPr="00E47405">
        <w:rPr>
          <w:rFonts w:ascii="Arial" w:hAnsi="Arial" w:cs="Arial"/>
          <w:bCs/>
          <w:lang w:val="es-ES_tradnl"/>
        </w:rPr>
        <w:t xml:space="preserve">Luego, </w:t>
      </w:r>
      <w:r w:rsidR="0063597F">
        <w:rPr>
          <w:rFonts w:ascii="Arial" w:hAnsi="Arial" w:cs="Arial"/>
          <w:bCs/>
          <w:lang w:val="es-ES_tradnl"/>
        </w:rPr>
        <w:t xml:space="preserve">el remedio tras </w:t>
      </w:r>
      <w:r w:rsidR="00A9402C" w:rsidRPr="00E47405">
        <w:rPr>
          <w:rFonts w:ascii="Arial" w:hAnsi="Arial" w:cs="Arial"/>
          <w:bCs/>
          <w:lang w:val="es-ES_tradnl"/>
        </w:rPr>
        <w:t xml:space="preserve">la inconstitucionalidad </w:t>
      </w:r>
      <w:r w:rsidR="005022FC" w:rsidRPr="00E47405">
        <w:rPr>
          <w:rFonts w:ascii="Arial" w:hAnsi="Arial" w:cs="Arial"/>
          <w:bCs/>
          <w:lang w:val="es-ES_tradnl"/>
        </w:rPr>
        <w:t xml:space="preserve">que ha servido </w:t>
      </w:r>
      <w:r w:rsidR="00A9402C" w:rsidRPr="00E47405">
        <w:rPr>
          <w:rFonts w:ascii="Arial" w:hAnsi="Arial" w:cs="Arial"/>
          <w:bCs/>
          <w:lang w:val="es-ES_tradnl"/>
        </w:rPr>
        <w:t>en otros casos sólo empeoraría las cosas</w:t>
      </w:r>
      <w:r w:rsidR="005022FC" w:rsidRPr="00E47405">
        <w:rPr>
          <w:rFonts w:ascii="Arial" w:hAnsi="Arial" w:cs="Arial"/>
          <w:bCs/>
          <w:lang w:val="es-ES_tradnl"/>
        </w:rPr>
        <w:t xml:space="preserve">: </w:t>
      </w:r>
      <w:r w:rsidR="00A9402C" w:rsidRPr="00E47405">
        <w:rPr>
          <w:rFonts w:ascii="Arial" w:hAnsi="Arial" w:cs="Arial"/>
          <w:bCs/>
          <w:lang w:val="es-ES_tradnl"/>
        </w:rPr>
        <w:t xml:space="preserve">la CFE </w:t>
      </w:r>
      <w:r w:rsidR="00E47405" w:rsidRPr="00E47405">
        <w:rPr>
          <w:rFonts w:ascii="Arial" w:hAnsi="Arial" w:cs="Arial"/>
          <w:bCs/>
          <w:lang w:val="es-ES_tradnl"/>
        </w:rPr>
        <w:t>quedarí</w:t>
      </w:r>
      <w:r w:rsidR="008C6D43" w:rsidRPr="00E47405">
        <w:rPr>
          <w:rFonts w:ascii="Arial" w:hAnsi="Arial" w:cs="Arial"/>
          <w:bCs/>
          <w:lang w:val="es-ES_tradnl"/>
        </w:rPr>
        <w:t xml:space="preserve">a libre para aprovechar sus </w:t>
      </w:r>
      <w:r w:rsidR="00A9402C" w:rsidRPr="00E47405">
        <w:rPr>
          <w:rFonts w:ascii="Arial" w:hAnsi="Arial" w:cs="Arial"/>
          <w:bCs/>
          <w:lang w:val="es-ES_tradnl"/>
        </w:rPr>
        <w:t xml:space="preserve">ventajas competitivas </w:t>
      </w:r>
      <w:r w:rsidR="00E47405" w:rsidRPr="00E47405">
        <w:rPr>
          <w:rFonts w:ascii="Arial" w:hAnsi="Arial" w:cs="Arial"/>
          <w:bCs/>
          <w:lang w:val="es-ES_tradnl"/>
        </w:rPr>
        <w:t xml:space="preserve">y </w:t>
      </w:r>
      <w:r w:rsidR="00637904">
        <w:rPr>
          <w:rFonts w:ascii="Arial" w:hAnsi="Arial" w:cs="Arial"/>
          <w:bCs/>
          <w:lang w:val="es-ES_tradnl"/>
        </w:rPr>
        <w:t xml:space="preserve">para </w:t>
      </w:r>
      <w:r w:rsidR="00A9402C" w:rsidRPr="00E47405">
        <w:rPr>
          <w:rFonts w:ascii="Arial" w:hAnsi="Arial" w:cs="Arial"/>
          <w:bCs/>
          <w:lang w:val="es-ES_tradnl"/>
        </w:rPr>
        <w:t>desplazar competidores</w:t>
      </w:r>
      <w:r w:rsidR="0063597F">
        <w:rPr>
          <w:rFonts w:ascii="Arial" w:hAnsi="Arial" w:cs="Arial"/>
          <w:bCs/>
          <w:lang w:val="es-ES_tradnl"/>
        </w:rPr>
        <w:t xml:space="preserve"> </w:t>
      </w:r>
      <w:r w:rsidR="00A9402C" w:rsidRPr="00E47405">
        <w:rPr>
          <w:rFonts w:ascii="Arial" w:hAnsi="Arial" w:cs="Arial"/>
          <w:bCs/>
          <w:lang w:val="es-ES_tradnl"/>
        </w:rPr>
        <w:t>en detrimento</w:t>
      </w:r>
      <w:r w:rsidR="00293241">
        <w:rPr>
          <w:rFonts w:ascii="Arial" w:hAnsi="Arial" w:cs="Arial"/>
          <w:bCs/>
          <w:lang w:val="es-ES_tradnl"/>
        </w:rPr>
        <w:t xml:space="preserve"> </w:t>
      </w:r>
      <w:r w:rsidR="00A9402C" w:rsidRPr="00E47405">
        <w:rPr>
          <w:rFonts w:ascii="Arial" w:hAnsi="Arial" w:cs="Arial"/>
          <w:bCs/>
          <w:lang w:val="es-ES_tradnl"/>
        </w:rPr>
        <w:t>de los principios de libre competencia y concurrencia.</w:t>
      </w:r>
    </w:p>
    <w:p w14:paraId="46B05B85" w14:textId="77777777" w:rsidR="00E62ACE" w:rsidRPr="00847234" w:rsidRDefault="00E62ACE" w:rsidP="00E62ACE">
      <w:pPr>
        <w:pStyle w:val="Prrafodelista"/>
        <w:spacing w:line="360" w:lineRule="auto"/>
        <w:ind w:left="720"/>
        <w:jc w:val="both"/>
        <w:rPr>
          <w:rFonts w:ascii="Arial" w:hAnsi="Arial" w:cs="Arial"/>
          <w:bCs/>
          <w:lang w:val="es-ES_tradnl"/>
        </w:rPr>
      </w:pPr>
    </w:p>
    <w:p w14:paraId="333B1685" w14:textId="4FFFACA1" w:rsidR="004E4241" w:rsidRPr="00847234" w:rsidRDefault="00293241" w:rsidP="004B4DD3">
      <w:pPr>
        <w:spacing w:line="360" w:lineRule="auto"/>
        <w:jc w:val="both"/>
        <w:rPr>
          <w:rFonts w:ascii="Arial" w:hAnsi="Arial" w:cs="Arial"/>
          <w:bCs/>
          <w:lang w:val="es-ES_tradnl"/>
        </w:rPr>
      </w:pPr>
      <w:r>
        <w:rPr>
          <w:rFonts w:ascii="Arial" w:hAnsi="Arial" w:cs="Arial"/>
          <w:bCs/>
          <w:lang w:val="es-ES_tradnl"/>
        </w:rPr>
        <w:t>C</w:t>
      </w:r>
      <w:r w:rsidR="00A758B1" w:rsidRPr="00847234">
        <w:rPr>
          <w:rFonts w:ascii="Arial" w:hAnsi="Arial" w:cs="Arial"/>
          <w:bCs/>
          <w:lang w:val="es-ES_tradnl"/>
        </w:rPr>
        <w:t xml:space="preserve">omo </w:t>
      </w:r>
      <w:r w:rsidR="00BB4563" w:rsidRPr="00847234">
        <w:rPr>
          <w:rFonts w:ascii="Arial" w:hAnsi="Arial" w:cs="Arial"/>
          <w:bCs/>
          <w:lang w:val="es-ES_tradnl"/>
        </w:rPr>
        <w:t xml:space="preserve">lo expuse al inicio de este </w:t>
      </w:r>
      <w:r w:rsidR="00AC1540" w:rsidRPr="00847234">
        <w:rPr>
          <w:rFonts w:ascii="Arial" w:hAnsi="Arial" w:cs="Arial"/>
          <w:bCs/>
          <w:lang w:val="es-ES_tradnl"/>
        </w:rPr>
        <w:t>voto,</w:t>
      </w:r>
      <w:r w:rsidR="006826CD">
        <w:rPr>
          <w:rFonts w:ascii="Arial" w:hAnsi="Arial" w:cs="Arial"/>
          <w:bCs/>
          <w:lang w:val="es-ES_tradnl"/>
        </w:rPr>
        <w:t xml:space="preserve"> la correcta identificación</w:t>
      </w:r>
      <w:r w:rsidR="00AC1540" w:rsidRPr="00847234">
        <w:rPr>
          <w:rFonts w:ascii="Arial" w:hAnsi="Arial" w:cs="Arial"/>
          <w:bCs/>
          <w:lang w:val="es-ES_tradnl"/>
        </w:rPr>
        <w:t xml:space="preserve"> </w:t>
      </w:r>
      <w:r w:rsidR="006826CD">
        <w:rPr>
          <w:rFonts w:ascii="Arial" w:hAnsi="Arial" w:cs="Arial"/>
          <w:bCs/>
          <w:lang w:val="es-ES_tradnl"/>
        </w:rPr>
        <w:t xml:space="preserve">de </w:t>
      </w:r>
      <w:r w:rsidR="00BB4563" w:rsidRPr="00847234">
        <w:rPr>
          <w:rFonts w:ascii="Arial" w:hAnsi="Arial" w:cs="Arial"/>
          <w:bCs/>
          <w:lang w:val="es-ES_tradnl"/>
        </w:rPr>
        <w:t xml:space="preserve">las preguntas constitucionales </w:t>
      </w:r>
      <w:r w:rsidR="00AC1540" w:rsidRPr="00847234">
        <w:rPr>
          <w:rFonts w:ascii="Arial" w:hAnsi="Arial" w:cs="Arial"/>
          <w:bCs/>
          <w:lang w:val="es-ES_tradnl"/>
        </w:rPr>
        <w:t xml:space="preserve">que </w:t>
      </w:r>
      <w:r w:rsidR="00A758B1" w:rsidRPr="00847234">
        <w:rPr>
          <w:rFonts w:ascii="Arial" w:hAnsi="Arial" w:cs="Arial"/>
          <w:bCs/>
          <w:lang w:val="es-ES_tradnl"/>
        </w:rPr>
        <w:t xml:space="preserve">enfrentábamos requería </w:t>
      </w:r>
      <w:r w:rsidR="004D25D4" w:rsidRPr="00847234">
        <w:rPr>
          <w:rFonts w:ascii="Arial" w:hAnsi="Arial" w:cs="Arial"/>
          <w:bCs/>
          <w:lang w:val="es-ES_tradnl"/>
        </w:rPr>
        <w:t xml:space="preserve">ubicarnos </w:t>
      </w:r>
      <w:r w:rsidR="00BB4563" w:rsidRPr="00847234">
        <w:rPr>
          <w:rFonts w:ascii="Arial" w:hAnsi="Arial" w:cs="Arial"/>
          <w:bCs/>
          <w:lang w:val="es-ES_tradnl"/>
        </w:rPr>
        <w:t xml:space="preserve">en el contexto de los dos momentos constitucionales distintos </w:t>
      </w:r>
      <w:r w:rsidR="001D70D3" w:rsidRPr="00847234">
        <w:rPr>
          <w:rFonts w:ascii="Arial" w:hAnsi="Arial" w:cs="Arial"/>
          <w:bCs/>
          <w:lang w:val="es-ES_tradnl"/>
        </w:rPr>
        <w:t xml:space="preserve">respecto a la concepción del </w:t>
      </w:r>
      <w:r w:rsidR="00BB4563" w:rsidRPr="00847234">
        <w:rPr>
          <w:rFonts w:ascii="Arial" w:hAnsi="Arial" w:cs="Arial"/>
          <w:bCs/>
          <w:lang w:val="es-ES_tradnl"/>
        </w:rPr>
        <w:t xml:space="preserve">mercado de energía eléctrica. Antes de 2013, la Constitución establecía que todos los eslabones de la cadena productiva de la energía </w:t>
      </w:r>
      <w:r w:rsidR="003B1A9A" w:rsidRPr="00847234">
        <w:rPr>
          <w:rFonts w:ascii="Arial" w:hAnsi="Arial" w:cs="Arial"/>
          <w:bCs/>
          <w:lang w:val="es-ES_tradnl"/>
        </w:rPr>
        <w:t>eléctrica</w:t>
      </w:r>
      <w:r w:rsidR="001D70D3" w:rsidRPr="00847234">
        <w:rPr>
          <w:rFonts w:ascii="Arial" w:hAnsi="Arial" w:cs="Arial"/>
          <w:bCs/>
          <w:lang w:val="es-ES_tradnl"/>
        </w:rPr>
        <w:t xml:space="preserve"> </w:t>
      </w:r>
      <w:r w:rsidR="00640B28" w:rsidRPr="00847234">
        <w:rPr>
          <w:rFonts w:ascii="Arial" w:hAnsi="Arial" w:cs="Arial"/>
          <w:bCs/>
          <w:lang w:val="es-ES_tradnl"/>
        </w:rPr>
        <w:t xml:space="preserve">integraban </w:t>
      </w:r>
      <w:r w:rsidR="00BB4563" w:rsidRPr="00847234">
        <w:rPr>
          <w:rFonts w:ascii="Arial" w:hAnsi="Arial" w:cs="Arial"/>
          <w:bCs/>
          <w:lang w:val="es-ES_tradnl"/>
        </w:rPr>
        <w:t xml:space="preserve">una de las áreas estratégicas </w:t>
      </w:r>
      <w:r w:rsidR="008C2418" w:rsidRPr="00847234">
        <w:rPr>
          <w:rFonts w:ascii="Arial" w:hAnsi="Arial" w:cs="Arial"/>
          <w:bCs/>
          <w:lang w:val="es-ES_tradnl"/>
        </w:rPr>
        <w:t>reservadas para el Estado</w:t>
      </w:r>
      <w:r w:rsidR="00CE4F2F" w:rsidRPr="00847234">
        <w:rPr>
          <w:rFonts w:ascii="Arial" w:hAnsi="Arial" w:cs="Arial"/>
          <w:bCs/>
          <w:lang w:val="es-ES_tradnl"/>
        </w:rPr>
        <w:t xml:space="preserve">. Razón por la cual </w:t>
      </w:r>
      <w:r w:rsidR="00BC6DD7">
        <w:rPr>
          <w:rFonts w:ascii="Arial" w:hAnsi="Arial" w:cs="Arial"/>
          <w:bCs/>
          <w:lang w:val="es-ES_tradnl"/>
        </w:rPr>
        <w:t xml:space="preserve">la </w:t>
      </w:r>
      <w:r w:rsidR="00BB4563" w:rsidRPr="00847234">
        <w:rPr>
          <w:rFonts w:ascii="Arial" w:hAnsi="Arial" w:cs="Arial"/>
          <w:bCs/>
          <w:lang w:val="es-ES_tradnl"/>
        </w:rPr>
        <w:t xml:space="preserve">CFE </w:t>
      </w:r>
      <w:r w:rsidR="007F567C" w:rsidRPr="00847234">
        <w:rPr>
          <w:rFonts w:ascii="Arial" w:hAnsi="Arial" w:cs="Arial"/>
          <w:bCs/>
          <w:lang w:val="es-ES_tradnl"/>
        </w:rPr>
        <w:t xml:space="preserve">detentaba </w:t>
      </w:r>
      <w:r w:rsidR="00BB4563" w:rsidRPr="00847234">
        <w:rPr>
          <w:rFonts w:ascii="Arial" w:hAnsi="Arial" w:cs="Arial"/>
          <w:bCs/>
          <w:lang w:val="es-ES_tradnl"/>
        </w:rPr>
        <w:t xml:space="preserve">una posición monopólica </w:t>
      </w:r>
      <w:r w:rsidR="008C2418" w:rsidRPr="00847234">
        <w:rPr>
          <w:rFonts w:ascii="Arial" w:hAnsi="Arial" w:cs="Arial"/>
          <w:bCs/>
          <w:lang w:val="es-ES_tradnl"/>
        </w:rPr>
        <w:t xml:space="preserve">fundada </w:t>
      </w:r>
      <w:r w:rsidR="00BB4563" w:rsidRPr="00847234">
        <w:rPr>
          <w:rFonts w:ascii="Arial" w:hAnsi="Arial" w:cs="Arial"/>
          <w:bCs/>
          <w:lang w:val="es-ES_tradnl"/>
        </w:rPr>
        <w:t xml:space="preserve">en las normas constitucionales. </w:t>
      </w:r>
      <w:r w:rsidR="00B6444C" w:rsidRPr="00847234">
        <w:rPr>
          <w:rFonts w:ascii="Arial" w:hAnsi="Arial" w:cs="Arial"/>
          <w:bCs/>
          <w:lang w:val="es-ES_tradnl"/>
        </w:rPr>
        <w:t>L</w:t>
      </w:r>
      <w:r w:rsidR="00BB4563" w:rsidRPr="00847234">
        <w:rPr>
          <w:rFonts w:ascii="Arial" w:hAnsi="Arial" w:cs="Arial"/>
          <w:bCs/>
          <w:lang w:val="es-ES_tradnl"/>
        </w:rPr>
        <w:t xml:space="preserve">a reforma constitucional de 2013 modificó </w:t>
      </w:r>
      <w:r w:rsidR="00B6444C" w:rsidRPr="00847234">
        <w:rPr>
          <w:rFonts w:ascii="Arial" w:hAnsi="Arial" w:cs="Arial"/>
          <w:bCs/>
          <w:lang w:val="es-ES_tradnl"/>
        </w:rPr>
        <w:t xml:space="preserve">ese </w:t>
      </w:r>
      <w:r w:rsidR="00BB4563" w:rsidRPr="00847234">
        <w:rPr>
          <w:rFonts w:ascii="Arial" w:hAnsi="Arial" w:cs="Arial"/>
          <w:bCs/>
          <w:lang w:val="es-ES_tradnl"/>
        </w:rPr>
        <w:t xml:space="preserve">modelo y abrió </w:t>
      </w:r>
      <w:r w:rsidR="00271DBA" w:rsidRPr="00847234">
        <w:rPr>
          <w:rFonts w:ascii="Arial" w:hAnsi="Arial" w:cs="Arial"/>
          <w:bCs/>
          <w:lang w:val="es-ES_tradnl"/>
        </w:rPr>
        <w:t xml:space="preserve">a </w:t>
      </w:r>
      <w:r w:rsidR="00BB4563" w:rsidRPr="00847234">
        <w:rPr>
          <w:rFonts w:ascii="Arial" w:hAnsi="Arial" w:cs="Arial"/>
          <w:bCs/>
          <w:lang w:val="es-ES_tradnl"/>
        </w:rPr>
        <w:t xml:space="preserve">los particulares los mercados de generación y comercialización de energía eléctrica. </w:t>
      </w:r>
      <w:r w:rsidR="00F2324C" w:rsidRPr="00847234">
        <w:rPr>
          <w:rFonts w:ascii="Arial" w:hAnsi="Arial" w:cs="Arial"/>
          <w:bCs/>
          <w:lang w:val="es-ES_tradnl"/>
        </w:rPr>
        <w:t xml:space="preserve">La </w:t>
      </w:r>
      <w:r w:rsidR="00BB4563" w:rsidRPr="00847234">
        <w:rPr>
          <w:rFonts w:ascii="Arial" w:hAnsi="Arial" w:cs="Arial"/>
          <w:bCs/>
          <w:lang w:val="es-ES_tradnl"/>
        </w:rPr>
        <w:t xml:space="preserve">CFE </w:t>
      </w:r>
      <w:r w:rsidR="00F2324C" w:rsidRPr="00847234">
        <w:rPr>
          <w:rFonts w:ascii="Arial" w:hAnsi="Arial" w:cs="Arial"/>
          <w:bCs/>
          <w:lang w:val="es-ES_tradnl"/>
        </w:rPr>
        <w:t xml:space="preserve">fue convertida </w:t>
      </w:r>
      <w:r w:rsidR="00EA1383" w:rsidRPr="00847234">
        <w:rPr>
          <w:rFonts w:ascii="Arial" w:hAnsi="Arial" w:cs="Arial"/>
          <w:bCs/>
          <w:lang w:val="es-ES_tradnl"/>
        </w:rPr>
        <w:t xml:space="preserve">en una empresa productiva del Estado para facilitar que </w:t>
      </w:r>
      <w:r w:rsidR="00BB4563" w:rsidRPr="00847234">
        <w:rPr>
          <w:rFonts w:ascii="Arial" w:hAnsi="Arial" w:cs="Arial"/>
          <w:bCs/>
          <w:lang w:val="es-ES_tradnl"/>
        </w:rPr>
        <w:t>comp</w:t>
      </w:r>
      <w:r w:rsidR="00094445" w:rsidRPr="00847234">
        <w:rPr>
          <w:rFonts w:ascii="Arial" w:hAnsi="Arial" w:cs="Arial"/>
          <w:bCs/>
          <w:lang w:val="es-ES_tradnl"/>
        </w:rPr>
        <w:t>i</w:t>
      </w:r>
      <w:r w:rsidR="00BB4563" w:rsidRPr="00847234">
        <w:rPr>
          <w:rFonts w:ascii="Arial" w:hAnsi="Arial" w:cs="Arial"/>
          <w:bCs/>
          <w:lang w:val="es-ES_tradnl"/>
        </w:rPr>
        <w:t>tiera en estos mercados y se</w:t>
      </w:r>
      <w:r w:rsidR="00FB160B" w:rsidRPr="00847234">
        <w:rPr>
          <w:rFonts w:ascii="Arial" w:hAnsi="Arial" w:cs="Arial"/>
          <w:bCs/>
          <w:lang w:val="es-ES_tradnl"/>
        </w:rPr>
        <w:t xml:space="preserve"> </w:t>
      </w:r>
      <w:r w:rsidR="006337CB" w:rsidRPr="00847234">
        <w:rPr>
          <w:rFonts w:ascii="Arial" w:hAnsi="Arial" w:cs="Arial"/>
          <w:bCs/>
          <w:lang w:val="es-ES_tradnl"/>
        </w:rPr>
        <w:t>oblig</w:t>
      </w:r>
      <w:r w:rsidR="009559DB">
        <w:rPr>
          <w:rFonts w:ascii="Arial" w:hAnsi="Arial" w:cs="Arial"/>
          <w:bCs/>
          <w:lang w:val="es-ES_tradnl"/>
        </w:rPr>
        <w:t>ó</w:t>
      </w:r>
      <w:r w:rsidR="006337CB" w:rsidRPr="00847234">
        <w:rPr>
          <w:rFonts w:ascii="Arial" w:hAnsi="Arial" w:cs="Arial"/>
          <w:bCs/>
          <w:lang w:val="es-ES_tradnl"/>
        </w:rPr>
        <w:t xml:space="preserve"> </w:t>
      </w:r>
      <w:r w:rsidR="00BB4563" w:rsidRPr="00847234">
        <w:rPr>
          <w:rFonts w:ascii="Arial" w:hAnsi="Arial" w:cs="Arial"/>
          <w:bCs/>
          <w:lang w:val="es-ES_tradnl"/>
        </w:rPr>
        <w:t xml:space="preserve">al legislador </w:t>
      </w:r>
      <w:r w:rsidR="009559DB">
        <w:rPr>
          <w:rFonts w:ascii="Arial" w:hAnsi="Arial" w:cs="Arial"/>
          <w:bCs/>
          <w:lang w:val="es-ES_tradnl"/>
        </w:rPr>
        <w:t xml:space="preserve">a </w:t>
      </w:r>
      <w:r w:rsidR="00797B37" w:rsidRPr="00847234">
        <w:rPr>
          <w:rFonts w:ascii="Arial" w:hAnsi="Arial" w:cs="Arial"/>
          <w:bCs/>
          <w:lang w:val="es-ES_tradnl"/>
        </w:rPr>
        <w:t xml:space="preserve">adoptar </w:t>
      </w:r>
      <w:r w:rsidR="00BB4563" w:rsidRPr="00847234">
        <w:rPr>
          <w:rFonts w:ascii="Arial" w:hAnsi="Arial" w:cs="Arial"/>
          <w:bCs/>
          <w:lang w:val="es-ES_tradnl"/>
        </w:rPr>
        <w:t xml:space="preserve">medidas que </w:t>
      </w:r>
      <w:r w:rsidR="009175FC" w:rsidRPr="00847234">
        <w:rPr>
          <w:rFonts w:ascii="Arial" w:hAnsi="Arial" w:cs="Arial"/>
          <w:bCs/>
          <w:lang w:val="es-ES_tradnl"/>
        </w:rPr>
        <w:t xml:space="preserve">disminuyeran </w:t>
      </w:r>
      <w:r w:rsidR="00BB4563" w:rsidRPr="00847234">
        <w:rPr>
          <w:rFonts w:ascii="Arial" w:hAnsi="Arial" w:cs="Arial"/>
          <w:bCs/>
          <w:lang w:val="es-ES_tradnl"/>
        </w:rPr>
        <w:t>sus ventajas competitivas. En cumplimiento de es</w:t>
      </w:r>
      <w:r w:rsidR="00797B37" w:rsidRPr="00847234">
        <w:rPr>
          <w:rFonts w:ascii="Arial" w:hAnsi="Arial" w:cs="Arial"/>
          <w:bCs/>
          <w:lang w:val="es-ES_tradnl"/>
        </w:rPr>
        <w:t xml:space="preserve">e </w:t>
      </w:r>
      <w:r w:rsidR="00BB4563" w:rsidRPr="00847234">
        <w:rPr>
          <w:rFonts w:ascii="Arial" w:hAnsi="Arial" w:cs="Arial"/>
          <w:bCs/>
          <w:lang w:val="es-ES_tradnl"/>
        </w:rPr>
        <w:t xml:space="preserve">mandato, </w:t>
      </w:r>
      <w:r w:rsidR="00797B37" w:rsidRPr="00847234">
        <w:rPr>
          <w:rFonts w:ascii="Arial" w:hAnsi="Arial" w:cs="Arial"/>
          <w:bCs/>
          <w:lang w:val="es-ES_tradnl"/>
        </w:rPr>
        <w:t xml:space="preserve">han </w:t>
      </w:r>
      <w:r w:rsidR="00895A1B" w:rsidRPr="00847234">
        <w:rPr>
          <w:rFonts w:ascii="Arial" w:hAnsi="Arial" w:cs="Arial"/>
          <w:bCs/>
          <w:lang w:val="es-ES_tradnl"/>
        </w:rPr>
        <w:t xml:space="preserve">surgido </w:t>
      </w:r>
      <w:r w:rsidR="00BB4563" w:rsidRPr="00847234">
        <w:rPr>
          <w:rFonts w:ascii="Arial" w:hAnsi="Arial" w:cs="Arial"/>
          <w:bCs/>
          <w:lang w:val="es-ES_tradnl"/>
        </w:rPr>
        <w:t>dos modelos legislativo</w:t>
      </w:r>
      <w:r w:rsidR="00094445" w:rsidRPr="00847234">
        <w:rPr>
          <w:rFonts w:ascii="Arial" w:hAnsi="Arial" w:cs="Arial"/>
          <w:bCs/>
          <w:lang w:val="es-ES_tradnl"/>
        </w:rPr>
        <w:t>s</w:t>
      </w:r>
      <w:r w:rsidR="00BB4563" w:rsidRPr="00847234">
        <w:rPr>
          <w:rFonts w:ascii="Arial" w:hAnsi="Arial" w:cs="Arial"/>
          <w:bCs/>
          <w:lang w:val="es-ES_tradnl"/>
        </w:rPr>
        <w:t>:</w:t>
      </w:r>
    </w:p>
    <w:p w14:paraId="72870DAC" w14:textId="77777777" w:rsidR="006D1FBE" w:rsidRPr="00847234" w:rsidRDefault="006D1FBE" w:rsidP="006D1FBE">
      <w:pPr>
        <w:spacing w:line="360" w:lineRule="auto"/>
        <w:jc w:val="both"/>
        <w:rPr>
          <w:rFonts w:ascii="Arial" w:hAnsi="Arial" w:cs="Arial"/>
          <w:bCs/>
          <w:lang w:val="es-ES_tradnl"/>
        </w:rPr>
      </w:pPr>
    </w:p>
    <w:p w14:paraId="085947C8" w14:textId="77777777" w:rsidR="003D52B4" w:rsidRPr="00847234" w:rsidRDefault="004E4241" w:rsidP="003D52B4">
      <w:pPr>
        <w:pStyle w:val="Prrafodelista"/>
        <w:numPr>
          <w:ilvl w:val="0"/>
          <w:numId w:val="20"/>
        </w:numPr>
        <w:spacing w:line="360" w:lineRule="auto"/>
        <w:jc w:val="both"/>
        <w:rPr>
          <w:rFonts w:ascii="Arial" w:hAnsi="Arial" w:cs="Arial"/>
          <w:bCs/>
          <w:lang w:val="es-ES_tradnl"/>
        </w:rPr>
      </w:pPr>
      <w:r w:rsidRPr="00A9402C">
        <w:rPr>
          <w:rFonts w:ascii="Arial" w:hAnsi="Arial" w:cs="Arial"/>
          <w:b/>
          <w:lang w:val="es-ES_tradnl"/>
        </w:rPr>
        <w:t>2013</w:t>
      </w:r>
      <w:r w:rsidR="00BB4563" w:rsidRPr="00847234">
        <w:rPr>
          <w:rFonts w:ascii="Arial" w:hAnsi="Arial" w:cs="Arial"/>
          <w:bCs/>
          <w:lang w:val="es-ES_tradnl"/>
        </w:rPr>
        <w:t>, en el cual el legislador neutraliz</w:t>
      </w:r>
      <w:r w:rsidRPr="00847234">
        <w:rPr>
          <w:rFonts w:ascii="Arial" w:hAnsi="Arial" w:cs="Arial"/>
          <w:bCs/>
          <w:lang w:val="es-ES_tradnl"/>
        </w:rPr>
        <w:t xml:space="preserve">ó </w:t>
      </w:r>
      <w:r w:rsidR="00BB4563" w:rsidRPr="00847234">
        <w:rPr>
          <w:rFonts w:ascii="Arial" w:hAnsi="Arial" w:cs="Arial"/>
          <w:bCs/>
          <w:lang w:val="es-ES_tradnl"/>
        </w:rPr>
        <w:t xml:space="preserve">al máximo las ventajas competitivas de la CFE y </w:t>
      </w:r>
      <w:r w:rsidR="00CD4157" w:rsidRPr="00847234">
        <w:rPr>
          <w:rFonts w:ascii="Arial" w:hAnsi="Arial" w:cs="Arial"/>
          <w:bCs/>
          <w:lang w:val="es-ES_tradnl"/>
        </w:rPr>
        <w:t xml:space="preserve">condicionó </w:t>
      </w:r>
      <w:r w:rsidR="00BB4563" w:rsidRPr="00847234">
        <w:rPr>
          <w:rFonts w:ascii="Arial" w:hAnsi="Arial" w:cs="Arial"/>
          <w:bCs/>
          <w:lang w:val="es-ES_tradnl"/>
        </w:rPr>
        <w:t xml:space="preserve">la entrega de los certificados de energía limpias a </w:t>
      </w:r>
      <w:r w:rsidR="00246401" w:rsidRPr="00847234">
        <w:rPr>
          <w:rFonts w:ascii="Arial" w:hAnsi="Arial" w:cs="Arial"/>
          <w:bCs/>
          <w:lang w:val="es-ES_tradnl"/>
        </w:rPr>
        <w:t xml:space="preserve">inversión nueva </w:t>
      </w:r>
      <w:r w:rsidR="00BB4563" w:rsidRPr="00847234">
        <w:rPr>
          <w:rFonts w:ascii="Arial" w:hAnsi="Arial" w:cs="Arial"/>
          <w:bCs/>
          <w:lang w:val="es-ES_tradnl"/>
        </w:rPr>
        <w:t>que trajera esa tecnología después de la entrada en vigor de la ley.</w:t>
      </w:r>
      <w:r w:rsidR="00936CF1" w:rsidRPr="00847234">
        <w:rPr>
          <w:rFonts w:ascii="Arial" w:hAnsi="Arial" w:cs="Arial"/>
          <w:bCs/>
          <w:lang w:val="es-ES_tradnl"/>
        </w:rPr>
        <w:t xml:space="preserve"> </w:t>
      </w:r>
      <w:r w:rsidR="00BB4563" w:rsidRPr="00847234">
        <w:rPr>
          <w:rFonts w:ascii="Arial" w:hAnsi="Arial" w:cs="Arial"/>
          <w:bCs/>
          <w:lang w:val="es-ES_tradnl"/>
        </w:rPr>
        <w:t xml:space="preserve">Este diseño regulatorio </w:t>
      </w:r>
      <w:r w:rsidR="008102E0" w:rsidRPr="00847234">
        <w:rPr>
          <w:rFonts w:ascii="Arial" w:hAnsi="Arial" w:cs="Arial"/>
          <w:bCs/>
          <w:lang w:val="es-ES_tradnl"/>
        </w:rPr>
        <w:t xml:space="preserve">fue </w:t>
      </w:r>
      <w:r w:rsidR="00BB4563" w:rsidRPr="00847234">
        <w:rPr>
          <w:rFonts w:ascii="Arial" w:hAnsi="Arial" w:cs="Arial"/>
          <w:bCs/>
          <w:lang w:val="es-ES_tradnl"/>
        </w:rPr>
        <w:t>derogado</w:t>
      </w:r>
      <w:r w:rsidR="00872F9A" w:rsidRPr="00847234">
        <w:rPr>
          <w:rFonts w:ascii="Arial" w:hAnsi="Arial" w:cs="Arial"/>
          <w:bCs/>
          <w:lang w:val="es-ES_tradnl"/>
        </w:rPr>
        <w:t>.</w:t>
      </w:r>
    </w:p>
    <w:p w14:paraId="40367E2B" w14:textId="77777777" w:rsidR="003D52B4" w:rsidRPr="00847234" w:rsidRDefault="003D52B4" w:rsidP="003D52B4">
      <w:pPr>
        <w:pStyle w:val="Prrafodelista"/>
        <w:spacing w:line="360" w:lineRule="auto"/>
        <w:ind w:left="1776"/>
        <w:jc w:val="both"/>
        <w:rPr>
          <w:rFonts w:ascii="Arial" w:hAnsi="Arial" w:cs="Arial"/>
          <w:bCs/>
          <w:lang w:val="es-ES_tradnl"/>
        </w:rPr>
      </w:pPr>
    </w:p>
    <w:p w14:paraId="0096FB36" w14:textId="64237B1A" w:rsidR="00BB4563" w:rsidRPr="00847234" w:rsidRDefault="00BB4563" w:rsidP="003D52B4">
      <w:pPr>
        <w:pStyle w:val="Prrafodelista"/>
        <w:numPr>
          <w:ilvl w:val="0"/>
          <w:numId w:val="20"/>
        </w:numPr>
        <w:spacing w:line="360" w:lineRule="auto"/>
        <w:jc w:val="both"/>
        <w:rPr>
          <w:rFonts w:ascii="Arial" w:hAnsi="Arial" w:cs="Arial"/>
          <w:bCs/>
          <w:lang w:val="es-ES_tradnl"/>
        </w:rPr>
      </w:pPr>
      <w:r w:rsidRPr="00A9402C">
        <w:rPr>
          <w:rFonts w:ascii="Arial" w:hAnsi="Arial" w:cs="Arial"/>
          <w:b/>
          <w:lang w:val="es-ES_tradnl"/>
        </w:rPr>
        <w:t>2021</w:t>
      </w:r>
      <w:r w:rsidRPr="00847234">
        <w:rPr>
          <w:rFonts w:ascii="Arial" w:hAnsi="Arial" w:cs="Arial"/>
          <w:bCs/>
          <w:lang w:val="es-ES_tradnl"/>
        </w:rPr>
        <w:t xml:space="preserve">, </w:t>
      </w:r>
      <w:r w:rsidR="00872F9A" w:rsidRPr="00847234">
        <w:rPr>
          <w:rFonts w:ascii="Arial" w:hAnsi="Arial" w:cs="Arial"/>
          <w:bCs/>
          <w:lang w:val="es-ES_tradnl"/>
        </w:rPr>
        <w:t xml:space="preserve">remplaza al anterior y </w:t>
      </w:r>
      <w:r w:rsidRPr="00847234">
        <w:rPr>
          <w:rFonts w:ascii="Arial" w:hAnsi="Arial" w:cs="Arial"/>
          <w:bCs/>
          <w:lang w:val="es-ES_tradnl"/>
        </w:rPr>
        <w:t xml:space="preserve">modula </w:t>
      </w:r>
      <w:r w:rsidR="00872F9A" w:rsidRPr="00847234">
        <w:rPr>
          <w:rFonts w:ascii="Arial" w:hAnsi="Arial" w:cs="Arial"/>
          <w:bCs/>
          <w:lang w:val="es-ES_tradnl"/>
        </w:rPr>
        <w:t>su r</w:t>
      </w:r>
      <w:r w:rsidRPr="00847234">
        <w:rPr>
          <w:rFonts w:ascii="Arial" w:hAnsi="Arial" w:cs="Arial"/>
          <w:bCs/>
          <w:lang w:val="es-ES_tradnl"/>
        </w:rPr>
        <w:t xml:space="preserve">egulación </w:t>
      </w:r>
      <w:r w:rsidR="00872F9A" w:rsidRPr="00847234">
        <w:rPr>
          <w:rFonts w:ascii="Arial" w:hAnsi="Arial" w:cs="Arial"/>
          <w:bCs/>
          <w:lang w:val="es-ES_tradnl"/>
        </w:rPr>
        <w:t>para autorizar</w:t>
      </w:r>
      <w:r w:rsidR="000551D2" w:rsidRPr="00847234">
        <w:rPr>
          <w:rFonts w:ascii="Arial" w:hAnsi="Arial" w:cs="Arial"/>
          <w:bCs/>
          <w:lang w:val="es-ES_tradnl"/>
        </w:rPr>
        <w:t xml:space="preserve"> que </w:t>
      </w:r>
      <w:r w:rsidRPr="00847234">
        <w:rPr>
          <w:rFonts w:ascii="Arial" w:hAnsi="Arial" w:cs="Arial"/>
          <w:bCs/>
          <w:lang w:val="es-ES_tradnl"/>
        </w:rPr>
        <w:t>la CFE utili</w:t>
      </w:r>
      <w:r w:rsidR="000551D2" w:rsidRPr="00847234">
        <w:rPr>
          <w:rFonts w:ascii="Arial" w:hAnsi="Arial" w:cs="Arial"/>
          <w:bCs/>
          <w:lang w:val="es-ES_tradnl"/>
        </w:rPr>
        <w:t xml:space="preserve">ce </w:t>
      </w:r>
      <w:r w:rsidRPr="00847234">
        <w:rPr>
          <w:rFonts w:ascii="Arial" w:hAnsi="Arial" w:cs="Arial"/>
          <w:bCs/>
          <w:lang w:val="es-ES_tradnl"/>
        </w:rPr>
        <w:t>algunas de sus ventajas competitivas</w:t>
      </w:r>
      <w:r w:rsidR="00E15B4F" w:rsidRPr="00847234">
        <w:rPr>
          <w:rFonts w:ascii="Arial" w:hAnsi="Arial" w:cs="Arial"/>
          <w:bCs/>
          <w:lang w:val="es-ES_tradnl"/>
        </w:rPr>
        <w:t xml:space="preserve">: </w:t>
      </w:r>
      <w:r w:rsidRPr="00847234">
        <w:rPr>
          <w:rFonts w:ascii="Arial" w:hAnsi="Arial" w:cs="Arial"/>
          <w:bCs/>
          <w:lang w:val="es-ES_tradnl"/>
        </w:rPr>
        <w:t xml:space="preserve">competir con costos unitarios en lugar de marginales y ofrecer contratos de entrega física y a plazo determinado, </w:t>
      </w:r>
      <w:r w:rsidR="00E15B4F" w:rsidRPr="00847234">
        <w:rPr>
          <w:rFonts w:ascii="Arial" w:hAnsi="Arial" w:cs="Arial"/>
          <w:bCs/>
          <w:lang w:val="es-ES_tradnl"/>
        </w:rPr>
        <w:t xml:space="preserve">así como </w:t>
      </w:r>
      <w:r w:rsidRPr="00847234">
        <w:rPr>
          <w:rFonts w:ascii="Arial" w:hAnsi="Arial" w:cs="Arial"/>
          <w:bCs/>
          <w:lang w:val="es-ES_tradnl"/>
        </w:rPr>
        <w:t xml:space="preserve">acceder a los certificados de energía limpia con la tecnología adquirida </w:t>
      </w:r>
      <w:r w:rsidR="00936CF1" w:rsidRPr="00847234">
        <w:rPr>
          <w:rFonts w:ascii="Arial" w:hAnsi="Arial" w:cs="Arial"/>
          <w:bCs/>
          <w:lang w:val="es-ES_tradnl"/>
        </w:rPr>
        <w:t xml:space="preserve">antes de </w:t>
      </w:r>
      <w:r w:rsidRPr="00847234">
        <w:rPr>
          <w:rFonts w:ascii="Arial" w:hAnsi="Arial" w:cs="Arial"/>
          <w:bCs/>
          <w:lang w:val="es-ES_tradnl"/>
        </w:rPr>
        <w:t>la entrada en vigor de las nuevas disposiciones.</w:t>
      </w:r>
    </w:p>
    <w:p w14:paraId="4EF74F39" w14:textId="77777777" w:rsidR="00303786" w:rsidRPr="00847234" w:rsidRDefault="00303786" w:rsidP="00BB4563">
      <w:pPr>
        <w:spacing w:line="360" w:lineRule="auto"/>
        <w:jc w:val="both"/>
        <w:rPr>
          <w:rFonts w:ascii="Arial" w:hAnsi="Arial" w:cs="Arial"/>
          <w:bCs/>
          <w:lang w:val="es-ES_tradnl"/>
        </w:rPr>
      </w:pPr>
    </w:p>
    <w:p w14:paraId="0B86F73E" w14:textId="7C0AEE7E" w:rsidR="00BB4563" w:rsidRPr="00847234" w:rsidRDefault="00A06E6C" w:rsidP="00303786">
      <w:pPr>
        <w:spacing w:line="360" w:lineRule="auto"/>
        <w:jc w:val="both"/>
        <w:rPr>
          <w:rFonts w:ascii="Arial" w:hAnsi="Arial" w:cs="Arial"/>
          <w:bCs/>
          <w:lang w:val="es-ES_tradnl"/>
        </w:rPr>
      </w:pPr>
      <w:r>
        <w:rPr>
          <w:rFonts w:ascii="Arial" w:hAnsi="Arial" w:cs="Arial"/>
          <w:bCs/>
          <w:lang w:val="es-ES_tradnl"/>
        </w:rPr>
        <w:t>E</w:t>
      </w:r>
      <w:r w:rsidR="00A51E8E">
        <w:rPr>
          <w:rFonts w:ascii="Arial" w:hAnsi="Arial" w:cs="Arial"/>
          <w:bCs/>
          <w:lang w:val="es-ES_tradnl"/>
        </w:rPr>
        <w:t xml:space="preserve">n </w:t>
      </w:r>
      <w:r w:rsidR="006B374F" w:rsidRPr="00847234">
        <w:rPr>
          <w:rFonts w:ascii="Arial" w:hAnsi="Arial" w:cs="Arial"/>
          <w:bCs/>
          <w:lang w:val="es-ES_tradnl"/>
        </w:rPr>
        <w:t>lo</w:t>
      </w:r>
      <w:r w:rsidR="00105D38" w:rsidRPr="00847234">
        <w:rPr>
          <w:rFonts w:ascii="Arial" w:hAnsi="Arial" w:cs="Arial"/>
          <w:bCs/>
          <w:lang w:val="es-ES_tradnl"/>
        </w:rPr>
        <w:t>s precedentes</w:t>
      </w:r>
      <w:r w:rsidR="000141E5">
        <w:rPr>
          <w:rFonts w:ascii="Arial" w:hAnsi="Arial" w:cs="Arial"/>
          <w:bCs/>
          <w:lang w:val="es-ES_tradnl"/>
        </w:rPr>
        <w:t>,</w:t>
      </w:r>
      <w:r w:rsidR="007100DC">
        <w:rPr>
          <w:rFonts w:ascii="Arial" w:hAnsi="Arial" w:cs="Arial"/>
          <w:bCs/>
          <w:lang w:val="es-ES_tradnl"/>
        </w:rPr>
        <w:t xml:space="preserve"> </w:t>
      </w:r>
      <w:r w:rsidR="00E53A21" w:rsidRPr="00847234">
        <w:rPr>
          <w:rFonts w:ascii="Arial" w:hAnsi="Arial" w:cs="Arial"/>
          <w:bCs/>
          <w:lang w:val="es-ES_tradnl"/>
        </w:rPr>
        <w:t xml:space="preserve">nos preguntábamos </w:t>
      </w:r>
      <w:r w:rsidR="00BB4563" w:rsidRPr="00847234">
        <w:rPr>
          <w:rFonts w:ascii="Arial" w:hAnsi="Arial" w:cs="Arial"/>
          <w:bCs/>
          <w:lang w:val="es-ES_tradnl"/>
        </w:rPr>
        <w:t xml:space="preserve">si las normas impugnadas imponían una barrera de entrada a un mercado generado por la iniciativa privada, cuyo remedio judicial era la expulsión de la norma impugnada. </w:t>
      </w:r>
      <w:r w:rsidR="009D5523" w:rsidRPr="00847234">
        <w:rPr>
          <w:rFonts w:ascii="Arial" w:hAnsi="Arial" w:cs="Arial"/>
          <w:bCs/>
          <w:lang w:val="es-ES_tradnl"/>
        </w:rPr>
        <w:t xml:space="preserve">El </w:t>
      </w:r>
      <w:r w:rsidR="00303786" w:rsidRPr="00847234">
        <w:rPr>
          <w:rFonts w:ascii="Arial" w:hAnsi="Arial" w:cs="Arial"/>
          <w:bCs/>
          <w:lang w:val="es-ES_tradnl"/>
        </w:rPr>
        <w:t>dilema del presente</w:t>
      </w:r>
      <w:r w:rsidR="009D5523" w:rsidRPr="00847234">
        <w:rPr>
          <w:rFonts w:ascii="Arial" w:hAnsi="Arial" w:cs="Arial"/>
          <w:bCs/>
          <w:lang w:val="es-ES_tradnl"/>
        </w:rPr>
        <w:t xml:space="preserve"> asunto</w:t>
      </w:r>
      <w:r w:rsidR="00303786" w:rsidRPr="00847234">
        <w:rPr>
          <w:rFonts w:ascii="Arial" w:hAnsi="Arial" w:cs="Arial"/>
          <w:bCs/>
          <w:lang w:val="es-ES_tradnl"/>
        </w:rPr>
        <w:t xml:space="preserve"> es </w:t>
      </w:r>
      <w:r w:rsidR="00303786" w:rsidRPr="00847234">
        <w:rPr>
          <w:rFonts w:ascii="Arial" w:hAnsi="Arial" w:cs="Arial"/>
          <w:bCs/>
          <w:lang w:val="es-ES_tradnl"/>
        </w:rPr>
        <w:lastRenderedPageBreak/>
        <w:t>otro</w:t>
      </w:r>
      <w:r w:rsidR="00085CC8" w:rsidRPr="00847234">
        <w:rPr>
          <w:rFonts w:ascii="Arial" w:hAnsi="Arial" w:cs="Arial"/>
          <w:bCs/>
          <w:lang w:val="es-ES_tradnl"/>
        </w:rPr>
        <w:t xml:space="preserve"> no equiparable a los precedentes antes citados</w:t>
      </w:r>
      <w:r w:rsidR="001F65D9">
        <w:rPr>
          <w:rFonts w:ascii="Arial" w:hAnsi="Arial" w:cs="Arial"/>
          <w:bCs/>
          <w:lang w:val="es-ES_tradnl"/>
        </w:rPr>
        <w:t xml:space="preserve">. Aquí la </w:t>
      </w:r>
      <w:r w:rsidR="00BB4563" w:rsidRPr="00847234">
        <w:rPr>
          <w:rFonts w:ascii="Arial" w:hAnsi="Arial" w:cs="Arial"/>
          <w:bCs/>
          <w:lang w:val="es-ES_tradnl"/>
        </w:rPr>
        <w:t>Constitución parte de la premisa opuesta</w:t>
      </w:r>
      <w:r w:rsidR="000F6DDE" w:rsidRPr="00847234">
        <w:rPr>
          <w:rFonts w:ascii="Arial" w:hAnsi="Arial" w:cs="Arial"/>
          <w:bCs/>
          <w:lang w:val="es-ES_tradnl"/>
        </w:rPr>
        <w:t xml:space="preserve">: </w:t>
      </w:r>
      <w:r w:rsidR="00BB4563" w:rsidRPr="00847234">
        <w:rPr>
          <w:rFonts w:ascii="Arial" w:hAnsi="Arial" w:cs="Arial"/>
          <w:bCs/>
          <w:lang w:val="es-ES_tradnl"/>
        </w:rPr>
        <w:t xml:space="preserve">en el mercado de generación de electricidad, la CFE tendría ventajas competitivas que </w:t>
      </w:r>
      <w:r w:rsidR="000F6DDE" w:rsidRPr="00847234">
        <w:rPr>
          <w:rFonts w:ascii="Arial" w:hAnsi="Arial" w:cs="Arial"/>
          <w:bCs/>
          <w:lang w:val="es-ES_tradnl"/>
        </w:rPr>
        <w:t xml:space="preserve">esperaban </w:t>
      </w:r>
      <w:r w:rsidR="00B27E5B" w:rsidRPr="00847234">
        <w:rPr>
          <w:rFonts w:ascii="Arial" w:hAnsi="Arial" w:cs="Arial"/>
          <w:bCs/>
          <w:lang w:val="es-ES_tradnl"/>
        </w:rPr>
        <w:t xml:space="preserve">atenuación por parte del </w:t>
      </w:r>
      <w:r w:rsidR="00BB4563" w:rsidRPr="00847234">
        <w:rPr>
          <w:rFonts w:ascii="Arial" w:hAnsi="Arial" w:cs="Arial"/>
          <w:bCs/>
          <w:lang w:val="es-ES_tradnl"/>
        </w:rPr>
        <w:t>legislador</w:t>
      </w:r>
      <w:r w:rsidR="00B27E5B" w:rsidRPr="00847234">
        <w:rPr>
          <w:rFonts w:ascii="Arial" w:hAnsi="Arial" w:cs="Arial"/>
          <w:bCs/>
          <w:lang w:val="es-ES_tradnl"/>
        </w:rPr>
        <w:t>.</w:t>
      </w:r>
      <w:r w:rsidR="00993173" w:rsidRPr="00847234">
        <w:rPr>
          <w:rFonts w:ascii="Arial" w:hAnsi="Arial" w:cs="Arial"/>
          <w:bCs/>
          <w:lang w:val="es-ES_tradnl"/>
        </w:rPr>
        <w:t xml:space="preserve"> Sin embargo, la Constitución no impone una medida básica de la cual debe partir la legislación y e</w:t>
      </w:r>
      <w:r w:rsidR="00BB4563" w:rsidRPr="00847234">
        <w:rPr>
          <w:rFonts w:ascii="Arial" w:hAnsi="Arial" w:cs="Arial"/>
          <w:bCs/>
          <w:lang w:val="es-ES_tradnl"/>
        </w:rPr>
        <w:t xml:space="preserve">l control </w:t>
      </w:r>
      <w:r w:rsidR="00C64480">
        <w:rPr>
          <w:rFonts w:ascii="Arial" w:hAnsi="Arial" w:cs="Arial"/>
          <w:bCs/>
          <w:lang w:val="es-ES_tradnl"/>
        </w:rPr>
        <w:t xml:space="preserve">de </w:t>
      </w:r>
      <w:r w:rsidR="00BB4563" w:rsidRPr="00847234">
        <w:rPr>
          <w:rFonts w:ascii="Arial" w:hAnsi="Arial" w:cs="Arial"/>
          <w:bCs/>
          <w:lang w:val="es-ES_tradnl"/>
        </w:rPr>
        <w:t>regularidad</w:t>
      </w:r>
      <w:r w:rsidR="004B3A31">
        <w:rPr>
          <w:rFonts w:ascii="Arial" w:hAnsi="Arial" w:cs="Arial"/>
          <w:bCs/>
          <w:lang w:val="es-ES_tradnl"/>
        </w:rPr>
        <w:t>,</w:t>
      </w:r>
      <w:r w:rsidR="00BB4563" w:rsidRPr="00847234">
        <w:rPr>
          <w:rFonts w:ascii="Arial" w:hAnsi="Arial" w:cs="Arial"/>
          <w:bCs/>
          <w:lang w:val="es-ES_tradnl"/>
        </w:rPr>
        <w:t xml:space="preserve"> </w:t>
      </w:r>
      <w:r w:rsidR="004B3A31">
        <w:rPr>
          <w:rFonts w:ascii="Arial" w:hAnsi="Arial" w:cs="Arial"/>
          <w:bCs/>
          <w:lang w:val="es-ES_tradnl"/>
        </w:rPr>
        <w:t xml:space="preserve">para este caso, </w:t>
      </w:r>
      <w:r w:rsidR="00BB4563" w:rsidRPr="00847234">
        <w:rPr>
          <w:rFonts w:ascii="Arial" w:hAnsi="Arial" w:cs="Arial"/>
          <w:bCs/>
          <w:lang w:val="es-ES_tradnl"/>
        </w:rPr>
        <w:t xml:space="preserve">no podría </w:t>
      </w:r>
      <w:r w:rsidR="00F973DD" w:rsidRPr="00847234">
        <w:rPr>
          <w:rFonts w:ascii="Arial" w:hAnsi="Arial" w:cs="Arial"/>
          <w:bCs/>
          <w:lang w:val="es-ES_tradnl"/>
        </w:rPr>
        <w:t>incorporar las disposi</w:t>
      </w:r>
      <w:r w:rsidR="00BB4563" w:rsidRPr="00847234">
        <w:rPr>
          <w:rFonts w:ascii="Arial" w:hAnsi="Arial" w:cs="Arial"/>
          <w:bCs/>
          <w:lang w:val="es-ES_tradnl"/>
        </w:rPr>
        <w:t>ciones derogadas</w:t>
      </w:r>
      <w:r w:rsidR="001F5773" w:rsidRPr="00847234">
        <w:rPr>
          <w:rFonts w:ascii="Arial" w:hAnsi="Arial" w:cs="Arial"/>
          <w:bCs/>
          <w:lang w:val="es-ES_tradnl"/>
        </w:rPr>
        <w:t xml:space="preserve"> como una de sus partes</w:t>
      </w:r>
      <w:r w:rsidR="00BB4563" w:rsidRPr="00847234">
        <w:rPr>
          <w:rFonts w:ascii="Arial" w:hAnsi="Arial" w:cs="Arial"/>
          <w:bCs/>
          <w:lang w:val="es-ES_tradnl"/>
        </w:rPr>
        <w:t xml:space="preserve">. </w:t>
      </w:r>
      <w:r w:rsidR="00494875" w:rsidRPr="00847234">
        <w:rPr>
          <w:rFonts w:ascii="Arial" w:hAnsi="Arial" w:cs="Arial"/>
          <w:bCs/>
          <w:lang w:val="es-ES_tradnl"/>
        </w:rPr>
        <w:t>L</w:t>
      </w:r>
      <w:r w:rsidR="00BB4563" w:rsidRPr="00847234">
        <w:rPr>
          <w:rFonts w:ascii="Arial" w:hAnsi="Arial" w:cs="Arial"/>
          <w:bCs/>
          <w:lang w:val="es-ES_tradnl"/>
        </w:rPr>
        <w:t xml:space="preserve">a pregunta no podría </w:t>
      </w:r>
      <w:r w:rsidR="003C6474" w:rsidRPr="00847234">
        <w:rPr>
          <w:rFonts w:ascii="Arial" w:hAnsi="Arial" w:cs="Arial"/>
          <w:bCs/>
          <w:lang w:val="es-ES_tradnl"/>
        </w:rPr>
        <w:t>ser: ¿C</w:t>
      </w:r>
      <w:r w:rsidR="00BB4563" w:rsidRPr="00847234">
        <w:rPr>
          <w:rFonts w:ascii="Arial" w:hAnsi="Arial" w:cs="Arial"/>
          <w:bCs/>
          <w:lang w:val="es-ES_tradnl"/>
        </w:rPr>
        <w:t>uál de l</w:t>
      </w:r>
      <w:r w:rsidR="000E6E58">
        <w:rPr>
          <w:rFonts w:ascii="Arial" w:hAnsi="Arial" w:cs="Arial"/>
          <w:bCs/>
          <w:lang w:val="es-ES_tradnl"/>
        </w:rPr>
        <w:t>o</w:t>
      </w:r>
      <w:r w:rsidR="00BB4563" w:rsidRPr="00847234">
        <w:rPr>
          <w:rFonts w:ascii="Arial" w:hAnsi="Arial" w:cs="Arial"/>
          <w:bCs/>
          <w:lang w:val="es-ES_tradnl"/>
        </w:rPr>
        <w:t xml:space="preserve">s dos </w:t>
      </w:r>
      <w:r w:rsidR="003C6474" w:rsidRPr="00847234">
        <w:rPr>
          <w:rFonts w:ascii="Arial" w:hAnsi="Arial" w:cs="Arial"/>
          <w:bCs/>
          <w:lang w:val="es-ES_tradnl"/>
        </w:rPr>
        <w:t xml:space="preserve">modelos </w:t>
      </w:r>
      <w:r w:rsidR="008F16A1" w:rsidRPr="00847234">
        <w:rPr>
          <w:rFonts w:ascii="Arial" w:hAnsi="Arial" w:cs="Arial"/>
          <w:bCs/>
          <w:lang w:val="es-ES_tradnl"/>
        </w:rPr>
        <w:t xml:space="preserve">neutraliza mejor </w:t>
      </w:r>
      <w:r w:rsidR="00BB4563" w:rsidRPr="00847234">
        <w:rPr>
          <w:rFonts w:ascii="Arial" w:hAnsi="Arial" w:cs="Arial"/>
          <w:bCs/>
          <w:lang w:val="es-ES_tradnl"/>
        </w:rPr>
        <w:t>las ventajas competitivas de la CFE</w:t>
      </w:r>
      <w:r w:rsidR="008F16A1" w:rsidRPr="00847234">
        <w:rPr>
          <w:rFonts w:ascii="Arial" w:hAnsi="Arial" w:cs="Arial"/>
          <w:bCs/>
          <w:lang w:val="es-ES_tradnl"/>
        </w:rPr>
        <w:t xml:space="preserve">? sino: </w:t>
      </w:r>
      <w:r w:rsidR="00031479" w:rsidRPr="00847234">
        <w:rPr>
          <w:rFonts w:ascii="Arial" w:hAnsi="Arial" w:cs="Arial"/>
          <w:bCs/>
          <w:lang w:val="es-ES_tradnl"/>
        </w:rPr>
        <w:t>¿El legislador reglamentó razonablemente las ventajas competitivas de la CFE para compatibilizar</w:t>
      </w:r>
      <w:r w:rsidR="00993173" w:rsidRPr="00847234">
        <w:rPr>
          <w:rFonts w:ascii="Arial" w:hAnsi="Arial" w:cs="Arial"/>
          <w:bCs/>
          <w:lang w:val="es-ES_tradnl"/>
        </w:rPr>
        <w:t>las con</w:t>
      </w:r>
      <w:r w:rsidR="00031479" w:rsidRPr="00847234">
        <w:rPr>
          <w:rFonts w:ascii="Arial" w:hAnsi="Arial" w:cs="Arial"/>
          <w:bCs/>
          <w:lang w:val="es-ES_tradnl"/>
        </w:rPr>
        <w:t xml:space="preserve"> los principios de libre competencia y concurrencia</w:t>
      </w:r>
      <w:r w:rsidR="00993173" w:rsidRPr="00847234">
        <w:rPr>
          <w:rFonts w:ascii="Arial" w:hAnsi="Arial" w:cs="Arial"/>
          <w:bCs/>
          <w:lang w:val="es-ES_tradnl"/>
        </w:rPr>
        <w:t xml:space="preserve"> y</w:t>
      </w:r>
      <w:r w:rsidR="00031479" w:rsidRPr="00847234">
        <w:rPr>
          <w:rFonts w:ascii="Arial" w:hAnsi="Arial" w:cs="Arial"/>
          <w:bCs/>
          <w:lang w:val="es-ES_tradnl"/>
        </w:rPr>
        <w:t xml:space="preserve"> con los otros de rectoría económica del Estado?</w:t>
      </w:r>
      <w:r w:rsidR="003A2188" w:rsidRPr="00847234">
        <w:rPr>
          <w:rFonts w:ascii="Arial" w:hAnsi="Arial" w:cs="Arial"/>
          <w:bCs/>
          <w:lang w:val="es-ES_tradnl"/>
        </w:rPr>
        <w:t xml:space="preserve"> El diseño legal actual debe confrontarse directamente con el parámetro de control constitucional y no con el diseño legislativo anterior.  </w:t>
      </w:r>
      <w:r w:rsidR="007531AA" w:rsidRPr="00847234">
        <w:rPr>
          <w:rFonts w:ascii="Arial" w:hAnsi="Arial" w:cs="Arial"/>
          <w:bCs/>
          <w:lang w:val="es-ES_tradnl"/>
        </w:rPr>
        <w:t xml:space="preserve">Esto significa </w:t>
      </w:r>
      <w:proofErr w:type="gramStart"/>
      <w:r w:rsidR="007531AA" w:rsidRPr="00847234">
        <w:rPr>
          <w:rFonts w:ascii="Arial" w:hAnsi="Arial" w:cs="Arial"/>
          <w:bCs/>
          <w:lang w:val="es-ES_tradnl"/>
        </w:rPr>
        <w:t>que</w:t>
      </w:r>
      <w:proofErr w:type="gramEnd"/>
      <w:r w:rsidR="007531AA" w:rsidRPr="00847234">
        <w:rPr>
          <w:rFonts w:ascii="Arial" w:hAnsi="Arial" w:cs="Arial"/>
          <w:bCs/>
          <w:lang w:val="es-ES_tradnl"/>
        </w:rPr>
        <w:t xml:space="preserve"> para atacar la pregunta medular, debemos </w:t>
      </w:r>
      <w:r w:rsidR="007A38C1" w:rsidRPr="00847234">
        <w:rPr>
          <w:rFonts w:ascii="Arial" w:hAnsi="Arial" w:cs="Arial"/>
          <w:bCs/>
          <w:lang w:val="es-ES_tradnl"/>
        </w:rPr>
        <w:t>abandonar nuestra</w:t>
      </w:r>
      <w:r w:rsidR="007531AA" w:rsidRPr="00847234">
        <w:rPr>
          <w:rFonts w:ascii="Arial" w:hAnsi="Arial" w:cs="Arial"/>
          <w:bCs/>
          <w:lang w:val="es-ES_tradnl"/>
        </w:rPr>
        <w:t xml:space="preserve"> preferencia por cualquier de los modelos legislativos en cuanto a cuál de los dos desarrolla mejor el principio de libre competencia y concurrencia, para de</w:t>
      </w:r>
      <w:r w:rsidR="007820EA" w:rsidRPr="00847234">
        <w:rPr>
          <w:rFonts w:ascii="Arial" w:hAnsi="Arial" w:cs="Arial"/>
          <w:bCs/>
          <w:lang w:val="es-ES_tradnl"/>
        </w:rPr>
        <w:t xml:space="preserve">cidir </w:t>
      </w:r>
      <w:r w:rsidR="007531AA" w:rsidRPr="00847234">
        <w:rPr>
          <w:rFonts w:ascii="Arial" w:hAnsi="Arial" w:cs="Arial"/>
          <w:bCs/>
          <w:lang w:val="es-ES_tradnl"/>
        </w:rPr>
        <w:t>solamente si el modelo legislativo implantado en 2021 se ajusta al parámetro de control constitucional fijado con los artículos 25, 27 y 28 constitucionales</w:t>
      </w:r>
      <w:r w:rsidR="0082390C" w:rsidRPr="00847234">
        <w:rPr>
          <w:rFonts w:ascii="Arial" w:hAnsi="Arial" w:cs="Arial"/>
          <w:bCs/>
          <w:lang w:val="es-ES_tradnl"/>
        </w:rPr>
        <w:t xml:space="preserve">. </w:t>
      </w:r>
    </w:p>
    <w:p w14:paraId="434333D7" w14:textId="77777777" w:rsidR="006131B4" w:rsidRDefault="006131B4" w:rsidP="0082390C">
      <w:pPr>
        <w:spacing w:line="360" w:lineRule="auto"/>
        <w:jc w:val="both"/>
        <w:rPr>
          <w:rFonts w:ascii="Arial" w:hAnsi="Arial" w:cs="Arial"/>
          <w:bCs/>
          <w:lang w:val="es-ES_tradnl"/>
        </w:rPr>
      </w:pPr>
    </w:p>
    <w:p w14:paraId="74808556" w14:textId="08C892AE" w:rsidR="00D52CB3" w:rsidRPr="00847234" w:rsidRDefault="006131B4" w:rsidP="0082390C">
      <w:pPr>
        <w:spacing w:line="360" w:lineRule="auto"/>
        <w:jc w:val="both"/>
        <w:rPr>
          <w:rFonts w:ascii="Arial" w:hAnsi="Arial" w:cs="Arial"/>
          <w:bCs/>
          <w:lang w:val="es-ES_tradnl"/>
        </w:rPr>
      </w:pPr>
      <w:r>
        <w:rPr>
          <w:rFonts w:ascii="Arial" w:hAnsi="Arial" w:cs="Arial"/>
          <w:bCs/>
          <w:lang w:val="es-ES_tradnl"/>
        </w:rPr>
        <w:t>E</w:t>
      </w:r>
      <w:r w:rsidR="00993173" w:rsidRPr="00847234">
        <w:rPr>
          <w:rFonts w:ascii="Arial" w:hAnsi="Arial" w:cs="Arial"/>
          <w:bCs/>
          <w:lang w:val="es-ES_tradnl"/>
        </w:rPr>
        <w:t xml:space="preserve">s importante </w:t>
      </w:r>
      <w:r>
        <w:rPr>
          <w:rFonts w:ascii="Arial" w:hAnsi="Arial" w:cs="Arial"/>
          <w:bCs/>
          <w:lang w:val="es-ES_tradnl"/>
        </w:rPr>
        <w:t xml:space="preserve">insistir en </w:t>
      </w:r>
      <w:r w:rsidR="00993173" w:rsidRPr="00847234">
        <w:rPr>
          <w:rFonts w:ascii="Arial" w:hAnsi="Arial" w:cs="Arial"/>
          <w:bCs/>
          <w:lang w:val="es-ES_tradnl"/>
        </w:rPr>
        <w:t>la diferencia en</w:t>
      </w:r>
      <w:r>
        <w:rPr>
          <w:rFonts w:ascii="Arial" w:hAnsi="Arial" w:cs="Arial"/>
          <w:bCs/>
          <w:lang w:val="es-ES_tradnl"/>
        </w:rPr>
        <w:t>tre</w:t>
      </w:r>
      <w:r w:rsidR="00993173" w:rsidRPr="00847234">
        <w:rPr>
          <w:rFonts w:ascii="Arial" w:hAnsi="Arial" w:cs="Arial"/>
          <w:bCs/>
          <w:lang w:val="es-ES_tradnl"/>
        </w:rPr>
        <w:t xml:space="preserve"> los efectos de una inconstitucionalidad de las normas impugnadas en comparación </w:t>
      </w:r>
      <w:r w:rsidR="001C3243">
        <w:rPr>
          <w:rFonts w:ascii="Arial" w:hAnsi="Arial" w:cs="Arial"/>
          <w:bCs/>
          <w:lang w:val="es-ES_tradnl"/>
        </w:rPr>
        <w:t xml:space="preserve">con </w:t>
      </w:r>
      <w:r w:rsidR="00993173" w:rsidRPr="00847234">
        <w:rPr>
          <w:rFonts w:ascii="Arial" w:hAnsi="Arial" w:cs="Arial"/>
          <w:bCs/>
          <w:lang w:val="es-ES_tradnl"/>
        </w:rPr>
        <w:t>los otorgados en los precedentes señalados. En</w:t>
      </w:r>
      <w:r w:rsidR="006A5DCC">
        <w:rPr>
          <w:rFonts w:ascii="Arial" w:hAnsi="Arial" w:cs="Arial"/>
          <w:bCs/>
          <w:lang w:val="es-ES_tradnl"/>
        </w:rPr>
        <w:t xml:space="preserve"> éstos</w:t>
      </w:r>
      <w:r w:rsidR="00F002B3">
        <w:rPr>
          <w:rFonts w:ascii="Arial" w:hAnsi="Arial" w:cs="Arial"/>
          <w:bCs/>
          <w:lang w:val="es-ES_tradnl"/>
        </w:rPr>
        <w:t>,</w:t>
      </w:r>
      <w:r w:rsidR="00993173" w:rsidRPr="00847234">
        <w:rPr>
          <w:rFonts w:ascii="Arial" w:hAnsi="Arial" w:cs="Arial"/>
          <w:bCs/>
          <w:lang w:val="es-ES_tradnl"/>
        </w:rPr>
        <w:t xml:space="preserve"> la expulsión de las normas alcanzó para restablecer las libertades de mercado vulneradas con las barreras de entrada. En cambio, </w:t>
      </w:r>
      <w:r w:rsidR="00064BB1">
        <w:rPr>
          <w:rFonts w:ascii="Arial" w:hAnsi="Arial" w:cs="Arial"/>
          <w:bCs/>
          <w:lang w:val="es-ES_tradnl"/>
        </w:rPr>
        <w:t xml:space="preserve">respecto de la industria </w:t>
      </w:r>
      <w:r w:rsidR="000B57AD">
        <w:rPr>
          <w:rFonts w:ascii="Arial" w:hAnsi="Arial" w:cs="Arial"/>
          <w:bCs/>
          <w:lang w:val="es-ES_tradnl"/>
        </w:rPr>
        <w:t>eléctrica</w:t>
      </w:r>
      <w:r w:rsidR="00AB1E8C">
        <w:rPr>
          <w:rFonts w:ascii="Arial" w:hAnsi="Arial" w:cs="Arial"/>
          <w:bCs/>
          <w:lang w:val="es-ES_tradnl"/>
        </w:rPr>
        <w:t>,</w:t>
      </w:r>
      <w:r w:rsidR="000B57AD">
        <w:rPr>
          <w:rFonts w:ascii="Arial" w:hAnsi="Arial" w:cs="Arial"/>
          <w:bCs/>
          <w:lang w:val="es-ES_tradnl"/>
        </w:rPr>
        <w:t xml:space="preserve"> una </w:t>
      </w:r>
      <w:r w:rsidR="0082390C" w:rsidRPr="00847234">
        <w:rPr>
          <w:rFonts w:ascii="Arial" w:hAnsi="Arial" w:cs="Arial"/>
          <w:bCs/>
          <w:lang w:val="es-ES_tradnl"/>
        </w:rPr>
        <w:t>declaratoria de inconstitucionalidad de las normas -si se hubiese alcanzado la mayoría calificada requerida- por contravención al principio de libre competencia y concurrencia</w:t>
      </w:r>
      <w:r w:rsidR="00F002B3">
        <w:rPr>
          <w:rFonts w:ascii="Arial" w:hAnsi="Arial" w:cs="Arial"/>
          <w:bCs/>
          <w:lang w:val="es-ES_tradnl"/>
        </w:rPr>
        <w:t>,</w:t>
      </w:r>
      <w:r w:rsidR="00993173" w:rsidRPr="00847234">
        <w:rPr>
          <w:rFonts w:ascii="Arial" w:hAnsi="Arial" w:cs="Arial"/>
          <w:bCs/>
          <w:lang w:val="es-ES_tradnl"/>
        </w:rPr>
        <w:t xml:space="preserve"> no hubiera resuelto el problema</w:t>
      </w:r>
      <w:r w:rsidR="0082390C" w:rsidRPr="00847234">
        <w:rPr>
          <w:rFonts w:ascii="Arial" w:hAnsi="Arial" w:cs="Arial"/>
          <w:bCs/>
          <w:lang w:val="es-ES_tradnl"/>
        </w:rPr>
        <w:t>.</w:t>
      </w:r>
    </w:p>
    <w:p w14:paraId="5DC53FE1" w14:textId="77777777" w:rsidR="0007484D" w:rsidRDefault="0007484D" w:rsidP="0082390C">
      <w:pPr>
        <w:spacing w:line="360" w:lineRule="auto"/>
        <w:jc w:val="both"/>
        <w:rPr>
          <w:rFonts w:ascii="Arial" w:hAnsi="Arial" w:cs="Arial"/>
          <w:bCs/>
          <w:lang w:val="es-ES_tradnl"/>
        </w:rPr>
      </w:pPr>
    </w:p>
    <w:p w14:paraId="382BB768" w14:textId="26F963A4" w:rsidR="00D52CB3" w:rsidRPr="00847234" w:rsidRDefault="0007484D" w:rsidP="0082390C">
      <w:pPr>
        <w:spacing w:line="360" w:lineRule="auto"/>
        <w:jc w:val="both"/>
        <w:rPr>
          <w:rFonts w:ascii="Arial" w:hAnsi="Arial" w:cs="Arial"/>
          <w:bCs/>
          <w:lang w:val="es-ES_tradnl"/>
        </w:rPr>
      </w:pPr>
      <w:r>
        <w:rPr>
          <w:rFonts w:ascii="Arial" w:hAnsi="Arial" w:cs="Arial"/>
          <w:bCs/>
          <w:lang w:val="es-ES_tradnl"/>
        </w:rPr>
        <w:t>Es p</w:t>
      </w:r>
      <w:r w:rsidR="00D52CB3" w:rsidRPr="00847234">
        <w:rPr>
          <w:rFonts w:ascii="Arial" w:hAnsi="Arial" w:cs="Arial"/>
          <w:bCs/>
          <w:lang w:val="es-ES_tradnl"/>
        </w:rPr>
        <w:t>aradójico</w:t>
      </w:r>
      <w:r>
        <w:rPr>
          <w:rFonts w:ascii="Arial" w:hAnsi="Arial" w:cs="Arial"/>
          <w:bCs/>
          <w:lang w:val="es-ES_tradnl"/>
        </w:rPr>
        <w:t xml:space="preserve">, entonces, </w:t>
      </w:r>
      <w:r w:rsidR="00D52CB3" w:rsidRPr="00847234">
        <w:rPr>
          <w:rFonts w:ascii="Arial" w:hAnsi="Arial" w:cs="Arial"/>
          <w:bCs/>
          <w:lang w:val="es-ES_tradnl"/>
        </w:rPr>
        <w:t>que</w:t>
      </w:r>
      <w:r w:rsidR="00993173" w:rsidRPr="00847234">
        <w:rPr>
          <w:rFonts w:ascii="Arial" w:hAnsi="Arial" w:cs="Arial"/>
          <w:bCs/>
          <w:lang w:val="es-ES_tradnl"/>
        </w:rPr>
        <w:t xml:space="preserve"> la </w:t>
      </w:r>
      <w:r w:rsidR="00D52CB3" w:rsidRPr="00847234">
        <w:rPr>
          <w:rFonts w:ascii="Arial" w:hAnsi="Arial" w:cs="Arial"/>
          <w:bCs/>
          <w:lang w:val="es-ES_tradnl"/>
        </w:rPr>
        <w:t>decisión</w:t>
      </w:r>
      <w:r w:rsidR="00993173" w:rsidRPr="00847234">
        <w:rPr>
          <w:rFonts w:ascii="Arial" w:hAnsi="Arial" w:cs="Arial"/>
          <w:bCs/>
          <w:lang w:val="es-ES_tradnl"/>
        </w:rPr>
        <w:t xml:space="preserve"> de la mayoría de los integrantes de este Pleno</w:t>
      </w:r>
      <w:r w:rsidR="00D52CB3" w:rsidRPr="00847234">
        <w:rPr>
          <w:rFonts w:ascii="Arial" w:hAnsi="Arial" w:cs="Arial"/>
          <w:bCs/>
          <w:lang w:val="es-ES_tradnl"/>
        </w:rPr>
        <w:t xml:space="preserve"> se preocupara tanto en proteger la libre competencia cuando los efectos de una eventual declaratoria de inconstitucional</w:t>
      </w:r>
      <w:r w:rsidR="00235A0F">
        <w:rPr>
          <w:rFonts w:ascii="Arial" w:hAnsi="Arial" w:cs="Arial"/>
          <w:bCs/>
          <w:lang w:val="es-ES_tradnl"/>
        </w:rPr>
        <w:t>idad</w:t>
      </w:r>
      <w:r w:rsidR="00D52CB3" w:rsidRPr="00847234">
        <w:rPr>
          <w:rFonts w:ascii="Arial" w:hAnsi="Arial" w:cs="Arial"/>
          <w:bCs/>
          <w:lang w:val="es-ES_tradnl"/>
        </w:rPr>
        <w:t xml:space="preserve"> </w:t>
      </w:r>
      <w:r w:rsidR="00D65713">
        <w:rPr>
          <w:rFonts w:ascii="Arial" w:hAnsi="Arial" w:cs="Arial"/>
          <w:bCs/>
          <w:lang w:val="es-ES_tradnl"/>
        </w:rPr>
        <w:t>les habría g</w:t>
      </w:r>
      <w:r w:rsidR="00D52CB3" w:rsidRPr="00847234">
        <w:rPr>
          <w:rFonts w:ascii="Arial" w:hAnsi="Arial" w:cs="Arial"/>
          <w:bCs/>
          <w:lang w:val="es-ES_tradnl"/>
        </w:rPr>
        <w:t>enerado un mayor perjuicio</w:t>
      </w:r>
      <w:r w:rsidR="00B55B39">
        <w:rPr>
          <w:rFonts w:ascii="Arial" w:hAnsi="Arial" w:cs="Arial"/>
          <w:bCs/>
          <w:lang w:val="es-ES_tradnl"/>
        </w:rPr>
        <w:t xml:space="preserve">: </w:t>
      </w:r>
      <w:r w:rsidR="00111009">
        <w:rPr>
          <w:rFonts w:ascii="Arial" w:hAnsi="Arial" w:cs="Arial"/>
          <w:bCs/>
          <w:lang w:val="es-ES_tradnl"/>
        </w:rPr>
        <w:t xml:space="preserve">la </w:t>
      </w:r>
      <w:r w:rsidR="00D52CB3" w:rsidRPr="00847234">
        <w:rPr>
          <w:rFonts w:ascii="Arial" w:hAnsi="Arial" w:cs="Arial"/>
          <w:bCs/>
          <w:lang w:val="es-ES_tradnl"/>
        </w:rPr>
        <w:t xml:space="preserve">expulsión de las normas impugnadas hubiera implicado eliminar las reglas que en el 2021 modulaban las restricciones sobre las </w:t>
      </w:r>
      <w:r w:rsidR="008F25B7" w:rsidRPr="00847234">
        <w:rPr>
          <w:rFonts w:ascii="Arial" w:hAnsi="Arial" w:cs="Arial"/>
          <w:bCs/>
          <w:lang w:val="es-ES_tradnl"/>
        </w:rPr>
        <w:t>ventajas</w:t>
      </w:r>
      <w:r w:rsidR="00D52CB3" w:rsidRPr="00847234">
        <w:rPr>
          <w:rFonts w:ascii="Arial" w:hAnsi="Arial" w:cs="Arial"/>
          <w:bCs/>
          <w:lang w:val="es-ES_tradnl"/>
        </w:rPr>
        <w:t xml:space="preserve"> competitivas sobre la CFE para dejar al mercado a su suerte</w:t>
      </w:r>
      <w:r w:rsidR="0025588A">
        <w:rPr>
          <w:rFonts w:ascii="Arial" w:hAnsi="Arial" w:cs="Arial"/>
          <w:bCs/>
          <w:lang w:val="es-ES_tradnl"/>
        </w:rPr>
        <w:t xml:space="preserve"> y </w:t>
      </w:r>
      <w:r w:rsidR="00D52CB3" w:rsidRPr="00847234">
        <w:rPr>
          <w:rFonts w:ascii="Arial" w:hAnsi="Arial" w:cs="Arial"/>
          <w:bCs/>
          <w:lang w:val="es-ES_tradnl"/>
        </w:rPr>
        <w:t>permiti</w:t>
      </w:r>
      <w:r w:rsidR="0025588A">
        <w:rPr>
          <w:rFonts w:ascii="Arial" w:hAnsi="Arial" w:cs="Arial"/>
          <w:bCs/>
          <w:lang w:val="es-ES_tradnl"/>
        </w:rPr>
        <w:t xml:space="preserve">r </w:t>
      </w:r>
      <w:r w:rsidR="00B55B39">
        <w:rPr>
          <w:rFonts w:ascii="Arial" w:hAnsi="Arial" w:cs="Arial"/>
          <w:bCs/>
          <w:lang w:val="es-ES_tradnl"/>
        </w:rPr>
        <w:t>a l</w:t>
      </w:r>
      <w:r w:rsidR="00D52CB3" w:rsidRPr="00847234">
        <w:rPr>
          <w:rFonts w:ascii="Arial" w:hAnsi="Arial" w:cs="Arial"/>
          <w:bCs/>
          <w:lang w:val="es-ES_tradnl"/>
        </w:rPr>
        <w:t xml:space="preserve">a CFE </w:t>
      </w:r>
      <w:r w:rsidR="00B55B39">
        <w:rPr>
          <w:rFonts w:ascii="Arial" w:hAnsi="Arial" w:cs="Arial"/>
          <w:bCs/>
          <w:lang w:val="es-ES_tradnl"/>
        </w:rPr>
        <w:t xml:space="preserve">valerse </w:t>
      </w:r>
      <w:r w:rsidR="00D43582">
        <w:rPr>
          <w:rFonts w:ascii="Arial" w:hAnsi="Arial" w:cs="Arial"/>
          <w:bCs/>
          <w:lang w:val="es-ES_tradnl"/>
        </w:rPr>
        <w:t xml:space="preserve">de todas </w:t>
      </w:r>
      <w:r w:rsidR="00435DC3">
        <w:rPr>
          <w:rFonts w:ascii="Arial" w:hAnsi="Arial" w:cs="Arial"/>
          <w:bCs/>
          <w:lang w:val="es-ES_tradnl"/>
        </w:rPr>
        <w:t xml:space="preserve">sus </w:t>
      </w:r>
      <w:r w:rsidR="00D52CB3" w:rsidRPr="00847234">
        <w:rPr>
          <w:rFonts w:ascii="Arial" w:hAnsi="Arial" w:cs="Arial"/>
          <w:bCs/>
          <w:lang w:val="es-ES_tradnl"/>
        </w:rPr>
        <w:t>ventajas competitivas.</w:t>
      </w:r>
    </w:p>
    <w:p w14:paraId="13138D75" w14:textId="77777777" w:rsidR="00D52CB3" w:rsidRPr="00847234" w:rsidRDefault="00D52CB3" w:rsidP="0082390C">
      <w:pPr>
        <w:spacing w:line="360" w:lineRule="auto"/>
        <w:jc w:val="both"/>
        <w:rPr>
          <w:rFonts w:ascii="Arial" w:hAnsi="Arial" w:cs="Arial"/>
          <w:bCs/>
          <w:lang w:val="es-ES_tradnl"/>
        </w:rPr>
      </w:pPr>
    </w:p>
    <w:p w14:paraId="2C9E6912" w14:textId="653ACD14" w:rsidR="0082390C" w:rsidRPr="00847234" w:rsidRDefault="00D52CB3" w:rsidP="0082390C">
      <w:pPr>
        <w:spacing w:line="360" w:lineRule="auto"/>
        <w:jc w:val="both"/>
        <w:rPr>
          <w:rFonts w:ascii="Arial" w:hAnsi="Arial" w:cs="Arial"/>
          <w:bCs/>
          <w:lang w:val="es-ES_tradnl"/>
        </w:rPr>
      </w:pPr>
      <w:r w:rsidRPr="00847234">
        <w:rPr>
          <w:rFonts w:ascii="Arial" w:hAnsi="Arial" w:cs="Arial"/>
          <w:bCs/>
          <w:lang w:val="es-ES_tradnl"/>
        </w:rPr>
        <w:t>Este problema no se discutió en las sesiones correspondientes</w:t>
      </w:r>
      <w:r w:rsidR="00CE4156">
        <w:rPr>
          <w:rFonts w:ascii="Arial" w:hAnsi="Arial" w:cs="Arial"/>
          <w:bCs/>
          <w:lang w:val="es-ES_tradnl"/>
        </w:rPr>
        <w:t xml:space="preserve"> </w:t>
      </w:r>
      <w:r w:rsidRPr="00847234">
        <w:rPr>
          <w:rFonts w:ascii="Arial" w:hAnsi="Arial" w:cs="Arial"/>
          <w:bCs/>
          <w:lang w:val="es-ES_tradnl"/>
        </w:rPr>
        <w:t>porque la argumentación de la mayoría de los integrantes de este Pleno</w:t>
      </w:r>
      <w:r w:rsidR="00993173" w:rsidRPr="00847234">
        <w:rPr>
          <w:rFonts w:ascii="Arial" w:hAnsi="Arial" w:cs="Arial"/>
          <w:bCs/>
          <w:lang w:val="es-ES_tradnl"/>
        </w:rPr>
        <w:t xml:space="preserve"> partía de la premisa</w:t>
      </w:r>
      <w:r w:rsidRPr="00847234">
        <w:rPr>
          <w:rFonts w:ascii="Arial" w:hAnsi="Arial" w:cs="Arial"/>
          <w:bCs/>
          <w:lang w:val="es-ES_tradnl"/>
        </w:rPr>
        <w:t xml:space="preserve"> incorrecta</w:t>
      </w:r>
      <w:r w:rsidR="00E92527">
        <w:rPr>
          <w:rFonts w:ascii="Arial" w:hAnsi="Arial" w:cs="Arial"/>
          <w:bCs/>
          <w:lang w:val="es-ES_tradnl"/>
        </w:rPr>
        <w:t xml:space="preserve">: en estas acciones de inconstitucionalidad </w:t>
      </w:r>
      <w:r w:rsidR="00033D0F">
        <w:rPr>
          <w:rFonts w:ascii="Arial" w:hAnsi="Arial" w:cs="Arial"/>
          <w:bCs/>
          <w:lang w:val="es-ES_tradnl"/>
        </w:rPr>
        <w:t xml:space="preserve">comparábamos </w:t>
      </w:r>
      <w:r w:rsidR="00993173" w:rsidRPr="00847234">
        <w:rPr>
          <w:rFonts w:ascii="Arial" w:hAnsi="Arial" w:cs="Arial"/>
          <w:bCs/>
          <w:lang w:val="es-ES_tradnl"/>
        </w:rPr>
        <w:t>los preceptos legales derogados con los vigentes</w:t>
      </w:r>
      <w:r w:rsidR="0054008D">
        <w:rPr>
          <w:rFonts w:ascii="Arial" w:hAnsi="Arial" w:cs="Arial"/>
          <w:bCs/>
          <w:lang w:val="es-ES_tradnl"/>
        </w:rPr>
        <w:t xml:space="preserve">. Así, </w:t>
      </w:r>
      <w:r w:rsidR="00993173" w:rsidRPr="00847234">
        <w:rPr>
          <w:rFonts w:ascii="Arial" w:hAnsi="Arial" w:cs="Arial"/>
          <w:bCs/>
          <w:lang w:val="es-ES_tradnl"/>
        </w:rPr>
        <w:t xml:space="preserve">al concluir que los derogados propiciaban </w:t>
      </w:r>
      <w:r w:rsidR="00993173" w:rsidRPr="00847234">
        <w:rPr>
          <w:rFonts w:ascii="Arial" w:hAnsi="Arial" w:cs="Arial"/>
          <w:bCs/>
          <w:lang w:val="es-ES_tradnl"/>
        </w:rPr>
        <w:lastRenderedPageBreak/>
        <w:t>mayor competencia económica, debían restabl</w:t>
      </w:r>
      <w:r w:rsidR="00C27048" w:rsidRPr="00847234">
        <w:rPr>
          <w:rFonts w:ascii="Arial" w:hAnsi="Arial" w:cs="Arial"/>
          <w:bCs/>
          <w:lang w:val="es-ES_tradnl"/>
        </w:rPr>
        <w:t>e</w:t>
      </w:r>
      <w:r w:rsidR="00993173" w:rsidRPr="00847234">
        <w:rPr>
          <w:rFonts w:ascii="Arial" w:hAnsi="Arial" w:cs="Arial"/>
          <w:bCs/>
          <w:lang w:val="es-ES_tradnl"/>
        </w:rPr>
        <w:t>cerse. Sin embargo, esa posibilidad es ajena a nuestros precedentes</w:t>
      </w:r>
      <w:r w:rsidR="00C27048" w:rsidRPr="00847234">
        <w:rPr>
          <w:rFonts w:ascii="Arial" w:hAnsi="Arial" w:cs="Arial"/>
          <w:bCs/>
          <w:lang w:val="es-ES_tradnl"/>
        </w:rPr>
        <w:t>, pues n</w:t>
      </w:r>
      <w:r w:rsidRPr="00847234">
        <w:rPr>
          <w:rFonts w:ascii="Arial" w:hAnsi="Arial" w:cs="Arial"/>
          <w:bCs/>
          <w:lang w:val="es-ES_tradnl"/>
        </w:rPr>
        <w:t>uestra doctrina no</w:t>
      </w:r>
      <w:r w:rsidR="00C27048" w:rsidRPr="00847234">
        <w:rPr>
          <w:rFonts w:ascii="Arial" w:hAnsi="Arial" w:cs="Arial"/>
          <w:bCs/>
          <w:lang w:val="es-ES_tradnl"/>
        </w:rPr>
        <w:t xml:space="preserve"> acepta</w:t>
      </w:r>
      <w:r w:rsidRPr="00847234">
        <w:rPr>
          <w:rFonts w:ascii="Arial" w:hAnsi="Arial" w:cs="Arial"/>
          <w:bCs/>
          <w:lang w:val="es-ES_tradnl"/>
        </w:rPr>
        <w:t xml:space="preserve"> </w:t>
      </w:r>
      <w:r w:rsidR="00C27048" w:rsidRPr="00847234">
        <w:rPr>
          <w:rFonts w:ascii="Arial" w:hAnsi="Arial" w:cs="Arial"/>
          <w:bCs/>
          <w:lang w:val="es-ES_tradnl"/>
        </w:rPr>
        <w:t>que la</w:t>
      </w:r>
      <w:r w:rsidR="0082390C" w:rsidRPr="00847234">
        <w:rPr>
          <w:rFonts w:ascii="Arial" w:hAnsi="Arial" w:cs="Arial"/>
          <w:bCs/>
          <w:lang w:val="es-ES_tradnl"/>
        </w:rPr>
        <w:t xml:space="preserve"> inconstitucionalidad </w:t>
      </w:r>
      <w:r w:rsidR="00C27048" w:rsidRPr="00847234">
        <w:rPr>
          <w:rFonts w:ascii="Arial" w:hAnsi="Arial" w:cs="Arial"/>
          <w:bCs/>
          <w:lang w:val="es-ES_tradnl"/>
        </w:rPr>
        <w:t>detectada en las leyes económicas acarre</w:t>
      </w:r>
      <w:r w:rsidR="00DD36CB">
        <w:rPr>
          <w:rFonts w:ascii="Arial" w:hAnsi="Arial" w:cs="Arial"/>
          <w:bCs/>
          <w:lang w:val="es-ES_tradnl"/>
        </w:rPr>
        <w:t xml:space="preserve">e </w:t>
      </w:r>
      <w:r w:rsidR="0082390C" w:rsidRPr="00847234">
        <w:rPr>
          <w:rFonts w:ascii="Arial" w:hAnsi="Arial" w:cs="Arial"/>
          <w:bCs/>
          <w:lang w:val="es-ES_tradnl"/>
        </w:rPr>
        <w:t>la reviviscencia</w:t>
      </w:r>
      <w:r w:rsidRPr="00847234">
        <w:rPr>
          <w:rFonts w:ascii="Arial" w:hAnsi="Arial" w:cs="Arial"/>
          <w:bCs/>
          <w:lang w:val="es-ES_tradnl"/>
        </w:rPr>
        <w:t xml:space="preserve"> de leyes derogadas</w:t>
      </w:r>
      <w:r w:rsidR="00C27048" w:rsidRPr="00847234">
        <w:rPr>
          <w:rFonts w:ascii="Arial" w:hAnsi="Arial" w:cs="Arial"/>
          <w:bCs/>
          <w:lang w:val="es-ES_tradnl"/>
        </w:rPr>
        <w:t>.</w:t>
      </w:r>
      <w:r w:rsidR="00A90C8F" w:rsidRPr="00847234">
        <w:rPr>
          <w:rStyle w:val="Refdenotaalpie"/>
          <w:rFonts w:ascii="Arial" w:hAnsi="Arial" w:cs="Arial"/>
          <w:bCs/>
        </w:rPr>
        <w:footnoteReference w:id="31"/>
      </w:r>
      <w:r w:rsidR="00B63A8F">
        <w:rPr>
          <w:rFonts w:ascii="Arial" w:hAnsi="Arial" w:cs="Arial"/>
          <w:bCs/>
          <w:lang w:val="es-ES_tradnl"/>
        </w:rPr>
        <w:t xml:space="preserve"> Las</w:t>
      </w:r>
      <w:r w:rsidR="0082390C" w:rsidRPr="00847234">
        <w:rPr>
          <w:rFonts w:ascii="Arial" w:hAnsi="Arial" w:cs="Arial"/>
          <w:bCs/>
          <w:lang w:val="es-ES_tradnl"/>
        </w:rPr>
        <w:t xml:space="preserve"> normas derogadas no son parámetro de contraste</w:t>
      </w:r>
      <w:r w:rsidR="00C27048" w:rsidRPr="00847234">
        <w:rPr>
          <w:rFonts w:ascii="Arial" w:hAnsi="Arial" w:cs="Arial"/>
          <w:bCs/>
          <w:lang w:val="es-ES_tradnl"/>
        </w:rPr>
        <w:t xml:space="preserve"> y, por tanto, no pueden aspirar a ser restablecidas vía judicia</w:t>
      </w:r>
      <w:r w:rsidR="00B872F1">
        <w:rPr>
          <w:rFonts w:ascii="Arial" w:hAnsi="Arial" w:cs="Arial"/>
          <w:bCs/>
          <w:lang w:val="es-ES_tradnl"/>
        </w:rPr>
        <w:t xml:space="preserve">l. El </w:t>
      </w:r>
      <w:r w:rsidR="0082390C" w:rsidRPr="00847234">
        <w:rPr>
          <w:rFonts w:ascii="Arial" w:hAnsi="Arial" w:cs="Arial"/>
          <w:bCs/>
          <w:lang w:val="es-ES_tradnl"/>
        </w:rPr>
        <w:t>parámetro de control</w:t>
      </w:r>
      <w:r w:rsidR="00C27048" w:rsidRPr="00847234">
        <w:rPr>
          <w:rFonts w:ascii="Arial" w:hAnsi="Arial" w:cs="Arial"/>
          <w:bCs/>
          <w:lang w:val="es-ES_tradnl"/>
        </w:rPr>
        <w:t xml:space="preserve"> de las normas ahora impugnadas</w:t>
      </w:r>
      <w:r w:rsidR="0082390C" w:rsidRPr="00847234">
        <w:rPr>
          <w:rFonts w:ascii="Arial" w:hAnsi="Arial" w:cs="Arial"/>
          <w:bCs/>
          <w:lang w:val="es-ES_tradnl"/>
        </w:rPr>
        <w:t xml:space="preserve"> deriva directamente </w:t>
      </w:r>
      <w:r w:rsidR="00D54306" w:rsidRPr="00847234">
        <w:rPr>
          <w:rFonts w:ascii="Arial" w:hAnsi="Arial" w:cs="Arial"/>
          <w:bCs/>
          <w:lang w:val="es-ES_tradnl"/>
        </w:rPr>
        <w:t xml:space="preserve">de </w:t>
      </w:r>
      <w:r w:rsidR="0082390C" w:rsidRPr="00847234">
        <w:rPr>
          <w:rFonts w:ascii="Arial" w:hAnsi="Arial" w:cs="Arial"/>
          <w:bCs/>
          <w:lang w:val="es-ES_tradnl"/>
        </w:rPr>
        <w:t>la Constitución, al tratarse de un mercado contemplado por la Constitución</w:t>
      </w:r>
      <w:r w:rsidR="00764DEE" w:rsidRPr="00847234">
        <w:rPr>
          <w:rFonts w:ascii="Arial" w:hAnsi="Arial" w:cs="Arial"/>
          <w:bCs/>
          <w:lang w:val="es-ES_tradnl"/>
        </w:rPr>
        <w:t xml:space="preserve"> y perteneciente al terreno de la rectoría económica del Estado</w:t>
      </w:r>
      <w:r w:rsidR="00C27048" w:rsidRPr="00847234">
        <w:rPr>
          <w:rFonts w:ascii="Arial" w:hAnsi="Arial" w:cs="Arial"/>
          <w:bCs/>
          <w:lang w:val="es-ES_tradnl"/>
        </w:rPr>
        <w:t xml:space="preserve"> y éste no contempla una línea de base</w:t>
      </w:r>
      <w:r w:rsidR="00492CB9">
        <w:rPr>
          <w:rFonts w:ascii="Arial" w:hAnsi="Arial" w:cs="Arial"/>
          <w:bCs/>
          <w:lang w:val="es-ES_tradnl"/>
        </w:rPr>
        <w:t>,</w:t>
      </w:r>
      <w:r w:rsidR="00676DB7">
        <w:rPr>
          <w:rFonts w:ascii="Arial" w:hAnsi="Arial" w:cs="Arial"/>
          <w:bCs/>
          <w:lang w:val="es-ES_tradnl"/>
        </w:rPr>
        <w:t xml:space="preserve"> </w:t>
      </w:r>
      <w:r w:rsidR="00C27048" w:rsidRPr="00847234">
        <w:rPr>
          <w:rFonts w:ascii="Arial" w:hAnsi="Arial" w:cs="Arial"/>
          <w:bCs/>
          <w:lang w:val="es-ES_tradnl"/>
        </w:rPr>
        <w:t>como la mayoría de los integrantes del Pleno quería trazar incorrectamente a partir de los preceptos derogados</w:t>
      </w:r>
      <w:r w:rsidR="00764DEE" w:rsidRPr="00847234">
        <w:rPr>
          <w:rFonts w:ascii="Arial" w:hAnsi="Arial" w:cs="Arial"/>
          <w:bCs/>
          <w:lang w:val="es-ES_tradnl"/>
        </w:rPr>
        <w:t xml:space="preserve">. </w:t>
      </w:r>
    </w:p>
    <w:p w14:paraId="48A6D510" w14:textId="77777777" w:rsidR="00C31116" w:rsidRPr="00847234" w:rsidRDefault="00C31116" w:rsidP="0075782F">
      <w:pPr>
        <w:spacing w:line="360" w:lineRule="auto"/>
        <w:jc w:val="both"/>
        <w:rPr>
          <w:rFonts w:ascii="Arial" w:hAnsi="Arial" w:cs="Arial"/>
          <w:bCs/>
          <w:lang w:val="es-ES_tradnl"/>
        </w:rPr>
      </w:pPr>
    </w:p>
    <w:p w14:paraId="64AA1917" w14:textId="0F5F96F6" w:rsidR="0082390C" w:rsidRPr="00847234" w:rsidRDefault="00C31116" w:rsidP="0075782F">
      <w:pPr>
        <w:spacing w:line="360" w:lineRule="auto"/>
        <w:jc w:val="both"/>
        <w:rPr>
          <w:rFonts w:ascii="Arial" w:hAnsi="Arial" w:cs="Arial"/>
          <w:bCs/>
          <w:lang w:val="es-ES_tradnl"/>
        </w:rPr>
      </w:pPr>
      <w:r w:rsidRPr="00847234">
        <w:rPr>
          <w:rFonts w:ascii="Arial" w:hAnsi="Arial" w:cs="Arial"/>
          <w:bCs/>
          <w:lang w:val="es-ES_tradnl"/>
        </w:rPr>
        <w:t xml:space="preserve">En </w:t>
      </w:r>
      <w:r w:rsidR="0082390C" w:rsidRPr="00847234">
        <w:rPr>
          <w:rFonts w:ascii="Arial" w:hAnsi="Arial" w:cs="Arial"/>
          <w:bCs/>
          <w:lang w:val="es-ES_tradnl"/>
        </w:rPr>
        <w:t xml:space="preserve">conclusión, </w:t>
      </w:r>
      <w:r w:rsidR="009970CC" w:rsidRPr="00847234">
        <w:rPr>
          <w:rFonts w:ascii="Arial" w:hAnsi="Arial" w:cs="Arial"/>
          <w:bCs/>
          <w:lang w:val="es-ES_tradnl"/>
        </w:rPr>
        <w:t>e</w:t>
      </w:r>
      <w:r w:rsidR="003967AF" w:rsidRPr="00847234">
        <w:rPr>
          <w:rFonts w:ascii="Arial" w:hAnsi="Arial" w:cs="Arial"/>
          <w:bCs/>
          <w:lang w:val="es-ES_tradnl"/>
        </w:rPr>
        <w:t xml:space="preserve">l </w:t>
      </w:r>
      <w:r w:rsidR="009840B0" w:rsidRPr="00847234">
        <w:rPr>
          <w:rFonts w:ascii="Arial" w:hAnsi="Arial" w:cs="Arial"/>
          <w:bCs/>
          <w:lang w:val="es-ES_tradnl"/>
        </w:rPr>
        <w:t xml:space="preserve">asunto que </w:t>
      </w:r>
      <w:r w:rsidR="003967AF" w:rsidRPr="00847234">
        <w:rPr>
          <w:rFonts w:ascii="Arial" w:hAnsi="Arial" w:cs="Arial"/>
          <w:bCs/>
          <w:lang w:val="es-ES_tradnl"/>
        </w:rPr>
        <w:t xml:space="preserve">enfrentamos </w:t>
      </w:r>
      <w:r w:rsidR="009840B0" w:rsidRPr="00847234">
        <w:rPr>
          <w:rFonts w:ascii="Arial" w:hAnsi="Arial" w:cs="Arial"/>
          <w:bCs/>
          <w:lang w:val="es-ES_tradnl"/>
        </w:rPr>
        <w:t xml:space="preserve">no versa </w:t>
      </w:r>
      <w:r w:rsidR="00315663" w:rsidRPr="00847234">
        <w:rPr>
          <w:rFonts w:ascii="Arial" w:hAnsi="Arial" w:cs="Arial"/>
          <w:bCs/>
          <w:lang w:val="es-ES_tradnl"/>
        </w:rPr>
        <w:t>sobre un mercado de transporte privado de nueva creación</w:t>
      </w:r>
      <w:r w:rsidR="000E0C4D" w:rsidRPr="00847234">
        <w:rPr>
          <w:rFonts w:ascii="Arial" w:hAnsi="Arial" w:cs="Arial"/>
          <w:bCs/>
          <w:lang w:val="es-ES_tradnl"/>
        </w:rPr>
        <w:t>,</w:t>
      </w:r>
      <w:r w:rsidR="00315663" w:rsidRPr="00847234">
        <w:rPr>
          <w:rFonts w:ascii="Arial" w:hAnsi="Arial" w:cs="Arial"/>
          <w:bCs/>
          <w:lang w:val="es-ES_tradnl"/>
        </w:rPr>
        <w:t xml:space="preserve"> indiferente para la Constitución, sino que se trata de un mercado </w:t>
      </w:r>
      <w:r w:rsidR="0033391E" w:rsidRPr="00847234">
        <w:rPr>
          <w:rFonts w:ascii="Arial" w:hAnsi="Arial" w:cs="Arial"/>
          <w:bCs/>
          <w:lang w:val="es-ES_tradnl"/>
        </w:rPr>
        <w:t xml:space="preserve">contemplado en ella.  El </w:t>
      </w:r>
      <w:r w:rsidR="009840B0" w:rsidRPr="00847234">
        <w:rPr>
          <w:rFonts w:ascii="Arial" w:hAnsi="Arial" w:cs="Arial"/>
          <w:bCs/>
          <w:lang w:val="es-ES_tradnl"/>
        </w:rPr>
        <w:t xml:space="preserve">mercado de </w:t>
      </w:r>
      <w:r w:rsidR="00315663" w:rsidRPr="00847234">
        <w:rPr>
          <w:rFonts w:ascii="Arial" w:hAnsi="Arial" w:cs="Arial"/>
          <w:bCs/>
          <w:lang w:val="es-ES_tradnl"/>
        </w:rPr>
        <w:t>generación de energía eléctrica</w:t>
      </w:r>
      <w:r w:rsidR="000E0C4D" w:rsidRPr="00847234">
        <w:rPr>
          <w:rFonts w:ascii="Arial" w:hAnsi="Arial" w:cs="Arial"/>
          <w:bCs/>
          <w:lang w:val="es-ES_tradnl"/>
        </w:rPr>
        <w:t xml:space="preserve"> es </w:t>
      </w:r>
      <w:r w:rsidR="00315663" w:rsidRPr="00847234">
        <w:rPr>
          <w:rFonts w:ascii="Arial" w:hAnsi="Arial" w:cs="Arial"/>
          <w:bCs/>
          <w:lang w:val="es-ES_tradnl"/>
        </w:rPr>
        <w:t>estructurado</w:t>
      </w:r>
      <w:r w:rsidR="000E0C4D" w:rsidRPr="00847234">
        <w:rPr>
          <w:rFonts w:ascii="Arial" w:hAnsi="Arial" w:cs="Arial"/>
          <w:bCs/>
          <w:lang w:val="es-ES_tradnl"/>
        </w:rPr>
        <w:t>,</w:t>
      </w:r>
      <w:r w:rsidR="00315663" w:rsidRPr="00847234">
        <w:rPr>
          <w:rFonts w:ascii="Arial" w:hAnsi="Arial" w:cs="Arial"/>
          <w:bCs/>
          <w:lang w:val="es-ES_tradnl"/>
        </w:rPr>
        <w:t xml:space="preserve"> en sus elementos básicos</w:t>
      </w:r>
      <w:r w:rsidR="002A7796" w:rsidRPr="00847234">
        <w:rPr>
          <w:rFonts w:ascii="Arial" w:hAnsi="Arial" w:cs="Arial"/>
          <w:bCs/>
          <w:lang w:val="es-ES_tradnl"/>
        </w:rPr>
        <w:t>,</w:t>
      </w:r>
      <w:r w:rsidR="00315663" w:rsidRPr="00847234">
        <w:rPr>
          <w:rFonts w:ascii="Arial" w:hAnsi="Arial" w:cs="Arial"/>
          <w:bCs/>
          <w:lang w:val="es-ES_tradnl"/>
        </w:rPr>
        <w:t xml:space="preserve"> desde ese parámetro</w:t>
      </w:r>
      <w:r w:rsidR="000E0C4D" w:rsidRPr="00847234">
        <w:rPr>
          <w:rFonts w:ascii="Arial" w:hAnsi="Arial" w:cs="Arial"/>
          <w:bCs/>
          <w:lang w:val="es-ES_tradnl"/>
        </w:rPr>
        <w:t xml:space="preserve">; </w:t>
      </w:r>
      <w:r w:rsidR="002F30F4" w:rsidRPr="00847234">
        <w:rPr>
          <w:rFonts w:ascii="Arial" w:hAnsi="Arial" w:cs="Arial"/>
          <w:bCs/>
          <w:lang w:val="es-ES_tradnl"/>
        </w:rPr>
        <w:t>su operación</w:t>
      </w:r>
      <w:r w:rsidR="000E0C4D" w:rsidRPr="00847234">
        <w:rPr>
          <w:rFonts w:ascii="Arial" w:hAnsi="Arial" w:cs="Arial"/>
          <w:bCs/>
          <w:lang w:val="es-ES_tradnl"/>
        </w:rPr>
        <w:t xml:space="preserve"> -sin embargo</w:t>
      </w:r>
      <w:r w:rsidR="002A7796" w:rsidRPr="00847234">
        <w:rPr>
          <w:rFonts w:ascii="Arial" w:hAnsi="Arial" w:cs="Arial"/>
          <w:bCs/>
          <w:lang w:val="es-ES_tradnl"/>
        </w:rPr>
        <w:t>-</w:t>
      </w:r>
      <w:r w:rsidR="000E0C4D" w:rsidRPr="00847234">
        <w:rPr>
          <w:rFonts w:ascii="Arial" w:hAnsi="Arial" w:cs="Arial"/>
          <w:bCs/>
          <w:lang w:val="es-ES_tradnl"/>
        </w:rPr>
        <w:t xml:space="preserve"> </w:t>
      </w:r>
      <w:r w:rsidR="00315663" w:rsidRPr="00847234">
        <w:rPr>
          <w:rFonts w:ascii="Arial" w:hAnsi="Arial" w:cs="Arial"/>
          <w:bCs/>
          <w:lang w:val="es-ES_tradnl"/>
        </w:rPr>
        <w:t xml:space="preserve">se delega al Congreso de la Unión para su reglamentación. </w:t>
      </w:r>
      <w:r w:rsidR="00CE7C56" w:rsidRPr="00847234">
        <w:rPr>
          <w:rFonts w:ascii="Arial" w:hAnsi="Arial" w:cs="Arial"/>
          <w:bCs/>
          <w:lang w:val="es-ES_tradnl"/>
        </w:rPr>
        <w:t>Ciertamente</w:t>
      </w:r>
      <w:r w:rsidR="00492CB9">
        <w:rPr>
          <w:rFonts w:ascii="Arial" w:hAnsi="Arial" w:cs="Arial"/>
          <w:bCs/>
          <w:lang w:val="es-ES_tradnl"/>
        </w:rPr>
        <w:t>,</w:t>
      </w:r>
      <w:r w:rsidR="00CE7C56" w:rsidRPr="00847234">
        <w:rPr>
          <w:rFonts w:ascii="Arial" w:hAnsi="Arial" w:cs="Arial"/>
          <w:bCs/>
          <w:lang w:val="es-ES_tradnl"/>
        </w:rPr>
        <w:t xml:space="preserve"> e</w:t>
      </w:r>
      <w:r w:rsidR="00C36419" w:rsidRPr="00847234">
        <w:rPr>
          <w:rFonts w:ascii="Arial" w:hAnsi="Arial" w:cs="Arial"/>
          <w:bCs/>
          <w:lang w:val="es-ES_tradnl"/>
        </w:rPr>
        <w:t>l</w:t>
      </w:r>
      <w:r w:rsidR="00CE7C56" w:rsidRPr="00847234">
        <w:rPr>
          <w:rFonts w:ascii="Arial" w:hAnsi="Arial" w:cs="Arial"/>
          <w:bCs/>
          <w:lang w:val="es-ES_tradnl"/>
        </w:rPr>
        <w:t xml:space="preserve"> mercado</w:t>
      </w:r>
      <w:r w:rsidR="00C36419" w:rsidRPr="00847234">
        <w:rPr>
          <w:rFonts w:ascii="Arial" w:hAnsi="Arial" w:cs="Arial"/>
          <w:bCs/>
          <w:lang w:val="es-ES_tradnl"/>
        </w:rPr>
        <w:t xml:space="preserve"> de generación de energía eléctrica</w:t>
      </w:r>
      <w:r w:rsidR="00CE7C56" w:rsidRPr="00847234">
        <w:rPr>
          <w:rFonts w:ascii="Arial" w:hAnsi="Arial" w:cs="Arial"/>
          <w:bCs/>
          <w:lang w:val="es-ES_tradnl"/>
        </w:rPr>
        <w:t xml:space="preserve"> </w:t>
      </w:r>
      <w:r w:rsidR="00C71AB2" w:rsidRPr="00847234">
        <w:rPr>
          <w:rFonts w:ascii="Arial" w:hAnsi="Arial" w:cs="Arial"/>
          <w:bCs/>
          <w:lang w:val="es-ES_tradnl"/>
        </w:rPr>
        <w:t>debiera tutelar</w:t>
      </w:r>
      <w:r w:rsidR="00365865" w:rsidRPr="00847234">
        <w:rPr>
          <w:rFonts w:ascii="Arial" w:hAnsi="Arial" w:cs="Arial"/>
          <w:bCs/>
          <w:lang w:val="es-ES_tradnl"/>
        </w:rPr>
        <w:t xml:space="preserve"> </w:t>
      </w:r>
      <w:r w:rsidR="00CE7C56" w:rsidRPr="00847234">
        <w:rPr>
          <w:rFonts w:ascii="Arial" w:hAnsi="Arial" w:cs="Arial"/>
          <w:bCs/>
          <w:lang w:val="es-ES_tradnl"/>
        </w:rPr>
        <w:t>las libertades económicas de los participantes</w:t>
      </w:r>
      <w:r w:rsidR="004F190C">
        <w:rPr>
          <w:rFonts w:ascii="Arial" w:hAnsi="Arial" w:cs="Arial"/>
          <w:bCs/>
          <w:lang w:val="es-ES_tradnl"/>
        </w:rPr>
        <w:t>, pero</w:t>
      </w:r>
      <w:r w:rsidR="00EA505D" w:rsidRPr="00847234">
        <w:rPr>
          <w:rFonts w:ascii="Arial" w:hAnsi="Arial" w:cs="Arial"/>
          <w:bCs/>
          <w:lang w:val="es-ES_tradnl"/>
        </w:rPr>
        <w:t xml:space="preserve">, </w:t>
      </w:r>
      <w:r w:rsidR="008F25B7" w:rsidRPr="00847234">
        <w:rPr>
          <w:rFonts w:ascii="Arial" w:hAnsi="Arial" w:cs="Arial"/>
          <w:bCs/>
          <w:lang w:val="es-ES_tradnl"/>
        </w:rPr>
        <w:t>a diferencia</w:t>
      </w:r>
      <w:r w:rsidR="00CE7C56" w:rsidRPr="00847234">
        <w:rPr>
          <w:rFonts w:ascii="Arial" w:hAnsi="Arial" w:cs="Arial"/>
          <w:bCs/>
          <w:lang w:val="es-ES_tradnl"/>
        </w:rPr>
        <w:t xml:space="preserve"> del mercado analizado en aquellos precedentes, aquí el autor de la reforma constitucional </w:t>
      </w:r>
      <w:r w:rsidR="006A6627" w:rsidRPr="00847234">
        <w:rPr>
          <w:rFonts w:ascii="Arial" w:hAnsi="Arial" w:cs="Arial"/>
          <w:bCs/>
          <w:lang w:val="es-ES_tradnl"/>
        </w:rPr>
        <w:t xml:space="preserve">precisó </w:t>
      </w:r>
      <w:r w:rsidR="00CE7C56" w:rsidRPr="00847234">
        <w:rPr>
          <w:rFonts w:ascii="Arial" w:hAnsi="Arial" w:cs="Arial"/>
          <w:bCs/>
          <w:lang w:val="es-ES_tradnl"/>
        </w:rPr>
        <w:t xml:space="preserve">que las reglas del mercado no </w:t>
      </w:r>
      <w:r w:rsidR="00F14EC7" w:rsidRPr="00847234">
        <w:rPr>
          <w:rFonts w:ascii="Arial" w:hAnsi="Arial" w:cs="Arial"/>
          <w:bCs/>
          <w:lang w:val="es-ES_tradnl"/>
        </w:rPr>
        <w:t>provendr</w:t>
      </w:r>
      <w:r w:rsidR="00F14EC7">
        <w:rPr>
          <w:rFonts w:ascii="Arial" w:hAnsi="Arial" w:cs="Arial"/>
          <w:bCs/>
          <w:lang w:val="es-ES_tradnl"/>
        </w:rPr>
        <w:t>í</w:t>
      </w:r>
      <w:r w:rsidR="00F14EC7" w:rsidRPr="00847234">
        <w:rPr>
          <w:rFonts w:ascii="Arial" w:hAnsi="Arial" w:cs="Arial"/>
          <w:bCs/>
          <w:lang w:val="es-ES_tradnl"/>
        </w:rPr>
        <w:t>an</w:t>
      </w:r>
      <w:r w:rsidR="004F2DEF" w:rsidRPr="00847234">
        <w:rPr>
          <w:rFonts w:ascii="Arial" w:hAnsi="Arial" w:cs="Arial"/>
          <w:bCs/>
          <w:lang w:val="es-ES_tradnl"/>
        </w:rPr>
        <w:t xml:space="preserve"> </w:t>
      </w:r>
      <w:r w:rsidR="00CE7C56" w:rsidRPr="00847234">
        <w:rPr>
          <w:rFonts w:ascii="Arial" w:hAnsi="Arial" w:cs="Arial"/>
          <w:bCs/>
          <w:lang w:val="es-ES_tradnl"/>
        </w:rPr>
        <w:t>de</w:t>
      </w:r>
      <w:r w:rsidR="008A1B9E" w:rsidRPr="00847234">
        <w:rPr>
          <w:rFonts w:ascii="Arial" w:hAnsi="Arial" w:cs="Arial"/>
          <w:bCs/>
          <w:lang w:val="es-ES_tradnl"/>
        </w:rPr>
        <w:t xml:space="preserve"> la interacción de</w:t>
      </w:r>
      <w:r w:rsidR="00CE7C56" w:rsidRPr="00847234">
        <w:rPr>
          <w:rFonts w:ascii="Arial" w:hAnsi="Arial" w:cs="Arial"/>
          <w:bCs/>
          <w:lang w:val="es-ES_tradnl"/>
        </w:rPr>
        <w:t xml:space="preserve"> esa libertad económica de los agentes, se</w:t>
      </w:r>
      <w:r w:rsidR="009F4F15" w:rsidRPr="00847234">
        <w:rPr>
          <w:rFonts w:ascii="Arial" w:hAnsi="Arial" w:cs="Arial"/>
          <w:bCs/>
          <w:lang w:val="es-ES_tradnl"/>
        </w:rPr>
        <w:t>rían producto de la función legislativa</w:t>
      </w:r>
      <w:r w:rsidR="00FF00B8" w:rsidRPr="00847234">
        <w:rPr>
          <w:rFonts w:ascii="Arial" w:hAnsi="Arial" w:cs="Arial"/>
          <w:bCs/>
          <w:lang w:val="es-ES_tradnl"/>
        </w:rPr>
        <w:t xml:space="preserve">. </w:t>
      </w:r>
    </w:p>
    <w:p w14:paraId="258BD050" w14:textId="77777777" w:rsidR="0082390C" w:rsidRPr="00847234" w:rsidRDefault="0082390C" w:rsidP="0075782F">
      <w:pPr>
        <w:spacing w:line="360" w:lineRule="auto"/>
        <w:jc w:val="both"/>
        <w:rPr>
          <w:rFonts w:ascii="Arial" w:hAnsi="Arial" w:cs="Arial"/>
          <w:bCs/>
          <w:lang w:val="es-ES_tradnl"/>
        </w:rPr>
      </w:pPr>
    </w:p>
    <w:p w14:paraId="146C7609" w14:textId="1BE72D23" w:rsidR="00EB70F3" w:rsidRPr="00847234" w:rsidRDefault="00FF00B8" w:rsidP="0075782F">
      <w:pPr>
        <w:spacing w:line="360" w:lineRule="auto"/>
        <w:jc w:val="both"/>
        <w:rPr>
          <w:rFonts w:ascii="Arial" w:hAnsi="Arial" w:cs="Arial"/>
          <w:bCs/>
          <w:lang w:val="es-ES_tradnl"/>
        </w:rPr>
      </w:pPr>
      <w:r w:rsidRPr="00847234">
        <w:rPr>
          <w:rFonts w:ascii="Arial" w:hAnsi="Arial" w:cs="Arial"/>
          <w:bCs/>
          <w:lang w:val="es-ES_tradnl"/>
        </w:rPr>
        <w:t>Esa</w:t>
      </w:r>
      <w:r w:rsidR="00104C94" w:rsidRPr="00847234">
        <w:rPr>
          <w:rFonts w:ascii="Arial" w:hAnsi="Arial" w:cs="Arial"/>
          <w:bCs/>
          <w:lang w:val="es-ES_tradnl"/>
        </w:rPr>
        <w:t xml:space="preserve"> </w:t>
      </w:r>
      <w:r w:rsidRPr="00847234">
        <w:rPr>
          <w:rFonts w:ascii="Arial" w:hAnsi="Arial" w:cs="Arial"/>
          <w:bCs/>
          <w:lang w:val="es-ES_tradnl"/>
        </w:rPr>
        <w:t>diferencia justi</w:t>
      </w:r>
      <w:r w:rsidR="005C18CB" w:rsidRPr="00847234">
        <w:rPr>
          <w:rFonts w:ascii="Arial" w:hAnsi="Arial" w:cs="Arial"/>
          <w:bCs/>
          <w:lang w:val="es-ES_tradnl"/>
        </w:rPr>
        <w:t>fi</w:t>
      </w:r>
      <w:r w:rsidRPr="00847234">
        <w:rPr>
          <w:rFonts w:ascii="Arial" w:hAnsi="Arial" w:cs="Arial"/>
          <w:bCs/>
          <w:lang w:val="es-ES_tradnl"/>
        </w:rPr>
        <w:t>ca</w:t>
      </w:r>
      <w:r w:rsidR="00CE7C56" w:rsidRPr="00847234">
        <w:rPr>
          <w:rFonts w:ascii="Arial" w:hAnsi="Arial" w:cs="Arial"/>
          <w:bCs/>
          <w:lang w:val="es-ES_tradnl"/>
        </w:rPr>
        <w:t xml:space="preserve"> </w:t>
      </w:r>
      <w:r w:rsidR="00B752B3" w:rsidRPr="00847234">
        <w:rPr>
          <w:rFonts w:ascii="Arial" w:hAnsi="Arial" w:cs="Arial"/>
          <w:bCs/>
          <w:lang w:val="es-ES_tradnl"/>
        </w:rPr>
        <w:t xml:space="preserve">la elección de </w:t>
      </w:r>
      <w:r w:rsidR="00CE7C56" w:rsidRPr="00847234">
        <w:rPr>
          <w:rFonts w:ascii="Arial" w:hAnsi="Arial" w:cs="Arial"/>
          <w:bCs/>
          <w:lang w:val="es-ES_tradnl"/>
        </w:rPr>
        <w:t>un estándar de mera razonabilidad</w:t>
      </w:r>
      <w:r w:rsidR="00813D9A">
        <w:rPr>
          <w:rFonts w:ascii="Arial" w:hAnsi="Arial" w:cs="Arial"/>
          <w:bCs/>
          <w:lang w:val="es-ES_tradnl"/>
        </w:rPr>
        <w:t xml:space="preserve">. Solo </w:t>
      </w:r>
      <w:r w:rsidR="00C36419" w:rsidRPr="00847234">
        <w:rPr>
          <w:rFonts w:ascii="Arial" w:hAnsi="Arial" w:cs="Arial"/>
          <w:bCs/>
          <w:lang w:val="es-ES_tradnl"/>
        </w:rPr>
        <w:t>en el caso de que el legislador</w:t>
      </w:r>
      <w:r w:rsidR="0017396E" w:rsidRPr="00847234">
        <w:rPr>
          <w:rFonts w:ascii="Arial" w:hAnsi="Arial" w:cs="Arial"/>
          <w:bCs/>
          <w:lang w:val="es-ES_tradnl"/>
        </w:rPr>
        <w:t xml:space="preserve"> no super</w:t>
      </w:r>
      <w:r w:rsidR="000E19C8" w:rsidRPr="00847234">
        <w:rPr>
          <w:rFonts w:ascii="Arial" w:hAnsi="Arial" w:cs="Arial"/>
          <w:bCs/>
          <w:lang w:val="es-ES_tradnl"/>
        </w:rPr>
        <w:t>e</w:t>
      </w:r>
      <w:r w:rsidR="0017396E" w:rsidRPr="00847234">
        <w:rPr>
          <w:rFonts w:ascii="Arial" w:hAnsi="Arial" w:cs="Arial"/>
          <w:bCs/>
          <w:lang w:val="es-ES_tradnl"/>
        </w:rPr>
        <w:t xml:space="preserve"> ese </w:t>
      </w:r>
      <w:r w:rsidR="00C36419" w:rsidRPr="00847234">
        <w:rPr>
          <w:rFonts w:ascii="Arial" w:hAnsi="Arial" w:cs="Arial"/>
          <w:bCs/>
          <w:lang w:val="es-ES_tradnl"/>
        </w:rPr>
        <w:t>estándar de mera razonabilidad, esta Suprema Corte debe calificar esa interferencia legislativa como una barrera de entrada</w:t>
      </w:r>
      <w:r w:rsidR="0017396E" w:rsidRPr="00847234">
        <w:rPr>
          <w:rFonts w:ascii="Arial" w:hAnsi="Arial" w:cs="Arial"/>
          <w:bCs/>
          <w:lang w:val="es-ES_tradnl"/>
        </w:rPr>
        <w:t xml:space="preserve">. </w:t>
      </w:r>
      <w:r w:rsidR="00825BFF" w:rsidRPr="00847234">
        <w:rPr>
          <w:rFonts w:ascii="Arial" w:hAnsi="Arial" w:cs="Arial"/>
          <w:bCs/>
          <w:lang w:val="es-ES_tradnl"/>
        </w:rPr>
        <w:t>Las barreras de entrada no son perceptibles a primera vista</w:t>
      </w:r>
      <w:r w:rsidR="00BE4714" w:rsidRPr="00847234">
        <w:rPr>
          <w:rFonts w:ascii="Arial" w:hAnsi="Arial" w:cs="Arial"/>
          <w:bCs/>
          <w:lang w:val="es-ES_tradnl"/>
        </w:rPr>
        <w:t xml:space="preserve">. Por tanto, su calificación como </w:t>
      </w:r>
      <w:r w:rsidR="00EA505D" w:rsidRPr="00847234">
        <w:rPr>
          <w:rFonts w:ascii="Arial" w:hAnsi="Arial" w:cs="Arial"/>
          <w:bCs/>
          <w:lang w:val="es-ES_tradnl"/>
        </w:rPr>
        <w:t>el resultado de la aplicación</w:t>
      </w:r>
      <w:r w:rsidR="009F4F15" w:rsidRPr="00847234">
        <w:rPr>
          <w:rFonts w:ascii="Arial" w:hAnsi="Arial" w:cs="Arial"/>
          <w:bCs/>
          <w:lang w:val="es-ES_tradnl"/>
        </w:rPr>
        <w:t xml:space="preserve"> un estándar de escrutinio. </w:t>
      </w:r>
      <w:r w:rsidR="00BE4714" w:rsidRPr="00847234">
        <w:rPr>
          <w:rFonts w:ascii="Arial" w:hAnsi="Arial" w:cs="Arial"/>
          <w:bCs/>
          <w:lang w:val="es-ES_tradnl"/>
        </w:rPr>
        <w:t xml:space="preserve">En este </w:t>
      </w:r>
      <w:r w:rsidR="00BE4714" w:rsidRPr="00847234">
        <w:rPr>
          <w:rFonts w:ascii="Arial" w:hAnsi="Arial" w:cs="Arial"/>
          <w:bCs/>
          <w:lang w:val="es-ES_tradnl"/>
        </w:rPr>
        <w:lastRenderedPageBreak/>
        <w:t>caso, p</w:t>
      </w:r>
      <w:r w:rsidR="009F4F15" w:rsidRPr="00847234">
        <w:rPr>
          <w:rFonts w:ascii="Arial" w:hAnsi="Arial" w:cs="Arial"/>
          <w:bCs/>
          <w:lang w:val="es-ES_tradnl"/>
        </w:rPr>
        <w:t xml:space="preserve">ara </w:t>
      </w:r>
      <w:r w:rsidR="004F2DEF" w:rsidRPr="00847234">
        <w:rPr>
          <w:rFonts w:ascii="Arial" w:hAnsi="Arial" w:cs="Arial"/>
          <w:bCs/>
          <w:lang w:val="es-ES_tradnl"/>
        </w:rPr>
        <w:t xml:space="preserve">dilucidar </w:t>
      </w:r>
      <w:r w:rsidR="009F4F15" w:rsidRPr="00847234">
        <w:rPr>
          <w:rFonts w:ascii="Arial" w:hAnsi="Arial" w:cs="Arial"/>
          <w:bCs/>
          <w:lang w:val="es-ES_tradnl"/>
        </w:rPr>
        <w:t>si en el mercado de generación de energía se actualiza una barrera de entrada</w:t>
      </w:r>
      <w:r w:rsidR="004554A5" w:rsidRPr="00847234">
        <w:rPr>
          <w:rFonts w:ascii="Arial" w:hAnsi="Arial" w:cs="Arial"/>
          <w:bCs/>
          <w:lang w:val="es-ES_tradnl"/>
        </w:rPr>
        <w:t>,</w:t>
      </w:r>
      <w:r w:rsidR="009F4F15" w:rsidRPr="00847234">
        <w:rPr>
          <w:rFonts w:ascii="Arial" w:hAnsi="Arial" w:cs="Arial"/>
          <w:bCs/>
          <w:lang w:val="es-ES_tradnl"/>
        </w:rPr>
        <w:t xml:space="preserve"> debe aplicarse un estándar de escrutinio ordinario.</w:t>
      </w:r>
      <w:r w:rsidR="004104DC" w:rsidRPr="00847234">
        <w:rPr>
          <w:rFonts w:ascii="Arial" w:hAnsi="Arial" w:cs="Arial"/>
          <w:bCs/>
          <w:lang w:val="es-ES_tradnl"/>
        </w:rPr>
        <w:t xml:space="preserve"> </w:t>
      </w:r>
    </w:p>
    <w:p w14:paraId="0F40E53F" w14:textId="77777777" w:rsidR="00157890" w:rsidRPr="00847234" w:rsidRDefault="00157890" w:rsidP="0075782F">
      <w:pPr>
        <w:spacing w:line="360" w:lineRule="auto"/>
        <w:jc w:val="both"/>
        <w:rPr>
          <w:rFonts w:ascii="Arial" w:hAnsi="Arial" w:cs="Arial"/>
          <w:bCs/>
          <w:lang w:val="es-ES_tradnl"/>
        </w:rPr>
      </w:pPr>
    </w:p>
    <w:p w14:paraId="6EC46637" w14:textId="7A795F43" w:rsidR="00EA505D" w:rsidRDefault="004A31E2" w:rsidP="0075782F">
      <w:pPr>
        <w:spacing w:line="360" w:lineRule="auto"/>
        <w:jc w:val="both"/>
        <w:rPr>
          <w:rFonts w:ascii="Arial" w:hAnsi="Arial" w:cs="Arial"/>
          <w:bCs/>
          <w:lang w:val="es-ES_tradnl"/>
        </w:rPr>
      </w:pPr>
      <w:r w:rsidRPr="00847234">
        <w:rPr>
          <w:rFonts w:ascii="Arial" w:hAnsi="Arial" w:cs="Arial"/>
          <w:bCs/>
          <w:lang w:val="es-ES_tradnl"/>
        </w:rPr>
        <w:t>A lo largo de este voto he insistido en las implicaciones jurídicas di</w:t>
      </w:r>
      <w:r w:rsidR="0041717C" w:rsidRPr="00847234">
        <w:rPr>
          <w:rFonts w:ascii="Arial" w:hAnsi="Arial" w:cs="Arial"/>
          <w:bCs/>
          <w:lang w:val="es-ES_tradnl"/>
        </w:rPr>
        <w:t xml:space="preserve">ferenciadas </w:t>
      </w:r>
      <w:r w:rsidRPr="00847234">
        <w:rPr>
          <w:rFonts w:ascii="Arial" w:hAnsi="Arial" w:cs="Arial"/>
          <w:bCs/>
          <w:lang w:val="es-ES_tradnl"/>
        </w:rPr>
        <w:t xml:space="preserve">que </w:t>
      </w:r>
      <w:r w:rsidR="000243A8">
        <w:rPr>
          <w:rFonts w:ascii="Arial" w:hAnsi="Arial" w:cs="Arial"/>
          <w:bCs/>
          <w:lang w:val="es-ES_tradnl"/>
        </w:rPr>
        <w:t xml:space="preserve">vendrían de </w:t>
      </w:r>
      <w:r w:rsidRPr="00847234">
        <w:rPr>
          <w:rFonts w:ascii="Arial" w:hAnsi="Arial" w:cs="Arial"/>
          <w:bCs/>
          <w:lang w:val="es-ES_tradnl"/>
        </w:rPr>
        <w:t xml:space="preserve">examinar las porciones normativas impugnadas desde un principio u otro.  </w:t>
      </w:r>
      <w:r w:rsidR="00EA46DB" w:rsidRPr="00847234">
        <w:rPr>
          <w:rFonts w:ascii="Arial" w:hAnsi="Arial" w:cs="Arial"/>
          <w:bCs/>
          <w:lang w:val="es-ES_tradnl"/>
        </w:rPr>
        <w:t xml:space="preserve">Llegar a la conclusión de su invalidez por violaciones a la libre competencia implicaría </w:t>
      </w:r>
      <w:r w:rsidR="000765B9" w:rsidRPr="00847234">
        <w:rPr>
          <w:rFonts w:ascii="Arial" w:hAnsi="Arial" w:cs="Arial"/>
          <w:bCs/>
          <w:lang w:val="es-ES_tradnl"/>
        </w:rPr>
        <w:t>expulsar las porciones normativas impugnadas</w:t>
      </w:r>
      <w:r w:rsidR="009D3F57" w:rsidRPr="00847234">
        <w:rPr>
          <w:rFonts w:ascii="Arial" w:hAnsi="Arial" w:cs="Arial"/>
          <w:bCs/>
          <w:lang w:val="es-ES_tradnl"/>
        </w:rPr>
        <w:t xml:space="preserve"> y </w:t>
      </w:r>
      <w:r w:rsidR="000765B9" w:rsidRPr="00847234">
        <w:rPr>
          <w:rFonts w:ascii="Arial" w:hAnsi="Arial" w:cs="Arial"/>
          <w:bCs/>
          <w:lang w:val="es-ES_tradnl"/>
        </w:rPr>
        <w:t>deja</w:t>
      </w:r>
      <w:r w:rsidR="009D3F57" w:rsidRPr="00847234">
        <w:rPr>
          <w:rFonts w:ascii="Arial" w:hAnsi="Arial" w:cs="Arial"/>
          <w:bCs/>
          <w:lang w:val="es-ES_tradnl"/>
        </w:rPr>
        <w:t xml:space="preserve">r </w:t>
      </w:r>
      <w:r w:rsidR="000765B9" w:rsidRPr="00847234">
        <w:rPr>
          <w:rFonts w:ascii="Arial" w:hAnsi="Arial" w:cs="Arial"/>
          <w:bCs/>
          <w:lang w:val="es-ES_tradnl"/>
        </w:rPr>
        <w:t xml:space="preserve">al mercado funcionar sin la interferencia legislativa </w:t>
      </w:r>
      <w:r w:rsidR="0032418E" w:rsidRPr="00847234">
        <w:rPr>
          <w:rFonts w:ascii="Arial" w:hAnsi="Arial" w:cs="Arial"/>
          <w:bCs/>
          <w:lang w:val="es-ES_tradnl"/>
        </w:rPr>
        <w:t>calificada como constitucionalmente inadmisible</w:t>
      </w:r>
      <w:r w:rsidR="006D6693">
        <w:rPr>
          <w:rFonts w:ascii="Arial" w:hAnsi="Arial" w:cs="Arial"/>
          <w:bCs/>
          <w:lang w:val="es-ES_tradnl"/>
        </w:rPr>
        <w:t xml:space="preserve"> porque </w:t>
      </w:r>
      <w:r w:rsidR="00EA505D" w:rsidRPr="00847234">
        <w:rPr>
          <w:rFonts w:ascii="Arial" w:hAnsi="Arial" w:cs="Arial"/>
          <w:bCs/>
          <w:lang w:val="es-ES_tradnl"/>
        </w:rPr>
        <w:t>las normas derogadas no integran el parámetro de control, ni la libre competencia y concurrencia se sujetan a la prohibición de no regresividad</w:t>
      </w:r>
      <w:r w:rsidR="006D6693">
        <w:rPr>
          <w:rFonts w:ascii="Arial" w:hAnsi="Arial" w:cs="Arial"/>
          <w:bCs/>
          <w:lang w:val="es-ES_tradnl"/>
        </w:rPr>
        <w:t xml:space="preserve">. </w:t>
      </w:r>
      <w:r w:rsidR="00EA505D" w:rsidRPr="00847234">
        <w:rPr>
          <w:rFonts w:ascii="Arial" w:hAnsi="Arial" w:cs="Arial"/>
          <w:bCs/>
          <w:lang w:val="es-ES_tradnl"/>
        </w:rPr>
        <w:t xml:space="preserve"> </w:t>
      </w:r>
    </w:p>
    <w:p w14:paraId="64FBEFB8" w14:textId="77777777" w:rsidR="006D6693" w:rsidRPr="00847234" w:rsidRDefault="006D6693" w:rsidP="0075782F">
      <w:pPr>
        <w:spacing w:line="360" w:lineRule="auto"/>
        <w:jc w:val="both"/>
        <w:rPr>
          <w:rFonts w:ascii="Arial" w:hAnsi="Arial" w:cs="Arial"/>
          <w:bCs/>
          <w:lang w:val="es-ES_tradnl"/>
        </w:rPr>
      </w:pPr>
    </w:p>
    <w:p w14:paraId="6AFC1710" w14:textId="416720AC" w:rsidR="00EA505D" w:rsidRPr="00847234" w:rsidRDefault="00EA505D" w:rsidP="0075782F">
      <w:pPr>
        <w:spacing w:line="360" w:lineRule="auto"/>
        <w:jc w:val="both"/>
        <w:rPr>
          <w:rFonts w:ascii="Arial" w:hAnsi="Arial" w:cs="Arial"/>
          <w:bCs/>
          <w:lang w:val="es-ES_tradnl"/>
        </w:rPr>
      </w:pPr>
      <w:r w:rsidRPr="00847234">
        <w:rPr>
          <w:rFonts w:ascii="Arial" w:hAnsi="Arial" w:cs="Arial"/>
          <w:bCs/>
          <w:lang w:val="es-ES_tradnl"/>
        </w:rPr>
        <w:t xml:space="preserve">Estas posibilidades sí </w:t>
      </w:r>
      <w:r w:rsidR="001A1FDD">
        <w:rPr>
          <w:rFonts w:ascii="Arial" w:hAnsi="Arial" w:cs="Arial"/>
          <w:bCs/>
          <w:lang w:val="es-ES_tradnl"/>
        </w:rPr>
        <w:t xml:space="preserve">estarán </w:t>
      </w:r>
      <w:r w:rsidRPr="00847234">
        <w:rPr>
          <w:rFonts w:ascii="Arial" w:hAnsi="Arial" w:cs="Arial"/>
          <w:bCs/>
          <w:lang w:val="es-ES_tradnl"/>
        </w:rPr>
        <w:t xml:space="preserve">disponibles al evaluar la validez de las normas impugnadas a la luz del derecho humano al medio ambiente. </w:t>
      </w:r>
      <w:r w:rsidR="00D36257">
        <w:rPr>
          <w:rFonts w:ascii="Arial" w:hAnsi="Arial" w:cs="Arial"/>
          <w:bCs/>
          <w:lang w:val="es-ES_tradnl"/>
        </w:rPr>
        <w:t xml:space="preserve"> Al </w:t>
      </w:r>
      <w:r w:rsidRPr="00847234">
        <w:rPr>
          <w:rFonts w:ascii="Arial" w:hAnsi="Arial" w:cs="Arial"/>
          <w:bCs/>
          <w:lang w:val="es-ES_tradnl"/>
        </w:rPr>
        <w:t>e</w:t>
      </w:r>
      <w:r w:rsidR="009D3F57" w:rsidRPr="00847234">
        <w:rPr>
          <w:rFonts w:ascii="Arial" w:hAnsi="Arial" w:cs="Arial"/>
          <w:bCs/>
          <w:lang w:val="es-ES_tradnl"/>
        </w:rPr>
        <w:t xml:space="preserve">ncontrar una </w:t>
      </w:r>
      <w:r w:rsidR="000765B9" w:rsidRPr="00847234">
        <w:rPr>
          <w:rFonts w:ascii="Arial" w:hAnsi="Arial" w:cs="Arial"/>
          <w:bCs/>
          <w:lang w:val="es-ES_tradnl"/>
        </w:rPr>
        <w:t>violación al derecho al medio ambiente</w:t>
      </w:r>
      <w:r w:rsidR="009F4F15" w:rsidRPr="00847234">
        <w:rPr>
          <w:rFonts w:ascii="Arial" w:hAnsi="Arial" w:cs="Arial"/>
          <w:bCs/>
          <w:lang w:val="es-ES_tradnl"/>
        </w:rPr>
        <w:t>,</w:t>
      </w:r>
      <w:r w:rsidR="000765B9" w:rsidRPr="00847234">
        <w:rPr>
          <w:rFonts w:ascii="Arial" w:hAnsi="Arial" w:cs="Arial"/>
          <w:bCs/>
          <w:lang w:val="es-ES_tradnl"/>
        </w:rPr>
        <w:t xml:space="preserve"> en su vertiente de no regresividad</w:t>
      </w:r>
      <w:r w:rsidR="009F4F15" w:rsidRPr="00847234">
        <w:rPr>
          <w:rFonts w:ascii="Arial" w:hAnsi="Arial" w:cs="Arial"/>
          <w:bCs/>
          <w:lang w:val="es-ES_tradnl"/>
        </w:rPr>
        <w:t>,</w:t>
      </w:r>
      <w:r w:rsidR="000765B9" w:rsidRPr="00847234">
        <w:rPr>
          <w:rFonts w:ascii="Arial" w:hAnsi="Arial" w:cs="Arial"/>
          <w:bCs/>
          <w:lang w:val="es-ES_tradnl"/>
        </w:rPr>
        <w:t xml:space="preserve"> </w:t>
      </w:r>
      <w:r w:rsidRPr="00847234">
        <w:rPr>
          <w:rFonts w:ascii="Arial" w:hAnsi="Arial" w:cs="Arial"/>
          <w:bCs/>
          <w:lang w:val="es-ES_tradnl"/>
        </w:rPr>
        <w:t xml:space="preserve">se nos </w:t>
      </w:r>
      <w:r w:rsidR="000765B9" w:rsidRPr="00847234">
        <w:rPr>
          <w:rFonts w:ascii="Arial" w:hAnsi="Arial" w:cs="Arial"/>
          <w:bCs/>
          <w:lang w:val="es-ES_tradnl"/>
        </w:rPr>
        <w:t>exig</w:t>
      </w:r>
      <w:r w:rsidR="0032418E" w:rsidRPr="00847234">
        <w:rPr>
          <w:rFonts w:ascii="Arial" w:hAnsi="Arial" w:cs="Arial"/>
          <w:bCs/>
          <w:lang w:val="es-ES_tradnl"/>
        </w:rPr>
        <w:t xml:space="preserve">iría </w:t>
      </w:r>
      <w:r w:rsidR="000765B9" w:rsidRPr="00847234">
        <w:rPr>
          <w:rFonts w:ascii="Arial" w:hAnsi="Arial" w:cs="Arial"/>
          <w:bCs/>
          <w:lang w:val="es-ES_tradnl"/>
        </w:rPr>
        <w:t xml:space="preserve">expulsar del ordenamiento </w:t>
      </w:r>
      <w:r w:rsidR="00613B54" w:rsidRPr="00847234">
        <w:rPr>
          <w:rFonts w:ascii="Arial" w:hAnsi="Arial" w:cs="Arial"/>
          <w:bCs/>
          <w:lang w:val="es-ES_tradnl"/>
        </w:rPr>
        <w:t xml:space="preserve">las normas producto </w:t>
      </w:r>
      <w:r w:rsidR="000765B9" w:rsidRPr="00847234">
        <w:rPr>
          <w:rFonts w:ascii="Arial" w:hAnsi="Arial" w:cs="Arial"/>
          <w:bCs/>
          <w:lang w:val="es-ES_tradnl"/>
        </w:rPr>
        <w:t>de la in</w:t>
      </w:r>
      <w:r w:rsidR="00737CEE" w:rsidRPr="00847234">
        <w:rPr>
          <w:rFonts w:ascii="Arial" w:hAnsi="Arial" w:cs="Arial"/>
          <w:bCs/>
          <w:lang w:val="es-ES_tradnl"/>
        </w:rPr>
        <w:t xml:space="preserve">terferencia </w:t>
      </w:r>
      <w:r w:rsidR="000765B9" w:rsidRPr="00847234">
        <w:rPr>
          <w:rFonts w:ascii="Arial" w:hAnsi="Arial" w:cs="Arial"/>
          <w:bCs/>
          <w:lang w:val="es-ES_tradnl"/>
        </w:rPr>
        <w:t>legislativa irregular y colmar el vacío normativ</w:t>
      </w:r>
      <w:r w:rsidR="00513DB4" w:rsidRPr="00847234">
        <w:rPr>
          <w:rFonts w:ascii="Arial" w:hAnsi="Arial" w:cs="Arial"/>
          <w:bCs/>
          <w:lang w:val="es-ES_tradnl"/>
        </w:rPr>
        <w:t>o</w:t>
      </w:r>
      <w:r w:rsidR="000765B9" w:rsidRPr="00847234">
        <w:rPr>
          <w:rFonts w:ascii="Arial" w:hAnsi="Arial" w:cs="Arial"/>
          <w:bCs/>
          <w:lang w:val="es-ES_tradnl"/>
        </w:rPr>
        <w:t xml:space="preserve"> con la reviviscencia de las normas abrogadas o con la confección de otras equivalente</w:t>
      </w:r>
      <w:r w:rsidR="00737CEE" w:rsidRPr="00847234">
        <w:rPr>
          <w:rFonts w:ascii="Arial" w:hAnsi="Arial" w:cs="Arial"/>
          <w:bCs/>
          <w:lang w:val="es-ES_tradnl"/>
        </w:rPr>
        <w:t>s</w:t>
      </w:r>
      <w:r w:rsidR="000765B9" w:rsidRPr="00847234">
        <w:rPr>
          <w:rFonts w:ascii="Arial" w:hAnsi="Arial" w:cs="Arial"/>
          <w:bCs/>
          <w:lang w:val="es-ES_tradnl"/>
        </w:rPr>
        <w:t xml:space="preserve"> </w:t>
      </w:r>
      <w:r w:rsidR="00A92F1E" w:rsidRPr="00847234">
        <w:rPr>
          <w:rFonts w:ascii="Arial" w:hAnsi="Arial" w:cs="Arial"/>
          <w:bCs/>
          <w:lang w:val="es-ES_tradnl"/>
        </w:rPr>
        <w:t xml:space="preserve">como </w:t>
      </w:r>
      <w:r w:rsidR="000765B9" w:rsidRPr="00847234">
        <w:rPr>
          <w:rFonts w:ascii="Arial" w:hAnsi="Arial" w:cs="Arial"/>
          <w:bCs/>
          <w:lang w:val="es-ES_tradnl"/>
        </w:rPr>
        <w:t>remedio judicial</w:t>
      </w:r>
      <w:r w:rsidRPr="00847234">
        <w:rPr>
          <w:rFonts w:ascii="Arial" w:hAnsi="Arial" w:cs="Arial"/>
          <w:bCs/>
          <w:lang w:val="es-ES_tradnl"/>
        </w:rPr>
        <w:t>, como lo hemos hecho con otros derechos sociales</w:t>
      </w:r>
      <w:r w:rsidR="000765B9" w:rsidRPr="00847234">
        <w:rPr>
          <w:rFonts w:ascii="Arial" w:hAnsi="Arial" w:cs="Arial"/>
          <w:bCs/>
          <w:lang w:val="es-ES_tradnl"/>
        </w:rPr>
        <w:t>.</w:t>
      </w:r>
      <w:r w:rsidR="003D5A95" w:rsidRPr="00847234">
        <w:rPr>
          <w:rFonts w:ascii="Arial" w:hAnsi="Arial" w:cs="Arial"/>
          <w:bCs/>
          <w:lang w:val="es-ES_tradnl"/>
        </w:rPr>
        <w:t xml:space="preserve"> </w:t>
      </w:r>
    </w:p>
    <w:p w14:paraId="7EDDA655" w14:textId="77777777" w:rsidR="00EA505D" w:rsidRPr="00847234" w:rsidRDefault="00EA505D" w:rsidP="0075782F">
      <w:pPr>
        <w:spacing w:line="360" w:lineRule="auto"/>
        <w:jc w:val="both"/>
        <w:rPr>
          <w:rFonts w:ascii="Arial" w:hAnsi="Arial" w:cs="Arial"/>
          <w:bCs/>
          <w:lang w:val="es-ES_tradnl"/>
        </w:rPr>
      </w:pPr>
    </w:p>
    <w:p w14:paraId="269A99F0" w14:textId="29EF9719" w:rsidR="00C36419" w:rsidRPr="00847234" w:rsidRDefault="00EA505D" w:rsidP="0075782F">
      <w:pPr>
        <w:spacing w:line="360" w:lineRule="auto"/>
        <w:jc w:val="both"/>
        <w:rPr>
          <w:rFonts w:ascii="Arial" w:hAnsi="Arial" w:cs="Arial"/>
          <w:bCs/>
          <w:lang w:val="es-ES_tradnl"/>
        </w:rPr>
      </w:pPr>
      <w:r w:rsidRPr="00847234">
        <w:rPr>
          <w:rFonts w:ascii="Arial" w:hAnsi="Arial" w:cs="Arial"/>
          <w:bCs/>
          <w:lang w:val="es-ES_tradnl"/>
        </w:rPr>
        <w:t>En suma,</w:t>
      </w:r>
      <w:r w:rsidR="002D3E60" w:rsidRPr="00847234">
        <w:rPr>
          <w:rFonts w:ascii="Arial" w:hAnsi="Arial" w:cs="Arial"/>
          <w:bCs/>
          <w:lang w:val="es-ES_tradnl"/>
        </w:rPr>
        <w:t xml:space="preserve"> </w:t>
      </w:r>
      <w:r w:rsidR="00C36419" w:rsidRPr="00847234">
        <w:rPr>
          <w:rFonts w:ascii="Arial" w:hAnsi="Arial" w:cs="Arial"/>
          <w:bCs/>
          <w:lang w:val="es-ES_tradnl"/>
        </w:rPr>
        <w:t>si e</w:t>
      </w:r>
      <w:r w:rsidRPr="00847234">
        <w:rPr>
          <w:rFonts w:ascii="Arial" w:hAnsi="Arial" w:cs="Arial"/>
          <w:bCs/>
          <w:lang w:val="es-ES_tradnl"/>
        </w:rPr>
        <w:t>l</w:t>
      </w:r>
      <w:r w:rsidR="00C36419" w:rsidRPr="00847234">
        <w:rPr>
          <w:rFonts w:ascii="Arial" w:hAnsi="Arial" w:cs="Arial"/>
          <w:bCs/>
          <w:lang w:val="es-ES_tradnl"/>
        </w:rPr>
        <w:t xml:space="preserve"> Pleno hubiera</w:t>
      </w:r>
      <w:r w:rsidR="002D3E60" w:rsidRPr="00847234">
        <w:rPr>
          <w:rFonts w:ascii="Arial" w:hAnsi="Arial" w:cs="Arial"/>
          <w:bCs/>
          <w:lang w:val="es-ES_tradnl"/>
        </w:rPr>
        <w:t xml:space="preserve"> </w:t>
      </w:r>
      <w:r w:rsidR="00803048" w:rsidRPr="00847234">
        <w:rPr>
          <w:rFonts w:ascii="Arial" w:hAnsi="Arial" w:cs="Arial"/>
          <w:bCs/>
          <w:lang w:val="es-ES_tradnl"/>
        </w:rPr>
        <w:t xml:space="preserve">aceptado </w:t>
      </w:r>
      <w:r w:rsidR="00C36419" w:rsidRPr="00847234">
        <w:rPr>
          <w:rFonts w:ascii="Arial" w:hAnsi="Arial" w:cs="Arial"/>
          <w:bCs/>
          <w:lang w:val="es-ES_tradnl"/>
        </w:rPr>
        <w:t>la invalidez de las normas impugnadas</w:t>
      </w:r>
      <w:r w:rsidR="001D2164" w:rsidRPr="00847234">
        <w:rPr>
          <w:rFonts w:ascii="Arial" w:hAnsi="Arial" w:cs="Arial"/>
          <w:bCs/>
          <w:lang w:val="es-ES_tradnl"/>
        </w:rPr>
        <w:t xml:space="preserve">, </w:t>
      </w:r>
      <w:r w:rsidR="006D1635" w:rsidRPr="00847234">
        <w:rPr>
          <w:rFonts w:ascii="Arial" w:hAnsi="Arial" w:cs="Arial"/>
          <w:bCs/>
          <w:lang w:val="es-ES_tradnl"/>
        </w:rPr>
        <w:t xml:space="preserve">por </w:t>
      </w:r>
      <w:r w:rsidR="001D2164" w:rsidRPr="00847234">
        <w:rPr>
          <w:rFonts w:ascii="Arial" w:hAnsi="Arial" w:cs="Arial"/>
          <w:bCs/>
          <w:lang w:val="es-ES_tradnl"/>
        </w:rPr>
        <w:t>mayoría calificada,</w:t>
      </w:r>
      <w:r w:rsidR="00C36419" w:rsidRPr="00847234">
        <w:rPr>
          <w:rFonts w:ascii="Arial" w:hAnsi="Arial" w:cs="Arial"/>
          <w:bCs/>
          <w:lang w:val="es-ES_tradnl"/>
        </w:rPr>
        <w:t xml:space="preserve"> </w:t>
      </w:r>
      <w:r w:rsidR="00D529B5" w:rsidRPr="00847234">
        <w:rPr>
          <w:rFonts w:ascii="Arial" w:hAnsi="Arial" w:cs="Arial"/>
          <w:bCs/>
          <w:lang w:val="es-ES_tradnl"/>
        </w:rPr>
        <w:t>acudiendo a</w:t>
      </w:r>
      <w:r w:rsidR="00C36419" w:rsidRPr="00847234">
        <w:rPr>
          <w:rFonts w:ascii="Arial" w:hAnsi="Arial" w:cs="Arial"/>
          <w:bCs/>
          <w:lang w:val="es-ES_tradnl"/>
        </w:rPr>
        <w:t xml:space="preserve"> los principios de libre competencia y concurrencia, </w:t>
      </w:r>
      <w:r w:rsidR="006115CC" w:rsidRPr="00847234">
        <w:rPr>
          <w:rFonts w:ascii="Arial" w:hAnsi="Arial" w:cs="Arial"/>
          <w:bCs/>
          <w:lang w:val="es-ES_tradnl"/>
        </w:rPr>
        <w:t xml:space="preserve">el </w:t>
      </w:r>
      <w:r w:rsidR="00C36419" w:rsidRPr="00847234">
        <w:rPr>
          <w:rFonts w:ascii="Arial" w:hAnsi="Arial" w:cs="Arial"/>
          <w:bCs/>
          <w:lang w:val="es-ES_tradnl"/>
        </w:rPr>
        <w:t xml:space="preserve">efecto de </w:t>
      </w:r>
      <w:r w:rsidR="006115CC" w:rsidRPr="00847234">
        <w:rPr>
          <w:rFonts w:ascii="Arial" w:hAnsi="Arial" w:cs="Arial"/>
          <w:bCs/>
          <w:lang w:val="es-ES_tradnl"/>
        </w:rPr>
        <w:t xml:space="preserve">esa </w:t>
      </w:r>
      <w:r w:rsidR="00C36419" w:rsidRPr="00847234">
        <w:rPr>
          <w:rFonts w:ascii="Arial" w:hAnsi="Arial" w:cs="Arial"/>
          <w:bCs/>
          <w:lang w:val="es-ES_tradnl"/>
        </w:rPr>
        <w:t>declarat</w:t>
      </w:r>
      <w:r w:rsidR="001D2164" w:rsidRPr="00847234">
        <w:rPr>
          <w:rFonts w:ascii="Arial" w:hAnsi="Arial" w:cs="Arial"/>
          <w:bCs/>
          <w:lang w:val="es-ES_tradnl"/>
        </w:rPr>
        <w:t>o</w:t>
      </w:r>
      <w:r w:rsidR="00C36419" w:rsidRPr="00847234">
        <w:rPr>
          <w:rFonts w:ascii="Arial" w:hAnsi="Arial" w:cs="Arial"/>
          <w:bCs/>
          <w:lang w:val="es-ES_tradnl"/>
        </w:rPr>
        <w:t>ria h</w:t>
      </w:r>
      <w:r w:rsidR="00D529B5" w:rsidRPr="00847234">
        <w:rPr>
          <w:rFonts w:ascii="Arial" w:hAnsi="Arial" w:cs="Arial"/>
          <w:bCs/>
          <w:lang w:val="es-ES_tradnl"/>
        </w:rPr>
        <w:t>abría sido l</w:t>
      </w:r>
      <w:r w:rsidR="006115CC" w:rsidRPr="00847234">
        <w:rPr>
          <w:rFonts w:ascii="Arial" w:hAnsi="Arial" w:cs="Arial"/>
          <w:bCs/>
          <w:lang w:val="es-ES_tradnl"/>
        </w:rPr>
        <w:t xml:space="preserve">a expulsión de esas normas </w:t>
      </w:r>
      <w:r w:rsidR="00C36419" w:rsidRPr="00847234">
        <w:rPr>
          <w:rFonts w:ascii="Arial" w:hAnsi="Arial" w:cs="Arial"/>
          <w:bCs/>
          <w:lang w:val="es-ES_tradnl"/>
        </w:rPr>
        <w:t>del ord</w:t>
      </w:r>
      <w:r w:rsidR="001D2164" w:rsidRPr="00847234">
        <w:rPr>
          <w:rFonts w:ascii="Arial" w:hAnsi="Arial" w:cs="Arial"/>
          <w:bCs/>
          <w:lang w:val="es-ES_tradnl"/>
        </w:rPr>
        <w:t>e</w:t>
      </w:r>
      <w:r w:rsidR="00C36419" w:rsidRPr="00847234">
        <w:rPr>
          <w:rFonts w:ascii="Arial" w:hAnsi="Arial" w:cs="Arial"/>
          <w:bCs/>
          <w:lang w:val="es-ES_tradnl"/>
        </w:rPr>
        <w:t>n</w:t>
      </w:r>
      <w:r w:rsidR="001D2164" w:rsidRPr="00847234">
        <w:rPr>
          <w:rFonts w:ascii="Arial" w:hAnsi="Arial" w:cs="Arial"/>
          <w:bCs/>
          <w:lang w:val="es-ES_tradnl"/>
        </w:rPr>
        <w:t>a</w:t>
      </w:r>
      <w:r w:rsidR="00C36419" w:rsidRPr="00847234">
        <w:rPr>
          <w:rFonts w:ascii="Arial" w:hAnsi="Arial" w:cs="Arial"/>
          <w:bCs/>
          <w:lang w:val="es-ES_tradnl"/>
        </w:rPr>
        <w:t>m</w:t>
      </w:r>
      <w:r w:rsidR="001D2164" w:rsidRPr="00847234">
        <w:rPr>
          <w:rFonts w:ascii="Arial" w:hAnsi="Arial" w:cs="Arial"/>
          <w:bCs/>
          <w:lang w:val="es-ES_tradnl"/>
        </w:rPr>
        <w:t>ien</w:t>
      </w:r>
      <w:r w:rsidR="00C36419" w:rsidRPr="00847234">
        <w:rPr>
          <w:rFonts w:ascii="Arial" w:hAnsi="Arial" w:cs="Arial"/>
          <w:bCs/>
          <w:lang w:val="es-ES_tradnl"/>
        </w:rPr>
        <w:t>to</w:t>
      </w:r>
      <w:r w:rsidR="007B5B71" w:rsidRPr="00847234">
        <w:rPr>
          <w:rFonts w:ascii="Arial" w:hAnsi="Arial" w:cs="Arial"/>
          <w:bCs/>
          <w:lang w:val="es-ES_tradnl"/>
        </w:rPr>
        <w:t>, así como entregar al</w:t>
      </w:r>
      <w:r w:rsidR="00423784" w:rsidRPr="00847234">
        <w:rPr>
          <w:rFonts w:ascii="Arial" w:hAnsi="Arial" w:cs="Arial"/>
          <w:bCs/>
          <w:lang w:val="es-ES_tradnl"/>
        </w:rPr>
        <w:t xml:space="preserve"> </w:t>
      </w:r>
      <w:r w:rsidR="001D2164" w:rsidRPr="00847234">
        <w:rPr>
          <w:rFonts w:ascii="Arial" w:hAnsi="Arial" w:cs="Arial"/>
          <w:bCs/>
          <w:lang w:val="es-ES_tradnl"/>
        </w:rPr>
        <w:t>mercado de generación de energía eléctrica libertad para operar sin ellas</w:t>
      </w:r>
      <w:r w:rsidR="006115CC" w:rsidRPr="00847234">
        <w:rPr>
          <w:rFonts w:ascii="Arial" w:hAnsi="Arial" w:cs="Arial"/>
          <w:bCs/>
          <w:lang w:val="es-ES_tradnl"/>
        </w:rPr>
        <w:t>.</w:t>
      </w:r>
      <w:r w:rsidR="006D260E" w:rsidRPr="00847234">
        <w:rPr>
          <w:rFonts w:ascii="Arial" w:hAnsi="Arial" w:cs="Arial"/>
          <w:bCs/>
          <w:lang w:val="es-ES_tradnl"/>
        </w:rPr>
        <w:t xml:space="preserve"> </w:t>
      </w:r>
      <w:r w:rsidR="006115CC" w:rsidRPr="00847234">
        <w:rPr>
          <w:rFonts w:ascii="Arial" w:hAnsi="Arial" w:cs="Arial"/>
          <w:bCs/>
          <w:lang w:val="es-ES_tradnl"/>
        </w:rPr>
        <w:t xml:space="preserve">Este resultado habría </w:t>
      </w:r>
      <w:r w:rsidR="006D260E" w:rsidRPr="00847234">
        <w:rPr>
          <w:rFonts w:ascii="Arial" w:hAnsi="Arial" w:cs="Arial"/>
          <w:bCs/>
          <w:lang w:val="es-ES_tradnl"/>
        </w:rPr>
        <w:t>supuesto la desp</w:t>
      </w:r>
      <w:r w:rsidR="001D2164" w:rsidRPr="00847234">
        <w:rPr>
          <w:rFonts w:ascii="Arial" w:hAnsi="Arial" w:cs="Arial"/>
          <w:bCs/>
          <w:lang w:val="es-ES_tradnl"/>
        </w:rPr>
        <w:t xml:space="preserve">rotección </w:t>
      </w:r>
      <w:r w:rsidR="00625F70" w:rsidRPr="00847234">
        <w:rPr>
          <w:rFonts w:ascii="Arial" w:hAnsi="Arial" w:cs="Arial"/>
          <w:bCs/>
          <w:lang w:val="es-ES_tradnl"/>
        </w:rPr>
        <w:t>del medio</w:t>
      </w:r>
      <w:r w:rsidR="001D2164" w:rsidRPr="00847234">
        <w:rPr>
          <w:rFonts w:ascii="Arial" w:hAnsi="Arial" w:cs="Arial"/>
          <w:bCs/>
          <w:lang w:val="es-ES_tradnl"/>
        </w:rPr>
        <w:t xml:space="preserve"> ambiente</w:t>
      </w:r>
      <w:r w:rsidR="004D7C7C" w:rsidRPr="00847234">
        <w:rPr>
          <w:rFonts w:ascii="Arial" w:hAnsi="Arial" w:cs="Arial"/>
          <w:bCs/>
          <w:lang w:val="es-ES_tradnl"/>
        </w:rPr>
        <w:t xml:space="preserve"> y </w:t>
      </w:r>
      <w:r w:rsidR="006115CC" w:rsidRPr="00847234">
        <w:rPr>
          <w:rFonts w:ascii="Arial" w:hAnsi="Arial" w:cs="Arial"/>
          <w:bCs/>
          <w:lang w:val="es-ES_tradnl"/>
        </w:rPr>
        <w:t xml:space="preserve">habría </w:t>
      </w:r>
      <w:r w:rsidR="000F5F4A" w:rsidRPr="00847234">
        <w:rPr>
          <w:rFonts w:ascii="Arial" w:hAnsi="Arial" w:cs="Arial"/>
          <w:bCs/>
          <w:lang w:val="es-ES_tradnl"/>
        </w:rPr>
        <w:t xml:space="preserve">permitido a los operadores del sistema </w:t>
      </w:r>
      <w:r w:rsidR="004D7C7C" w:rsidRPr="00847234">
        <w:rPr>
          <w:rFonts w:ascii="Arial" w:hAnsi="Arial" w:cs="Arial"/>
          <w:bCs/>
          <w:lang w:val="es-ES_tradnl"/>
        </w:rPr>
        <w:t xml:space="preserve">optar por </w:t>
      </w:r>
      <w:r w:rsidR="000F5F4A" w:rsidRPr="00847234">
        <w:rPr>
          <w:rFonts w:ascii="Arial" w:hAnsi="Arial" w:cs="Arial"/>
          <w:bCs/>
          <w:lang w:val="es-ES_tradnl"/>
        </w:rPr>
        <w:t>los criterios de su preferencia</w:t>
      </w:r>
      <w:r w:rsidR="009F4F15" w:rsidRPr="00847234">
        <w:rPr>
          <w:rFonts w:ascii="Arial" w:hAnsi="Arial" w:cs="Arial"/>
          <w:bCs/>
          <w:lang w:val="es-ES_tradnl"/>
        </w:rPr>
        <w:t xml:space="preserve">, incluido el de </w:t>
      </w:r>
      <w:r w:rsidR="00BC4193" w:rsidRPr="00847234">
        <w:rPr>
          <w:rFonts w:ascii="Arial" w:hAnsi="Arial" w:cs="Arial"/>
          <w:bCs/>
          <w:lang w:val="es-ES_tradnl"/>
        </w:rPr>
        <w:t xml:space="preserve">colocar a </w:t>
      </w:r>
      <w:r w:rsidR="00B21252" w:rsidRPr="00847234">
        <w:rPr>
          <w:rFonts w:ascii="Arial" w:hAnsi="Arial" w:cs="Arial"/>
          <w:bCs/>
          <w:lang w:val="es-ES_tradnl"/>
        </w:rPr>
        <w:t>las energías</w:t>
      </w:r>
      <w:r w:rsidR="009F4F15" w:rsidRPr="00847234">
        <w:rPr>
          <w:rFonts w:ascii="Arial" w:hAnsi="Arial" w:cs="Arial"/>
          <w:bCs/>
          <w:lang w:val="es-ES_tradnl"/>
        </w:rPr>
        <w:t xml:space="preserve"> limpias en segundo lugar</w:t>
      </w:r>
      <w:r w:rsidR="001D2164" w:rsidRPr="00847234">
        <w:rPr>
          <w:rFonts w:ascii="Arial" w:hAnsi="Arial" w:cs="Arial"/>
          <w:bCs/>
          <w:lang w:val="es-ES_tradnl"/>
        </w:rPr>
        <w:t>.</w:t>
      </w:r>
    </w:p>
    <w:p w14:paraId="3FAC27B1" w14:textId="4A7B9362" w:rsidR="000765B9" w:rsidRPr="00847234" w:rsidRDefault="000765B9" w:rsidP="0075782F">
      <w:pPr>
        <w:spacing w:line="360" w:lineRule="auto"/>
        <w:jc w:val="both"/>
        <w:rPr>
          <w:rFonts w:ascii="Arial" w:hAnsi="Arial" w:cs="Arial"/>
          <w:bCs/>
          <w:lang w:val="es-ES_tradnl"/>
        </w:rPr>
      </w:pPr>
    </w:p>
    <w:p w14:paraId="6D4ABFDC" w14:textId="367B8C27" w:rsidR="00F5099B" w:rsidRPr="00847234" w:rsidRDefault="000765B9" w:rsidP="0075782F">
      <w:pPr>
        <w:spacing w:line="360" w:lineRule="auto"/>
        <w:jc w:val="both"/>
        <w:rPr>
          <w:rFonts w:ascii="Arial" w:hAnsi="Arial" w:cs="Arial"/>
          <w:bCs/>
          <w:lang w:val="es-ES_tradnl"/>
        </w:rPr>
      </w:pPr>
      <w:r w:rsidRPr="00847234">
        <w:rPr>
          <w:rFonts w:ascii="Arial" w:hAnsi="Arial" w:cs="Arial"/>
          <w:bCs/>
          <w:lang w:val="es-ES_tradnl"/>
        </w:rPr>
        <w:t xml:space="preserve">Esto se debe a </w:t>
      </w:r>
      <w:r w:rsidR="00F5099B" w:rsidRPr="00847234">
        <w:rPr>
          <w:rFonts w:ascii="Arial" w:hAnsi="Arial" w:cs="Arial"/>
          <w:bCs/>
          <w:lang w:val="es-ES_tradnl"/>
        </w:rPr>
        <w:t>las propiedades di</w:t>
      </w:r>
      <w:r w:rsidR="004D7C7C" w:rsidRPr="00847234">
        <w:rPr>
          <w:rFonts w:ascii="Arial" w:hAnsi="Arial" w:cs="Arial"/>
          <w:bCs/>
          <w:lang w:val="es-ES_tradnl"/>
        </w:rPr>
        <w:t xml:space="preserve">stinguibles </w:t>
      </w:r>
      <w:r w:rsidR="00F5099B" w:rsidRPr="00847234">
        <w:rPr>
          <w:rFonts w:ascii="Arial" w:hAnsi="Arial" w:cs="Arial"/>
          <w:bCs/>
          <w:lang w:val="es-ES_tradnl"/>
        </w:rPr>
        <w:t>de cada uno de los principios</w:t>
      </w:r>
      <w:r w:rsidR="007044AB">
        <w:rPr>
          <w:rFonts w:ascii="Arial" w:hAnsi="Arial" w:cs="Arial"/>
          <w:bCs/>
          <w:lang w:val="es-ES_tradnl"/>
        </w:rPr>
        <w:t xml:space="preserve">. </w:t>
      </w:r>
      <w:r w:rsidR="00F5099B" w:rsidRPr="00847234">
        <w:rPr>
          <w:rFonts w:ascii="Arial" w:hAnsi="Arial" w:cs="Arial"/>
          <w:bCs/>
          <w:lang w:val="es-ES_tradnl"/>
        </w:rPr>
        <w:t>El de libre competencia o concurrencia</w:t>
      </w:r>
      <w:r w:rsidR="009F4F15" w:rsidRPr="00847234">
        <w:rPr>
          <w:rFonts w:ascii="Arial" w:hAnsi="Arial" w:cs="Arial"/>
          <w:bCs/>
          <w:lang w:val="es-ES_tradnl"/>
        </w:rPr>
        <w:t>,</w:t>
      </w:r>
      <w:r w:rsidR="00F5099B" w:rsidRPr="00847234">
        <w:rPr>
          <w:rFonts w:ascii="Arial" w:hAnsi="Arial" w:cs="Arial"/>
          <w:bCs/>
          <w:lang w:val="es-ES_tradnl"/>
        </w:rPr>
        <w:t xml:space="preserve"> al no ser un derecho humano</w:t>
      </w:r>
      <w:r w:rsidR="00F9419B" w:rsidRPr="00847234">
        <w:rPr>
          <w:rFonts w:ascii="Arial" w:hAnsi="Arial" w:cs="Arial"/>
          <w:bCs/>
          <w:lang w:val="es-ES_tradnl"/>
        </w:rPr>
        <w:t xml:space="preserve">, </w:t>
      </w:r>
      <w:r w:rsidR="00F5099B" w:rsidRPr="00847234">
        <w:rPr>
          <w:rFonts w:ascii="Arial" w:hAnsi="Arial" w:cs="Arial"/>
          <w:bCs/>
          <w:lang w:val="es-ES_tradnl"/>
        </w:rPr>
        <w:t>sino un principio de jerarquía constitucional aplicable a la regulación económica</w:t>
      </w:r>
      <w:r w:rsidR="009F4F15" w:rsidRPr="00847234">
        <w:rPr>
          <w:rFonts w:ascii="Arial" w:hAnsi="Arial" w:cs="Arial"/>
          <w:bCs/>
          <w:lang w:val="es-ES_tradnl"/>
        </w:rPr>
        <w:t>,</w:t>
      </w:r>
      <w:r w:rsidR="00F5099B" w:rsidRPr="00847234">
        <w:rPr>
          <w:rFonts w:ascii="Arial" w:hAnsi="Arial" w:cs="Arial"/>
          <w:bCs/>
          <w:lang w:val="es-ES_tradnl"/>
        </w:rPr>
        <w:t xml:space="preserve"> no s</w:t>
      </w:r>
      <w:r w:rsidR="00CA6411" w:rsidRPr="00847234">
        <w:rPr>
          <w:rFonts w:ascii="Arial" w:hAnsi="Arial" w:cs="Arial"/>
          <w:bCs/>
          <w:lang w:val="es-ES_tradnl"/>
        </w:rPr>
        <w:t xml:space="preserve">e </w:t>
      </w:r>
      <w:r w:rsidR="00F5099B" w:rsidRPr="00847234">
        <w:rPr>
          <w:rFonts w:ascii="Arial" w:hAnsi="Arial" w:cs="Arial"/>
          <w:bCs/>
          <w:lang w:val="es-ES_tradnl"/>
        </w:rPr>
        <w:t>rige por el artículo 1° constitucional</w:t>
      </w:r>
      <w:r w:rsidR="00A95A37" w:rsidRPr="00847234">
        <w:rPr>
          <w:rFonts w:ascii="Arial" w:hAnsi="Arial" w:cs="Arial"/>
          <w:bCs/>
          <w:lang w:val="es-ES_tradnl"/>
        </w:rPr>
        <w:t xml:space="preserve">; por </w:t>
      </w:r>
      <w:r w:rsidR="00200084" w:rsidRPr="00847234">
        <w:rPr>
          <w:rFonts w:ascii="Arial" w:hAnsi="Arial" w:cs="Arial"/>
          <w:bCs/>
          <w:lang w:val="es-ES_tradnl"/>
        </w:rPr>
        <w:t>tanto, no</w:t>
      </w:r>
      <w:r w:rsidR="00F5099B" w:rsidRPr="00847234">
        <w:rPr>
          <w:rFonts w:ascii="Arial" w:hAnsi="Arial" w:cs="Arial"/>
          <w:bCs/>
          <w:lang w:val="es-ES_tradnl"/>
        </w:rPr>
        <w:t xml:space="preserve"> contiene un mandato de no regresividad</w:t>
      </w:r>
      <w:r w:rsidR="00A95A37" w:rsidRPr="00847234">
        <w:rPr>
          <w:rFonts w:ascii="Arial" w:hAnsi="Arial" w:cs="Arial"/>
          <w:bCs/>
          <w:lang w:val="es-ES_tradnl"/>
        </w:rPr>
        <w:t xml:space="preserve">. Por su parte, </w:t>
      </w:r>
      <w:r w:rsidR="00F5099B" w:rsidRPr="00847234">
        <w:rPr>
          <w:rFonts w:ascii="Arial" w:hAnsi="Arial" w:cs="Arial"/>
          <w:bCs/>
          <w:lang w:val="es-ES_tradnl"/>
        </w:rPr>
        <w:t xml:space="preserve">el derecho al medio ambiente </w:t>
      </w:r>
      <w:r w:rsidR="00A95A37" w:rsidRPr="00847234">
        <w:rPr>
          <w:rFonts w:ascii="Arial" w:hAnsi="Arial" w:cs="Arial"/>
          <w:bCs/>
          <w:lang w:val="es-ES_tradnl"/>
        </w:rPr>
        <w:t>sí</w:t>
      </w:r>
      <w:r w:rsidR="00F5099B" w:rsidRPr="00847234">
        <w:rPr>
          <w:rFonts w:ascii="Arial" w:hAnsi="Arial" w:cs="Arial"/>
          <w:bCs/>
          <w:lang w:val="es-ES_tradnl"/>
        </w:rPr>
        <w:t xml:space="preserve"> se rige por el artículo 1° constitucional</w:t>
      </w:r>
      <w:r w:rsidR="00A95A37" w:rsidRPr="00847234">
        <w:rPr>
          <w:rFonts w:ascii="Arial" w:hAnsi="Arial" w:cs="Arial"/>
          <w:bCs/>
          <w:lang w:val="es-ES_tradnl"/>
        </w:rPr>
        <w:t xml:space="preserve"> y</w:t>
      </w:r>
      <w:r w:rsidR="00F5099B" w:rsidRPr="00847234">
        <w:rPr>
          <w:rFonts w:ascii="Arial" w:hAnsi="Arial" w:cs="Arial"/>
          <w:bCs/>
          <w:lang w:val="es-ES_tradnl"/>
        </w:rPr>
        <w:t xml:space="preserve"> contiene un mandato de no regresividad</w:t>
      </w:r>
      <w:r w:rsidR="00A95A37" w:rsidRPr="00847234">
        <w:rPr>
          <w:rFonts w:ascii="Arial" w:hAnsi="Arial" w:cs="Arial"/>
          <w:bCs/>
          <w:lang w:val="es-ES_tradnl"/>
        </w:rPr>
        <w:t xml:space="preserve">; por </w:t>
      </w:r>
      <w:r w:rsidR="00E476E9" w:rsidRPr="00847234">
        <w:rPr>
          <w:rFonts w:ascii="Arial" w:hAnsi="Arial" w:cs="Arial"/>
          <w:bCs/>
          <w:lang w:val="es-ES_tradnl"/>
        </w:rPr>
        <w:t>tanto, su</w:t>
      </w:r>
      <w:r w:rsidR="00F5099B" w:rsidRPr="00847234">
        <w:rPr>
          <w:rFonts w:ascii="Arial" w:hAnsi="Arial" w:cs="Arial"/>
          <w:bCs/>
          <w:lang w:val="es-ES_tradnl"/>
        </w:rPr>
        <w:t xml:space="preserve"> invalidez </w:t>
      </w:r>
      <w:r w:rsidR="00CA6411" w:rsidRPr="00847234">
        <w:rPr>
          <w:rFonts w:ascii="Arial" w:hAnsi="Arial" w:cs="Arial"/>
          <w:bCs/>
          <w:lang w:val="es-ES_tradnl"/>
        </w:rPr>
        <w:t xml:space="preserve">acarrearía </w:t>
      </w:r>
      <w:r w:rsidR="0067555C" w:rsidRPr="00847234">
        <w:rPr>
          <w:rFonts w:ascii="Arial" w:hAnsi="Arial" w:cs="Arial"/>
          <w:bCs/>
          <w:lang w:val="es-ES_tradnl"/>
        </w:rPr>
        <w:t xml:space="preserve">la </w:t>
      </w:r>
      <w:r w:rsidR="00F5099B" w:rsidRPr="00847234">
        <w:rPr>
          <w:rFonts w:ascii="Arial" w:hAnsi="Arial" w:cs="Arial"/>
          <w:bCs/>
          <w:lang w:val="es-ES_tradnl"/>
        </w:rPr>
        <w:t>reviviscencia de las normas abrogadas o la integración de un remedio judicial equivalente</w:t>
      </w:r>
      <w:r w:rsidR="00C51375" w:rsidRPr="00847234">
        <w:rPr>
          <w:rFonts w:ascii="Arial" w:hAnsi="Arial" w:cs="Arial"/>
          <w:bCs/>
          <w:lang w:val="es-ES_tradnl"/>
        </w:rPr>
        <w:t xml:space="preserve"> -como sucede con cualquier derecho social que es violado en su vertiente de no regresividad</w:t>
      </w:r>
      <w:r w:rsidR="00F5099B" w:rsidRPr="00847234">
        <w:rPr>
          <w:rFonts w:ascii="Arial" w:hAnsi="Arial" w:cs="Arial"/>
          <w:bCs/>
          <w:lang w:val="es-ES_tradnl"/>
        </w:rPr>
        <w:t>.</w:t>
      </w:r>
      <w:r w:rsidR="00266748" w:rsidRPr="00847234">
        <w:rPr>
          <w:rFonts w:ascii="Arial" w:hAnsi="Arial" w:cs="Arial"/>
          <w:bCs/>
          <w:lang w:val="es-ES_tradnl"/>
        </w:rPr>
        <w:t xml:space="preserve"> Ambas conclusiones se respaldan en una larga línea </w:t>
      </w:r>
      <w:r w:rsidR="00266748" w:rsidRPr="00847234">
        <w:rPr>
          <w:rFonts w:ascii="Arial" w:hAnsi="Arial" w:cs="Arial"/>
          <w:bCs/>
          <w:lang w:val="es-ES_tradnl"/>
        </w:rPr>
        <w:lastRenderedPageBreak/>
        <w:t>de precedentes que, de haberse alcanzado la mayoría calificada</w:t>
      </w:r>
      <w:r w:rsidR="00E476E9" w:rsidRPr="00847234">
        <w:rPr>
          <w:rFonts w:ascii="Arial" w:hAnsi="Arial" w:cs="Arial"/>
          <w:bCs/>
          <w:lang w:val="es-ES_tradnl"/>
        </w:rPr>
        <w:t>, la sentencia habría reiterado.</w:t>
      </w:r>
      <w:r w:rsidR="00513DB4" w:rsidRPr="00847234">
        <w:rPr>
          <w:rStyle w:val="Refdenotaalpie"/>
          <w:rFonts w:ascii="Arial" w:hAnsi="Arial" w:cs="Arial"/>
          <w:bCs/>
          <w:lang w:val="es-ES_tradnl"/>
        </w:rPr>
        <w:footnoteReference w:id="32"/>
      </w:r>
      <w:r w:rsidR="00513DB4" w:rsidRPr="00847234">
        <w:rPr>
          <w:rFonts w:ascii="Arial" w:hAnsi="Arial" w:cs="Arial"/>
          <w:bCs/>
          <w:lang w:val="es-ES_tradnl"/>
        </w:rPr>
        <w:t xml:space="preserve"> </w:t>
      </w:r>
    </w:p>
    <w:p w14:paraId="419C2AF1" w14:textId="7BC489D0" w:rsidR="00BB4563" w:rsidRPr="00847234" w:rsidRDefault="00BB4563" w:rsidP="0075782F">
      <w:pPr>
        <w:spacing w:line="360" w:lineRule="auto"/>
        <w:jc w:val="both"/>
        <w:rPr>
          <w:rFonts w:ascii="Arial" w:hAnsi="Arial" w:cs="Arial"/>
          <w:bCs/>
          <w:lang w:val="es-ES_tradnl"/>
        </w:rPr>
      </w:pPr>
    </w:p>
    <w:p w14:paraId="3DE7F855" w14:textId="592A683E" w:rsidR="00BB4563" w:rsidRPr="00847234" w:rsidRDefault="00BB4563" w:rsidP="0075782F">
      <w:pPr>
        <w:spacing w:line="360" w:lineRule="auto"/>
        <w:jc w:val="both"/>
        <w:rPr>
          <w:rFonts w:ascii="Arial" w:hAnsi="Arial" w:cs="Arial"/>
          <w:bCs/>
          <w:lang w:val="es-ES_tradnl"/>
        </w:rPr>
      </w:pPr>
      <w:r w:rsidRPr="00847234">
        <w:rPr>
          <w:rFonts w:ascii="Arial" w:hAnsi="Arial" w:cs="Arial"/>
          <w:bCs/>
          <w:lang w:val="es-ES_tradnl"/>
        </w:rPr>
        <w:t xml:space="preserve">La diferencia entre ambos principios </w:t>
      </w:r>
      <w:r w:rsidR="004005A9" w:rsidRPr="00847234">
        <w:rPr>
          <w:rFonts w:ascii="Arial" w:hAnsi="Arial" w:cs="Arial"/>
          <w:bCs/>
          <w:lang w:val="es-ES_tradnl"/>
        </w:rPr>
        <w:t xml:space="preserve">es su papel respecto a los vaivenes democráticos admisibles y deseables y </w:t>
      </w:r>
      <w:r w:rsidR="00664B1A" w:rsidRPr="00847234">
        <w:rPr>
          <w:rFonts w:ascii="Arial" w:hAnsi="Arial" w:cs="Arial"/>
          <w:bCs/>
          <w:lang w:val="es-ES_tradnl"/>
        </w:rPr>
        <w:t xml:space="preserve">cómo </w:t>
      </w:r>
      <w:r w:rsidR="004005A9" w:rsidRPr="00847234">
        <w:rPr>
          <w:rFonts w:ascii="Arial" w:hAnsi="Arial" w:cs="Arial"/>
          <w:bCs/>
          <w:lang w:val="es-ES_tradnl"/>
        </w:rPr>
        <w:t>eso condiciona</w:t>
      </w:r>
      <w:r w:rsidR="00664B1A" w:rsidRPr="00847234">
        <w:rPr>
          <w:rFonts w:ascii="Arial" w:hAnsi="Arial" w:cs="Arial"/>
          <w:bCs/>
          <w:lang w:val="es-ES_tradnl"/>
        </w:rPr>
        <w:t xml:space="preserve"> el ro</w:t>
      </w:r>
      <w:r w:rsidRPr="00847234">
        <w:rPr>
          <w:rFonts w:ascii="Arial" w:hAnsi="Arial" w:cs="Arial"/>
          <w:bCs/>
          <w:lang w:val="es-ES_tradnl"/>
        </w:rPr>
        <w:t xml:space="preserve">l </w:t>
      </w:r>
      <w:r w:rsidR="00664B1A" w:rsidRPr="00847234">
        <w:rPr>
          <w:rFonts w:ascii="Arial" w:hAnsi="Arial" w:cs="Arial"/>
          <w:bCs/>
          <w:lang w:val="es-ES_tradnl"/>
        </w:rPr>
        <w:t xml:space="preserve">de </w:t>
      </w:r>
      <w:r w:rsidRPr="00847234">
        <w:rPr>
          <w:rFonts w:ascii="Arial" w:hAnsi="Arial" w:cs="Arial"/>
          <w:bCs/>
          <w:lang w:val="es-ES_tradnl"/>
        </w:rPr>
        <w:t>esta Suprema Corte en cada uno de ellos</w:t>
      </w:r>
      <w:r w:rsidR="00A21E89" w:rsidRPr="00847234">
        <w:rPr>
          <w:rFonts w:ascii="Arial" w:hAnsi="Arial" w:cs="Arial"/>
          <w:bCs/>
          <w:lang w:val="es-ES_tradnl"/>
        </w:rPr>
        <w:t xml:space="preserve">. </w:t>
      </w:r>
      <w:r w:rsidRPr="00847234">
        <w:rPr>
          <w:rFonts w:ascii="Arial" w:hAnsi="Arial" w:cs="Arial"/>
          <w:bCs/>
          <w:lang w:val="es-ES_tradnl"/>
        </w:rPr>
        <w:t xml:space="preserve">El principio de libre competencia y concurrencia es uno de gran importancia que sirve para controlar </w:t>
      </w:r>
      <w:r w:rsidR="002B31FB" w:rsidRPr="00847234">
        <w:rPr>
          <w:rFonts w:ascii="Arial" w:hAnsi="Arial" w:cs="Arial"/>
          <w:bCs/>
          <w:lang w:val="es-ES_tradnl"/>
        </w:rPr>
        <w:t>las leyes</w:t>
      </w:r>
      <w:r w:rsidRPr="00847234">
        <w:rPr>
          <w:rFonts w:ascii="Arial" w:hAnsi="Arial" w:cs="Arial"/>
          <w:bCs/>
          <w:lang w:val="es-ES_tradnl"/>
        </w:rPr>
        <w:t xml:space="preserve">, pero no desde una posición </w:t>
      </w:r>
      <w:proofErr w:type="spellStart"/>
      <w:r w:rsidRPr="00847234">
        <w:rPr>
          <w:rFonts w:ascii="Arial" w:hAnsi="Arial" w:cs="Arial"/>
          <w:bCs/>
          <w:lang w:val="es-ES_tradnl"/>
        </w:rPr>
        <w:t>contramayoritaria</w:t>
      </w:r>
      <w:proofErr w:type="spellEnd"/>
      <w:r w:rsidRPr="00847234">
        <w:rPr>
          <w:rFonts w:ascii="Arial" w:hAnsi="Arial" w:cs="Arial"/>
          <w:bCs/>
          <w:lang w:val="es-ES_tradnl"/>
        </w:rPr>
        <w:t xml:space="preserve">. En otras palabras, este principio no puede caracterizarse, </w:t>
      </w:r>
      <w:r w:rsidR="00511E35" w:rsidRPr="00847234">
        <w:rPr>
          <w:rFonts w:ascii="Arial" w:hAnsi="Arial" w:cs="Arial"/>
          <w:bCs/>
          <w:lang w:val="es-ES_tradnl"/>
        </w:rPr>
        <w:t xml:space="preserve">en términos de </w:t>
      </w:r>
      <w:r w:rsidRPr="00847234">
        <w:rPr>
          <w:rFonts w:ascii="Arial" w:hAnsi="Arial" w:cs="Arial"/>
          <w:bCs/>
          <w:lang w:val="es-ES_tradnl"/>
        </w:rPr>
        <w:t xml:space="preserve">Ronald Dworkin, como una “carta de triunfo contra las mayorías”. </w:t>
      </w:r>
      <w:r w:rsidR="00DA18CB" w:rsidRPr="00847234">
        <w:rPr>
          <w:rFonts w:ascii="Arial" w:hAnsi="Arial" w:cs="Arial"/>
          <w:bCs/>
          <w:lang w:val="es-ES_tradnl"/>
        </w:rPr>
        <w:t xml:space="preserve">Mientras </w:t>
      </w:r>
      <w:r w:rsidR="000D6D32" w:rsidRPr="00847234">
        <w:rPr>
          <w:rFonts w:ascii="Arial" w:hAnsi="Arial" w:cs="Arial"/>
          <w:bCs/>
          <w:lang w:val="es-ES_tradnl"/>
        </w:rPr>
        <w:t xml:space="preserve">el </w:t>
      </w:r>
      <w:r w:rsidRPr="00847234">
        <w:rPr>
          <w:rFonts w:ascii="Arial" w:hAnsi="Arial" w:cs="Arial"/>
          <w:bCs/>
          <w:lang w:val="es-ES_tradnl"/>
        </w:rPr>
        <w:t xml:space="preserve">medio ambiente sí es un derecho </w:t>
      </w:r>
      <w:r w:rsidR="00FF753A" w:rsidRPr="00847234">
        <w:rPr>
          <w:rFonts w:ascii="Arial" w:hAnsi="Arial" w:cs="Arial"/>
          <w:bCs/>
          <w:lang w:val="es-ES_tradnl"/>
        </w:rPr>
        <w:t xml:space="preserve">opuesto </w:t>
      </w:r>
      <w:r w:rsidR="00CA2035" w:rsidRPr="00847234">
        <w:rPr>
          <w:rFonts w:ascii="Arial" w:hAnsi="Arial" w:cs="Arial"/>
          <w:bCs/>
          <w:lang w:val="es-ES_tradnl"/>
        </w:rPr>
        <w:t xml:space="preserve">legítimamente </w:t>
      </w:r>
      <w:r w:rsidRPr="00847234">
        <w:rPr>
          <w:rFonts w:ascii="Arial" w:hAnsi="Arial" w:cs="Arial"/>
          <w:bCs/>
          <w:lang w:val="es-ES_tradnl"/>
        </w:rPr>
        <w:t>a los deseos de las mayoría</w:t>
      </w:r>
      <w:r w:rsidR="00ED34F2" w:rsidRPr="00847234">
        <w:rPr>
          <w:rFonts w:ascii="Arial" w:hAnsi="Arial" w:cs="Arial"/>
          <w:bCs/>
          <w:lang w:val="es-ES_tradnl"/>
        </w:rPr>
        <w:t>s</w:t>
      </w:r>
      <w:r w:rsidR="00DA18CB" w:rsidRPr="00847234">
        <w:rPr>
          <w:rFonts w:ascii="Arial" w:hAnsi="Arial" w:cs="Arial"/>
          <w:bCs/>
          <w:lang w:val="es-ES_tradnl"/>
        </w:rPr>
        <w:t xml:space="preserve">. </w:t>
      </w:r>
      <w:r w:rsidR="00ED34F2" w:rsidRPr="00847234">
        <w:rPr>
          <w:rFonts w:ascii="Arial" w:hAnsi="Arial" w:cs="Arial"/>
          <w:bCs/>
          <w:lang w:val="es-ES_tradnl"/>
        </w:rPr>
        <w:t>El me</w:t>
      </w:r>
      <w:r w:rsidR="004C4973" w:rsidRPr="00847234">
        <w:rPr>
          <w:rFonts w:ascii="Arial" w:hAnsi="Arial" w:cs="Arial"/>
          <w:bCs/>
          <w:lang w:val="es-ES_tradnl"/>
        </w:rPr>
        <w:t>dio ambiente está sustraído de eso</w:t>
      </w:r>
      <w:r w:rsidR="00451142" w:rsidRPr="00847234">
        <w:rPr>
          <w:rFonts w:ascii="Arial" w:hAnsi="Arial" w:cs="Arial"/>
          <w:bCs/>
          <w:lang w:val="es-ES_tradnl"/>
        </w:rPr>
        <w:t>s</w:t>
      </w:r>
      <w:r w:rsidR="004C4973" w:rsidRPr="00847234">
        <w:rPr>
          <w:rFonts w:ascii="Arial" w:hAnsi="Arial" w:cs="Arial"/>
          <w:bCs/>
          <w:lang w:val="es-ES_tradnl"/>
        </w:rPr>
        <w:t xml:space="preserve"> vaivenes </w:t>
      </w:r>
      <w:r w:rsidR="00B03BE1" w:rsidRPr="00847234">
        <w:rPr>
          <w:rFonts w:ascii="Arial" w:hAnsi="Arial" w:cs="Arial"/>
          <w:bCs/>
          <w:lang w:val="es-ES_tradnl"/>
        </w:rPr>
        <w:t xml:space="preserve">y más bien </w:t>
      </w:r>
      <w:r w:rsidR="00451142" w:rsidRPr="00847234">
        <w:rPr>
          <w:rFonts w:ascii="Arial" w:hAnsi="Arial" w:cs="Arial"/>
          <w:bCs/>
          <w:lang w:val="es-ES_tradnl"/>
        </w:rPr>
        <w:t>configura un ámbito de lo “indecidible”</w:t>
      </w:r>
      <w:r w:rsidRPr="00847234">
        <w:rPr>
          <w:rFonts w:ascii="Arial" w:hAnsi="Arial" w:cs="Arial"/>
          <w:bCs/>
          <w:lang w:val="es-ES_tradnl"/>
        </w:rPr>
        <w:t xml:space="preserve">, </w:t>
      </w:r>
      <w:r w:rsidR="0038739E" w:rsidRPr="00847234">
        <w:rPr>
          <w:rFonts w:ascii="Arial" w:hAnsi="Arial" w:cs="Arial"/>
          <w:bCs/>
          <w:lang w:val="es-ES_tradnl"/>
        </w:rPr>
        <w:t xml:space="preserve">como lo diría Ferrajoli. </w:t>
      </w:r>
      <w:r w:rsidR="00626837" w:rsidRPr="00847234">
        <w:rPr>
          <w:rFonts w:ascii="Arial" w:hAnsi="Arial" w:cs="Arial"/>
          <w:bCs/>
          <w:lang w:val="es-ES_tradnl"/>
        </w:rPr>
        <w:t>Este ámbito se</w:t>
      </w:r>
      <w:r w:rsidR="00352AD8" w:rsidRPr="00847234">
        <w:rPr>
          <w:rFonts w:ascii="Arial" w:hAnsi="Arial" w:cs="Arial"/>
          <w:bCs/>
          <w:lang w:val="es-ES_tradnl"/>
        </w:rPr>
        <w:t xml:space="preserve"> va </w:t>
      </w:r>
      <w:r w:rsidR="0038739E" w:rsidRPr="00847234">
        <w:rPr>
          <w:rFonts w:ascii="Arial" w:hAnsi="Arial" w:cs="Arial"/>
          <w:bCs/>
          <w:lang w:val="es-ES_tradnl"/>
        </w:rPr>
        <w:t>integrando</w:t>
      </w:r>
      <w:r w:rsidR="00352AD8" w:rsidRPr="00847234">
        <w:rPr>
          <w:rFonts w:ascii="Arial" w:hAnsi="Arial" w:cs="Arial"/>
          <w:bCs/>
          <w:lang w:val="es-ES_tradnl"/>
        </w:rPr>
        <w:t xml:space="preserve"> con cada avance sustancial</w:t>
      </w:r>
      <w:r w:rsidR="00626837" w:rsidRPr="00847234">
        <w:rPr>
          <w:rFonts w:ascii="Arial" w:hAnsi="Arial" w:cs="Arial"/>
          <w:bCs/>
          <w:lang w:val="es-ES_tradnl"/>
        </w:rPr>
        <w:t xml:space="preserve">. </w:t>
      </w:r>
      <w:r w:rsidR="00872019" w:rsidRPr="00847234">
        <w:rPr>
          <w:rFonts w:ascii="Arial" w:hAnsi="Arial" w:cs="Arial"/>
          <w:bCs/>
          <w:lang w:val="es-ES_tradnl"/>
        </w:rPr>
        <w:t xml:space="preserve">Por ello, </w:t>
      </w:r>
      <w:r w:rsidR="00626837" w:rsidRPr="00847234">
        <w:rPr>
          <w:rFonts w:ascii="Arial" w:hAnsi="Arial" w:cs="Arial"/>
          <w:bCs/>
          <w:lang w:val="es-ES_tradnl"/>
        </w:rPr>
        <w:t xml:space="preserve">el </w:t>
      </w:r>
      <w:r w:rsidRPr="00847234">
        <w:rPr>
          <w:rFonts w:ascii="Arial" w:hAnsi="Arial" w:cs="Arial"/>
          <w:bCs/>
          <w:lang w:val="es-ES_tradnl"/>
        </w:rPr>
        <w:t>derecho al medio ambiente cont</w:t>
      </w:r>
      <w:r w:rsidR="000C4824" w:rsidRPr="00847234">
        <w:rPr>
          <w:rFonts w:ascii="Arial" w:hAnsi="Arial" w:cs="Arial"/>
          <w:bCs/>
          <w:lang w:val="es-ES_tradnl"/>
        </w:rPr>
        <w:t xml:space="preserve">iene </w:t>
      </w:r>
      <w:r w:rsidRPr="00847234">
        <w:rPr>
          <w:rFonts w:ascii="Arial" w:hAnsi="Arial" w:cs="Arial"/>
          <w:bCs/>
          <w:lang w:val="es-ES_tradnl"/>
        </w:rPr>
        <w:t xml:space="preserve">un </w:t>
      </w:r>
      <w:r w:rsidR="000C4824" w:rsidRPr="00847234">
        <w:rPr>
          <w:rFonts w:ascii="Arial" w:hAnsi="Arial" w:cs="Arial"/>
          <w:bCs/>
          <w:lang w:val="es-ES_tradnl"/>
        </w:rPr>
        <w:t xml:space="preserve">mandato de </w:t>
      </w:r>
      <w:r w:rsidRPr="00847234">
        <w:rPr>
          <w:rFonts w:ascii="Arial" w:hAnsi="Arial" w:cs="Arial"/>
          <w:bCs/>
          <w:lang w:val="es-ES_tradnl"/>
        </w:rPr>
        <w:t xml:space="preserve">progresividad </w:t>
      </w:r>
      <w:r w:rsidR="000C4824" w:rsidRPr="00847234">
        <w:rPr>
          <w:rFonts w:ascii="Arial" w:hAnsi="Arial" w:cs="Arial"/>
          <w:bCs/>
          <w:lang w:val="es-ES_tradnl"/>
        </w:rPr>
        <w:t xml:space="preserve">y una prohibición de regresividad </w:t>
      </w:r>
      <w:r w:rsidRPr="00847234">
        <w:rPr>
          <w:rFonts w:ascii="Arial" w:hAnsi="Arial" w:cs="Arial"/>
          <w:bCs/>
          <w:lang w:val="es-ES_tradnl"/>
        </w:rPr>
        <w:t>sobre los órganos productores de derecho</w:t>
      </w:r>
      <w:r w:rsidR="004E32D5" w:rsidRPr="00847234">
        <w:rPr>
          <w:rFonts w:ascii="Arial" w:hAnsi="Arial" w:cs="Arial"/>
          <w:bCs/>
          <w:lang w:val="es-ES_tradnl"/>
        </w:rPr>
        <w:t xml:space="preserve">; el </w:t>
      </w:r>
      <w:r w:rsidRPr="00847234">
        <w:rPr>
          <w:rFonts w:ascii="Arial" w:hAnsi="Arial" w:cs="Arial"/>
          <w:bCs/>
          <w:lang w:val="es-ES_tradnl"/>
        </w:rPr>
        <w:t xml:space="preserve">principio de libre competencia y concurrencia </w:t>
      </w:r>
      <w:r w:rsidR="004E32D5" w:rsidRPr="00847234">
        <w:rPr>
          <w:rFonts w:ascii="Arial" w:hAnsi="Arial" w:cs="Arial"/>
          <w:bCs/>
          <w:lang w:val="es-ES_tradnl"/>
        </w:rPr>
        <w:t>no contiene es</w:t>
      </w:r>
      <w:r w:rsidR="009D017A" w:rsidRPr="00847234">
        <w:rPr>
          <w:rFonts w:ascii="Arial" w:hAnsi="Arial" w:cs="Arial"/>
          <w:bCs/>
          <w:lang w:val="es-ES_tradnl"/>
        </w:rPr>
        <w:t>os mandatos y prohibiciones.</w:t>
      </w:r>
      <w:r w:rsidRPr="00847234">
        <w:rPr>
          <w:rStyle w:val="Refdenotaalpie"/>
          <w:rFonts w:ascii="Arial" w:hAnsi="Arial" w:cs="Arial"/>
          <w:bCs/>
          <w:lang w:val="es-ES_tradnl"/>
        </w:rPr>
        <w:footnoteReference w:id="33"/>
      </w:r>
    </w:p>
    <w:p w14:paraId="186C3F9A" w14:textId="77777777" w:rsidR="000E0B13" w:rsidRPr="00847234" w:rsidRDefault="000E0B13" w:rsidP="0075782F">
      <w:pPr>
        <w:spacing w:line="360" w:lineRule="auto"/>
        <w:jc w:val="both"/>
        <w:rPr>
          <w:rFonts w:ascii="Arial" w:hAnsi="Arial" w:cs="Arial"/>
          <w:bCs/>
          <w:lang w:val="es-ES_tradnl"/>
        </w:rPr>
      </w:pPr>
    </w:p>
    <w:p w14:paraId="27AB5DB8" w14:textId="773B67AE" w:rsidR="00496399" w:rsidRPr="00847234" w:rsidRDefault="00527CCC" w:rsidP="0075782F">
      <w:pPr>
        <w:spacing w:line="360" w:lineRule="auto"/>
        <w:jc w:val="both"/>
        <w:rPr>
          <w:rFonts w:ascii="Arial" w:hAnsi="Arial" w:cs="Arial"/>
          <w:bCs/>
          <w:lang w:val="es-ES_tradnl"/>
        </w:rPr>
      </w:pPr>
      <w:r w:rsidRPr="00847234">
        <w:rPr>
          <w:rFonts w:ascii="Arial" w:hAnsi="Arial" w:cs="Arial"/>
          <w:bCs/>
          <w:lang w:val="es-ES_tradnl"/>
        </w:rPr>
        <w:t xml:space="preserve">En </w:t>
      </w:r>
      <w:r w:rsidR="00496399" w:rsidRPr="00847234">
        <w:rPr>
          <w:rFonts w:ascii="Arial" w:hAnsi="Arial" w:cs="Arial"/>
          <w:bCs/>
          <w:lang w:val="es-ES_tradnl"/>
        </w:rPr>
        <w:t>los precedentes en la materia se constata</w:t>
      </w:r>
      <w:r w:rsidR="00000456" w:rsidRPr="00847234">
        <w:rPr>
          <w:rFonts w:ascii="Arial" w:hAnsi="Arial" w:cs="Arial"/>
          <w:bCs/>
          <w:lang w:val="es-ES_tradnl"/>
        </w:rPr>
        <w:t xml:space="preserve"> </w:t>
      </w:r>
      <w:r w:rsidR="0041741A" w:rsidRPr="00847234">
        <w:rPr>
          <w:rFonts w:ascii="Arial" w:hAnsi="Arial" w:cs="Arial"/>
          <w:bCs/>
          <w:lang w:val="es-ES_tradnl"/>
        </w:rPr>
        <w:t xml:space="preserve">que </w:t>
      </w:r>
      <w:r w:rsidR="00496399" w:rsidRPr="00847234">
        <w:rPr>
          <w:rFonts w:ascii="Arial" w:hAnsi="Arial" w:cs="Arial"/>
          <w:bCs/>
          <w:lang w:val="es-ES_tradnl"/>
        </w:rPr>
        <w:t xml:space="preserve">en todos aquellos asuntos </w:t>
      </w:r>
      <w:r w:rsidR="00F47B0C" w:rsidRPr="00847234">
        <w:rPr>
          <w:rFonts w:ascii="Arial" w:hAnsi="Arial" w:cs="Arial"/>
          <w:bCs/>
          <w:lang w:val="es-ES_tradnl"/>
        </w:rPr>
        <w:t xml:space="preserve">donde </w:t>
      </w:r>
      <w:r w:rsidR="00496399" w:rsidRPr="00847234">
        <w:rPr>
          <w:rFonts w:ascii="Arial" w:hAnsi="Arial" w:cs="Arial"/>
          <w:bCs/>
          <w:lang w:val="es-ES_tradnl"/>
        </w:rPr>
        <w:t>esta Corte ha encontrado una violación al medio ambiente</w:t>
      </w:r>
      <w:r w:rsidR="0041741A" w:rsidRPr="00847234">
        <w:rPr>
          <w:rFonts w:ascii="Arial" w:hAnsi="Arial" w:cs="Arial"/>
          <w:bCs/>
          <w:lang w:val="es-ES_tradnl"/>
        </w:rPr>
        <w:t>,</w:t>
      </w:r>
      <w:r w:rsidR="00496399" w:rsidRPr="00847234">
        <w:rPr>
          <w:rFonts w:ascii="Arial" w:hAnsi="Arial" w:cs="Arial"/>
          <w:bCs/>
          <w:lang w:val="es-ES_tradnl"/>
        </w:rPr>
        <w:t xml:space="preserve"> los efectos de sus sentencias </w:t>
      </w:r>
      <w:r w:rsidR="00415F3D" w:rsidRPr="00847234">
        <w:rPr>
          <w:rFonts w:ascii="Arial" w:hAnsi="Arial" w:cs="Arial"/>
          <w:bCs/>
          <w:lang w:val="es-ES_tradnl"/>
        </w:rPr>
        <w:t xml:space="preserve">consisten en </w:t>
      </w:r>
      <w:r w:rsidR="00496399" w:rsidRPr="00847234">
        <w:rPr>
          <w:rFonts w:ascii="Arial" w:hAnsi="Arial" w:cs="Arial"/>
          <w:bCs/>
          <w:lang w:val="es-ES_tradnl"/>
        </w:rPr>
        <w:t>la remediación del daño, riesgo o afectación medio ambiental</w:t>
      </w:r>
      <w:r w:rsidR="00E53EBE" w:rsidRPr="00847234">
        <w:rPr>
          <w:rFonts w:ascii="Arial" w:hAnsi="Arial" w:cs="Arial"/>
          <w:bCs/>
          <w:lang w:val="es-ES_tradnl"/>
        </w:rPr>
        <w:t>. Mi</w:t>
      </w:r>
      <w:r w:rsidR="00496399" w:rsidRPr="00847234">
        <w:rPr>
          <w:rFonts w:ascii="Arial" w:hAnsi="Arial" w:cs="Arial"/>
          <w:bCs/>
          <w:lang w:val="es-ES_tradnl"/>
        </w:rPr>
        <w:t xml:space="preserve">entras que en todos los casos en los cuales </w:t>
      </w:r>
      <w:r w:rsidR="00415F3D" w:rsidRPr="00847234">
        <w:rPr>
          <w:rFonts w:ascii="Arial" w:hAnsi="Arial" w:cs="Arial"/>
          <w:bCs/>
          <w:lang w:val="es-ES_tradnl"/>
        </w:rPr>
        <w:t xml:space="preserve">se ha descubierto la existencia de </w:t>
      </w:r>
      <w:r w:rsidR="00496399" w:rsidRPr="00847234">
        <w:rPr>
          <w:rFonts w:ascii="Arial" w:hAnsi="Arial" w:cs="Arial"/>
          <w:bCs/>
          <w:lang w:val="es-ES_tradnl"/>
        </w:rPr>
        <w:t xml:space="preserve">una violación a los principios económicos, el efecto ha </w:t>
      </w:r>
      <w:r w:rsidR="00562148" w:rsidRPr="00847234">
        <w:rPr>
          <w:rFonts w:ascii="Arial" w:hAnsi="Arial" w:cs="Arial"/>
          <w:bCs/>
          <w:lang w:val="es-ES_tradnl"/>
        </w:rPr>
        <w:t>sido la</w:t>
      </w:r>
      <w:r w:rsidR="00496399" w:rsidRPr="00847234">
        <w:rPr>
          <w:rFonts w:ascii="Arial" w:hAnsi="Arial" w:cs="Arial"/>
          <w:bCs/>
          <w:lang w:val="es-ES_tradnl"/>
        </w:rPr>
        <w:t xml:space="preserve"> expulsión o inaplicación de la ley</w:t>
      </w:r>
      <w:r w:rsidR="00166E59" w:rsidRPr="00847234">
        <w:rPr>
          <w:rFonts w:ascii="Arial" w:hAnsi="Arial" w:cs="Arial"/>
          <w:bCs/>
          <w:lang w:val="es-ES_tradnl"/>
        </w:rPr>
        <w:t xml:space="preserve"> y </w:t>
      </w:r>
      <w:r w:rsidR="00496399" w:rsidRPr="00847234">
        <w:rPr>
          <w:rFonts w:ascii="Arial" w:hAnsi="Arial" w:cs="Arial"/>
          <w:bCs/>
          <w:lang w:val="es-ES_tradnl"/>
        </w:rPr>
        <w:t>nunca la confección de alguna norma judicial para integrar el vacío normativ</w:t>
      </w:r>
      <w:r w:rsidR="00BC2FA7" w:rsidRPr="00847234">
        <w:rPr>
          <w:rFonts w:ascii="Arial" w:hAnsi="Arial" w:cs="Arial"/>
          <w:bCs/>
          <w:lang w:val="es-ES_tradnl"/>
        </w:rPr>
        <w:t>o</w:t>
      </w:r>
      <w:r w:rsidR="00C80CDF" w:rsidRPr="00847234">
        <w:rPr>
          <w:rFonts w:ascii="Arial" w:hAnsi="Arial" w:cs="Arial"/>
          <w:bCs/>
          <w:lang w:val="es-ES_tradnl"/>
        </w:rPr>
        <w:t xml:space="preserve">; </w:t>
      </w:r>
      <w:r w:rsidR="00562148" w:rsidRPr="00847234">
        <w:rPr>
          <w:rFonts w:ascii="Arial" w:hAnsi="Arial" w:cs="Arial"/>
          <w:bCs/>
          <w:lang w:val="es-ES_tradnl"/>
        </w:rPr>
        <w:t xml:space="preserve">hemos </w:t>
      </w:r>
      <w:r w:rsidR="00840A81" w:rsidRPr="00847234">
        <w:rPr>
          <w:rFonts w:ascii="Arial" w:hAnsi="Arial" w:cs="Arial"/>
          <w:bCs/>
          <w:lang w:val="es-ES_tradnl"/>
        </w:rPr>
        <w:t xml:space="preserve">afirmado </w:t>
      </w:r>
      <w:r w:rsidR="00496399" w:rsidRPr="00847234">
        <w:rPr>
          <w:rFonts w:ascii="Arial" w:hAnsi="Arial" w:cs="Arial"/>
          <w:bCs/>
          <w:lang w:val="es-ES_tradnl"/>
        </w:rPr>
        <w:t>que no corresponde a los jueces sustituirse en el legislador en esta materia.</w:t>
      </w:r>
      <w:r w:rsidR="00496399" w:rsidRPr="00847234">
        <w:rPr>
          <w:rStyle w:val="Refdenotaalpie"/>
          <w:rFonts w:ascii="Arial" w:hAnsi="Arial" w:cs="Arial"/>
          <w:bCs/>
          <w:lang w:val="es-ES_tradnl"/>
        </w:rPr>
        <w:footnoteReference w:id="34"/>
      </w:r>
    </w:p>
    <w:p w14:paraId="3AA31D64" w14:textId="77777777" w:rsidR="000A4AC3" w:rsidRPr="00847234" w:rsidRDefault="000A4AC3" w:rsidP="0075782F">
      <w:pPr>
        <w:spacing w:line="360" w:lineRule="auto"/>
        <w:jc w:val="both"/>
        <w:rPr>
          <w:rFonts w:ascii="Arial" w:hAnsi="Arial" w:cs="Arial"/>
          <w:bCs/>
          <w:lang w:val="es-ES_tradnl"/>
        </w:rPr>
      </w:pPr>
    </w:p>
    <w:p w14:paraId="50BE0640" w14:textId="1EAC7129" w:rsidR="000A4AC3" w:rsidRPr="00847234" w:rsidRDefault="000A4AC3" w:rsidP="0075782F">
      <w:pPr>
        <w:spacing w:line="360" w:lineRule="auto"/>
        <w:jc w:val="both"/>
        <w:rPr>
          <w:rFonts w:ascii="Arial" w:hAnsi="Arial" w:cs="Arial"/>
          <w:bCs/>
          <w:lang w:val="es-ES_tradnl"/>
        </w:rPr>
      </w:pPr>
      <w:r w:rsidRPr="00847234">
        <w:rPr>
          <w:rFonts w:ascii="Arial" w:hAnsi="Arial" w:cs="Arial"/>
          <w:bCs/>
          <w:lang w:val="es-ES_tradnl"/>
        </w:rPr>
        <w:lastRenderedPageBreak/>
        <w:t>Una vez explicad</w:t>
      </w:r>
      <w:r w:rsidR="002238D2" w:rsidRPr="00847234">
        <w:rPr>
          <w:rFonts w:ascii="Arial" w:hAnsi="Arial" w:cs="Arial"/>
          <w:bCs/>
          <w:lang w:val="es-ES_tradnl"/>
        </w:rPr>
        <w:t>as</w:t>
      </w:r>
      <w:r w:rsidRPr="00847234">
        <w:rPr>
          <w:rFonts w:ascii="Arial" w:hAnsi="Arial" w:cs="Arial"/>
          <w:bCs/>
          <w:lang w:val="es-ES_tradnl"/>
        </w:rPr>
        <w:t xml:space="preserve"> la metodología y la aproximación jurídica que -en mi opinión</w:t>
      </w:r>
      <w:r w:rsidR="003C417C" w:rsidRPr="00847234">
        <w:rPr>
          <w:rFonts w:ascii="Arial" w:hAnsi="Arial" w:cs="Arial"/>
          <w:bCs/>
          <w:lang w:val="es-ES_tradnl"/>
        </w:rPr>
        <w:t xml:space="preserve">- debió seguirse por el Pleno, corresponde exponer mis disidencias y concurrencias con la decisión adoptada por aquél. </w:t>
      </w:r>
    </w:p>
    <w:p w14:paraId="675A4D62" w14:textId="45D7AC32" w:rsidR="00C51375" w:rsidRPr="00847234" w:rsidRDefault="00C51375" w:rsidP="0075782F">
      <w:pPr>
        <w:spacing w:line="360" w:lineRule="auto"/>
        <w:jc w:val="both"/>
        <w:rPr>
          <w:rFonts w:ascii="Arial" w:hAnsi="Arial" w:cs="Arial"/>
          <w:bCs/>
          <w:lang w:val="es-ES_tradnl"/>
        </w:rPr>
      </w:pPr>
    </w:p>
    <w:p w14:paraId="54F0E7D4" w14:textId="404963FF" w:rsidR="00AC34FE" w:rsidRPr="00847234" w:rsidRDefault="00AC34FE" w:rsidP="00E6095B">
      <w:pPr>
        <w:spacing w:line="360" w:lineRule="auto"/>
        <w:jc w:val="both"/>
        <w:rPr>
          <w:rFonts w:ascii="Arial" w:hAnsi="Arial" w:cs="Arial"/>
          <w:bCs/>
          <w:lang w:val="es-ES_tradnl"/>
        </w:rPr>
      </w:pPr>
    </w:p>
    <w:p w14:paraId="26BFB3AE" w14:textId="6C0BAC45" w:rsidR="006F789E" w:rsidRPr="00A9402C" w:rsidRDefault="006F789E" w:rsidP="0075782F">
      <w:pPr>
        <w:spacing w:line="360" w:lineRule="auto"/>
        <w:jc w:val="center"/>
        <w:rPr>
          <w:rFonts w:ascii="Arial" w:hAnsi="Arial" w:cs="Arial"/>
          <w:b/>
          <w:lang w:val="es-ES_tradnl"/>
        </w:rPr>
      </w:pPr>
      <w:r w:rsidRPr="00A9402C">
        <w:rPr>
          <w:rFonts w:ascii="Arial" w:hAnsi="Arial" w:cs="Arial"/>
          <w:b/>
          <w:lang w:val="es-ES_tradnl"/>
        </w:rPr>
        <w:t>Voto concurrente respecto a la invalidez de los artículos</w:t>
      </w:r>
      <w:r w:rsidR="007620A5" w:rsidRPr="00A9402C">
        <w:rPr>
          <w:rFonts w:ascii="Arial" w:hAnsi="Arial" w:cs="Arial"/>
          <w:b/>
          <w:lang w:val="es-ES_tradnl"/>
        </w:rPr>
        <w:t xml:space="preserve"> 4, fracción VI, 26 y 126, fracción de la Ley Impugnada (apartado A y C)</w:t>
      </w:r>
    </w:p>
    <w:p w14:paraId="16851C33" w14:textId="77777777" w:rsidR="00AC34FE" w:rsidRPr="00847234" w:rsidRDefault="00AC34FE" w:rsidP="008B0128">
      <w:pPr>
        <w:spacing w:line="360" w:lineRule="auto"/>
        <w:jc w:val="both"/>
        <w:rPr>
          <w:rFonts w:ascii="Arial" w:hAnsi="Arial" w:cs="Arial"/>
          <w:bCs/>
          <w:lang w:val="es-ES_tradnl"/>
        </w:rPr>
      </w:pPr>
    </w:p>
    <w:p w14:paraId="50A0F8BD" w14:textId="6F8C50F3" w:rsidR="00BB4563" w:rsidRPr="00847234" w:rsidRDefault="00BB4563" w:rsidP="008B0128">
      <w:pPr>
        <w:spacing w:line="360" w:lineRule="auto"/>
        <w:jc w:val="both"/>
        <w:rPr>
          <w:rFonts w:ascii="Arial" w:hAnsi="Arial" w:cs="Arial"/>
          <w:bCs/>
          <w:lang w:val="es-ES_tradnl"/>
        </w:rPr>
      </w:pPr>
      <w:r w:rsidRPr="00847234">
        <w:rPr>
          <w:rFonts w:ascii="Arial" w:hAnsi="Arial" w:cs="Arial"/>
          <w:bCs/>
          <w:lang w:val="es-ES_tradnl"/>
        </w:rPr>
        <w:t xml:space="preserve">La mayoría de los integrantes de este Pleno estimó que los artículos 4, fracción VI, 26 y 126, fracción II, entre otros igualmente relacionados, de la Ley de la </w:t>
      </w:r>
      <w:r w:rsidR="001C246D">
        <w:rPr>
          <w:rFonts w:ascii="Arial" w:hAnsi="Arial" w:cs="Arial"/>
          <w:bCs/>
          <w:lang w:val="es-ES_tradnl"/>
        </w:rPr>
        <w:t>I</w:t>
      </w:r>
      <w:r w:rsidRPr="00847234">
        <w:rPr>
          <w:rFonts w:ascii="Arial" w:hAnsi="Arial" w:cs="Arial"/>
          <w:bCs/>
          <w:lang w:val="es-ES_tradnl"/>
        </w:rPr>
        <w:t xml:space="preserve">ndustria Eléctrica era inconstitucionales por vulnerar los principios de libre competencia y concurrencia, contenido en el artículo 28 constitucional. Las razones variaron, </w:t>
      </w:r>
      <w:r w:rsidR="00B47E8B" w:rsidRPr="00847234">
        <w:rPr>
          <w:rFonts w:ascii="Arial" w:hAnsi="Arial" w:cs="Arial"/>
          <w:bCs/>
          <w:lang w:val="es-ES_tradnl"/>
        </w:rPr>
        <w:t xml:space="preserve">aunque </w:t>
      </w:r>
      <w:r w:rsidRPr="00847234">
        <w:rPr>
          <w:rFonts w:ascii="Arial" w:hAnsi="Arial" w:cs="Arial"/>
          <w:bCs/>
          <w:lang w:val="es-ES_tradnl"/>
        </w:rPr>
        <w:t xml:space="preserve">coincidieron </w:t>
      </w:r>
      <w:r w:rsidR="00E54070" w:rsidRPr="00847234">
        <w:rPr>
          <w:rFonts w:ascii="Arial" w:hAnsi="Arial" w:cs="Arial"/>
          <w:bCs/>
          <w:lang w:val="es-ES_tradnl"/>
        </w:rPr>
        <w:t xml:space="preserve">sustancialmente en la conclusión </w:t>
      </w:r>
      <w:r w:rsidR="00FB15F0" w:rsidRPr="00847234">
        <w:rPr>
          <w:rFonts w:ascii="Arial" w:hAnsi="Arial" w:cs="Arial"/>
          <w:bCs/>
          <w:lang w:val="es-ES_tradnl"/>
        </w:rPr>
        <w:t xml:space="preserve">de </w:t>
      </w:r>
      <w:r w:rsidRPr="00847234">
        <w:rPr>
          <w:rFonts w:ascii="Arial" w:hAnsi="Arial" w:cs="Arial"/>
          <w:bCs/>
          <w:lang w:val="es-ES_tradnl"/>
        </w:rPr>
        <w:t>que las disposiciones impugnadas son irregulares por</w:t>
      </w:r>
      <w:r w:rsidR="00FA60BA" w:rsidRPr="00847234">
        <w:rPr>
          <w:rFonts w:ascii="Arial" w:hAnsi="Arial" w:cs="Arial"/>
          <w:bCs/>
          <w:lang w:val="es-ES_tradnl"/>
        </w:rPr>
        <w:t>que</w:t>
      </w:r>
      <w:r w:rsidRPr="00847234">
        <w:rPr>
          <w:rFonts w:ascii="Arial" w:hAnsi="Arial" w:cs="Arial"/>
          <w:bCs/>
          <w:lang w:val="es-ES_tradnl"/>
        </w:rPr>
        <w:t xml:space="preserve"> implica</w:t>
      </w:r>
      <w:r w:rsidR="00FA60BA" w:rsidRPr="00847234">
        <w:rPr>
          <w:rFonts w:ascii="Arial" w:hAnsi="Arial" w:cs="Arial"/>
          <w:bCs/>
          <w:lang w:val="es-ES_tradnl"/>
        </w:rPr>
        <w:t xml:space="preserve">n </w:t>
      </w:r>
      <w:r w:rsidRPr="00847234">
        <w:rPr>
          <w:rFonts w:ascii="Arial" w:hAnsi="Arial" w:cs="Arial"/>
          <w:bCs/>
          <w:lang w:val="es-ES_tradnl"/>
        </w:rPr>
        <w:t>un retroceso en las condiciones de competencia económica</w:t>
      </w:r>
      <w:r w:rsidR="00B47E8B" w:rsidRPr="00847234">
        <w:rPr>
          <w:rFonts w:ascii="Arial" w:hAnsi="Arial" w:cs="Arial"/>
          <w:bCs/>
          <w:lang w:val="es-ES_tradnl"/>
        </w:rPr>
        <w:t xml:space="preserve"> </w:t>
      </w:r>
      <w:r w:rsidR="00360211" w:rsidRPr="00847234">
        <w:rPr>
          <w:rFonts w:ascii="Arial" w:hAnsi="Arial" w:cs="Arial"/>
          <w:bCs/>
          <w:lang w:val="es-ES_tradnl"/>
        </w:rPr>
        <w:t xml:space="preserve">entre quienes participan en el mercado.  </w:t>
      </w:r>
      <w:r w:rsidR="00FA60BA" w:rsidRPr="00847234">
        <w:rPr>
          <w:rFonts w:ascii="Arial" w:hAnsi="Arial" w:cs="Arial"/>
          <w:bCs/>
          <w:lang w:val="es-ES_tradnl"/>
        </w:rPr>
        <w:t xml:space="preserve"> </w:t>
      </w:r>
    </w:p>
    <w:p w14:paraId="41404962" w14:textId="77777777" w:rsidR="00BB4563" w:rsidRPr="00847234" w:rsidRDefault="00BB4563" w:rsidP="008B0128">
      <w:pPr>
        <w:spacing w:line="360" w:lineRule="auto"/>
        <w:jc w:val="both"/>
        <w:rPr>
          <w:rFonts w:ascii="Arial" w:hAnsi="Arial" w:cs="Arial"/>
          <w:bCs/>
          <w:lang w:val="es-ES_tradnl"/>
        </w:rPr>
      </w:pPr>
    </w:p>
    <w:p w14:paraId="1F5CB91B" w14:textId="7769C4A1" w:rsidR="0082496E" w:rsidRPr="00847234" w:rsidRDefault="00AE6882" w:rsidP="008B0128">
      <w:pPr>
        <w:spacing w:line="360" w:lineRule="auto"/>
        <w:jc w:val="both"/>
        <w:rPr>
          <w:rFonts w:ascii="Arial" w:hAnsi="Arial" w:cs="Arial"/>
          <w:bCs/>
          <w:lang w:val="es-ES_tradnl"/>
        </w:rPr>
      </w:pPr>
      <w:r w:rsidRPr="00847234">
        <w:rPr>
          <w:rFonts w:ascii="Arial" w:hAnsi="Arial" w:cs="Arial"/>
          <w:bCs/>
          <w:lang w:val="es-ES_tradnl"/>
        </w:rPr>
        <w:t xml:space="preserve">Estoy </w:t>
      </w:r>
      <w:r w:rsidR="00AD14EB" w:rsidRPr="00847234">
        <w:rPr>
          <w:rFonts w:ascii="Arial" w:hAnsi="Arial" w:cs="Arial"/>
          <w:bCs/>
          <w:lang w:val="es-ES_tradnl"/>
        </w:rPr>
        <w:t xml:space="preserve">de acuerdo con la invalidez de </w:t>
      </w:r>
      <w:r w:rsidR="00F73BDC" w:rsidRPr="00847234">
        <w:rPr>
          <w:rFonts w:ascii="Arial" w:hAnsi="Arial" w:cs="Arial"/>
          <w:bCs/>
          <w:lang w:val="es-ES_tradnl"/>
        </w:rPr>
        <w:t xml:space="preserve">los </w:t>
      </w:r>
      <w:r w:rsidR="00F73BDC" w:rsidRPr="00847234">
        <w:rPr>
          <w:rFonts w:ascii="Arial" w:hAnsi="Arial" w:cs="Arial"/>
          <w:bCs/>
        </w:rPr>
        <w:t>artículos 4, fracción VI, 26 y 126, fracción II</w:t>
      </w:r>
      <w:r w:rsidRPr="00847234">
        <w:rPr>
          <w:rFonts w:ascii="Arial" w:hAnsi="Arial" w:cs="Arial"/>
          <w:bCs/>
        </w:rPr>
        <w:t>,</w:t>
      </w:r>
      <w:r w:rsidR="00F73BDC" w:rsidRPr="00847234">
        <w:rPr>
          <w:rFonts w:ascii="Arial" w:hAnsi="Arial" w:cs="Arial"/>
          <w:bCs/>
        </w:rPr>
        <w:t xml:space="preserve"> de la Ley de la Industria Eléctrica</w:t>
      </w:r>
      <w:r w:rsidR="00AD14EB" w:rsidRPr="00847234">
        <w:rPr>
          <w:rFonts w:ascii="Arial" w:hAnsi="Arial" w:cs="Arial"/>
          <w:bCs/>
        </w:rPr>
        <w:t xml:space="preserve">. Sin embargo, </w:t>
      </w:r>
      <w:r w:rsidR="00A959E9" w:rsidRPr="00847234">
        <w:rPr>
          <w:rFonts w:ascii="Arial" w:hAnsi="Arial" w:cs="Arial"/>
          <w:bCs/>
        </w:rPr>
        <w:t xml:space="preserve">mis razones son </w:t>
      </w:r>
      <w:r w:rsidR="00AD14EB" w:rsidRPr="00847234">
        <w:rPr>
          <w:rFonts w:ascii="Arial" w:hAnsi="Arial" w:cs="Arial"/>
          <w:bCs/>
        </w:rPr>
        <w:t>diferente</w:t>
      </w:r>
      <w:r w:rsidR="00A959E9" w:rsidRPr="00847234">
        <w:rPr>
          <w:rFonts w:ascii="Arial" w:hAnsi="Arial" w:cs="Arial"/>
          <w:bCs/>
        </w:rPr>
        <w:t>s</w:t>
      </w:r>
      <w:r w:rsidR="00AD14EB" w:rsidRPr="00847234">
        <w:rPr>
          <w:rFonts w:ascii="Arial" w:hAnsi="Arial" w:cs="Arial"/>
          <w:bCs/>
        </w:rPr>
        <w:t xml:space="preserve">. No </w:t>
      </w:r>
      <w:r w:rsidR="00A959E9" w:rsidRPr="00847234">
        <w:rPr>
          <w:rFonts w:ascii="Arial" w:hAnsi="Arial" w:cs="Arial"/>
          <w:bCs/>
        </w:rPr>
        <w:t xml:space="preserve">observo </w:t>
      </w:r>
      <w:r w:rsidR="00AD14EB" w:rsidRPr="00847234">
        <w:rPr>
          <w:rFonts w:ascii="Arial" w:hAnsi="Arial" w:cs="Arial"/>
          <w:bCs/>
        </w:rPr>
        <w:t>violación alguna a</w:t>
      </w:r>
      <w:r w:rsidR="00722414" w:rsidRPr="00847234">
        <w:rPr>
          <w:rFonts w:ascii="Arial" w:hAnsi="Arial" w:cs="Arial"/>
          <w:bCs/>
        </w:rPr>
        <w:t xml:space="preserve"> los </w:t>
      </w:r>
      <w:r w:rsidR="00AD14EB" w:rsidRPr="00847234">
        <w:rPr>
          <w:rFonts w:ascii="Arial" w:hAnsi="Arial" w:cs="Arial"/>
          <w:bCs/>
        </w:rPr>
        <w:t>principio</w:t>
      </w:r>
      <w:r w:rsidR="00722414" w:rsidRPr="00847234">
        <w:rPr>
          <w:rFonts w:ascii="Arial" w:hAnsi="Arial" w:cs="Arial"/>
          <w:bCs/>
        </w:rPr>
        <w:t xml:space="preserve">s de libre competencia y </w:t>
      </w:r>
      <w:r w:rsidR="00502CBF" w:rsidRPr="00847234">
        <w:rPr>
          <w:rFonts w:ascii="Arial" w:hAnsi="Arial" w:cs="Arial"/>
          <w:bCs/>
        </w:rPr>
        <w:t>concurrencia</w:t>
      </w:r>
      <w:r w:rsidR="006C1BA3" w:rsidRPr="00847234">
        <w:rPr>
          <w:rFonts w:ascii="Arial" w:hAnsi="Arial" w:cs="Arial"/>
          <w:bCs/>
        </w:rPr>
        <w:t>,</w:t>
      </w:r>
      <w:r w:rsidR="00F73BDC" w:rsidRPr="00847234">
        <w:rPr>
          <w:rFonts w:ascii="Arial" w:hAnsi="Arial" w:cs="Arial"/>
          <w:bCs/>
        </w:rPr>
        <w:t xml:space="preserve"> </w:t>
      </w:r>
      <w:r w:rsidR="006C1BA3" w:rsidRPr="00847234">
        <w:rPr>
          <w:rFonts w:ascii="Arial" w:hAnsi="Arial" w:cs="Arial"/>
          <w:bCs/>
        </w:rPr>
        <w:t xml:space="preserve">sino </w:t>
      </w:r>
      <w:r w:rsidR="00AF436A" w:rsidRPr="00847234">
        <w:rPr>
          <w:rFonts w:ascii="Arial" w:hAnsi="Arial" w:cs="Arial"/>
          <w:bCs/>
        </w:rPr>
        <w:t xml:space="preserve">una </w:t>
      </w:r>
      <w:r w:rsidR="00AF436A" w:rsidRPr="00847234">
        <w:rPr>
          <w:rFonts w:ascii="Arial" w:hAnsi="Arial" w:cs="Arial"/>
          <w:bCs/>
          <w:lang w:val="es-ES_tradnl"/>
        </w:rPr>
        <w:t>vulneración</w:t>
      </w:r>
      <w:r w:rsidR="00AC34FE" w:rsidRPr="00847234">
        <w:rPr>
          <w:rFonts w:ascii="Arial" w:hAnsi="Arial" w:cs="Arial"/>
          <w:bCs/>
          <w:lang w:val="es-ES_tradnl"/>
        </w:rPr>
        <w:t xml:space="preserve"> </w:t>
      </w:r>
      <w:r w:rsidR="00F73BDC" w:rsidRPr="00847234">
        <w:rPr>
          <w:rFonts w:ascii="Arial" w:hAnsi="Arial" w:cs="Arial"/>
          <w:bCs/>
          <w:lang w:val="es-ES_tradnl"/>
        </w:rPr>
        <w:t>a</w:t>
      </w:r>
      <w:r w:rsidR="00AC34FE" w:rsidRPr="00847234">
        <w:rPr>
          <w:rFonts w:ascii="Arial" w:hAnsi="Arial" w:cs="Arial"/>
          <w:bCs/>
          <w:lang w:val="es-ES_tradnl"/>
        </w:rPr>
        <w:t>l derecho humano al medio ambiente</w:t>
      </w:r>
      <w:r w:rsidR="00F73BDC" w:rsidRPr="00847234">
        <w:rPr>
          <w:rFonts w:ascii="Arial" w:hAnsi="Arial" w:cs="Arial"/>
          <w:bCs/>
          <w:lang w:val="es-ES_tradnl"/>
        </w:rPr>
        <w:t>.</w:t>
      </w:r>
      <w:r w:rsidR="00AC34FE" w:rsidRPr="00847234">
        <w:rPr>
          <w:rFonts w:ascii="Arial" w:hAnsi="Arial" w:cs="Arial"/>
          <w:bCs/>
          <w:lang w:val="es-ES_tradnl"/>
        </w:rPr>
        <w:t xml:space="preserve"> </w:t>
      </w:r>
      <w:r w:rsidR="00216EDA" w:rsidRPr="00847234">
        <w:rPr>
          <w:rFonts w:ascii="Arial" w:hAnsi="Arial" w:cs="Arial"/>
          <w:bCs/>
          <w:lang w:val="es-ES_tradnl"/>
        </w:rPr>
        <w:t xml:space="preserve">Mi desacuerdo se basa en las razones que ya he expuesto: </w:t>
      </w:r>
      <w:r w:rsidR="00216EDA" w:rsidRPr="00387FF4">
        <w:rPr>
          <w:rFonts w:ascii="Arial" w:hAnsi="Arial" w:cs="Arial"/>
          <w:bCs/>
          <w:lang w:val="es-ES_tradnl"/>
        </w:rPr>
        <w:t xml:space="preserve">1) </w:t>
      </w:r>
      <w:r w:rsidR="005A08A2" w:rsidRPr="00387FF4">
        <w:rPr>
          <w:rFonts w:ascii="Arial" w:hAnsi="Arial" w:cs="Arial"/>
          <w:bCs/>
          <w:lang w:val="es-ES_tradnl"/>
        </w:rPr>
        <w:t>la mayoría</w:t>
      </w:r>
      <w:r w:rsidR="00520557" w:rsidRPr="00387FF4">
        <w:rPr>
          <w:rFonts w:ascii="Arial" w:hAnsi="Arial" w:cs="Arial"/>
          <w:bCs/>
          <w:lang w:val="es-ES_tradnl"/>
        </w:rPr>
        <w:t xml:space="preserve"> diluye el parámetro de contr</w:t>
      </w:r>
      <w:r w:rsidR="00EE4527" w:rsidRPr="00387FF4">
        <w:rPr>
          <w:rFonts w:ascii="Arial" w:hAnsi="Arial" w:cs="Arial"/>
          <w:bCs/>
          <w:lang w:val="es-ES_tradnl"/>
        </w:rPr>
        <w:t xml:space="preserve">ol </w:t>
      </w:r>
      <w:r w:rsidR="009E391E" w:rsidRPr="00387FF4">
        <w:rPr>
          <w:rFonts w:ascii="Arial" w:hAnsi="Arial" w:cs="Arial"/>
          <w:bCs/>
          <w:lang w:val="es-ES_tradnl"/>
        </w:rPr>
        <w:t xml:space="preserve">cuando </w:t>
      </w:r>
      <w:r w:rsidR="00520557" w:rsidRPr="00387FF4">
        <w:rPr>
          <w:rFonts w:ascii="Arial" w:hAnsi="Arial" w:cs="Arial"/>
          <w:bCs/>
          <w:lang w:val="es-ES_tradnl"/>
        </w:rPr>
        <w:t>filtra</w:t>
      </w:r>
      <w:r w:rsidR="00EE4527" w:rsidRPr="00387FF4">
        <w:rPr>
          <w:rFonts w:ascii="Arial" w:hAnsi="Arial" w:cs="Arial"/>
          <w:bCs/>
          <w:lang w:val="es-ES_tradnl"/>
        </w:rPr>
        <w:t xml:space="preserve"> </w:t>
      </w:r>
      <w:r w:rsidR="00520557" w:rsidRPr="00387FF4">
        <w:rPr>
          <w:rFonts w:ascii="Arial" w:hAnsi="Arial" w:cs="Arial"/>
          <w:bCs/>
          <w:lang w:val="es-ES_tradnl"/>
        </w:rPr>
        <w:t>su preferencia legislativa de un modelo sobre otro</w:t>
      </w:r>
      <w:r w:rsidR="00292781" w:rsidRPr="00387FF4">
        <w:rPr>
          <w:rFonts w:ascii="Arial" w:hAnsi="Arial" w:cs="Arial"/>
          <w:bCs/>
          <w:lang w:val="es-ES_tradnl"/>
        </w:rPr>
        <w:t xml:space="preserve">, </w:t>
      </w:r>
      <w:r w:rsidR="008A7E53" w:rsidRPr="00387FF4">
        <w:rPr>
          <w:rFonts w:ascii="Arial" w:hAnsi="Arial" w:cs="Arial"/>
          <w:bCs/>
          <w:lang w:val="es-ES_tradnl"/>
        </w:rPr>
        <w:t xml:space="preserve">contrasta </w:t>
      </w:r>
      <w:r w:rsidR="005A08A2" w:rsidRPr="00387FF4">
        <w:rPr>
          <w:rFonts w:ascii="Arial" w:hAnsi="Arial" w:cs="Arial"/>
          <w:bCs/>
          <w:lang w:val="es-ES_tradnl"/>
        </w:rPr>
        <w:t>el régimen anterior con el actual</w:t>
      </w:r>
      <w:r w:rsidR="00292781" w:rsidRPr="00387FF4">
        <w:rPr>
          <w:rFonts w:ascii="Arial" w:hAnsi="Arial" w:cs="Arial"/>
          <w:bCs/>
          <w:lang w:val="es-ES_tradnl"/>
        </w:rPr>
        <w:t xml:space="preserve"> y</w:t>
      </w:r>
      <w:r w:rsidR="005A08A2" w:rsidRPr="00387FF4">
        <w:rPr>
          <w:rFonts w:ascii="Arial" w:hAnsi="Arial" w:cs="Arial"/>
          <w:bCs/>
          <w:lang w:val="es-ES_tradnl"/>
        </w:rPr>
        <w:t xml:space="preserve"> formula una pregunta ajena a este medio de control constitucional: ¿Cuál de las dos </w:t>
      </w:r>
      <w:r w:rsidR="00360211" w:rsidRPr="00387FF4">
        <w:rPr>
          <w:rFonts w:ascii="Arial" w:hAnsi="Arial" w:cs="Arial"/>
          <w:bCs/>
          <w:lang w:val="es-ES_tradnl"/>
        </w:rPr>
        <w:t xml:space="preserve">legislaciones </w:t>
      </w:r>
      <w:r w:rsidR="00632563" w:rsidRPr="00387FF4">
        <w:rPr>
          <w:rFonts w:ascii="Arial" w:hAnsi="Arial" w:cs="Arial"/>
          <w:bCs/>
          <w:lang w:val="es-ES_tradnl"/>
        </w:rPr>
        <w:t>es más favorable para la competencia económica?</w:t>
      </w:r>
      <w:r w:rsidR="0082496E" w:rsidRPr="00387FF4">
        <w:rPr>
          <w:rFonts w:ascii="Arial" w:hAnsi="Arial" w:cs="Arial"/>
          <w:bCs/>
          <w:lang w:val="es-ES_tradnl"/>
        </w:rPr>
        <w:t xml:space="preserve">, </w:t>
      </w:r>
      <w:r w:rsidR="00703B80" w:rsidRPr="00AF61D1">
        <w:rPr>
          <w:rFonts w:ascii="Arial" w:hAnsi="Arial" w:cs="Arial"/>
          <w:bCs/>
          <w:lang w:val="es-ES_tradnl"/>
        </w:rPr>
        <w:t>lo que es más bien una pr</w:t>
      </w:r>
      <w:r w:rsidR="00292781" w:rsidRPr="00AF61D1">
        <w:rPr>
          <w:rFonts w:ascii="Arial" w:hAnsi="Arial" w:cs="Arial"/>
          <w:bCs/>
          <w:lang w:val="es-ES_tradnl"/>
        </w:rPr>
        <w:t xml:space="preserve">oblema de </w:t>
      </w:r>
      <w:r w:rsidR="00520557" w:rsidRPr="00AF61D1">
        <w:rPr>
          <w:rFonts w:ascii="Arial" w:hAnsi="Arial" w:cs="Arial"/>
          <w:bCs/>
          <w:lang w:val="es-ES_tradnl"/>
        </w:rPr>
        <w:t>política</w:t>
      </w:r>
      <w:r w:rsidR="00703B80" w:rsidRPr="00AF61D1">
        <w:rPr>
          <w:rFonts w:ascii="Arial" w:hAnsi="Arial" w:cs="Arial"/>
          <w:bCs/>
          <w:lang w:val="es-ES_tradnl"/>
        </w:rPr>
        <w:t xml:space="preserve"> de pública </w:t>
      </w:r>
      <w:r w:rsidR="00520557" w:rsidRPr="00AF61D1">
        <w:rPr>
          <w:rFonts w:ascii="Arial" w:hAnsi="Arial" w:cs="Arial"/>
          <w:bCs/>
          <w:lang w:val="es-ES_tradnl"/>
        </w:rPr>
        <w:t>y no de derecho constitucional</w:t>
      </w:r>
      <w:r w:rsidR="00372DC4" w:rsidRPr="00AF61D1">
        <w:rPr>
          <w:rFonts w:ascii="Arial" w:hAnsi="Arial" w:cs="Arial"/>
          <w:bCs/>
          <w:lang w:val="es-ES_tradnl"/>
        </w:rPr>
        <w:t xml:space="preserve">, </w:t>
      </w:r>
      <w:r w:rsidR="0082496E" w:rsidRPr="00AF61D1">
        <w:rPr>
          <w:rFonts w:ascii="Arial" w:hAnsi="Arial" w:cs="Arial"/>
          <w:bCs/>
          <w:lang w:val="es-ES_tradnl"/>
        </w:rPr>
        <w:t>y</w:t>
      </w:r>
      <w:r w:rsidR="00632563" w:rsidRPr="00AF61D1">
        <w:rPr>
          <w:rFonts w:ascii="Arial" w:hAnsi="Arial" w:cs="Arial"/>
          <w:bCs/>
          <w:lang w:val="es-ES_tradnl"/>
        </w:rPr>
        <w:t xml:space="preserve"> 2) </w:t>
      </w:r>
      <w:r w:rsidR="00AE2E18" w:rsidRPr="00AF61D1">
        <w:rPr>
          <w:rFonts w:ascii="Arial" w:hAnsi="Arial" w:cs="Arial"/>
          <w:bCs/>
          <w:lang w:val="es-ES_tradnl"/>
        </w:rPr>
        <w:t>el escrutinio apropiado para supervisar la legislación desde la competencia y concurrencia económica es el ordinario</w:t>
      </w:r>
      <w:r w:rsidR="00491818" w:rsidRPr="00AF61D1">
        <w:rPr>
          <w:rFonts w:ascii="Arial" w:hAnsi="Arial" w:cs="Arial"/>
          <w:bCs/>
          <w:lang w:val="es-ES_tradnl"/>
        </w:rPr>
        <w:t xml:space="preserve">. Ya he dicho que las decisiones sobre política pública </w:t>
      </w:r>
      <w:r w:rsidR="00CC10BA" w:rsidRPr="00AF61D1">
        <w:rPr>
          <w:rFonts w:ascii="Arial" w:hAnsi="Arial" w:cs="Arial"/>
          <w:bCs/>
          <w:lang w:val="es-ES_tradnl"/>
        </w:rPr>
        <w:t xml:space="preserve">-el modelo económico entre ellas- </w:t>
      </w:r>
      <w:r w:rsidR="008C304A" w:rsidRPr="00AF61D1">
        <w:rPr>
          <w:rFonts w:ascii="Arial" w:hAnsi="Arial" w:cs="Arial"/>
          <w:bCs/>
          <w:lang w:val="es-ES_tradnl"/>
        </w:rPr>
        <w:t>amplían la deferenci</w:t>
      </w:r>
      <w:r w:rsidR="00CC10BA" w:rsidRPr="00AF61D1">
        <w:rPr>
          <w:rFonts w:ascii="Arial" w:hAnsi="Arial" w:cs="Arial"/>
          <w:bCs/>
          <w:lang w:val="es-ES_tradnl"/>
        </w:rPr>
        <w:t>a que el tribunal constitucional debe al legislador</w:t>
      </w:r>
      <w:r w:rsidR="00133325">
        <w:rPr>
          <w:rFonts w:ascii="Arial" w:hAnsi="Arial" w:cs="Arial"/>
          <w:bCs/>
          <w:lang w:val="es-ES_tradnl"/>
        </w:rPr>
        <w:t xml:space="preserve">. </w:t>
      </w:r>
      <w:r w:rsidR="0082496E" w:rsidRPr="00AF61D1">
        <w:rPr>
          <w:rFonts w:ascii="Arial" w:hAnsi="Arial" w:cs="Arial"/>
          <w:bCs/>
          <w:lang w:val="es-ES_tradnl"/>
        </w:rPr>
        <w:t>Desarrollo ahora mi posición con detalle.</w:t>
      </w:r>
      <w:r w:rsidR="0082496E" w:rsidRPr="00847234">
        <w:rPr>
          <w:rFonts w:ascii="Arial" w:hAnsi="Arial" w:cs="Arial"/>
          <w:bCs/>
          <w:lang w:val="es-ES_tradnl"/>
        </w:rPr>
        <w:t xml:space="preserve"> </w:t>
      </w:r>
    </w:p>
    <w:p w14:paraId="4F89D7CA" w14:textId="77777777" w:rsidR="00F73BDC" w:rsidRPr="00847234" w:rsidRDefault="00F73BDC" w:rsidP="008B0128">
      <w:pPr>
        <w:spacing w:line="360" w:lineRule="auto"/>
        <w:jc w:val="both"/>
        <w:rPr>
          <w:rFonts w:ascii="Arial" w:hAnsi="Arial" w:cs="Arial"/>
          <w:bCs/>
          <w:strike/>
          <w:lang w:val="es-ES_tradnl"/>
        </w:rPr>
      </w:pPr>
    </w:p>
    <w:p w14:paraId="272893FF" w14:textId="101E952E" w:rsidR="008B0128" w:rsidRPr="00A9402C" w:rsidRDefault="008B0128" w:rsidP="008B0128">
      <w:pPr>
        <w:spacing w:line="360" w:lineRule="auto"/>
        <w:jc w:val="both"/>
        <w:rPr>
          <w:rFonts w:ascii="Arial" w:hAnsi="Arial" w:cs="Arial"/>
          <w:b/>
          <w:i/>
          <w:iCs/>
          <w:lang w:val="es-ES_tradnl"/>
        </w:rPr>
      </w:pPr>
      <w:r w:rsidRPr="00A9402C">
        <w:rPr>
          <w:rFonts w:ascii="Arial" w:hAnsi="Arial" w:cs="Arial"/>
          <w:b/>
          <w:i/>
          <w:iCs/>
          <w:lang w:val="es-ES_tradnl"/>
        </w:rPr>
        <w:t>¿</w:t>
      </w:r>
      <w:r w:rsidR="008B341B" w:rsidRPr="00A9402C">
        <w:rPr>
          <w:rFonts w:ascii="Arial" w:hAnsi="Arial" w:cs="Arial"/>
          <w:b/>
          <w:i/>
          <w:iCs/>
          <w:lang w:val="es-ES_tradnl"/>
        </w:rPr>
        <w:t>El circuito</w:t>
      </w:r>
      <w:r w:rsidR="00F73BDC" w:rsidRPr="00A9402C">
        <w:rPr>
          <w:rFonts w:ascii="Arial" w:hAnsi="Arial" w:cs="Arial"/>
          <w:b/>
          <w:i/>
          <w:iCs/>
          <w:lang w:val="es-ES_tradnl"/>
        </w:rPr>
        <w:t xml:space="preserve"> normativo </w:t>
      </w:r>
      <w:r w:rsidRPr="00A9402C">
        <w:rPr>
          <w:rFonts w:ascii="Arial" w:hAnsi="Arial" w:cs="Arial"/>
          <w:b/>
          <w:i/>
          <w:iCs/>
          <w:lang w:val="es-ES_tradnl"/>
        </w:rPr>
        <w:t>viola los artículos 25, 27 y 28 constitucionales?</w:t>
      </w:r>
    </w:p>
    <w:p w14:paraId="5AC2765A" w14:textId="77777777" w:rsidR="008B0128" w:rsidRPr="00A9402C" w:rsidRDefault="008B0128" w:rsidP="008B0128">
      <w:pPr>
        <w:spacing w:line="360" w:lineRule="auto"/>
        <w:jc w:val="both"/>
        <w:rPr>
          <w:rFonts w:ascii="Arial" w:hAnsi="Arial" w:cs="Arial"/>
          <w:b/>
          <w:lang w:val="es-ES_tradnl"/>
        </w:rPr>
      </w:pPr>
    </w:p>
    <w:p w14:paraId="04503384" w14:textId="77777777" w:rsidR="00EC07C7" w:rsidRDefault="008B341B" w:rsidP="008B0128">
      <w:pPr>
        <w:spacing w:line="360" w:lineRule="auto"/>
        <w:jc w:val="both"/>
        <w:rPr>
          <w:rFonts w:ascii="Arial" w:hAnsi="Arial" w:cs="Arial"/>
          <w:bCs/>
          <w:lang w:val="es-ES_tradnl"/>
        </w:rPr>
      </w:pPr>
      <w:r w:rsidRPr="00847234">
        <w:rPr>
          <w:rFonts w:ascii="Arial" w:hAnsi="Arial" w:cs="Arial"/>
          <w:bCs/>
          <w:lang w:val="es-ES_tradnl"/>
        </w:rPr>
        <w:t xml:space="preserve">En este caso, el </w:t>
      </w:r>
      <w:r w:rsidR="00433D53" w:rsidRPr="00847234">
        <w:rPr>
          <w:rFonts w:ascii="Arial" w:hAnsi="Arial" w:cs="Arial"/>
          <w:bCs/>
          <w:lang w:val="es-ES_tradnl"/>
        </w:rPr>
        <w:t>parámetro de control</w:t>
      </w:r>
      <w:r w:rsidR="008B0128" w:rsidRPr="00847234">
        <w:rPr>
          <w:rFonts w:ascii="Arial" w:hAnsi="Arial" w:cs="Arial"/>
          <w:bCs/>
          <w:lang w:val="es-ES_tradnl"/>
        </w:rPr>
        <w:t xml:space="preserve"> debe integrarse con las normas introducidas por la reforma constitucional de </w:t>
      </w:r>
      <w:r w:rsidR="004D3BC1" w:rsidRPr="00847234">
        <w:rPr>
          <w:rFonts w:ascii="Arial" w:hAnsi="Arial" w:cs="Arial"/>
          <w:bCs/>
          <w:lang w:val="es-ES_tradnl"/>
        </w:rPr>
        <w:t xml:space="preserve">2013 </w:t>
      </w:r>
      <w:r w:rsidR="008B0128" w:rsidRPr="00847234">
        <w:rPr>
          <w:rFonts w:ascii="Arial" w:hAnsi="Arial" w:cs="Arial"/>
          <w:bCs/>
          <w:lang w:val="es-ES_tradnl"/>
        </w:rPr>
        <w:t xml:space="preserve">que abrieron la generación de energía eléctrica a los particulares, </w:t>
      </w:r>
      <w:r w:rsidRPr="00847234">
        <w:rPr>
          <w:rFonts w:ascii="Arial" w:hAnsi="Arial" w:cs="Arial"/>
          <w:bCs/>
          <w:lang w:val="es-ES_tradnl"/>
        </w:rPr>
        <w:t xml:space="preserve">lo que incluye </w:t>
      </w:r>
      <w:r w:rsidR="008B0128" w:rsidRPr="00847234">
        <w:rPr>
          <w:rFonts w:ascii="Arial" w:hAnsi="Arial" w:cs="Arial"/>
          <w:bCs/>
          <w:lang w:val="es-ES_tradnl"/>
        </w:rPr>
        <w:t xml:space="preserve">todos los preceptos transitorios que </w:t>
      </w:r>
      <w:r w:rsidR="00B51558" w:rsidRPr="00847234">
        <w:rPr>
          <w:rFonts w:ascii="Arial" w:hAnsi="Arial" w:cs="Arial"/>
          <w:bCs/>
          <w:lang w:val="es-ES_tradnl"/>
        </w:rPr>
        <w:t xml:space="preserve">abordan </w:t>
      </w:r>
      <w:r w:rsidR="008B0128" w:rsidRPr="00847234">
        <w:rPr>
          <w:rFonts w:ascii="Arial" w:hAnsi="Arial" w:cs="Arial"/>
          <w:bCs/>
          <w:lang w:val="es-ES_tradnl"/>
        </w:rPr>
        <w:t xml:space="preserve">este aspecto. </w:t>
      </w:r>
      <w:r w:rsidR="002947EC" w:rsidRPr="00847234">
        <w:rPr>
          <w:rFonts w:ascii="Arial" w:hAnsi="Arial" w:cs="Arial"/>
          <w:bCs/>
          <w:lang w:val="es-ES_tradnl"/>
        </w:rPr>
        <w:t xml:space="preserve">El </w:t>
      </w:r>
      <w:r w:rsidR="00B14A45" w:rsidRPr="00847234">
        <w:rPr>
          <w:rFonts w:ascii="Arial" w:hAnsi="Arial" w:cs="Arial"/>
          <w:bCs/>
          <w:lang w:val="es-ES_tradnl"/>
        </w:rPr>
        <w:t xml:space="preserve">modelo constitucional </w:t>
      </w:r>
      <w:r w:rsidR="00B51558" w:rsidRPr="00847234">
        <w:rPr>
          <w:rFonts w:ascii="Arial" w:hAnsi="Arial" w:cs="Arial"/>
          <w:bCs/>
          <w:lang w:val="es-ES_tradnl"/>
        </w:rPr>
        <w:t xml:space="preserve">prescribe </w:t>
      </w:r>
      <w:r w:rsidR="00B14A45" w:rsidRPr="00847234">
        <w:rPr>
          <w:rFonts w:ascii="Arial" w:hAnsi="Arial" w:cs="Arial"/>
          <w:bCs/>
          <w:lang w:val="es-ES_tradnl"/>
        </w:rPr>
        <w:t xml:space="preserve">un modelo de mercado </w:t>
      </w:r>
      <w:r w:rsidR="00B14A45" w:rsidRPr="00847234">
        <w:rPr>
          <w:rFonts w:ascii="Arial" w:hAnsi="Arial" w:cs="Arial"/>
          <w:bCs/>
          <w:lang w:val="es-ES_tradnl"/>
        </w:rPr>
        <w:lastRenderedPageBreak/>
        <w:t xml:space="preserve">radicalmente distinto </w:t>
      </w:r>
      <w:r w:rsidR="004D3BC1" w:rsidRPr="00847234">
        <w:rPr>
          <w:rFonts w:ascii="Arial" w:hAnsi="Arial" w:cs="Arial"/>
          <w:bCs/>
          <w:lang w:val="es-ES_tradnl"/>
        </w:rPr>
        <w:t xml:space="preserve">al </w:t>
      </w:r>
      <w:r w:rsidR="00B51558" w:rsidRPr="00847234">
        <w:rPr>
          <w:rFonts w:ascii="Arial" w:hAnsi="Arial" w:cs="Arial"/>
          <w:bCs/>
          <w:lang w:val="es-ES_tradnl"/>
        </w:rPr>
        <w:t xml:space="preserve">existente </w:t>
      </w:r>
      <w:r w:rsidR="00B14A45" w:rsidRPr="00847234">
        <w:rPr>
          <w:rFonts w:ascii="Arial" w:hAnsi="Arial" w:cs="Arial"/>
          <w:bCs/>
          <w:lang w:val="es-ES_tradnl"/>
        </w:rPr>
        <w:t xml:space="preserve">antes de la reforma de </w:t>
      </w:r>
      <w:r w:rsidR="004D3BC1" w:rsidRPr="00847234">
        <w:rPr>
          <w:rFonts w:ascii="Arial" w:hAnsi="Arial" w:cs="Arial"/>
          <w:bCs/>
          <w:lang w:val="es-ES_tradnl"/>
        </w:rPr>
        <w:t>2013</w:t>
      </w:r>
      <w:r w:rsidR="00B14A45" w:rsidRPr="00847234">
        <w:rPr>
          <w:rFonts w:ascii="Arial" w:hAnsi="Arial" w:cs="Arial"/>
          <w:bCs/>
          <w:lang w:val="es-ES_tradnl"/>
        </w:rPr>
        <w:t xml:space="preserve"> y nuestra obligación es garantizar que el legislador no emita legislación que desconozca es</w:t>
      </w:r>
      <w:r w:rsidR="004D3BC1" w:rsidRPr="00847234">
        <w:rPr>
          <w:rFonts w:ascii="Arial" w:hAnsi="Arial" w:cs="Arial"/>
          <w:bCs/>
          <w:lang w:val="es-ES_tradnl"/>
        </w:rPr>
        <w:t>t</w:t>
      </w:r>
      <w:r w:rsidR="00B14A45" w:rsidRPr="00847234">
        <w:rPr>
          <w:rFonts w:ascii="Arial" w:hAnsi="Arial" w:cs="Arial"/>
          <w:bCs/>
          <w:lang w:val="es-ES_tradnl"/>
        </w:rPr>
        <w:t>e modelo constitucional.</w:t>
      </w:r>
      <w:r w:rsidR="00484C6C" w:rsidRPr="00847234">
        <w:rPr>
          <w:rFonts w:ascii="Arial" w:hAnsi="Arial" w:cs="Arial"/>
          <w:bCs/>
          <w:lang w:val="es-ES_tradnl"/>
        </w:rPr>
        <w:t xml:space="preserve"> </w:t>
      </w:r>
      <w:r w:rsidR="00916A7E" w:rsidRPr="00847234">
        <w:rPr>
          <w:rFonts w:ascii="Arial" w:hAnsi="Arial" w:cs="Arial"/>
          <w:bCs/>
          <w:lang w:val="es-ES_tradnl"/>
        </w:rPr>
        <w:t xml:space="preserve">Por tanto, si </w:t>
      </w:r>
      <w:r w:rsidR="002F6242" w:rsidRPr="00847234">
        <w:rPr>
          <w:rFonts w:ascii="Arial" w:hAnsi="Arial" w:cs="Arial"/>
          <w:bCs/>
          <w:lang w:val="es-ES_tradnl"/>
        </w:rPr>
        <w:t xml:space="preserve">la Constitución fue reformada para elevar al nivel de jerarquía constitucional </w:t>
      </w:r>
      <w:r w:rsidR="00125A5F" w:rsidRPr="00847234">
        <w:rPr>
          <w:rFonts w:ascii="Arial" w:hAnsi="Arial" w:cs="Arial"/>
          <w:bCs/>
          <w:lang w:val="es-ES_tradnl"/>
        </w:rPr>
        <w:t xml:space="preserve">algunas </w:t>
      </w:r>
      <w:r w:rsidR="002F6242" w:rsidRPr="00847234">
        <w:rPr>
          <w:rFonts w:ascii="Arial" w:hAnsi="Arial" w:cs="Arial"/>
          <w:bCs/>
          <w:lang w:val="es-ES_tradnl"/>
        </w:rPr>
        <w:t xml:space="preserve">reglas de mercado, sería nuestra obligación declarar la invalidez de aquellas leyes que intentarán revertirlas, aunque dichas leyes se </w:t>
      </w:r>
      <w:r w:rsidR="00CB5C75" w:rsidRPr="00847234">
        <w:rPr>
          <w:rFonts w:ascii="Arial" w:hAnsi="Arial" w:cs="Arial"/>
          <w:bCs/>
          <w:lang w:val="es-ES_tradnl"/>
        </w:rPr>
        <w:t xml:space="preserve">sustenten en </w:t>
      </w:r>
      <w:r w:rsidR="002F6242" w:rsidRPr="00847234">
        <w:rPr>
          <w:rFonts w:ascii="Arial" w:hAnsi="Arial" w:cs="Arial"/>
          <w:bCs/>
          <w:lang w:val="es-ES_tradnl"/>
        </w:rPr>
        <w:t>buenas razones de política pública</w:t>
      </w:r>
      <w:r w:rsidR="00916A7E" w:rsidRPr="00847234">
        <w:rPr>
          <w:rFonts w:ascii="Arial" w:hAnsi="Arial" w:cs="Arial"/>
          <w:bCs/>
          <w:lang w:val="es-ES_tradnl"/>
        </w:rPr>
        <w:t xml:space="preserve">. </w:t>
      </w:r>
      <w:r w:rsidR="002E3013" w:rsidRPr="00847234">
        <w:rPr>
          <w:rFonts w:ascii="Arial" w:hAnsi="Arial" w:cs="Arial"/>
          <w:bCs/>
          <w:lang w:val="es-ES_tradnl"/>
        </w:rPr>
        <w:t xml:space="preserve"> </w:t>
      </w:r>
      <w:r w:rsidR="000233CD" w:rsidRPr="00847234">
        <w:rPr>
          <w:rFonts w:ascii="Arial" w:hAnsi="Arial" w:cs="Arial"/>
          <w:bCs/>
          <w:lang w:val="es-ES_tradnl"/>
        </w:rPr>
        <w:t>Est</w:t>
      </w:r>
      <w:r w:rsidR="00125A5F" w:rsidRPr="00847234">
        <w:rPr>
          <w:rFonts w:ascii="Arial" w:hAnsi="Arial" w:cs="Arial"/>
          <w:bCs/>
          <w:lang w:val="es-ES_tradnl"/>
        </w:rPr>
        <w:t xml:space="preserve">o </w:t>
      </w:r>
      <w:r w:rsidR="002D4C2C" w:rsidRPr="00847234">
        <w:rPr>
          <w:rFonts w:ascii="Arial" w:hAnsi="Arial" w:cs="Arial"/>
          <w:bCs/>
          <w:lang w:val="es-ES_tradnl"/>
        </w:rPr>
        <w:t xml:space="preserve">sería </w:t>
      </w:r>
      <w:r w:rsidR="00EE516D" w:rsidRPr="00847234">
        <w:rPr>
          <w:rFonts w:ascii="Arial" w:hAnsi="Arial" w:cs="Arial"/>
          <w:bCs/>
          <w:lang w:val="es-ES_tradnl"/>
        </w:rPr>
        <w:t>innegable</w:t>
      </w:r>
      <w:r w:rsidR="005B464D" w:rsidRPr="00847234">
        <w:rPr>
          <w:rFonts w:ascii="Arial" w:hAnsi="Arial" w:cs="Arial"/>
          <w:bCs/>
          <w:lang w:val="es-ES_tradnl"/>
        </w:rPr>
        <w:t xml:space="preserve">. </w:t>
      </w:r>
    </w:p>
    <w:p w14:paraId="3E0D2E78" w14:textId="77777777" w:rsidR="00FF38F3" w:rsidRDefault="00FF38F3" w:rsidP="008B0128">
      <w:pPr>
        <w:spacing w:line="360" w:lineRule="auto"/>
        <w:jc w:val="both"/>
        <w:rPr>
          <w:rFonts w:ascii="Arial" w:hAnsi="Arial" w:cs="Arial"/>
          <w:bCs/>
          <w:lang w:val="es-ES_tradnl"/>
        </w:rPr>
      </w:pPr>
    </w:p>
    <w:p w14:paraId="444F7D2F" w14:textId="186F3EE9" w:rsidR="004104DC" w:rsidRPr="00847234" w:rsidRDefault="00484C6C" w:rsidP="008B0128">
      <w:pPr>
        <w:spacing w:line="360" w:lineRule="auto"/>
        <w:jc w:val="both"/>
        <w:rPr>
          <w:rFonts w:ascii="Arial" w:hAnsi="Arial" w:cs="Arial"/>
          <w:bCs/>
          <w:lang w:val="es-ES_tradnl"/>
        </w:rPr>
      </w:pPr>
      <w:r w:rsidRPr="00847234">
        <w:rPr>
          <w:rFonts w:ascii="Arial" w:hAnsi="Arial" w:cs="Arial"/>
          <w:bCs/>
          <w:lang w:val="es-ES_tradnl"/>
        </w:rPr>
        <w:t xml:space="preserve">Ahora bien, </w:t>
      </w:r>
      <w:r w:rsidR="00903E0D" w:rsidRPr="00847234">
        <w:rPr>
          <w:rFonts w:ascii="Arial" w:hAnsi="Arial" w:cs="Arial"/>
          <w:bCs/>
          <w:lang w:val="es-ES_tradnl"/>
        </w:rPr>
        <w:t xml:space="preserve">luego de </w:t>
      </w:r>
      <w:r w:rsidR="00433D53" w:rsidRPr="00847234">
        <w:rPr>
          <w:rFonts w:ascii="Arial" w:hAnsi="Arial" w:cs="Arial"/>
          <w:bCs/>
          <w:lang w:val="es-ES_tradnl"/>
        </w:rPr>
        <w:t xml:space="preserve">analizar </w:t>
      </w:r>
      <w:r w:rsidR="00903E0D" w:rsidRPr="00847234">
        <w:rPr>
          <w:rFonts w:ascii="Arial" w:hAnsi="Arial" w:cs="Arial"/>
          <w:bCs/>
          <w:lang w:val="es-ES_tradnl"/>
        </w:rPr>
        <w:t xml:space="preserve">detenidamente </w:t>
      </w:r>
      <w:r w:rsidR="008B0128" w:rsidRPr="00847234">
        <w:rPr>
          <w:rFonts w:ascii="Arial" w:hAnsi="Arial" w:cs="Arial"/>
          <w:bCs/>
          <w:lang w:val="es-ES_tradnl"/>
        </w:rPr>
        <w:t xml:space="preserve">las normas constitucionales aplicables, especialmente, aquellas que han sido citadas como vulneradas, incluidas sus transitorios, </w:t>
      </w:r>
      <w:r w:rsidR="00017854" w:rsidRPr="00847234">
        <w:rPr>
          <w:rFonts w:ascii="Arial" w:hAnsi="Arial" w:cs="Arial"/>
          <w:bCs/>
          <w:lang w:val="es-ES_tradnl"/>
        </w:rPr>
        <w:t xml:space="preserve">concluyo: </w:t>
      </w:r>
      <w:r w:rsidR="00A34EFD">
        <w:rPr>
          <w:rFonts w:ascii="Arial" w:hAnsi="Arial" w:cs="Arial"/>
          <w:bCs/>
          <w:lang w:val="es-ES_tradnl"/>
        </w:rPr>
        <w:t>N</w:t>
      </w:r>
      <w:r w:rsidR="008B0128" w:rsidRPr="00847234">
        <w:rPr>
          <w:rFonts w:ascii="Arial" w:hAnsi="Arial" w:cs="Arial"/>
          <w:bCs/>
          <w:lang w:val="es-ES_tradnl"/>
        </w:rPr>
        <w:t xml:space="preserve">inguna </w:t>
      </w:r>
      <w:r w:rsidR="00A218CC" w:rsidRPr="00847234">
        <w:rPr>
          <w:rFonts w:ascii="Arial" w:hAnsi="Arial" w:cs="Arial"/>
          <w:bCs/>
          <w:lang w:val="es-ES_tradnl"/>
        </w:rPr>
        <w:t xml:space="preserve">de las normas constitucionales </w:t>
      </w:r>
      <w:r w:rsidR="00C177D2" w:rsidRPr="00847234">
        <w:rPr>
          <w:rFonts w:ascii="Arial" w:hAnsi="Arial" w:cs="Arial"/>
          <w:bCs/>
          <w:lang w:val="es-ES_tradnl"/>
        </w:rPr>
        <w:t xml:space="preserve">crea </w:t>
      </w:r>
      <w:r w:rsidR="008B0128" w:rsidRPr="00847234">
        <w:rPr>
          <w:rFonts w:ascii="Arial" w:hAnsi="Arial" w:cs="Arial"/>
          <w:bCs/>
          <w:lang w:val="es-ES_tradnl"/>
        </w:rPr>
        <w:t xml:space="preserve">una regla </w:t>
      </w:r>
      <w:r w:rsidR="00CD5A66" w:rsidRPr="00847234">
        <w:rPr>
          <w:rFonts w:ascii="Arial" w:hAnsi="Arial" w:cs="Arial"/>
          <w:bCs/>
          <w:lang w:val="es-ES_tradnl"/>
        </w:rPr>
        <w:t xml:space="preserve">sobre </w:t>
      </w:r>
      <w:r w:rsidR="008B0128" w:rsidRPr="00847234">
        <w:rPr>
          <w:rFonts w:ascii="Arial" w:hAnsi="Arial" w:cs="Arial"/>
          <w:bCs/>
          <w:lang w:val="es-ES_tradnl"/>
        </w:rPr>
        <w:t xml:space="preserve">cómo </w:t>
      </w:r>
      <w:r w:rsidR="00C177D2" w:rsidRPr="00847234">
        <w:rPr>
          <w:rFonts w:ascii="Arial" w:hAnsi="Arial" w:cs="Arial"/>
          <w:bCs/>
          <w:lang w:val="es-ES_tradnl"/>
        </w:rPr>
        <w:t xml:space="preserve">será </w:t>
      </w:r>
      <w:r w:rsidR="008B0128" w:rsidRPr="00847234">
        <w:rPr>
          <w:rFonts w:ascii="Arial" w:hAnsi="Arial" w:cs="Arial"/>
          <w:bCs/>
          <w:lang w:val="es-ES_tradnl"/>
        </w:rPr>
        <w:t>el orden de despacho de la energía eléctrica</w:t>
      </w:r>
      <w:r w:rsidR="00F73BDC" w:rsidRPr="00847234">
        <w:rPr>
          <w:rFonts w:ascii="Arial" w:hAnsi="Arial" w:cs="Arial"/>
          <w:bCs/>
          <w:lang w:val="es-ES_tradnl"/>
        </w:rPr>
        <w:t xml:space="preserve">, ni las figuras contractuales </w:t>
      </w:r>
      <w:r w:rsidR="0011164A" w:rsidRPr="00847234">
        <w:rPr>
          <w:rFonts w:ascii="Arial" w:hAnsi="Arial" w:cs="Arial"/>
          <w:bCs/>
          <w:lang w:val="es-ES_tradnl"/>
        </w:rPr>
        <w:t xml:space="preserve">vinculadas </w:t>
      </w:r>
      <w:r w:rsidR="00D26A16" w:rsidRPr="00847234">
        <w:rPr>
          <w:rFonts w:ascii="Arial" w:hAnsi="Arial" w:cs="Arial"/>
          <w:bCs/>
          <w:lang w:val="es-ES_tradnl"/>
        </w:rPr>
        <w:t>con dicho</w:t>
      </w:r>
      <w:r w:rsidR="00F73BDC" w:rsidRPr="00847234">
        <w:rPr>
          <w:rFonts w:ascii="Arial" w:hAnsi="Arial" w:cs="Arial"/>
          <w:bCs/>
          <w:lang w:val="es-ES_tradnl"/>
        </w:rPr>
        <w:t xml:space="preserve"> mercado</w:t>
      </w:r>
      <w:r w:rsidR="008B0128" w:rsidRPr="00847234">
        <w:rPr>
          <w:rFonts w:ascii="Arial" w:hAnsi="Arial" w:cs="Arial"/>
          <w:bCs/>
          <w:lang w:val="es-ES_tradnl"/>
        </w:rPr>
        <w:t xml:space="preserve">. </w:t>
      </w:r>
      <w:r w:rsidR="009756BC" w:rsidRPr="00847234">
        <w:rPr>
          <w:rFonts w:ascii="Arial" w:hAnsi="Arial" w:cs="Arial"/>
          <w:bCs/>
          <w:lang w:val="es-ES_tradnl"/>
        </w:rPr>
        <w:t xml:space="preserve"> </w:t>
      </w:r>
      <w:r w:rsidR="000D18EC" w:rsidRPr="00847234">
        <w:rPr>
          <w:rFonts w:ascii="Arial" w:hAnsi="Arial" w:cs="Arial"/>
          <w:bCs/>
          <w:lang w:val="es-ES_tradnl"/>
        </w:rPr>
        <w:t>En lo que respecta a la energía eléctrica</w:t>
      </w:r>
      <w:r w:rsidR="0004675E" w:rsidRPr="00847234">
        <w:rPr>
          <w:rFonts w:ascii="Arial" w:hAnsi="Arial" w:cs="Arial"/>
          <w:bCs/>
          <w:lang w:val="es-ES_tradnl"/>
        </w:rPr>
        <w:t>,</w:t>
      </w:r>
      <w:r w:rsidR="000D18EC" w:rsidRPr="00847234">
        <w:rPr>
          <w:rFonts w:ascii="Arial" w:hAnsi="Arial" w:cs="Arial"/>
          <w:bCs/>
          <w:lang w:val="es-ES_tradnl"/>
        </w:rPr>
        <w:t xml:space="preserve"> </w:t>
      </w:r>
      <w:r w:rsidR="00E223CC" w:rsidRPr="00847234">
        <w:rPr>
          <w:rFonts w:ascii="Arial" w:hAnsi="Arial" w:cs="Arial"/>
          <w:bCs/>
          <w:lang w:val="es-ES_tradnl"/>
        </w:rPr>
        <w:t xml:space="preserve">sólo </w:t>
      </w:r>
      <w:r w:rsidR="008B0128" w:rsidRPr="00847234">
        <w:rPr>
          <w:rFonts w:ascii="Arial" w:hAnsi="Arial" w:cs="Arial"/>
          <w:bCs/>
          <w:lang w:val="es-ES_tradnl"/>
        </w:rPr>
        <w:t>observo la existencia de tres reglas en la Constitución: 1) permitir la participación de los particulares en dicho mercado</w:t>
      </w:r>
      <w:r w:rsidR="009B058B" w:rsidRPr="00847234">
        <w:rPr>
          <w:rFonts w:ascii="Arial" w:hAnsi="Arial" w:cs="Arial"/>
          <w:bCs/>
          <w:lang w:val="es-ES_tradnl"/>
        </w:rPr>
        <w:t>;</w:t>
      </w:r>
      <w:r w:rsidR="008B0128" w:rsidRPr="00847234">
        <w:rPr>
          <w:rFonts w:ascii="Arial" w:hAnsi="Arial" w:cs="Arial"/>
          <w:bCs/>
          <w:lang w:val="es-ES_tradnl"/>
        </w:rPr>
        <w:t xml:space="preserve"> 2) la C</w:t>
      </w:r>
      <w:r w:rsidR="00F73BDC" w:rsidRPr="00847234">
        <w:rPr>
          <w:rFonts w:ascii="Arial" w:hAnsi="Arial" w:cs="Arial"/>
          <w:bCs/>
          <w:lang w:val="es-ES_tradnl"/>
        </w:rPr>
        <w:t xml:space="preserve">omisión </w:t>
      </w:r>
      <w:r w:rsidR="008B0128" w:rsidRPr="00847234">
        <w:rPr>
          <w:rFonts w:ascii="Arial" w:hAnsi="Arial" w:cs="Arial"/>
          <w:bCs/>
          <w:lang w:val="es-ES_tradnl"/>
        </w:rPr>
        <w:t>F</w:t>
      </w:r>
      <w:r w:rsidR="00F73BDC" w:rsidRPr="00847234">
        <w:rPr>
          <w:rFonts w:ascii="Arial" w:hAnsi="Arial" w:cs="Arial"/>
          <w:bCs/>
          <w:lang w:val="es-ES_tradnl"/>
        </w:rPr>
        <w:t xml:space="preserve">ederal de </w:t>
      </w:r>
      <w:r w:rsidR="008B0128" w:rsidRPr="00847234">
        <w:rPr>
          <w:rFonts w:ascii="Arial" w:hAnsi="Arial" w:cs="Arial"/>
          <w:bCs/>
          <w:lang w:val="es-ES_tradnl"/>
        </w:rPr>
        <w:t>E</w:t>
      </w:r>
      <w:r w:rsidR="00F73BDC" w:rsidRPr="00847234">
        <w:rPr>
          <w:rFonts w:ascii="Arial" w:hAnsi="Arial" w:cs="Arial"/>
          <w:bCs/>
          <w:lang w:val="es-ES_tradnl"/>
        </w:rPr>
        <w:t>lectricidad (CFE)</w:t>
      </w:r>
      <w:r w:rsidR="008B0128" w:rsidRPr="00847234">
        <w:rPr>
          <w:rFonts w:ascii="Arial" w:hAnsi="Arial" w:cs="Arial"/>
          <w:bCs/>
          <w:lang w:val="es-ES_tradnl"/>
        </w:rPr>
        <w:t xml:space="preserve"> deja de ser monopolio legal para convertirse en empresa productiva del Estado y competir con los particulares</w:t>
      </w:r>
      <w:r w:rsidR="009B058B" w:rsidRPr="00847234">
        <w:rPr>
          <w:rFonts w:ascii="Arial" w:hAnsi="Arial" w:cs="Arial"/>
          <w:bCs/>
          <w:lang w:val="es-ES_tradnl"/>
        </w:rPr>
        <w:t xml:space="preserve">, y </w:t>
      </w:r>
      <w:r w:rsidR="008B0128" w:rsidRPr="00847234">
        <w:rPr>
          <w:rFonts w:ascii="Arial" w:hAnsi="Arial" w:cs="Arial"/>
          <w:bCs/>
          <w:lang w:val="es-ES_tradnl"/>
        </w:rPr>
        <w:t xml:space="preserve">3) el modelo de mercado </w:t>
      </w:r>
      <w:r w:rsidR="00D97266" w:rsidRPr="00847234">
        <w:rPr>
          <w:rFonts w:ascii="Arial" w:hAnsi="Arial" w:cs="Arial"/>
          <w:bCs/>
          <w:lang w:val="es-ES_tradnl"/>
        </w:rPr>
        <w:t xml:space="preserve">contará con </w:t>
      </w:r>
      <w:r w:rsidR="008B0128" w:rsidRPr="00847234">
        <w:rPr>
          <w:rFonts w:ascii="Arial" w:hAnsi="Arial" w:cs="Arial"/>
          <w:bCs/>
          <w:lang w:val="es-ES_tradnl"/>
        </w:rPr>
        <w:t>políticas de inclusión de energías limpias.</w:t>
      </w:r>
      <w:r w:rsidR="009B058B" w:rsidRPr="00847234">
        <w:rPr>
          <w:rFonts w:ascii="Arial" w:hAnsi="Arial" w:cs="Arial"/>
          <w:bCs/>
          <w:lang w:val="es-ES_tradnl"/>
        </w:rPr>
        <w:t xml:space="preserve"> </w:t>
      </w:r>
    </w:p>
    <w:p w14:paraId="7941A3B2" w14:textId="77777777" w:rsidR="004104DC" w:rsidRPr="00847234" w:rsidRDefault="004104DC" w:rsidP="008B0128">
      <w:pPr>
        <w:spacing w:line="360" w:lineRule="auto"/>
        <w:jc w:val="both"/>
        <w:rPr>
          <w:rFonts w:ascii="Arial" w:hAnsi="Arial" w:cs="Arial"/>
          <w:bCs/>
          <w:lang w:val="es-ES_tradnl"/>
        </w:rPr>
      </w:pPr>
    </w:p>
    <w:p w14:paraId="395FF5DF" w14:textId="38824945" w:rsidR="008B0128" w:rsidRPr="00847234" w:rsidRDefault="008B0128" w:rsidP="008B0128">
      <w:pPr>
        <w:spacing w:line="360" w:lineRule="auto"/>
        <w:jc w:val="both"/>
        <w:rPr>
          <w:rFonts w:ascii="Arial" w:hAnsi="Arial" w:cs="Arial"/>
          <w:bCs/>
          <w:lang w:val="es-ES_tradnl"/>
        </w:rPr>
      </w:pPr>
      <w:r w:rsidRPr="00847234">
        <w:rPr>
          <w:rFonts w:ascii="Arial" w:hAnsi="Arial" w:cs="Arial"/>
          <w:bCs/>
          <w:lang w:val="es-ES_tradnl"/>
        </w:rPr>
        <w:t>La regla que establece la participación de los particulares se encuentra en los artículos 27 y 28 constitucionales. Ahí se nos dice: únicamente las actividades de transmisión y distribución de energía eléctrica integran el área de actividades estratégicas, sólo ahí</w:t>
      </w:r>
      <w:r w:rsidR="00D94B0F" w:rsidRPr="00847234">
        <w:rPr>
          <w:rFonts w:ascii="Arial" w:hAnsi="Arial" w:cs="Arial"/>
          <w:bCs/>
          <w:lang w:val="es-ES_tradnl"/>
        </w:rPr>
        <w:t xml:space="preserve"> están permitid</w:t>
      </w:r>
      <w:r w:rsidR="00063FA1" w:rsidRPr="00847234">
        <w:rPr>
          <w:rFonts w:ascii="Arial" w:hAnsi="Arial" w:cs="Arial"/>
          <w:bCs/>
          <w:lang w:val="es-ES_tradnl"/>
        </w:rPr>
        <w:t xml:space="preserve">os </w:t>
      </w:r>
      <w:r w:rsidRPr="00847234">
        <w:rPr>
          <w:rFonts w:ascii="Arial" w:hAnsi="Arial" w:cs="Arial"/>
          <w:bCs/>
          <w:lang w:val="es-ES_tradnl"/>
        </w:rPr>
        <w:t>los monopolios</w:t>
      </w:r>
      <w:r w:rsidR="0075306C" w:rsidRPr="00847234">
        <w:rPr>
          <w:rFonts w:ascii="Arial" w:hAnsi="Arial" w:cs="Arial"/>
          <w:bCs/>
          <w:lang w:val="es-ES_tradnl"/>
        </w:rPr>
        <w:t xml:space="preserve">; la </w:t>
      </w:r>
      <w:r w:rsidRPr="00847234">
        <w:rPr>
          <w:rFonts w:ascii="Arial" w:hAnsi="Arial" w:cs="Arial"/>
          <w:bCs/>
          <w:lang w:val="es-ES_tradnl"/>
        </w:rPr>
        <w:t xml:space="preserve">Constitución </w:t>
      </w:r>
      <w:r w:rsidR="0075306C" w:rsidRPr="00847234">
        <w:rPr>
          <w:rFonts w:ascii="Arial" w:hAnsi="Arial" w:cs="Arial"/>
          <w:bCs/>
          <w:lang w:val="es-ES_tradnl"/>
        </w:rPr>
        <w:t xml:space="preserve">incorpora una </w:t>
      </w:r>
      <w:r w:rsidRPr="00847234">
        <w:rPr>
          <w:rFonts w:ascii="Arial" w:hAnsi="Arial" w:cs="Arial"/>
          <w:bCs/>
          <w:lang w:val="es-ES_tradnl"/>
        </w:rPr>
        <w:t xml:space="preserve">regla </w:t>
      </w:r>
      <w:r w:rsidR="0055752D" w:rsidRPr="00847234">
        <w:rPr>
          <w:rFonts w:ascii="Arial" w:hAnsi="Arial" w:cs="Arial"/>
          <w:bCs/>
          <w:lang w:val="es-ES_tradnl"/>
        </w:rPr>
        <w:t xml:space="preserve">en cuanto a que </w:t>
      </w:r>
      <w:r w:rsidRPr="00847234">
        <w:rPr>
          <w:rFonts w:ascii="Arial" w:hAnsi="Arial" w:cs="Arial"/>
          <w:bCs/>
          <w:lang w:val="es-ES_tradnl"/>
        </w:rPr>
        <w:t>la generación de energía eléctrica es un mercado en el que los particulares participar</w:t>
      </w:r>
      <w:r w:rsidR="0055752D" w:rsidRPr="00847234">
        <w:rPr>
          <w:rFonts w:ascii="Arial" w:hAnsi="Arial" w:cs="Arial"/>
          <w:bCs/>
          <w:lang w:val="es-ES_tradnl"/>
        </w:rPr>
        <w:t>án</w:t>
      </w:r>
      <w:r w:rsidRPr="00847234">
        <w:rPr>
          <w:rFonts w:ascii="Arial" w:hAnsi="Arial" w:cs="Arial"/>
          <w:bCs/>
          <w:lang w:val="es-ES_tradnl"/>
        </w:rPr>
        <w:t xml:space="preserve"> ¿Qué pasaría si una ley secundaria prohibiera a los particulares participar en dicho mercado? </w:t>
      </w:r>
      <w:r w:rsidR="00172867" w:rsidRPr="00847234">
        <w:rPr>
          <w:rFonts w:ascii="Arial" w:hAnsi="Arial" w:cs="Arial"/>
          <w:bCs/>
          <w:lang w:val="es-ES_tradnl"/>
        </w:rPr>
        <w:t xml:space="preserve">Evidentemente </w:t>
      </w:r>
      <w:r w:rsidRPr="00847234">
        <w:rPr>
          <w:rFonts w:ascii="Arial" w:hAnsi="Arial" w:cs="Arial"/>
          <w:bCs/>
          <w:lang w:val="es-ES_tradnl"/>
        </w:rPr>
        <w:t>sería inconstitucional.</w:t>
      </w:r>
    </w:p>
    <w:p w14:paraId="316836CB" w14:textId="77777777" w:rsidR="008B0128" w:rsidRPr="00847234" w:rsidRDefault="008B0128" w:rsidP="008B0128">
      <w:pPr>
        <w:spacing w:line="360" w:lineRule="auto"/>
        <w:jc w:val="both"/>
        <w:rPr>
          <w:rFonts w:ascii="Arial" w:hAnsi="Arial" w:cs="Arial"/>
          <w:bCs/>
          <w:lang w:val="es-ES_tradnl"/>
        </w:rPr>
      </w:pPr>
    </w:p>
    <w:p w14:paraId="060AC7DE" w14:textId="69692183" w:rsidR="008B0128" w:rsidRPr="00847234" w:rsidRDefault="008B0128" w:rsidP="008B0128">
      <w:pPr>
        <w:spacing w:line="360" w:lineRule="auto"/>
        <w:jc w:val="both"/>
        <w:rPr>
          <w:rFonts w:ascii="Arial" w:hAnsi="Arial" w:cs="Arial"/>
          <w:bCs/>
          <w:lang w:val="es-ES_tradnl"/>
        </w:rPr>
      </w:pPr>
      <w:r w:rsidRPr="00847234">
        <w:rPr>
          <w:rFonts w:ascii="Arial" w:hAnsi="Arial" w:cs="Arial"/>
          <w:bCs/>
          <w:lang w:val="es-ES_tradnl"/>
        </w:rPr>
        <w:t xml:space="preserve">La segunda regla </w:t>
      </w:r>
      <w:r w:rsidR="00CC1C40" w:rsidRPr="00847234">
        <w:rPr>
          <w:rFonts w:ascii="Arial" w:hAnsi="Arial" w:cs="Arial"/>
          <w:bCs/>
          <w:lang w:val="es-ES_tradnl"/>
        </w:rPr>
        <w:t xml:space="preserve">surge del </w:t>
      </w:r>
      <w:r w:rsidRPr="00847234">
        <w:rPr>
          <w:rFonts w:ascii="Arial" w:hAnsi="Arial" w:cs="Arial"/>
          <w:bCs/>
          <w:lang w:val="es-ES_tradnl"/>
        </w:rPr>
        <w:t>artículo 25</w:t>
      </w:r>
      <w:r w:rsidR="00FF38F3">
        <w:rPr>
          <w:rFonts w:ascii="Arial" w:hAnsi="Arial" w:cs="Arial"/>
          <w:bCs/>
          <w:lang w:val="es-ES_tradnl"/>
        </w:rPr>
        <w:t xml:space="preserve">, </w:t>
      </w:r>
      <w:r w:rsidRPr="00847234">
        <w:rPr>
          <w:rFonts w:ascii="Arial" w:hAnsi="Arial" w:cs="Arial"/>
          <w:bCs/>
          <w:lang w:val="es-ES_tradnl"/>
        </w:rPr>
        <w:t xml:space="preserve">especialmente </w:t>
      </w:r>
      <w:r w:rsidR="00CC1C40" w:rsidRPr="00847234">
        <w:rPr>
          <w:rFonts w:ascii="Arial" w:hAnsi="Arial" w:cs="Arial"/>
          <w:bCs/>
          <w:lang w:val="es-ES_tradnl"/>
        </w:rPr>
        <w:t>de</w:t>
      </w:r>
      <w:r w:rsidRPr="00847234">
        <w:rPr>
          <w:rFonts w:ascii="Arial" w:hAnsi="Arial" w:cs="Arial"/>
          <w:bCs/>
          <w:lang w:val="es-ES_tradnl"/>
        </w:rPr>
        <w:t>l artículo vigésimo transitorio</w:t>
      </w:r>
      <w:r w:rsidR="00063FA1" w:rsidRPr="00847234">
        <w:rPr>
          <w:rFonts w:ascii="Arial" w:hAnsi="Arial" w:cs="Arial"/>
          <w:bCs/>
          <w:lang w:val="es-ES_tradnl"/>
        </w:rPr>
        <w:t>. Esa regla enuncia</w:t>
      </w:r>
      <w:r w:rsidR="00FF665E" w:rsidRPr="00847234">
        <w:rPr>
          <w:rFonts w:ascii="Arial" w:hAnsi="Arial" w:cs="Arial"/>
          <w:bCs/>
          <w:lang w:val="es-ES_tradnl"/>
        </w:rPr>
        <w:t xml:space="preserve"> que</w:t>
      </w:r>
      <w:r w:rsidR="00063FA1" w:rsidRPr="00847234">
        <w:rPr>
          <w:rFonts w:ascii="Arial" w:hAnsi="Arial" w:cs="Arial"/>
          <w:bCs/>
          <w:lang w:val="es-ES_tradnl"/>
        </w:rPr>
        <w:t xml:space="preserve"> </w:t>
      </w:r>
      <w:r w:rsidRPr="00847234">
        <w:rPr>
          <w:rFonts w:ascii="Arial" w:hAnsi="Arial" w:cs="Arial"/>
          <w:bCs/>
          <w:lang w:val="es-ES_tradnl"/>
        </w:rPr>
        <w:t>la CFE se convierte en una empresa productiva del Estado para competir con los particulares en el mercado de generación de energía ¿Qué pasaría si una ley secundaria cambiara la naturaleza de la CFE para</w:t>
      </w:r>
      <w:r w:rsidR="00126D65" w:rsidRPr="00847234">
        <w:rPr>
          <w:rFonts w:ascii="Arial" w:hAnsi="Arial" w:cs="Arial"/>
          <w:bCs/>
          <w:lang w:val="es-ES_tradnl"/>
        </w:rPr>
        <w:t xml:space="preserve"> protegerla </w:t>
      </w:r>
      <w:r w:rsidRPr="00847234">
        <w:rPr>
          <w:rFonts w:ascii="Arial" w:hAnsi="Arial" w:cs="Arial"/>
          <w:bCs/>
          <w:lang w:val="es-ES_tradnl"/>
        </w:rPr>
        <w:t xml:space="preserve">de competir con los particulares? </w:t>
      </w:r>
      <w:r w:rsidR="00574A28" w:rsidRPr="00847234">
        <w:rPr>
          <w:rFonts w:ascii="Arial" w:hAnsi="Arial" w:cs="Arial"/>
          <w:bCs/>
          <w:lang w:val="es-ES_tradnl"/>
        </w:rPr>
        <w:t xml:space="preserve">Nuevamente, esta </w:t>
      </w:r>
      <w:r w:rsidRPr="00847234">
        <w:rPr>
          <w:rFonts w:ascii="Arial" w:hAnsi="Arial" w:cs="Arial"/>
          <w:bCs/>
          <w:lang w:val="es-ES_tradnl"/>
        </w:rPr>
        <w:t>ley sería</w:t>
      </w:r>
      <w:r w:rsidR="00574A28" w:rsidRPr="00847234">
        <w:rPr>
          <w:rFonts w:ascii="Arial" w:hAnsi="Arial" w:cs="Arial"/>
          <w:bCs/>
          <w:lang w:val="es-ES_tradnl"/>
        </w:rPr>
        <w:t xml:space="preserve"> francamente </w:t>
      </w:r>
      <w:r w:rsidRPr="00847234">
        <w:rPr>
          <w:rFonts w:ascii="Arial" w:hAnsi="Arial" w:cs="Arial"/>
          <w:bCs/>
          <w:lang w:val="es-ES_tradnl"/>
        </w:rPr>
        <w:t>inconstitucional.</w:t>
      </w:r>
    </w:p>
    <w:p w14:paraId="66A23303" w14:textId="77777777" w:rsidR="008B0128" w:rsidRPr="00847234" w:rsidRDefault="008B0128" w:rsidP="008B0128">
      <w:pPr>
        <w:spacing w:line="360" w:lineRule="auto"/>
        <w:jc w:val="both"/>
        <w:rPr>
          <w:rFonts w:ascii="Arial" w:hAnsi="Arial" w:cs="Arial"/>
          <w:bCs/>
          <w:lang w:val="es-ES_tradnl"/>
        </w:rPr>
      </w:pPr>
    </w:p>
    <w:p w14:paraId="2A122FC8" w14:textId="793578CB" w:rsidR="008B0128" w:rsidRPr="00847234" w:rsidRDefault="008B0128" w:rsidP="008B0128">
      <w:pPr>
        <w:spacing w:line="360" w:lineRule="auto"/>
        <w:jc w:val="both"/>
        <w:rPr>
          <w:rFonts w:ascii="Arial" w:hAnsi="Arial" w:cs="Arial"/>
          <w:bCs/>
          <w:lang w:val="es-ES_tradnl"/>
        </w:rPr>
      </w:pPr>
      <w:r w:rsidRPr="00847234">
        <w:rPr>
          <w:rFonts w:ascii="Arial" w:hAnsi="Arial" w:cs="Arial"/>
          <w:bCs/>
          <w:lang w:val="es-ES_tradnl"/>
        </w:rPr>
        <w:t xml:space="preserve">La tercera regla se encuentra en el artículo décimo séptimo transitorio constitucional y </w:t>
      </w:r>
      <w:r w:rsidR="00574A28" w:rsidRPr="00847234">
        <w:rPr>
          <w:rFonts w:ascii="Arial" w:hAnsi="Arial" w:cs="Arial"/>
          <w:bCs/>
          <w:lang w:val="es-ES_tradnl"/>
        </w:rPr>
        <w:t xml:space="preserve">propone </w:t>
      </w:r>
      <w:r w:rsidRPr="00847234">
        <w:rPr>
          <w:rFonts w:ascii="Arial" w:hAnsi="Arial" w:cs="Arial"/>
          <w:bCs/>
          <w:lang w:val="es-ES_tradnl"/>
        </w:rPr>
        <w:t xml:space="preserve">que la ley </w:t>
      </w:r>
      <w:r w:rsidR="003A7062" w:rsidRPr="00847234">
        <w:rPr>
          <w:rFonts w:ascii="Arial" w:hAnsi="Arial" w:cs="Arial"/>
          <w:bCs/>
          <w:lang w:val="es-ES_tradnl"/>
        </w:rPr>
        <w:t>secundaria describ</w:t>
      </w:r>
      <w:r w:rsidR="00AB466E" w:rsidRPr="00847234">
        <w:rPr>
          <w:rFonts w:ascii="Arial" w:hAnsi="Arial" w:cs="Arial"/>
          <w:bCs/>
          <w:lang w:val="es-ES_tradnl"/>
        </w:rPr>
        <w:t>a</w:t>
      </w:r>
      <w:r w:rsidR="003C60C6" w:rsidRPr="00847234">
        <w:rPr>
          <w:rFonts w:ascii="Arial" w:hAnsi="Arial" w:cs="Arial"/>
          <w:bCs/>
          <w:lang w:val="es-ES_tradnl"/>
        </w:rPr>
        <w:t xml:space="preserve"> </w:t>
      </w:r>
      <w:r w:rsidRPr="00847234">
        <w:rPr>
          <w:rFonts w:ascii="Arial" w:hAnsi="Arial" w:cs="Arial"/>
          <w:bCs/>
          <w:lang w:val="es-ES_tradnl"/>
        </w:rPr>
        <w:t xml:space="preserve">“las bases en que el Estado procurará la protección y cuidado de medio ambiente, en todos los procesos relacionados con la materia del presente decreto”, </w:t>
      </w:r>
      <w:r w:rsidR="005B5493" w:rsidRPr="00847234">
        <w:rPr>
          <w:rFonts w:ascii="Arial" w:hAnsi="Arial" w:cs="Arial"/>
          <w:bCs/>
          <w:lang w:val="es-ES_tradnl"/>
        </w:rPr>
        <w:t xml:space="preserve">y </w:t>
      </w:r>
      <w:r w:rsidR="009A3C3B" w:rsidRPr="00847234">
        <w:rPr>
          <w:rFonts w:ascii="Arial" w:hAnsi="Arial" w:cs="Arial"/>
          <w:bCs/>
          <w:lang w:val="es-ES_tradnl"/>
        </w:rPr>
        <w:t>agrega que</w:t>
      </w:r>
      <w:r w:rsidRPr="00847234">
        <w:rPr>
          <w:rFonts w:ascii="Arial" w:hAnsi="Arial" w:cs="Arial"/>
          <w:bCs/>
          <w:lang w:val="es-ES_tradnl"/>
        </w:rPr>
        <w:t xml:space="preserve"> en materia de electricidad “la ley </w:t>
      </w:r>
      <w:r w:rsidRPr="00847234">
        <w:rPr>
          <w:rFonts w:ascii="Arial" w:hAnsi="Arial" w:cs="Arial"/>
          <w:bCs/>
          <w:lang w:val="es-ES_tradnl"/>
        </w:rPr>
        <w:lastRenderedPageBreak/>
        <w:t>establecerá a los participantes de la industria eléctrica obligaciones de energías limpias y reducción de emisiones contaminantes”.</w:t>
      </w:r>
      <w:r w:rsidR="009A3C3B" w:rsidRPr="00847234">
        <w:rPr>
          <w:rFonts w:ascii="Arial" w:hAnsi="Arial" w:cs="Arial"/>
          <w:bCs/>
          <w:lang w:val="es-ES_tradnl"/>
        </w:rPr>
        <w:t xml:space="preserve"> </w:t>
      </w:r>
      <w:r w:rsidRPr="00847234">
        <w:rPr>
          <w:rFonts w:ascii="Arial" w:hAnsi="Arial" w:cs="Arial"/>
          <w:bCs/>
          <w:lang w:val="es-ES_tradnl"/>
        </w:rPr>
        <w:t xml:space="preserve">¿Qué pasaría si la ley secundaria exentara a los agentes económicos de cualquier obligación medio ambiental? </w:t>
      </w:r>
      <w:r w:rsidR="00A30351" w:rsidRPr="00847234">
        <w:rPr>
          <w:rFonts w:ascii="Arial" w:hAnsi="Arial" w:cs="Arial"/>
          <w:bCs/>
          <w:lang w:val="es-ES_tradnl"/>
        </w:rPr>
        <w:t xml:space="preserve">Una vez más, la </w:t>
      </w:r>
      <w:r w:rsidRPr="00847234">
        <w:rPr>
          <w:rFonts w:ascii="Arial" w:hAnsi="Arial" w:cs="Arial"/>
          <w:bCs/>
          <w:lang w:val="es-ES_tradnl"/>
        </w:rPr>
        <w:t>ley secundaria sería inconstitucional.</w:t>
      </w:r>
    </w:p>
    <w:p w14:paraId="379AC86D" w14:textId="326AD4B0" w:rsidR="005B5493" w:rsidRPr="00847234" w:rsidRDefault="005B5493" w:rsidP="008B0128">
      <w:pPr>
        <w:spacing w:line="360" w:lineRule="auto"/>
        <w:jc w:val="both"/>
        <w:rPr>
          <w:rFonts w:ascii="Arial" w:hAnsi="Arial" w:cs="Arial"/>
          <w:bCs/>
          <w:lang w:val="es-ES_tradnl"/>
        </w:rPr>
      </w:pPr>
    </w:p>
    <w:p w14:paraId="0B0E034E" w14:textId="2CF5920C" w:rsidR="008B0128" w:rsidRPr="00847234" w:rsidRDefault="005B5493" w:rsidP="008B0128">
      <w:pPr>
        <w:spacing w:line="360" w:lineRule="auto"/>
        <w:jc w:val="both"/>
        <w:rPr>
          <w:rFonts w:ascii="Arial" w:hAnsi="Arial" w:cs="Arial"/>
          <w:bCs/>
          <w:lang w:val="es-ES_tradnl"/>
        </w:rPr>
      </w:pPr>
      <w:r w:rsidRPr="00847234">
        <w:rPr>
          <w:rFonts w:ascii="Arial" w:hAnsi="Arial" w:cs="Arial"/>
          <w:bCs/>
          <w:lang w:val="es-ES_tradnl"/>
        </w:rPr>
        <w:t>¿Dónde ubico mi disenso?  Más allá de la</w:t>
      </w:r>
      <w:r w:rsidR="001255C8" w:rsidRPr="00847234">
        <w:rPr>
          <w:rFonts w:ascii="Arial" w:hAnsi="Arial" w:cs="Arial"/>
          <w:bCs/>
          <w:lang w:val="es-ES_tradnl"/>
        </w:rPr>
        <w:t xml:space="preserve">s tres reglas precisadas, no me parece que exista </w:t>
      </w:r>
      <w:r w:rsidR="006352C1" w:rsidRPr="00847234">
        <w:rPr>
          <w:rFonts w:ascii="Arial" w:hAnsi="Arial" w:cs="Arial"/>
          <w:bCs/>
          <w:lang w:val="es-ES_tradnl"/>
        </w:rPr>
        <w:t xml:space="preserve">una regla </w:t>
      </w:r>
      <w:r w:rsidR="008B0128" w:rsidRPr="00847234">
        <w:rPr>
          <w:rFonts w:ascii="Arial" w:hAnsi="Arial" w:cs="Arial"/>
          <w:bCs/>
          <w:lang w:val="es-ES_tradnl"/>
        </w:rPr>
        <w:t xml:space="preserve">adicional que </w:t>
      </w:r>
      <w:r w:rsidR="00C84DD8" w:rsidRPr="00847234">
        <w:rPr>
          <w:rFonts w:ascii="Arial" w:hAnsi="Arial" w:cs="Arial"/>
          <w:bCs/>
          <w:lang w:val="es-ES_tradnl"/>
        </w:rPr>
        <w:t xml:space="preserve">imponga </w:t>
      </w:r>
      <w:r w:rsidR="006A47E5" w:rsidRPr="00847234">
        <w:rPr>
          <w:rFonts w:ascii="Arial" w:hAnsi="Arial" w:cs="Arial"/>
          <w:bCs/>
          <w:lang w:val="es-ES_tradnl"/>
        </w:rPr>
        <w:t>al</w:t>
      </w:r>
      <w:r w:rsidR="008B0128" w:rsidRPr="00847234">
        <w:rPr>
          <w:rFonts w:ascii="Arial" w:hAnsi="Arial" w:cs="Arial"/>
          <w:bCs/>
          <w:lang w:val="es-ES_tradnl"/>
        </w:rPr>
        <w:t xml:space="preserve"> legislador reglamentar el mercado de generación de energía con un orden de despacho basado en un sistema de subastas y con un modelo de costos </w:t>
      </w:r>
      <w:r w:rsidR="006206A5" w:rsidRPr="00847234">
        <w:rPr>
          <w:rFonts w:ascii="Arial" w:hAnsi="Arial" w:cs="Arial"/>
          <w:bCs/>
          <w:lang w:val="es-ES_tradnl"/>
        </w:rPr>
        <w:t>marginales para</w:t>
      </w:r>
      <w:r w:rsidR="008B0128" w:rsidRPr="00847234">
        <w:rPr>
          <w:rFonts w:ascii="Arial" w:hAnsi="Arial" w:cs="Arial"/>
          <w:bCs/>
          <w:lang w:val="es-ES_tradnl"/>
        </w:rPr>
        <w:t xml:space="preserve"> contrarrestar las ventajas de infraestructura de la CFE. Tampoco </w:t>
      </w:r>
      <w:r w:rsidR="003C65AA" w:rsidRPr="00847234">
        <w:rPr>
          <w:rFonts w:ascii="Arial" w:hAnsi="Arial" w:cs="Arial"/>
          <w:bCs/>
          <w:lang w:val="es-ES_tradnl"/>
        </w:rPr>
        <w:t xml:space="preserve">veo </w:t>
      </w:r>
      <w:r w:rsidR="008B0128" w:rsidRPr="00847234">
        <w:rPr>
          <w:rFonts w:ascii="Arial" w:hAnsi="Arial" w:cs="Arial"/>
          <w:bCs/>
          <w:lang w:val="es-ES_tradnl"/>
        </w:rPr>
        <w:t>alguna regla que diga algo más minimalista</w:t>
      </w:r>
      <w:r w:rsidR="00F96BD4" w:rsidRPr="00847234">
        <w:rPr>
          <w:rFonts w:ascii="Arial" w:hAnsi="Arial" w:cs="Arial"/>
          <w:bCs/>
          <w:lang w:val="es-ES_tradnl"/>
        </w:rPr>
        <w:t xml:space="preserve"> </w:t>
      </w:r>
      <w:r w:rsidR="008B0128" w:rsidRPr="00847234">
        <w:rPr>
          <w:rFonts w:ascii="Arial" w:hAnsi="Arial" w:cs="Arial"/>
          <w:bCs/>
          <w:lang w:val="es-ES_tradnl"/>
        </w:rPr>
        <w:t>en el sentido de que el legislador deb</w:t>
      </w:r>
      <w:r w:rsidR="00217F0F" w:rsidRPr="00847234">
        <w:rPr>
          <w:rFonts w:ascii="Arial" w:hAnsi="Arial" w:cs="Arial"/>
          <w:bCs/>
          <w:lang w:val="es-ES_tradnl"/>
        </w:rPr>
        <w:t xml:space="preserve">e </w:t>
      </w:r>
      <w:r w:rsidR="008B0128" w:rsidRPr="00847234">
        <w:rPr>
          <w:rFonts w:ascii="Arial" w:hAnsi="Arial" w:cs="Arial"/>
          <w:bCs/>
          <w:lang w:val="es-ES_tradnl"/>
        </w:rPr>
        <w:t>evitar que la CFE utilice sus ventajas comparativas en su competencia con los particulares</w:t>
      </w:r>
      <w:r w:rsidR="007E7D62" w:rsidRPr="00847234">
        <w:rPr>
          <w:rFonts w:ascii="Arial" w:hAnsi="Arial" w:cs="Arial"/>
          <w:bCs/>
          <w:lang w:val="es-ES_tradnl"/>
        </w:rPr>
        <w:t>.</w:t>
      </w:r>
      <w:r w:rsidR="00F96BD4" w:rsidRPr="00847234">
        <w:rPr>
          <w:rFonts w:ascii="Arial" w:hAnsi="Arial" w:cs="Arial"/>
          <w:bCs/>
          <w:lang w:val="es-ES_tradnl"/>
        </w:rPr>
        <w:t xml:space="preserve"> </w:t>
      </w:r>
      <w:r w:rsidR="008B0128" w:rsidRPr="00847234">
        <w:rPr>
          <w:rFonts w:ascii="Arial" w:hAnsi="Arial" w:cs="Arial"/>
          <w:bCs/>
          <w:lang w:val="es-ES_tradnl"/>
        </w:rPr>
        <w:t xml:space="preserve">En otras palabras, no encuentro en el parámetro de control una regla que diga cómo </w:t>
      </w:r>
      <w:r w:rsidR="006C5FF8" w:rsidRPr="00847234">
        <w:rPr>
          <w:rFonts w:ascii="Arial" w:hAnsi="Arial" w:cs="Arial"/>
          <w:bCs/>
          <w:lang w:val="es-ES_tradnl"/>
        </w:rPr>
        <w:t xml:space="preserve">será </w:t>
      </w:r>
      <w:r w:rsidR="008B0128" w:rsidRPr="00847234">
        <w:rPr>
          <w:rFonts w:ascii="Arial" w:hAnsi="Arial" w:cs="Arial"/>
          <w:bCs/>
          <w:lang w:val="es-ES_tradnl"/>
        </w:rPr>
        <w:t>la participación de los particulares en relación con la CFE</w:t>
      </w:r>
      <w:r w:rsidR="009065A2" w:rsidRPr="00847234">
        <w:rPr>
          <w:rFonts w:ascii="Arial" w:hAnsi="Arial" w:cs="Arial"/>
          <w:bCs/>
          <w:lang w:val="es-ES_tradnl"/>
        </w:rPr>
        <w:t>, con todo y que ese</w:t>
      </w:r>
      <w:r w:rsidR="003072C7" w:rsidRPr="00847234">
        <w:rPr>
          <w:rFonts w:ascii="Arial" w:hAnsi="Arial" w:cs="Arial"/>
          <w:bCs/>
          <w:lang w:val="es-ES_tradnl"/>
        </w:rPr>
        <w:t xml:space="preserve"> </w:t>
      </w:r>
      <w:r w:rsidR="009065A2" w:rsidRPr="00847234">
        <w:rPr>
          <w:rFonts w:ascii="Arial" w:hAnsi="Arial" w:cs="Arial"/>
          <w:bCs/>
          <w:lang w:val="es-ES_tradnl"/>
        </w:rPr>
        <w:t xml:space="preserve">comportamiento no sea </w:t>
      </w:r>
      <w:r w:rsidR="001B314E" w:rsidRPr="00847234">
        <w:rPr>
          <w:rFonts w:ascii="Arial" w:hAnsi="Arial" w:cs="Arial"/>
          <w:bCs/>
          <w:lang w:val="es-ES_tradnl"/>
        </w:rPr>
        <w:t>-como</w:t>
      </w:r>
      <w:r w:rsidR="00176A23">
        <w:rPr>
          <w:rFonts w:ascii="Arial" w:hAnsi="Arial" w:cs="Arial"/>
          <w:bCs/>
          <w:lang w:val="es-ES_tradnl"/>
        </w:rPr>
        <w:t xml:space="preserve"> es visible-</w:t>
      </w:r>
      <w:r w:rsidR="001B314E" w:rsidRPr="00847234">
        <w:rPr>
          <w:rFonts w:ascii="Arial" w:hAnsi="Arial" w:cs="Arial"/>
          <w:bCs/>
          <w:lang w:val="es-ES_tradnl"/>
        </w:rPr>
        <w:t xml:space="preserve"> </w:t>
      </w:r>
      <w:r w:rsidR="009065A2" w:rsidRPr="00847234">
        <w:rPr>
          <w:rFonts w:ascii="Arial" w:hAnsi="Arial" w:cs="Arial"/>
          <w:bCs/>
          <w:lang w:val="es-ES_tradnl"/>
        </w:rPr>
        <w:t xml:space="preserve">indiferente a la Constitución. </w:t>
      </w:r>
      <w:r w:rsidR="007E7D62" w:rsidRPr="00847234">
        <w:rPr>
          <w:rFonts w:ascii="Arial" w:hAnsi="Arial" w:cs="Arial"/>
          <w:bCs/>
          <w:lang w:val="es-ES_tradnl"/>
        </w:rPr>
        <w:t xml:space="preserve">Como la Constitución no contempla esas bases mínimas, en mi opinión, la argumentación de la mayoría utiliza los contenidos de los preceptos </w:t>
      </w:r>
      <w:r w:rsidR="003534B1" w:rsidRPr="00847234">
        <w:rPr>
          <w:rFonts w:ascii="Arial" w:hAnsi="Arial" w:cs="Arial"/>
          <w:bCs/>
          <w:lang w:val="es-ES_tradnl"/>
        </w:rPr>
        <w:t>derogados,</w:t>
      </w:r>
      <w:r w:rsidR="007E7D62" w:rsidRPr="00847234">
        <w:rPr>
          <w:rFonts w:ascii="Arial" w:hAnsi="Arial" w:cs="Arial"/>
          <w:bCs/>
          <w:lang w:val="es-ES_tradnl"/>
        </w:rPr>
        <w:t xml:space="preserve"> lo cual rechazo, pues ello implicaría </w:t>
      </w:r>
      <w:r w:rsidR="003534B1" w:rsidRPr="00847234">
        <w:rPr>
          <w:rFonts w:ascii="Arial" w:hAnsi="Arial" w:cs="Arial"/>
          <w:bCs/>
          <w:lang w:val="es-ES_tradnl"/>
        </w:rPr>
        <w:t xml:space="preserve">convertir </w:t>
      </w:r>
      <w:r w:rsidR="007E7D62" w:rsidRPr="00847234">
        <w:rPr>
          <w:rFonts w:ascii="Arial" w:hAnsi="Arial" w:cs="Arial"/>
          <w:bCs/>
          <w:lang w:val="es-ES_tradnl"/>
        </w:rPr>
        <w:t xml:space="preserve">la ley </w:t>
      </w:r>
      <w:r w:rsidR="003534B1" w:rsidRPr="00847234">
        <w:rPr>
          <w:rFonts w:ascii="Arial" w:hAnsi="Arial" w:cs="Arial"/>
          <w:bCs/>
          <w:lang w:val="es-ES_tradnl"/>
        </w:rPr>
        <w:t xml:space="preserve">derogada en </w:t>
      </w:r>
      <w:r w:rsidR="007E7D62" w:rsidRPr="00847234">
        <w:rPr>
          <w:rFonts w:ascii="Arial" w:hAnsi="Arial" w:cs="Arial"/>
          <w:bCs/>
          <w:lang w:val="es-ES_tradnl"/>
        </w:rPr>
        <w:t>parámetro de control.</w:t>
      </w:r>
    </w:p>
    <w:p w14:paraId="33A182D5" w14:textId="77777777" w:rsidR="008B0128" w:rsidRPr="00847234" w:rsidRDefault="008B0128" w:rsidP="008B0128">
      <w:pPr>
        <w:spacing w:line="360" w:lineRule="auto"/>
        <w:jc w:val="both"/>
        <w:rPr>
          <w:rFonts w:ascii="Arial" w:hAnsi="Arial" w:cs="Arial"/>
          <w:bCs/>
          <w:lang w:val="es-ES_tradnl"/>
        </w:rPr>
      </w:pPr>
    </w:p>
    <w:p w14:paraId="5A9CA75B" w14:textId="47D82723" w:rsidR="008B0128" w:rsidRPr="00847234" w:rsidRDefault="008B0128" w:rsidP="008B0128">
      <w:pPr>
        <w:spacing w:line="360" w:lineRule="auto"/>
        <w:jc w:val="both"/>
        <w:rPr>
          <w:rFonts w:ascii="Arial" w:hAnsi="Arial" w:cs="Arial"/>
          <w:bCs/>
          <w:lang w:val="es-ES_tradnl"/>
        </w:rPr>
      </w:pPr>
      <w:r w:rsidRPr="00847234">
        <w:rPr>
          <w:rFonts w:ascii="Arial" w:hAnsi="Arial" w:cs="Arial"/>
          <w:bCs/>
          <w:lang w:val="es-ES_tradnl"/>
        </w:rPr>
        <w:t>¿La Constitución prefiere un sistema de subastas sobre uno de contratos? ¿Prefiere un modelo de costos marginales sobre uno de costos unitarios? ¿Prefiere uno en que las centrales legadas y legadas externas no tengan prioridad de acceso a la red eléctrica nacional?</w:t>
      </w:r>
      <w:r w:rsidR="00F47B16" w:rsidRPr="00847234">
        <w:rPr>
          <w:rFonts w:ascii="Arial" w:hAnsi="Arial" w:cs="Arial"/>
          <w:bCs/>
          <w:lang w:val="es-ES_tradnl"/>
        </w:rPr>
        <w:t xml:space="preserve"> </w:t>
      </w:r>
      <w:r w:rsidRPr="00847234">
        <w:rPr>
          <w:rFonts w:ascii="Arial" w:hAnsi="Arial" w:cs="Arial"/>
          <w:bCs/>
          <w:lang w:val="es-ES_tradnl"/>
        </w:rPr>
        <w:t xml:space="preserve">En mi opinión, </w:t>
      </w:r>
      <w:r w:rsidR="009937E4" w:rsidRPr="00847234">
        <w:rPr>
          <w:rFonts w:ascii="Arial" w:hAnsi="Arial" w:cs="Arial"/>
          <w:bCs/>
          <w:lang w:val="es-ES_tradnl"/>
        </w:rPr>
        <w:t xml:space="preserve">es evidente que </w:t>
      </w:r>
      <w:r w:rsidRPr="00847234">
        <w:rPr>
          <w:rFonts w:ascii="Arial" w:hAnsi="Arial" w:cs="Arial"/>
          <w:bCs/>
          <w:lang w:val="es-ES_tradnl"/>
        </w:rPr>
        <w:t>la Constitución no pretende responder</w:t>
      </w:r>
      <w:r w:rsidR="00383521" w:rsidRPr="00847234">
        <w:rPr>
          <w:rFonts w:ascii="Arial" w:hAnsi="Arial" w:cs="Arial"/>
          <w:bCs/>
          <w:lang w:val="es-ES_tradnl"/>
        </w:rPr>
        <w:t xml:space="preserve"> </w:t>
      </w:r>
      <w:r w:rsidRPr="00847234">
        <w:rPr>
          <w:rFonts w:ascii="Arial" w:hAnsi="Arial" w:cs="Arial"/>
          <w:bCs/>
          <w:lang w:val="es-ES_tradnl"/>
        </w:rPr>
        <w:t xml:space="preserve">estas importantes preguntas de política pública. Más bien, delega al legislador secundario </w:t>
      </w:r>
      <w:r w:rsidR="00B16EB3" w:rsidRPr="00847234">
        <w:rPr>
          <w:rFonts w:ascii="Arial" w:hAnsi="Arial" w:cs="Arial"/>
          <w:bCs/>
          <w:lang w:val="es-ES_tradnl"/>
        </w:rPr>
        <w:t xml:space="preserve">esas respuestas </w:t>
      </w:r>
      <w:r w:rsidR="00751E3C" w:rsidRPr="00847234">
        <w:rPr>
          <w:rFonts w:ascii="Arial" w:hAnsi="Arial" w:cs="Arial"/>
          <w:bCs/>
          <w:lang w:val="es-ES_tradnl"/>
        </w:rPr>
        <w:t xml:space="preserve">para </w:t>
      </w:r>
      <w:r w:rsidR="00B16EB3" w:rsidRPr="00847234">
        <w:rPr>
          <w:rFonts w:ascii="Arial" w:hAnsi="Arial" w:cs="Arial"/>
          <w:bCs/>
          <w:lang w:val="es-ES_tradnl"/>
        </w:rPr>
        <w:t xml:space="preserve">que sea el justamente </w:t>
      </w:r>
      <w:r w:rsidR="00A87F0F" w:rsidRPr="00847234">
        <w:rPr>
          <w:rFonts w:ascii="Arial" w:hAnsi="Arial" w:cs="Arial"/>
          <w:bCs/>
          <w:lang w:val="es-ES_tradnl"/>
        </w:rPr>
        <w:t xml:space="preserve">él </w:t>
      </w:r>
      <w:r w:rsidR="008F43C0" w:rsidRPr="00847234">
        <w:rPr>
          <w:rFonts w:ascii="Arial" w:hAnsi="Arial" w:cs="Arial"/>
          <w:bCs/>
          <w:lang w:val="es-ES_tradnl"/>
        </w:rPr>
        <w:t xml:space="preserve">quien materialice </w:t>
      </w:r>
      <w:r w:rsidRPr="00847234">
        <w:rPr>
          <w:rFonts w:ascii="Arial" w:hAnsi="Arial" w:cs="Arial"/>
          <w:bCs/>
          <w:lang w:val="es-ES_tradnl"/>
        </w:rPr>
        <w:t>ciertos principios, entre ellos, el de competitividad y libre mercado.</w:t>
      </w:r>
      <w:r w:rsidR="00C51375" w:rsidRPr="00847234">
        <w:rPr>
          <w:rFonts w:ascii="Arial" w:hAnsi="Arial" w:cs="Arial"/>
          <w:bCs/>
          <w:lang w:val="es-ES_tradnl"/>
        </w:rPr>
        <w:t xml:space="preserve"> De ahí la importancia de </w:t>
      </w:r>
      <w:r w:rsidR="00CA69EC" w:rsidRPr="00847234">
        <w:rPr>
          <w:rFonts w:ascii="Arial" w:hAnsi="Arial" w:cs="Arial"/>
          <w:bCs/>
          <w:lang w:val="es-ES_tradnl"/>
        </w:rPr>
        <w:t>insistir en que</w:t>
      </w:r>
      <w:r w:rsidR="00C51375" w:rsidRPr="00847234">
        <w:rPr>
          <w:rFonts w:ascii="Arial" w:hAnsi="Arial" w:cs="Arial"/>
          <w:bCs/>
          <w:lang w:val="es-ES_tradnl"/>
        </w:rPr>
        <w:t xml:space="preserve"> no estamos frente a una regla, sino</w:t>
      </w:r>
      <w:r w:rsidR="008F43C0" w:rsidRPr="00847234">
        <w:rPr>
          <w:rFonts w:ascii="Arial" w:hAnsi="Arial" w:cs="Arial"/>
          <w:bCs/>
          <w:lang w:val="es-ES_tradnl"/>
        </w:rPr>
        <w:t xml:space="preserve"> </w:t>
      </w:r>
      <w:r w:rsidR="00C51375" w:rsidRPr="00847234">
        <w:rPr>
          <w:rFonts w:ascii="Arial" w:hAnsi="Arial" w:cs="Arial"/>
          <w:bCs/>
          <w:lang w:val="es-ES_tradnl"/>
        </w:rPr>
        <w:t>a</w:t>
      </w:r>
      <w:r w:rsidR="008F43C0" w:rsidRPr="00847234">
        <w:rPr>
          <w:rFonts w:ascii="Arial" w:hAnsi="Arial" w:cs="Arial"/>
          <w:bCs/>
          <w:lang w:val="es-ES_tradnl"/>
        </w:rPr>
        <w:t xml:space="preserve">nte un </w:t>
      </w:r>
      <w:r w:rsidR="00C51375" w:rsidRPr="00847234">
        <w:rPr>
          <w:rFonts w:ascii="Arial" w:hAnsi="Arial" w:cs="Arial"/>
          <w:bCs/>
          <w:lang w:val="es-ES_tradnl"/>
        </w:rPr>
        <w:t>principio.</w:t>
      </w:r>
    </w:p>
    <w:p w14:paraId="46CD46FE" w14:textId="77777777" w:rsidR="008B0128" w:rsidRPr="00847234" w:rsidRDefault="008B0128" w:rsidP="008B0128">
      <w:pPr>
        <w:spacing w:line="360" w:lineRule="auto"/>
        <w:jc w:val="both"/>
        <w:rPr>
          <w:rFonts w:ascii="Arial" w:hAnsi="Arial" w:cs="Arial"/>
          <w:bCs/>
          <w:lang w:val="es-ES_tradnl"/>
        </w:rPr>
      </w:pPr>
    </w:p>
    <w:p w14:paraId="4C295E8E" w14:textId="4CA3B42A" w:rsidR="008B0128" w:rsidRPr="00847234" w:rsidRDefault="008F43C0" w:rsidP="008B0128">
      <w:pPr>
        <w:spacing w:line="360" w:lineRule="auto"/>
        <w:jc w:val="both"/>
        <w:rPr>
          <w:rFonts w:ascii="Arial" w:hAnsi="Arial" w:cs="Arial"/>
          <w:bCs/>
          <w:lang w:val="es-ES_tradnl"/>
        </w:rPr>
      </w:pPr>
      <w:r w:rsidRPr="00847234">
        <w:rPr>
          <w:rFonts w:ascii="Arial" w:hAnsi="Arial" w:cs="Arial"/>
          <w:bCs/>
          <w:lang w:val="es-ES_tradnl"/>
        </w:rPr>
        <w:t xml:space="preserve">Evidentemente no </w:t>
      </w:r>
      <w:r w:rsidR="001A3480" w:rsidRPr="00847234">
        <w:rPr>
          <w:rFonts w:ascii="Arial" w:hAnsi="Arial" w:cs="Arial"/>
          <w:bCs/>
          <w:lang w:val="es-ES_tradnl"/>
        </w:rPr>
        <w:t xml:space="preserve">estoy </w:t>
      </w:r>
      <w:r w:rsidR="003534B1" w:rsidRPr="00847234">
        <w:rPr>
          <w:rFonts w:ascii="Arial" w:hAnsi="Arial" w:cs="Arial"/>
          <w:bCs/>
          <w:lang w:val="es-ES_tradnl"/>
        </w:rPr>
        <w:t xml:space="preserve">sugiriendo </w:t>
      </w:r>
      <w:r w:rsidR="001A3480" w:rsidRPr="00847234">
        <w:rPr>
          <w:rFonts w:ascii="Arial" w:hAnsi="Arial" w:cs="Arial"/>
          <w:bCs/>
          <w:lang w:val="es-ES_tradnl"/>
        </w:rPr>
        <w:t>que la Constitución deb</w:t>
      </w:r>
      <w:r w:rsidR="0053508B" w:rsidRPr="00847234">
        <w:rPr>
          <w:rFonts w:ascii="Arial" w:hAnsi="Arial" w:cs="Arial"/>
          <w:bCs/>
          <w:lang w:val="es-ES_tradnl"/>
        </w:rPr>
        <w:t>a</w:t>
      </w:r>
      <w:r w:rsidR="007A4CB9" w:rsidRPr="00847234">
        <w:rPr>
          <w:rFonts w:ascii="Arial" w:hAnsi="Arial" w:cs="Arial"/>
          <w:bCs/>
          <w:lang w:val="es-ES_tradnl"/>
        </w:rPr>
        <w:t xml:space="preserve"> contemplar </w:t>
      </w:r>
      <w:r w:rsidR="001A3480" w:rsidRPr="00847234">
        <w:rPr>
          <w:rFonts w:ascii="Arial" w:hAnsi="Arial" w:cs="Arial"/>
          <w:bCs/>
          <w:lang w:val="es-ES_tradnl"/>
        </w:rPr>
        <w:t>una regla para la cuestión que tratamos</w:t>
      </w:r>
      <w:r w:rsidR="00B56E63" w:rsidRPr="00847234">
        <w:rPr>
          <w:rFonts w:ascii="Arial" w:hAnsi="Arial" w:cs="Arial"/>
          <w:bCs/>
          <w:lang w:val="es-ES_tradnl"/>
        </w:rPr>
        <w:t xml:space="preserve">; </w:t>
      </w:r>
      <w:r w:rsidR="001A3480" w:rsidRPr="00847234">
        <w:rPr>
          <w:rFonts w:ascii="Arial" w:hAnsi="Arial" w:cs="Arial"/>
          <w:bCs/>
          <w:lang w:val="es-ES_tradnl"/>
        </w:rPr>
        <w:t xml:space="preserve">las respuestas constitucionales </w:t>
      </w:r>
      <w:r w:rsidR="00CC5CA9" w:rsidRPr="00847234">
        <w:rPr>
          <w:rFonts w:ascii="Arial" w:hAnsi="Arial" w:cs="Arial"/>
          <w:bCs/>
          <w:lang w:val="es-ES_tradnl"/>
        </w:rPr>
        <w:t xml:space="preserve">eventualmente se </w:t>
      </w:r>
      <w:r w:rsidR="001A3480" w:rsidRPr="00847234">
        <w:rPr>
          <w:rFonts w:ascii="Arial" w:hAnsi="Arial" w:cs="Arial"/>
          <w:bCs/>
          <w:lang w:val="es-ES_tradnl"/>
        </w:rPr>
        <w:t>extraer</w:t>
      </w:r>
      <w:r w:rsidR="00CC5CA9" w:rsidRPr="00847234">
        <w:rPr>
          <w:rFonts w:ascii="Arial" w:hAnsi="Arial" w:cs="Arial"/>
          <w:bCs/>
          <w:lang w:val="es-ES_tradnl"/>
        </w:rPr>
        <w:t xml:space="preserve">án </w:t>
      </w:r>
      <w:r w:rsidR="001A3480" w:rsidRPr="00847234">
        <w:rPr>
          <w:rFonts w:ascii="Arial" w:hAnsi="Arial" w:cs="Arial"/>
          <w:bCs/>
          <w:lang w:val="es-ES_tradnl"/>
        </w:rPr>
        <w:t>implícitamente de su texto</w:t>
      </w:r>
      <w:r w:rsidR="0053508B" w:rsidRPr="00847234">
        <w:rPr>
          <w:rFonts w:ascii="Arial" w:hAnsi="Arial" w:cs="Arial"/>
          <w:bCs/>
          <w:lang w:val="es-ES_tradnl"/>
        </w:rPr>
        <w:t>:</w:t>
      </w:r>
      <w:r w:rsidR="001A3480" w:rsidRPr="00847234">
        <w:rPr>
          <w:rFonts w:ascii="Arial" w:hAnsi="Arial" w:cs="Arial"/>
          <w:bCs/>
          <w:lang w:val="es-ES_tradnl"/>
        </w:rPr>
        <w:t xml:space="preserve"> muchas veces la solución constitucional </w:t>
      </w:r>
      <w:r w:rsidR="006A4851" w:rsidRPr="00847234">
        <w:rPr>
          <w:rFonts w:ascii="Arial" w:hAnsi="Arial" w:cs="Arial"/>
          <w:bCs/>
          <w:lang w:val="es-ES_tradnl"/>
        </w:rPr>
        <w:t>aparece</w:t>
      </w:r>
      <w:r w:rsidR="009153FE" w:rsidRPr="00847234">
        <w:rPr>
          <w:rFonts w:ascii="Arial" w:hAnsi="Arial" w:cs="Arial"/>
          <w:bCs/>
          <w:lang w:val="es-ES_tradnl"/>
        </w:rPr>
        <w:t xml:space="preserve">rá </w:t>
      </w:r>
      <w:r w:rsidR="00DF0FE8" w:rsidRPr="00847234">
        <w:rPr>
          <w:rFonts w:ascii="Arial" w:hAnsi="Arial" w:cs="Arial"/>
          <w:bCs/>
          <w:lang w:val="es-ES_tradnl"/>
        </w:rPr>
        <w:t>de</w:t>
      </w:r>
      <w:r w:rsidR="009153FE" w:rsidRPr="00847234">
        <w:rPr>
          <w:rFonts w:ascii="Arial" w:hAnsi="Arial" w:cs="Arial"/>
          <w:bCs/>
          <w:lang w:val="es-ES_tradnl"/>
        </w:rPr>
        <w:t xml:space="preserve">sde </w:t>
      </w:r>
      <w:r w:rsidR="001A3480" w:rsidRPr="00847234">
        <w:rPr>
          <w:rFonts w:ascii="Arial" w:hAnsi="Arial" w:cs="Arial"/>
          <w:bCs/>
          <w:lang w:val="es-ES_tradnl"/>
        </w:rPr>
        <w:t xml:space="preserve">un principio genérico. Sin embargo, </w:t>
      </w:r>
      <w:r w:rsidR="00A379BE" w:rsidRPr="00847234">
        <w:rPr>
          <w:rFonts w:ascii="Arial" w:hAnsi="Arial" w:cs="Arial"/>
          <w:bCs/>
          <w:lang w:val="es-ES_tradnl"/>
        </w:rPr>
        <w:t xml:space="preserve">aun </w:t>
      </w:r>
      <w:r w:rsidR="001A3480" w:rsidRPr="00847234">
        <w:rPr>
          <w:rFonts w:ascii="Arial" w:hAnsi="Arial" w:cs="Arial"/>
          <w:bCs/>
          <w:lang w:val="es-ES_tradnl"/>
        </w:rPr>
        <w:t>con estas metodologías</w:t>
      </w:r>
      <w:r w:rsidR="00B56E63" w:rsidRPr="00847234">
        <w:rPr>
          <w:rFonts w:ascii="Arial" w:hAnsi="Arial" w:cs="Arial"/>
          <w:bCs/>
          <w:lang w:val="es-ES_tradnl"/>
        </w:rPr>
        <w:t>,</w:t>
      </w:r>
      <w:r w:rsidR="001A3480" w:rsidRPr="00847234">
        <w:rPr>
          <w:rFonts w:ascii="Arial" w:hAnsi="Arial" w:cs="Arial"/>
          <w:bCs/>
          <w:lang w:val="es-ES_tradnl"/>
        </w:rPr>
        <w:t xml:space="preserve"> </w:t>
      </w:r>
      <w:r w:rsidR="00A379BE" w:rsidRPr="00847234">
        <w:rPr>
          <w:rFonts w:ascii="Arial" w:hAnsi="Arial" w:cs="Arial"/>
          <w:bCs/>
          <w:lang w:val="es-ES_tradnl"/>
        </w:rPr>
        <w:t xml:space="preserve">no </w:t>
      </w:r>
      <w:r w:rsidR="001A3480" w:rsidRPr="00847234">
        <w:rPr>
          <w:rFonts w:ascii="Arial" w:hAnsi="Arial" w:cs="Arial"/>
          <w:bCs/>
          <w:lang w:val="es-ES_tradnl"/>
        </w:rPr>
        <w:t xml:space="preserve">es posible </w:t>
      </w:r>
      <w:r w:rsidR="009153FE" w:rsidRPr="00847234">
        <w:rPr>
          <w:rFonts w:ascii="Arial" w:hAnsi="Arial" w:cs="Arial"/>
          <w:bCs/>
          <w:lang w:val="es-ES_tradnl"/>
        </w:rPr>
        <w:t xml:space="preserve">deducir </w:t>
      </w:r>
      <w:r w:rsidR="001A3480" w:rsidRPr="00847234">
        <w:rPr>
          <w:rFonts w:ascii="Arial" w:hAnsi="Arial" w:cs="Arial"/>
          <w:bCs/>
          <w:lang w:val="es-ES_tradnl"/>
        </w:rPr>
        <w:t xml:space="preserve">una solución constitucional </w:t>
      </w:r>
      <w:r w:rsidR="00BF5996" w:rsidRPr="00847234">
        <w:rPr>
          <w:rFonts w:ascii="Arial" w:hAnsi="Arial" w:cs="Arial"/>
          <w:bCs/>
          <w:lang w:val="es-ES_tradnl"/>
        </w:rPr>
        <w:t>para l</w:t>
      </w:r>
      <w:r w:rsidR="00433D53" w:rsidRPr="00847234">
        <w:rPr>
          <w:rFonts w:ascii="Arial" w:hAnsi="Arial" w:cs="Arial"/>
          <w:bCs/>
          <w:lang w:val="es-ES_tradnl"/>
        </w:rPr>
        <w:t>a irregularidad de los preceptos impugnados</w:t>
      </w:r>
      <w:r w:rsidR="002040F0" w:rsidRPr="00847234">
        <w:rPr>
          <w:rFonts w:ascii="Arial" w:hAnsi="Arial" w:cs="Arial"/>
          <w:bCs/>
          <w:lang w:val="es-ES_tradnl"/>
        </w:rPr>
        <w:t xml:space="preserve"> desde la perspectiva del mercado y la libre concurrencia. </w:t>
      </w:r>
      <w:r w:rsidR="001A3480" w:rsidRPr="00847234">
        <w:rPr>
          <w:rFonts w:ascii="Arial" w:hAnsi="Arial" w:cs="Arial"/>
          <w:bCs/>
          <w:lang w:val="es-ES_tradnl"/>
        </w:rPr>
        <w:t xml:space="preserve">La solución constitucional es delegarle esta </w:t>
      </w:r>
      <w:r w:rsidR="00257C83" w:rsidRPr="00847234">
        <w:rPr>
          <w:rFonts w:ascii="Arial" w:hAnsi="Arial" w:cs="Arial"/>
          <w:bCs/>
          <w:lang w:val="es-ES_tradnl"/>
        </w:rPr>
        <w:t xml:space="preserve">tarea </w:t>
      </w:r>
      <w:r w:rsidR="001A3480" w:rsidRPr="00847234">
        <w:rPr>
          <w:rFonts w:ascii="Arial" w:hAnsi="Arial" w:cs="Arial"/>
          <w:bCs/>
          <w:lang w:val="es-ES_tradnl"/>
        </w:rPr>
        <w:t>al legislador</w:t>
      </w:r>
      <w:r w:rsidR="00811401" w:rsidRPr="00847234">
        <w:rPr>
          <w:rFonts w:ascii="Arial" w:hAnsi="Arial" w:cs="Arial"/>
          <w:bCs/>
          <w:lang w:val="es-ES_tradnl"/>
        </w:rPr>
        <w:t xml:space="preserve">, quien </w:t>
      </w:r>
      <w:r w:rsidR="00B1623F" w:rsidRPr="00847234">
        <w:rPr>
          <w:rFonts w:ascii="Arial" w:hAnsi="Arial" w:cs="Arial"/>
          <w:bCs/>
          <w:lang w:val="es-ES_tradnl"/>
        </w:rPr>
        <w:t>debe reglamentar</w:t>
      </w:r>
      <w:r w:rsidR="008B0128" w:rsidRPr="00847234">
        <w:rPr>
          <w:rFonts w:ascii="Arial" w:hAnsi="Arial" w:cs="Arial"/>
          <w:bCs/>
          <w:lang w:val="es-ES_tradnl"/>
        </w:rPr>
        <w:t xml:space="preserve"> el mercado de generación de energía eléctrica. </w:t>
      </w:r>
      <w:r w:rsidR="00C51375" w:rsidRPr="00847234">
        <w:rPr>
          <w:rFonts w:ascii="Arial" w:hAnsi="Arial" w:cs="Arial"/>
          <w:bCs/>
          <w:lang w:val="es-ES_tradnl"/>
        </w:rPr>
        <w:t>De ahí que sea</w:t>
      </w:r>
      <w:r w:rsidR="008B0128" w:rsidRPr="00847234">
        <w:rPr>
          <w:rFonts w:ascii="Arial" w:hAnsi="Arial" w:cs="Arial"/>
          <w:bCs/>
          <w:lang w:val="es-ES_tradnl"/>
        </w:rPr>
        <w:t xml:space="preserve"> un mercado regulado </w:t>
      </w:r>
      <w:r w:rsidR="008B0128" w:rsidRPr="00847234">
        <w:rPr>
          <w:rFonts w:ascii="Arial" w:hAnsi="Arial" w:cs="Arial"/>
          <w:bCs/>
          <w:lang w:val="es-ES_tradnl"/>
        </w:rPr>
        <w:lastRenderedPageBreak/>
        <w:t xml:space="preserve">y no un mercado dejado a la suerte del derecho privado. </w:t>
      </w:r>
      <w:r w:rsidR="00A379BE" w:rsidRPr="00847234">
        <w:rPr>
          <w:rFonts w:ascii="Arial" w:hAnsi="Arial" w:cs="Arial"/>
          <w:bCs/>
          <w:lang w:val="es-ES_tradnl"/>
        </w:rPr>
        <w:t>Si e</w:t>
      </w:r>
      <w:r w:rsidR="00B44856" w:rsidRPr="00847234">
        <w:rPr>
          <w:rFonts w:ascii="Arial" w:hAnsi="Arial" w:cs="Arial"/>
          <w:bCs/>
          <w:lang w:val="es-ES_tradnl"/>
        </w:rPr>
        <w:t xml:space="preserve">l legislador no excede sus facultades </w:t>
      </w:r>
      <w:r w:rsidR="00A379BE" w:rsidRPr="00847234">
        <w:rPr>
          <w:rFonts w:ascii="Arial" w:hAnsi="Arial" w:cs="Arial"/>
          <w:bCs/>
          <w:lang w:val="es-ES_tradnl"/>
        </w:rPr>
        <w:t>y</w:t>
      </w:r>
      <w:r w:rsidR="00B44856" w:rsidRPr="00847234">
        <w:rPr>
          <w:rFonts w:ascii="Arial" w:hAnsi="Arial" w:cs="Arial"/>
          <w:bCs/>
          <w:lang w:val="es-ES_tradnl"/>
        </w:rPr>
        <w:t xml:space="preserve"> toma decisiones racionales al respecto de este ámbito de competenci</w:t>
      </w:r>
      <w:r w:rsidR="00A379BE" w:rsidRPr="00847234">
        <w:rPr>
          <w:rFonts w:ascii="Arial" w:hAnsi="Arial" w:cs="Arial"/>
          <w:bCs/>
          <w:lang w:val="es-ES_tradnl"/>
        </w:rPr>
        <w:t>a, no hay lugar para la inconstitucionalidad</w:t>
      </w:r>
      <w:r w:rsidR="00B44856" w:rsidRPr="00847234">
        <w:rPr>
          <w:rFonts w:ascii="Arial" w:hAnsi="Arial" w:cs="Arial"/>
          <w:bCs/>
          <w:lang w:val="es-ES_tradnl"/>
        </w:rPr>
        <w:t xml:space="preserve">. </w:t>
      </w:r>
    </w:p>
    <w:p w14:paraId="6A1D5715" w14:textId="77777777" w:rsidR="008B0128" w:rsidRPr="00847234" w:rsidRDefault="008B0128" w:rsidP="008B0128">
      <w:pPr>
        <w:spacing w:line="360" w:lineRule="auto"/>
        <w:jc w:val="both"/>
        <w:rPr>
          <w:rFonts w:ascii="Arial" w:hAnsi="Arial" w:cs="Arial"/>
          <w:bCs/>
          <w:lang w:val="es-ES_tradnl"/>
        </w:rPr>
      </w:pPr>
    </w:p>
    <w:p w14:paraId="02A2B73F" w14:textId="6902675D" w:rsidR="008B0128" w:rsidRPr="00847234" w:rsidRDefault="008B0128" w:rsidP="008B0128">
      <w:pPr>
        <w:spacing w:line="360" w:lineRule="auto"/>
        <w:jc w:val="both"/>
        <w:rPr>
          <w:rFonts w:ascii="Arial" w:hAnsi="Arial" w:cs="Arial"/>
          <w:bCs/>
          <w:lang w:val="es-ES_tradnl"/>
        </w:rPr>
      </w:pPr>
      <w:r w:rsidRPr="00847234">
        <w:rPr>
          <w:rFonts w:ascii="Arial" w:hAnsi="Arial" w:cs="Arial"/>
          <w:bCs/>
          <w:lang w:val="es-ES_tradnl"/>
        </w:rPr>
        <w:t xml:space="preserve">¿Cuál es la diferencia entre un mercado regulado y uno no regulado? Este Pleno </w:t>
      </w:r>
      <w:r w:rsidR="00465046" w:rsidRPr="00847234">
        <w:rPr>
          <w:rFonts w:ascii="Arial" w:hAnsi="Arial" w:cs="Arial"/>
          <w:bCs/>
          <w:lang w:val="es-ES_tradnl"/>
        </w:rPr>
        <w:t>ya la ha reconocido cuando resolvió</w:t>
      </w:r>
      <w:r w:rsidRPr="00847234">
        <w:rPr>
          <w:rFonts w:ascii="Arial" w:hAnsi="Arial" w:cs="Arial"/>
          <w:bCs/>
          <w:lang w:val="es-ES_tradnl"/>
        </w:rPr>
        <w:t xml:space="preserve"> la Acción de Inconstitucionalidad 98/2018</w:t>
      </w:r>
      <w:r w:rsidR="00465046" w:rsidRPr="00847234">
        <w:rPr>
          <w:rFonts w:ascii="Arial" w:hAnsi="Arial" w:cs="Arial"/>
          <w:bCs/>
          <w:lang w:val="es-ES_tradnl"/>
        </w:rPr>
        <w:t>, donde dijo:</w:t>
      </w:r>
      <w:r w:rsidRPr="00847234">
        <w:rPr>
          <w:rFonts w:ascii="Arial" w:hAnsi="Arial" w:cs="Arial"/>
          <w:bCs/>
          <w:lang w:val="es-ES_tradnl"/>
        </w:rPr>
        <w:t xml:space="preserve"> </w:t>
      </w:r>
    </w:p>
    <w:p w14:paraId="375C8D9B" w14:textId="77777777" w:rsidR="008B0128" w:rsidRPr="00847234" w:rsidRDefault="008B0128" w:rsidP="008B0128">
      <w:pPr>
        <w:spacing w:line="360" w:lineRule="auto"/>
        <w:jc w:val="both"/>
        <w:rPr>
          <w:rFonts w:ascii="Arial" w:hAnsi="Arial" w:cs="Arial"/>
          <w:bCs/>
          <w:lang w:val="es-ES_tradnl"/>
        </w:rPr>
      </w:pPr>
    </w:p>
    <w:p w14:paraId="74B1431B" w14:textId="77777777" w:rsidR="008B0128" w:rsidRPr="00847234" w:rsidRDefault="008B0128" w:rsidP="008B0128">
      <w:pPr>
        <w:spacing w:line="360" w:lineRule="auto"/>
        <w:jc w:val="both"/>
        <w:rPr>
          <w:rFonts w:ascii="Arial" w:hAnsi="Arial" w:cs="Arial"/>
          <w:bCs/>
          <w:i/>
          <w:iCs/>
          <w:lang w:val="es-ES_tradnl"/>
        </w:rPr>
      </w:pPr>
      <w:r w:rsidRPr="00847234">
        <w:rPr>
          <w:rFonts w:ascii="Arial" w:hAnsi="Arial" w:cs="Arial"/>
          <w:bCs/>
          <w:i/>
          <w:iCs/>
          <w:lang w:val="es-ES_tradnl"/>
        </w:rPr>
        <w:t xml:space="preserve">“Los regulados son aquellos cuyo ingreso y operación requiere de permisos, licencias o concesiones otorgados por las autoridades, y los no regulados son aquellos que se sujetan al derecho privado. Ejemplo de los regulados son el mercado de tránsito público o el de telecomunicaciones. Ejemplo de no regulados son los de la comida y el de la ropa. Así, la diferencia entre ambos tipos de mercados es que, en los regulados, el Estado diseña y opera su estructura; mientras que, en los no regulados, esta función recae en las libertades económicas de los participantes. </w:t>
      </w:r>
    </w:p>
    <w:p w14:paraId="4F6864CF" w14:textId="77777777" w:rsidR="008B0128" w:rsidRPr="00847234" w:rsidRDefault="008B0128" w:rsidP="008B0128">
      <w:pPr>
        <w:spacing w:line="360" w:lineRule="auto"/>
        <w:jc w:val="both"/>
        <w:rPr>
          <w:rFonts w:ascii="Arial" w:hAnsi="Arial" w:cs="Arial"/>
          <w:bCs/>
          <w:i/>
          <w:iCs/>
          <w:lang w:val="es-ES_tradnl"/>
        </w:rPr>
      </w:pPr>
    </w:p>
    <w:p w14:paraId="72F038BB" w14:textId="77777777" w:rsidR="008B0128" w:rsidRPr="00847234" w:rsidRDefault="008B0128" w:rsidP="008B0128">
      <w:pPr>
        <w:spacing w:line="360" w:lineRule="auto"/>
        <w:jc w:val="both"/>
        <w:rPr>
          <w:rFonts w:ascii="Arial" w:hAnsi="Arial" w:cs="Arial"/>
          <w:bCs/>
          <w:i/>
          <w:iCs/>
          <w:lang w:val="es-ES_tradnl"/>
        </w:rPr>
      </w:pPr>
      <w:r w:rsidRPr="00847234">
        <w:rPr>
          <w:rFonts w:ascii="Arial" w:hAnsi="Arial" w:cs="Arial"/>
          <w:bCs/>
          <w:i/>
          <w:iCs/>
          <w:lang w:val="es-ES_tradnl"/>
        </w:rPr>
        <w:t xml:space="preserve">El artículo 28 constitucional contiene principios aplicables a ambos tipos de mercados; sin embargo, dicha aplicación debe de ser diferenciada, ya que, en los regulados, debe reconocerse una libertad de configuración a las autoridades para reglamentar sus permisos, concesiones o autorizaciones, así como las condiciones de operación, siempre y cuando, al hacerlo, no impidan la existencia de un mercado mínimo con respeto de los principios del artículo 28 constitucional.” </w:t>
      </w:r>
    </w:p>
    <w:p w14:paraId="04BD4E7B" w14:textId="77777777" w:rsidR="008B0128" w:rsidRPr="00847234" w:rsidRDefault="008B0128" w:rsidP="008B0128">
      <w:pPr>
        <w:spacing w:line="360" w:lineRule="auto"/>
        <w:jc w:val="both"/>
        <w:rPr>
          <w:rFonts w:ascii="Arial" w:hAnsi="Arial" w:cs="Arial"/>
          <w:bCs/>
          <w:lang w:val="es-ES_tradnl"/>
        </w:rPr>
      </w:pPr>
    </w:p>
    <w:p w14:paraId="1E30B445" w14:textId="3B83CE65" w:rsidR="00316F13" w:rsidRPr="00847234" w:rsidRDefault="006B7B75" w:rsidP="008B0128">
      <w:pPr>
        <w:spacing w:line="360" w:lineRule="auto"/>
        <w:jc w:val="both"/>
        <w:rPr>
          <w:rFonts w:ascii="Arial" w:hAnsi="Arial" w:cs="Arial"/>
          <w:bCs/>
          <w:lang w:val="es-ES_tradnl"/>
        </w:rPr>
      </w:pPr>
      <w:r w:rsidRPr="00847234">
        <w:rPr>
          <w:rFonts w:ascii="Arial" w:hAnsi="Arial" w:cs="Arial"/>
          <w:bCs/>
          <w:lang w:val="es-ES_tradnl"/>
        </w:rPr>
        <w:t xml:space="preserve">En el caso que nos interesa, </w:t>
      </w:r>
      <w:r w:rsidR="008B0128" w:rsidRPr="00847234">
        <w:rPr>
          <w:rFonts w:ascii="Arial" w:hAnsi="Arial" w:cs="Arial"/>
          <w:bCs/>
          <w:lang w:val="es-ES_tradnl"/>
        </w:rPr>
        <w:t>el artículo 27, párrafo sexto</w:t>
      </w:r>
      <w:r w:rsidR="00D906BB" w:rsidRPr="00847234">
        <w:rPr>
          <w:rFonts w:ascii="Arial" w:hAnsi="Arial" w:cs="Arial"/>
          <w:bCs/>
          <w:lang w:val="es-ES_tradnl"/>
        </w:rPr>
        <w:t>,</w:t>
      </w:r>
      <w:r w:rsidR="008B0128" w:rsidRPr="00847234">
        <w:rPr>
          <w:rFonts w:ascii="Arial" w:hAnsi="Arial" w:cs="Arial"/>
          <w:bCs/>
          <w:lang w:val="es-ES_tradnl"/>
        </w:rPr>
        <w:t xml:space="preserve"> </w:t>
      </w:r>
      <w:r w:rsidR="000F5F4A" w:rsidRPr="00847234">
        <w:rPr>
          <w:rFonts w:ascii="Arial" w:hAnsi="Arial" w:cs="Arial"/>
          <w:bCs/>
          <w:lang w:val="es-ES_tradnl"/>
        </w:rPr>
        <w:t>de la Constitución Federal</w:t>
      </w:r>
      <w:r w:rsidR="00414891" w:rsidRPr="00847234">
        <w:rPr>
          <w:rFonts w:ascii="Arial" w:hAnsi="Arial" w:cs="Arial"/>
          <w:bCs/>
          <w:lang w:val="es-ES_tradnl"/>
        </w:rPr>
        <w:t xml:space="preserve"> dice</w:t>
      </w:r>
      <w:r w:rsidR="008B0128" w:rsidRPr="00847234">
        <w:rPr>
          <w:rFonts w:ascii="Arial" w:hAnsi="Arial" w:cs="Arial"/>
          <w:bCs/>
          <w:lang w:val="es-ES_tradnl"/>
        </w:rPr>
        <w:t xml:space="preserve">: “Corresponde exclusivamente a la Nación la planeación y el control del sistema eléctrico nacional, así como el servicio público de transmisión y distribución de energía eléctrica; en estas actividades no se otorgarán  concesiones, sin perjuicio de que el Estado pueda celebrar contratos con particulares en los términos que establezcan las leyes, </w:t>
      </w:r>
      <w:r w:rsidR="008B0128" w:rsidRPr="00847234">
        <w:rPr>
          <w:rFonts w:ascii="Arial" w:hAnsi="Arial" w:cs="Arial"/>
          <w:bCs/>
          <w:i/>
          <w:iCs/>
          <w:lang w:val="es-ES_tradnl"/>
        </w:rPr>
        <w:t>mismas que determinarán la forma en que los particulares podrán participar en las demás actividades de la industria eléctrica”</w:t>
      </w:r>
      <w:r w:rsidR="008B0128" w:rsidRPr="00847234">
        <w:rPr>
          <w:rFonts w:ascii="Arial" w:hAnsi="Arial" w:cs="Arial"/>
          <w:bCs/>
          <w:lang w:val="es-ES_tradnl"/>
        </w:rPr>
        <w:t xml:space="preserve">. </w:t>
      </w:r>
      <w:r w:rsidR="00D82537" w:rsidRPr="00847234">
        <w:rPr>
          <w:rFonts w:ascii="Arial" w:hAnsi="Arial" w:cs="Arial"/>
          <w:bCs/>
          <w:lang w:val="es-ES_tradnl"/>
        </w:rPr>
        <w:t>(énfasis agregado)</w:t>
      </w:r>
      <w:r w:rsidR="008B088F" w:rsidRPr="00847234">
        <w:rPr>
          <w:rFonts w:ascii="Arial" w:hAnsi="Arial" w:cs="Arial"/>
          <w:bCs/>
          <w:lang w:val="es-ES_tradnl"/>
        </w:rPr>
        <w:t xml:space="preserve"> </w:t>
      </w:r>
      <w:r w:rsidR="008B0128" w:rsidRPr="00847234">
        <w:rPr>
          <w:rFonts w:ascii="Arial" w:hAnsi="Arial" w:cs="Arial"/>
          <w:bCs/>
          <w:lang w:val="es-ES_tradnl"/>
        </w:rPr>
        <w:t>Incluso, el artículo tercero transitorio</w:t>
      </w:r>
      <w:r w:rsidR="00894A82" w:rsidRPr="00847234">
        <w:rPr>
          <w:rFonts w:ascii="Arial" w:hAnsi="Arial" w:cs="Arial"/>
          <w:bCs/>
          <w:lang w:val="es-ES_tradnl"/>
        </w:rPr>
        <w:t xml:space="preserve"> del Decreto de la reforma constitucional respectiva</w:t>
      </w:r>
      <w:r w:rsidR="008B0128" w:rsidRPr="00847234">
        <w:rPr>
          <w:rFonts w:ascii="Arial" w:hAnsi="Arial" w:cs="Arial"/>
          <w:bCs/>
          <w:lang w:val="es-ES_tradnl"/>
        </w:rPr>
        <w:t xml:space="preserve"> establece que “la Comisión Federal de Electricidad podrá suscribir los contratos a que se refiere el párrafo sexto del artículo 27 que se reforma por virtud de ese decreto”.</w:t>
      </w:r>
      <w:r w:rsidR="00E64E49" w:rsidRPr="00847234">
        <w:rPr>
          <w:rFonts w:ascii="Arial" w:hAnsi="Arial" w:cs="Arial"/>
          <w:bCs/>
          <w:lang w:val="es-ES_tradnl"/>
        </w:rPr>
        <w:t xml:space="preserve"> </w:t>
      </w:r>
      <w:r w:rsidR="00BC36AE" w:rsidRPr="00847234">
        <w:rPr>
          <w:rFonts w:ascii="Arial" w:hAnsi="Arial" w:cs="Arial"/>
          <w:bCs/>
          <w:lang w:val="es-ES_tradnl"/>
        </w:rPr>
        <w:t>Ahora bien</w:t>
      </w:r>
      <w:r w:rsidR="00E64E49" w:rsidRPr="00847234">
        <w:rPr>
          <w:rFonts w:ascii="Arial" w:hAnsi="Arial" w:cs="Arial"/>
          <w:bCs/>
          <w:lang w:val="es-ES_tradnl"/>
        </w:rPr>
        <w:t xml:space="preserve">, </w:t>
      </w:r>
      <w:r w:rsidR="008B0128" w:rsidRPr="00847234">
        <w:rPr>
          <w:rFonts w:ascii="Arial" w:hAnsi="Arial" w:cs="Arial"/>
          <w:bCs/>
          <w:lang w:val="es-ES_tradnl"/>
        </w:rPr>
        <w:t>¿</w:t>
      </w:r>
      <w:r w:rsidR="00E64E49" w:rsidRPr="00847234">
        <w:rPr>
          <w:rFonts w:ascii="Arial" w:hAnsi="Arial" w:cs="Arial"/>
          <w:bCs/>
          <w:lang w:val="es-ES_tradnl"/>
        </w:rPr>
        <w:t>e</w:t>
      </w:r>
      <w:r w:rsidR="008B0128" w:rsidRPr="00847234">
        <w:rPr>
          <w:rFonts w:ascii="Arial" w:hAnsi="Arial" w:cs="Arial"/>
          <w:bCs/>
          <w:lang w:val="es-ES_tradnl"/>
        </w:rPr>
        <w:t xml:space="preserve">n qué condiciones deben competir los particulares con la referida Comisión? </w:t>
      </w:r>
      <w:r w:rsidR="00BC36AE" w:rsidRPr="00847234">
        <w:rPr>
          <w:rFonts w:ascii="Arial" w:hAnsi="Arial" w:cs="Arial"/>
          <w:bCs/>
          <w:lang w:val="es-ES_tradnl"/>
        </w:rPr>
        <w:t>La respuesta es contundente: l</w:t>
      </w:r>
      <w:r w:rsidR="008B0128" w:rsidRPr="00847234">
        <w:rPr>
          <w:rFonts w:ascii="Arial" w:hAnsi="Arial" w:cs="Arial"/>
          <w:bCs/>
          <w:lang w:val="es-ES_tradnl"/>
        </w:rPr>
        <w:t>a Constitución expresamente delega su definición al legislador secundario</w:t>
      </w:r>
      <w:r w:rsidR="00316F13" w:rsidRPr="00847234">
        <w:rPr>
          <w:rFonts w:ascii="Arial" w:hAnsi="Arial" w:cs="Arial"/>
          <w:bCs/>
          <w:lang w:val="es-ES_tradnl"/>
        </w:rPr>
        <w:t xml:space="preserve">. </w:t>
      </w:r>
    </w:p>
    <w:p w14:paraId="2BEB21D5" w14:textId="767DA106" w:rsidR="00BB4563" w:rsidRPr="00847234" w:rsidRDefault="00BB4563" w:rsidP="008B0128">
      <w:pPr>
        <w:spacing w:line="360" w:lineRule="auto"/>
        <w:jc w:val="both"/>
        <w:rPr>
          <w:rFonts w:ascii="Arial" w:hAnsi="Arial" w:cs="Arial"/>
          <w:bCs/>
          <w:lang w:val="es-ES_tradnl"/>
        </w:rPr>
      </w:pPr>
    </w:p>
    <w:p w14:paraId="4C97494E" w14:textId="37332A7E" w:rsidR="00BB4563" w:rsidRPr="00847234" w:rsidRDefault="007E7D62" w:rsidP="008B0128">
      <w:pPr>
        <w:spacing w:line="360" w:lineRule="auto"/>
        <w:jc w:val="both"/>
        <w:rPr>
          <w:rFonts w:ascii="Arial" w:hAnsi="Arial" w:cs="Arial"/>
          <w:bCs/>
        </w:rPr>
      </w:pPr>
      <w:r w:rsidRPr="00847234">
        <w:rPr>
          <w:rFonts w:ascii="Arial" w:hAnsi="Arial" w:cs="Arial"/>
          <w:bCs/>
          <w:lang w:val="es-ES_tradnl"/>
        </w:rPr>
        <w:t>Aquí se puede apreciar u</w:t>
      </w:r>
      <w:r w:rsidR="00BB4563" w:rsidRPr="00847234">
        <w:rPr>
          <w:rFonts w:ascii="Arial" w:hAnsi="Arial" w:cs="Arial"/>
          <w:bCs/>
          <w:lang w:val="es-ES_tradnl"/>
        </w:rPr>
        <w:t>no de los defectos metodológicos de la argumentación de la mayoría</w:t>
      </w:r>
      <w:r w:rsidRPr="00847234">
        <w:rPr>
          <w:rFonts w:ascii="Arial" w:hAnsi="Arial" w:cs="Arial"/>
          <w:bCs/>
          <w:lang w:val="es-ES_tradnl"/>
        </w:rPr>
        <w:t>, que me hace separarme de la misma, pues</w:t>
      </w:r>
      <w:r w:rsidR="004F25A6" w:rsidRPr="00847234">
        <w:rPr>
          <w:rFonts w:ascii="Arial" w:hAnsi="Arial" w:cs="Arial"/>
          <w:bCs/>
          <w:lang w:val="es-ES_tradnl"/>
        </w:rPr>
        <w:t xml:space="preserve"> </w:t>
      </w:r>
      <w:r w:rsidR="00DD204E" w:rsidRPr="00847234">
        <w:rPr>
          <w:rFonts w:ascii="Arial" w:hAnsi="Arial" w:cs="Arial"/>
          <w:bCs/>
          <w:lang w:val="es-ES_tradnl"/>
        </w:rPr>
        <w:t xml:space="preserve">parecen colocar </w:t>
      </w:r>
      <w:r w:rsidR="00BB4563" w:rsidRPr="00847234">
        <w:rPr>
          <w:rFonts w:ascii="Arial" w:hAnsi="Arial" w:cs="Arial"/>
          <w:bCs/>
          <w:lang w:val="es-ES_tradnl"/>
        </w:rPr>
        <w:t>el modelo legislativo derogado como elemento de contraste para evaluar el modelo legislativo vigente</w:t>
      </w:r>
      <w:r w:rsidR="000E73B3" w:rsidRPr="00847234">
        <w:rPr>
          <w:rFonts w:ascii="Arial" w:hAnsi="Arial" w:cs="Arial"/>
          <w:bCs/>
        </w:rPr>
        <w:t xml:space="preserve">. </w:t>
      </w:r>
      <w:r w:rsidR="0003512B" w:rsidRPr="00847234">
        <w:rPr>
          <w:rFonts w:ascii="Arial" w:hAnsi="Arial" w:cs="Arial"/>
          <w:bCs/>
        </w:rPr>
        <w:t xml:space="preserve">¿Por qué afirmo esto? Solo si se comparan ambos regímenes, </w:t>
      </w:r>
      <w:r w:rsidR="004F25A6" w:rsidRPr="00847234">
        <w:rPr>
          <w:rFonts w:ascii="Arial" w:hAnsi="Arial" w:cs="Arial"/>
          <w:bCs/>
        </w:rPr>
        <w:t xml:space="preserve">se </w:t>
      </w:r>
      <w:r w:rsidR="0003512B" w:rsidRPr="00847234">
        <w:rPr>
          <w:rFonts w:ascii="Arial" w:hAnsi="Arial" w:cs="Arial"/>
          <w:bCs/>
        </w:rPr>
        <w:t xml:space="preserve">llega a la conclusión de que el régimen en disputa </w:t>
      </w:r>
      <w:r w:rsidR="005D483D" w:rsidRPr="00847234">
        <w:rPr>
          <w:rFonts w:ascii="Arial" w:hAnsi="Arial" w:cs="Arial"/>
          <w:bCs/>
        </w:rPr>
        <w:t>es inferior en su potencia para proteger la libre competencia</w:t>
      </w:r>
      <w:r w:rsidR="002D12B5" w:rsidRPr="00847234">
        <w:rPr>
          <w:rFonts w:ascii="Arial" w:hAnsi="Arial" w:cs="Arial"/>
          <w:bCs/>
        </w:rPr>
        <w:t xml:space="preserve"> y concurrencia</w:t>
      </w:r>
      <w:r w:rsidR="004F25A6" w:rsidRPr="00847234">
        <w:rPr>
          <w:rFonts w:ascii="Arial" w:hAnsi="Arial" w:cs="Arial"/>
          <w:bCs/>
        </w:rPr>
        <w:t xml:space="preserve"> ¿Qué significa esto? Que la </w:t>
      </w:r>
      <w:r w:rsidR="008D5C84" w:rsidRPr="00847234">
        <w:rPr>
          <w:rFonts w:ascii="Arial" w:hAnsi="Arial" w:cs="Arial"/>
          <w:bCs/>
        </w:rPr>
        <w:t xml:space="preserve">mayoría diagnostica la </w:t>
      </w:r>
      <w:r w:rsidR="004F25A6" w:rsidRPr="00847234">
        <w:rPr>
          <w:rFonts w:ascii="Arial" w:hAnsi="Arial" w:cs="Arial"/>
          <w:bCs/>
        </w:rPr>
        <w:t>regresión en materia de libre competencia</w:t>
      </w:r>
      <w:r w:rsidR="002D12B5" w:rsidRPr="00847234">
        <w:rPr>
          <w:rFonts w:ascii="Arial" w:hAnsi="Arial" w:cs="Arial"/>
          <w:bCs/>
        </w:rPr>
        <w:t xml:space="preserve"> desde una norma no constitucional. </w:t>
      </w:r>
      <w:r w:rsidR="00B07B15" w:rsidRPr="00847234">
        <w:rPr>
          <w:rFonts w:ascii="Arial" w:hAnsi="Arial" w:cs="Arial"/>
          <w:bCs/>
        </w:rPr>
        <w:t>Esto e</w:t>
      </w:r>
      <w:r w:rsidR="00BB4563" w:rsidRPr="00847234">
        <w:rPr>
          <w:rFonts w:ascii="Arial" w:hAnsi="Arial" w:cs="Arial"/>
          <w:bCs/>
          <w:lang w:val="es-ES_tradnl"/>
        </w:rPr>
        <w:t xml:space="preserve">s incorrecto, pues el parámetro de control sólo se </w:t>
      </w:r>
      <w:r w:rsidR="00E8259A" w:rsidRPr="00847234">
        <w:rPr>
          <w:rFonts w:ascii="Arial" w:hAnsi="Arial" w:cs="Arial"/>
          <w:bCs/>
          <w:lang w:val="es-ES_tradnl"/>
        </w:rPr>
        <w:t xml:space="preserve">integra </w:t>
      </w:r>
      <w:r w:rsidR="00BB4563" w:rsidRPr="00847234">
        <w:rPr>
          <w:rFonts w:ascii="Arial" w:hAnsi="Arial" w:cs="Arial"/>
          <w:bCs/>
          <w:lang w:val="es-ES_tradnl"/>
        </w:rPr>
        <w:t xml:space="preserve">con cláusulas constitucionales, las </w:t>
      </w:r>
      <w:r w:rsidR="0019565E" w:rsidRPr="00847234">
        <w:rPr>
          <w:rFonts w:ascii="Arial" w:hAnsi="Arial" w:cs="Arial"/>
          <w:bCs/>
          <w:lang w:val="es-ES_tradnl"/>
        </w:rPr>
        <w:t xml:space="preserve">cuales </w:t>
      </w:r>
      <w:r w:rsidR="00BB4563" w:rsidRPr="00847234">
        <w:rPr>
          <w:rFonts w:ascii="Arial" w:hAnsi="Arial" w:cs="Arial"/>
          <w:bCs/>
          <w:lang w:val="es-ES_tradnl"/>
        </w:rPr>
        <w:t>no establecen ningún parámetro base de un modelo de libre mercado del cual el legislador secundario</w:t>
      </w:r>
      <w:r w:rsidR="0019565E" w:rsidRPr="00847234">
        <w:rPr>
          <w:rFonts w:ascii="Arial" w:hAnsi="Arial" w:cs="Arial"/>
          <w:bCs/>
          <w:lang w:val="es-ES_tradnl"/>
        </w:rPr>
        <w:t xml:space="preserve"> no puede apartarse. </w:t>
      </w:r>
    </w:p>
    <w:p w14:paraId="333D4710" w14:textId="77777777" w:rsidR="00A37771" w:rsidRPr="00847234" w:rsidRDefault="00A37771" w:rsidP="008B0128">
      <w:pPr>
        <w:spacing w:line="360" w:lineRule="auto"/>
        <w:jc w:val="both"/>
        <w:rPr>
          <w:rFonts w:ascii="Arial" w:hAnsi="Arial" w:cs="Arial"/>
          <w:bCs/>
          <w:lang w:val="es-ES_tradnl"/>
        </w:rPr>
      </w:pPr>
    </w:p>
    <w:p w14:paraId="313F2A67" w14:textId="3E166D95" w:rsidR="008B0128" w:rsidRPr="00847234" w:rsidRDefault="008B0128" w:rsidP="008B0128">
      <w:pPr>
        <w:spacing w:line="360" w:lineRule="auto"/>
        <w:jc w:val="both"/>
        <w:rPr>
          <w:rFonts w:ascii="Arial" w:hAnsi="Arial" w:cs="Arial"/>
          <w:bCs/>
          <w:lang w:val="es-ES_tradnl"/>
        </w:rPr>
      </w:pPr>
      <w:r w:rsidRPr="00847234">
        <w:rPr>
          <w:rFonts w:ascii="Arial" w:hAnsi="Arial" w:cs="Arial"/>
          <w:bCs/>
          <w:lang w:val="es-ES_tradnl"/>
        </w:rPr>
        <w:t xml:space="preserve">Esta Suprema Corte siempre ha entendido que cuando las condiciones de un mercado se </w:t>
      </w:r>
      <w:r w:rsidR="00F55C32" w:rsidRPr="00847234">
        <w:rPr>
          <w:rFonts w:ascii="Arial" w:hAnsi="Arial" w:cs="Arial"/>
          <w:bCs/>
          <w:lang w:val="es-ES_tradnl"/>
        </w:rPr>
        <w:t xml:space="preserve">confían </w:t>
      </w:r>
      <w:r w:rsidRPr="00847234">
        <w:rPr>
          <w:rFonts w:ascii="Arial" w:hAnsi="Arial" w:cs="Arial"/>
          <w:bCs/>
          <w:lang w:val="es-ES_tradnl"/>
        </w:rPr>
        <w:t xml:space="preserve">al legislador para </w:t>
      </w:r>
      <w:r w:rsidR="001375AC" w:rsidRPr="00847234">
        <w:rPr>
          <w:rFonts w:ascii="Arial" w:hAnsi="Arial" w:cs="Arial"/>
          <w:bCs/>
          <w:lang w:val="es-ES_tradnl"/>
        </w:rPr>
        <w:t>definir l</w:t>
      </w:r>
      <w:r w:rsidRPr="00847234">
        <w:rPr>
          <w:rFonts w:ascii="Arial" w:hAnsi="Arial" w:cs="Arial"/>
          <w:bCs/>
          <w:lang w:val="es-ES_tradnl"/>
        </w:rPr>
        <w:t>a forma de participación de los particulares</w:t>
      </w:r>
      <w:r w:rsidR="00A62BE9" w:rsidRPr="00847234">
        <w:rPr>
          <w:rFonts w:ascii="Arial" w:hAnsi="Arial" w:cs="Arial"/>
          <w:bCs/>
          <w:lang w:val="es-ES_tradnl"/>
        </w:rPr>
        <w:t xml:space="preserve">, se afirma su libertad configurativa </w:t>
      </w:r>
      <w:r w:rsidRPr="00847234">
        <w:rPr>
          <w:rFonts w:ascii="Arial" w:hAnsi="Arial" w:cs="Arial"/>
          <w:bCs/>
          <w:lang w:val="es-ES_tradnl"/>
        </w:rPr>
        <w:t xml:space="preserve">para escoger un modelo económico entre pluralidad de opciones. </w:t>
      </w:r>
      <w:r w:rsidR="00A62BE9" w:rsidRPr="00847234">
        <w:rPr>
          <w:rFonts w:ascii="Arial" w:hAnsi="Arial" w:cs="Arial"/>
          <w:bCs/>
          <w:lang w:val="es-ES_tradnl"/>
        </w:rPr>
        <w:t xml:space="preserve">Esto no significa indefectiblemente que </w:t>
      </w:r>
      <w:r w:rsidR="00F32DCA" w:rsidRPr="00847234">
        <w:rPr>
          <w:rFonts w:ascii="Arial" w:hAnsi="Arial" w:cs="Arial"/>
          <w:bCs/>
          <w:lang w:val="es-ES_tradnl"/>
        </w:rPr>
        <w:t xml:space="preserve">se permita que </w:t>
      </w:r>
      <w:r w:rsidR="00A62BE9" w:rsidRPr="00847234">
        <w:rPr>
          <w:rFonts w:ascii="Arial" w:hAnsi="Arial" w:cs="Arial"/>
          <w:bCs/>
          <w:lang w:val="es-ES_tradnl"/>
        </w:rPr>
        <w:t xml:space="preserve">esta decisión </w:t>
      </w:r>
      <w:r w:rsidR="00F32DCA" w:rsidRPr="00847234">
        <w:rPr>
          <w:rFonts w:ascii="Arial" w:hAnsi="Arial" w:cs="Arial"/>
          <w:bCs/>
          <w:lang w:val="es-ES_tradnl"/>
        </w:rPr>
        <w:t xml:space="preserve">sea </w:t>
      </w:r>
      <w:r w:rsidR="00A62BE9" w:rsidRPr="00847234">
        <w:rPr>
          <w:rFonts w:ascii="Arial" w:hAnsi="Arial" w:cs="Arial"/>
          <w:bCs/>
          <w:lang w:val="es-ES_tradnl"/>
        </w:rPr>
        <w:t xml:space="preserve">arbitraria. </w:t>
      </w:r>
      <w:r w:rsidR="00C92B17" w:rsidRPr="00847234">
        <w:rPr>
          <w:rFonts w:ascii="Arial" w:hAnsi="Arial" w:cs="Arial"/>
          <w:bCs/>
          <w:lang w:val="es-ES_tradnl"/>
        </w:rPr>
        <w:t>Esto es cierto respecto de cualquier</w:t>
      </w:r>
      <w:r w:rsidR="00E30C22" w:rsidRPr="00847234">
        <w:rPr>
          <w:rFonts w:ascii="Arial" w:hAnsi="Arial" w:cs="Arial"/>
          <w:bCs/>
          <w:lang w:val="es-ES_tradnl"/>
        </w:rPr>
        <w:t xml:space="preserve"> </w:t>
      </w:r>
      <w:r w:rsidRPr="00847234">
        <w:rPr>
          <w:rFonts w:ascii="Arial" w:hAnsi="Arial" w:cs="Arial"/>
          <w:bCs/>
          <w:lang w:val="es-ES_tradnl"/>
        </w:rPr>
        <w:t xml:space="preserve">facultad legislativa. </w:t>
      </w:r>
      <w:r w:rsidR="004E4D09" w:rsidRPr="00847234">
        <w:rPr>
          <w:rFonts w:ascii="Arial" w:hAnsi="Arial" w:cs="Arial"/>
          <w:bCs/>
          <w:lang w:val="es-ES_tradnl"/>
        </w:rPr>
        <w:t xml:space="preserve">En definitiva, el </w:t>
      </w:r>
      <w:r w:rsidRPr="00847234">
        <w:rPr>
          <w:rFonts w:ascii="Arial" w:hAnsi="Arial" w:cs="Arial"/>
          <w:bCs/>
          <w:lang w:val="es-ES_tradnl"/>
        </w:rPr>
        <w:t xml:space="preserve">legislador </w:t>
      </w:r>
      <w:r w:rsidR="00F32DCA" w:rsidRPr="00847234">
        <w:rPr>
          <w:rFonts w:ascii="Arial" w:hAnsi="Arial" w:cs="Arial"/>
          <w:bCs/>
          <w:lang w:val="es-ES_tradnl"/>
        </w:rPr>
        <w:t xml:space="preserve">usará </w:t>
      </w:r>
      <w:r w:rsidR="00817164" w:rsidRPr="00847234">
        <w:rPr>
          <w:rFonts w:ascii="Arial" w:hAnsi="Arial" w:cs="Arial"/>
          <w:bCs/>
          <w:lang w:val="es-ES_tradnl"/>
        </w:rPr>
        <w:t xml:space="preserve">su </w:t>
      </w:r>
      <w:r w:rsidRPr="00847234">
        <w:rPr>
          <w:rFonts w:ascii="Arial" w:hAnsi="Arial" w:cs="Arial"/>
          <w:bCs/>
          <w:lang w:val="es-ES_tradnl"/>
        </w:rPr>
        <w:t xml:space="preserve">facultad reglamentaria </w:t>
      </w:r>
      <w:r w:rsidR="00BC487F" w:rsidRPr="00847234">
        <w:rPr>
          <w:rFonts w:ascii="Arial" w:hAnsi="Arial" w:cs="Arial"/>
          <w:bCs/>
          <w:lang w:val="es-ES_tradnl"/>
        </w:rPr>
        <w:t xml:space="preserve">y para ello </w:t>
      </w:r>
      <w:r w:rsidR="007D2868" w:rsidRPr="00847234">
        <w:rPr>
          <w:rFonts w:ascii="Arial" w:hAnsi="Arial" w:cs="Arial"/>
          <w:bCs/>
          <w:lang w:val="es-ES_tradnl"/>
        </w:rPr>
        <w:t xml:space="preserve">tendrá que </w:t>
      </w:r>
      <w:r w:rsidR="00BC487F" w:rsidRPr="00847234">
        <w:rPr>
          <w:rFonts w:ascii="Arial" w:hAnsi="Arial" w:cs="Arial"/>
          <w:bCs/>
          <w:lang w:val="es-ES_tradnl"/>
        </w:rPr>
        <w:t xml:space="preserve">armonizar los </w:t>
      </w:r>
      <w:r w:rsidRPr="00847234">
        <w:rPr>
          <w:rFonts w:ascii="Arial" w:hAnsi="Arial" w:cs="Arial"/>
          <w:bCs/>
          <w:lang w:val="es-ES_tradnl"/>
        </w:rPr>
        <w:t>principios constitucional</w:t>
      </w:r>
      <w:r w:rsidR="004E4D09" w:rsidRPr="00847234">
        <w:rPr>
          <w:rFonts w:ascii="Arial" w:hAnsi="Arial" w:cs="Arial"/>
          <w:bCs/>
          <w:lang w:val="es-ES_tradnl"/>
        </w:rPr>
        <w:t xml:space="preserve">es.  Corresponde al tribunal constitucional </w:t>
      </w:r>
      <w:r w:rsidR="00B12BD3" w:rsidRPr="00847234">
        <w:rPr>
          <w:rFonts w:ascii="Arial" w:hAnsi="Arial" w:cs="Arial"/>
          <w:bCs/>
          <w:lang w:val="es-ES_tradnl"/>
        </w:rPr>
        <w:t>decidir si</w:t>
      </w:r>
      <w:r w:rsidR="00B577A7" w:rsidRPr="00847234">
        <w:rPr>
          <w:rFonts w:ascii="Arial" w:hAnsi="Arial" w:cs="Arial"/>
          <w:bCs/>
          <w:lang w:val="es-ES_tradnl"/>
        </w:rPr>
        <w:t xml:space="preserve"> su regulación implica una modulación del principio de libre competencia y concurrencia</w:t>
      </w:r>
      <w:r w:rsidR="004E4D09" w:rsidRPr="00847234">
        <w:rPr>
          <w:rFonts w:ascii="Arial" w:hAnsi="Arial" w:cs="Arial"/>
          <w:bCs/>
          <w:lang w:val="es-ES_tradnl"/>
        </w:rPr>
        <w:t xml:space="preserve">. Dada la deferencia legislativa y la presunción de validez de sus actos, ese examen debe </w:t>
      </w:r>
      <w:r w:rsidR="008B35B0" w:rsidRPr="00847234">
        <w:rPr>
          <w:rFonts w:ascii="Arial" w:hAnsi="Arial" w:cs="Arial"/>
          <w:bCs/>
          <w:lang w:val="es-ES_tradnl"/>
        </w:rPr>
        <w:t xml:space="preserve">llevarse a cabo con un </w:t>
      </w:r>
      <w:r w:rsidR="00B577A7" w:rsidRPr="00847234">
        <w:rPr>
          <w:rFonts w:ascii="Arial" w:hAnsi="Arial" w:cs="Arial"/>
          <w:bCs/>
          <w:lang w:val="es-ES_tradnl"/>
        </w:rPr>
        <w:t>estándar de escrutinio ordinario</w:t>
      </w:r>
      <w:r w:rsidR="00BB4563" w:rsidRPr="00847234">
        <w:rPr>
          <w:rStyle w:val="Refdenotaalpie"/>
          <w:rFonts w:ascii="Arial" w:hAnsi="Arial" w:cs="Arial"/>
          <w:bCs/>
          <w:lang w:val="es-ES_tradnl"/>
        </w:rPr>
        <w:footnoteReference w:id="35"/>
      </w:r>
      <w:r w:rsidR="00B577A7" w:rsidRPr="00847234">
        <w:rPr>
          <w:rFonts w:ascii="Arial" w:hAnsi="Arial" w:cs="Arial"/>
          <w:bCs/>
          <w:lang w:val="es-ES_tradnl"/>
        </w:rPr>
        <w:t>.</w:t>
      </w:r>
    </w:p>
    <w:p w14:paraId="5F4A9047" w14:textId="77777777" w:rsidR="008B0128" w:rsidRPr="00847234" w:rsidRDefault="008B0128" w:rsidP="008B0128">
      <w:pPr>
        <w:spacing w:line="360" w:lineRule="auto"/>
        <w:jc w:val="both"/>
        <w:rPr>
          <w:rFonts w:ascii="Arial" w:hAnsi="Arial" w:cs="Arial"/>
          <w:bCs/>
          <w:lang w:val="es-ES_tradnl"/>
        </w:rPr>
      </w:pPr>
    </w:p>
    <w:p w14:paraId="2BCC817A" w14:textId="40F1F0E0" w:rsidR="008B0128" w:rsidRPr="00847234" w:rsidRDefault="008B0128" w:rsidP="008B0128">
      <w:pPr>
        <w:spacing w:line="360" w:lineRule="auto"/>
        <w:jc w:val="both"/>
        <w:rPr>
          <w:rFonts w:ascii="Arial" w:hAnsi="Arial" w:cs="Arial"/>
          <w:bCs/>
          <w:lang w:val="es-ES_tradnl"/>
        </w:rPr>
      </w:pPr>
      <w:r w:rsidRPr="00847234">
        <w:rPr>
          <w:rFonts w:ascii="Arial" w:hAnsi="Arial" w:cs="Arial"/>
          <w:bCs/>
          <w:lang w:val="es-ES_tradnl"/>
        </w:rPr>
        <w:t xml:space="preserve">El artículo 25 constitucional </w:t>
      </w:r>
      <w:r w:rsidR="00417DA3" w:rsidRPr="00847234">
        <w:rPr>
          <w:rFonts w:ascii="Arial" w:hAnsi="Arial" w:cs="Arial"/>
          <w:bCs/>
          <w:lang w:val="es-ES_tradnl"/>
        </w:rPr>
        <w:t xml:space="preserve">señala: </w:t>
      </w:r>
      <w:r w:rsidRPr="00847234">
        <w:rPr>
          <w:rFonts w:ascii="Arial" w:hAnsi="Arial" w:cs="Arial"/>
          <w:bCs/>
          <w:lang w:val="es-ES_tradnl"/>
        </w:rPr>
        <w:t xml:space="preserve">“la Ley alentará y protegerá la actividad económica que realicen los particulares y proveerá las condiciones para que el desenvolvimiento del sector privado contribuya al desarrollo económico nacional, promoviendo la competitividad e implementando una política nacional para el desarrollo industrial sustentable que incluya vertientes sectoriales y regionales, en los términos que establece esta Constitución.” El artículo 28 constitucional </w:t>
      </w:r>
      <w:r w:rsidR="00960D1C" w:rsidRPr="00847234">
        <w:rPr>
          <w:rFonts w:ascii="Arial" w:hAnsi="Arial" w:cs="Arial"/>
          <w:bCs/>
          <w:lang w:val="es-ES_tradnl"/>
        </w:rPr>
        <w:t xml:space="preserve">incluye </w:t>
      </w:r>
      <w:r w:rsidRPr="00847234">
        <w:rPr>
          <w:rFonts w:ascii="Arial" w:hAnsi="Arial" w:cs="Arial"/>
          <w:bCs/>
          <w:lang w:val="es-ES_tradnl"/>
        </w:rPr>
        <w:t>los principios de libre concurrencia y competencia económica.</w:t>
      </w:r>
      <w:r w:rsidR="007F631A" w:rsidRPr="00847234">
        <w:rPr>
          <w:rFonts w:ascii="Arial" w:hAnsi="Arial" w:cs="Arial"/>
          <w:bCs/>
          <w:lang w:val="es-ES_tradnl"/>
        </w:rPr>
        <w:t xml:space="preserve"> </w:t>
      </w:r>
      <w:r w:rsidRPr="00847234">
        <w:rPr>
          <w:rFonts w:ascii="Arial" w:hAnsi="Arial" w:cs="Arial"/>
          <w:bCs/>
          <w:lang w:val="es-ES_tradnl"/>
        </w:rPr>
        <w:t xml:space="preserve">Por tanto, la competitividad y libre concurrencia son principios que </w:t>
      </w:r>
      <w:r w:rsidR="002A1C13" w:rsidRPr="00847234">
        <w:rPr>
          <w:rFonts w:ascii="Arial" w:hAnsi="Arial" w:cs="Arial"/>
          <w:bCs/>
          <w:lang w:val="es-ES_tradnl"/>
        </w:rPr>
        <w:t xml:space="preserve">conducirán </w:t>
      </w:r>
      <w:r w:rsidRPr="00847234">
        <w:rPr>
          <w:rFonts w:ascii="Arial" w:hAnsi="Arial" w:cs="Arial"/>
          <w:bCs/>
          <w:lang w:val="es-ES_tradnl"/>
        </w:rPr>
        <w:t xml:space="preserve">a un modelo de </w:t>
      </w:r>
      <w:r w:rsidRPr="00847234">
        <w:rPr>
          <w:rFonts w:ascii="Arial" w:hAnsi="Arial" w:cs="Arial"/>
          <w:bCs/>
          <w:lang w:val="es-ES_tradnl"/>
        </w:rPr>
        <w:lastRenderedPageBreak/>
        <w:t xml:space="preserve">libre mercado. Sin embargo, debemos ser cuidadosos </w:t>
      </w:r>
      <w:r w:rsidR="00DE50A0" w:rsidRPr="00847234">
        <w:rPr>
          <w:rFonts w:ascii="Arial" w:hAnsi="Arial" w:cs="Arial"/>
          <w:bCs/>
          <w:lang w:val="es-ES_tradnl"/>
        </w:rPr>
        <w:t>cuando caracterizamos</w:t>
      </w:r>
      <w:r w:rsidR="007F631A" w:rsidRPr="00847234">
        <w:rPr>
          <w:rFonts w:ascii="Arial" w:hAnsi="Arial" w:cs="Arial"/>
          <w:bCs/>
          <w:lang w:val="es-ES_tradnl"/>
        </w:rPr>
        <w:t xml:space="preserve"> </w:t>
      </w:r>
      <w:r w:rsidRPr="00847234">
        <w:rPr>
          <w:rFonts w:ascii="Arial" w:hAnsi="Arial" w:cs="Arial"/>
          <w:bCs/>
          <w:lang w:val="es-ES_tradnl"/>
        </w:rPr>
        <w:t xml:space="preserve">las normas constitucionales. </w:t>
      </w:r>
      <w:r w:rsidR="00DE50A0" w:rsidRPr="00847234">
        <w:rPr>
          <w:rFonts w:ascii="Arial" w:hAnsi="Arial" w:cs="Arial"/>
          <w:bCs/>
          <w:lang w:val="es-ES_tradnl"/>
        </w:rPr>
        <w:t xml:space="preserve">Tal como adelanté al identificar el parámetro de control que para mí resulta aplicable al análisis de estas normas, </w:t>
      </w:r>
      <w:r w:rsidR="00D82537" w:rsidRPr="00847234">
        <w:rPr>
          <w:rFonts w:ascii="Arial" w:hAnsi="Arial" w:cs="Arial"/>
          <w:bCs/>
          <w:lang w:val="es-ES_tradnl"/>
        </w:rPr>
        <w:t>e</w:t>
      </w:r>
      <w:r w:rsidRPr="00847234">
        <w:rPr>
          <w:rFonts w:ascii="Arial" w:hAnsi="Arial" w:cs="Arial"/>
          <w:bCs/>
          <w:lang w:val="es-ES_tradnl"/>
        </w:rPr>
        <w:t>stos postulados</w:t>
      </w:r>
      <w:r w:rsidR="00DE50A0" w:rsidRPr="00847234">
        <w:rPr>
          <w:rFonts w:ascii="Arial" w:hAnsi="Arial" w:cs="Arial"/>
          <w:bCs/>
          <w:lang w:val="es-ES_tradnl"/>
        </w:rPr>
        <w:t xml:space="preserve"> constitucionales</w:t>
      </w:r>
      <w:r w:rsidRPr="00847234">
        <w:rPr>
          <w:rFonts w:ascii="Arial" w:hAnsi="Arial" w:cs="Arial"/>
          <w:bCs/>
          <w:lang w:val="es-ES_tradnl"/>
        </w:rPr>
        <w:t xml:space="preserve"> no son reglas, sino principios</w:t>
      </w:r>
      <w:r w:rsidR="005F670A" w:rsidRPr="00847234">
        <w:rPr>
          <w:rFonts w:ascii="Arial" w:hAnsi="Arial" w:cs="Arial"/>
          <w:bCs/>
          <w:lang w:val="es-ES_tradnl"/>
        </w:rPr>
        <w:t xml:space="preserve">, aunque, en realidad, no </w:t>
      </w:r>
      <w:r w:rsidR="00DE50A0" w:rsidRPr="00847234">
        <w:rPr>
          <w:rFonts w:ascii="Arial" w:hAnsi="Arial" w:cs="Arial"/>
          <w:bCs/>
          <w:lang w:val="es-ES_tradnl"/>
        </w:rPr>
        <w:t xml:space="preserve">son principios cuyo contenido </w:t>
      </w:r>
      <w:r w:rsidR="00EA5931" w:rsidRPr="00847234">
        <w:rPr>
          <w:rFonts w:ascii="Arial" w:hAnsi="Arial" w:cs="Arial"/>
          <w:bCs/>
          <w:lang w:val="es-ES_tradnl"/>
        </w:rPr>
        <w:t xml:space="preserve">se someterá </w:t>
      </w:r>
      <w:r w:rsidR="00DE50A0" w:rsidRPr="00847234">
        <w:rPr>
          <w:rFonts w:ascii="Arial" w:hAnsi="Arial" w:cs="Arial"/>
          <w:bCs/>
          <w:lang w:val="es-ES_tradnl"/>
        </w:rPr>
        <w:t>al mandato de no regresividad</w:t>
      </w:r>
      <w:r w:rsidR="00D45727" w:rsidRPr="00847234">
        <w:rPr>
          <w:rFonts w:ascii="Arial" w:hAnsi="Arial" w:cs="Arial"/>
          <w:bCs/>
          <w:lang w:val="es-ES_tradnl"/>
        </w:rPr>
        <w:t xml:space="preserve">. Por el contrario, son principios cuyo contenido </w:t>
      </w:r>
      <w:r w:rsidR="0081612A" w:rsidRPr="00847234">
        <w:rPr>
          <w:rFonts w:ascii="Arial" w:hAnsi="Arial" w:cs="Arial"/>
          <w:bCs/>
          <w:lang w:val="es-ES_tradnl"/>
        </w:rPr>
        <w:t xml:space="preserve">se </w:t>
      </w:r>
      <w:r w:rsidR="00FA56E7" w:rsidRPr="00847234">
        <w:rPr>
          <w:rFonts w:ascii="Arial" w:hAnsi="Arial" w:cs="Arial"/>
          <w:bCs/>
          <w:lang w:val="es-ES_tradnl"/>
        </w:rPr>
        <w:t>construirá aceptando</w:t>
      </w:r>
      <w:r w:rsidR="0081612A" w:rsidRPr="00847234">
        <w:rPr>
          <w:rFonts w:ascii="Arial" w:hAnsi="Arial" w:cs="Arial"/>
          <w:bCs/>
          <w:lang w:val="es-ES_tradnl"/>
        </w:rPr>
        <w:t xml:space="preserve"> </w:t>
      </w:r>
      <w:r w:rsidR="00D45727" w:rsidRPr="00847234">
        <w:rPr>
          <w:rFonts w:ascii="Arial" w:hAnsi="Arial" w:cs="Arial"/>
          <w:bCs/>
          <w:lang w:val="es-ES_tradnl"/>
        </w:rPr>
        <w:t xml:space="preserve">el actuar racional del Estado para su operación adecuada y eficaz. </w:t>
      </w:r>
      <w:r w:rsidR="00906B79" w:rsidRPr="00847234">
        <w:rPr>
          <w:rFonts w:ascii="Arial" w:hAnsi="Arial" w:cs="Arial"/>
          <w:bCs/>
          <w:lang w:val="es-ES_tradnl"/>
        </w:rPr>
        <w:t xml:space="preserve">Esta racionalidad -en virtud de la especialidad de los poderes públicos- </w:t>
      </w:r>
      <w:r w:rsidR="00FA56E7" w:rsidRPr="00847234">
        <w:rPr>
          <w:rFonts w:ascii="Arial" w:hAnsi="Arial" w:cs="Arial"/>
          <w:bCs/>
          <w:lang w:val="es-ES_tradnl"/>
        </w:rPr>
        <w:t>ser</w:t>
      </w:r>
      <w:r w:rsidR="00AA46C7" w:rsidRPr="00847234">
        <w:rPr>
          <w:rFonts w:ascii="Arial" w:hAnsi="Arial" w:cs="Arial"/>
          <w:bCs/>
          <w:lang w:val="es-ES_tradnl"/>
        </w:rPr>
        <w:t xml:space="preserve">á </w:t>
      </w:r>
      <w:r w:rsidR="00906B79" w:rsidRPr="00847234">
        <w:rPr>
          <w:rFonts w:ascii="Arial" w:hAnsi="Arial" w:cs="Arial"/>
          <w:bCs/>
          <w:lang w:val="es-ES_tradnl"/>
        </w:rPr>
        <w:t>revisa</w:t>
      </w:r>
      <w:r w:rsidR="00AA46C7" w:rsidRPr="00847234">
        <w:rPr>
          <w:rFonts w:ascii="Arial" w:hAnsi="Arial" w:cs="Arial"/>
          <w:bCs/>
          <w:lang w:val="es-ES_tradnl"/>
        </w:rPr>
        <w:t xml:space="preserve">do </w:t>
      </w:r>
      <w:r w:rsidR="00906B79" w:rsidRPr="00847234">
        <w:rPr>
          <w:rFonts w:ascii="Arial" w:hAnsi="Arial" w:cs="Arial"/>
          <w:bCs/>
          <w:lang w:val="es-ES_tradnl"/>
        </w:rPr>
        <w:t xml:space="preserve">en sede constitucional </w:t>
      </w:r>
      <w:r w:rsidR="00AA46C7" w:rsidRPr="00847234">
        <w:rPr>
          <w:rFonts w:ascii="Arial" w:hAnsi="Arial" w:cs="Arial"/>
          <w:bCs/>
          <w:lang w:val="es-ES_tradnl"/>
        </w:rPr>
        <w:t xml:space="preserve">con </w:t>
      </w:r>
      <w:r w:rsidR="00B577A7" w:rsidRPr="00847234">
        <w:rPr>
          <w:rFonts w:ascii="Arial" w:hAnsi="Arial" w:cs="Arial"/>
          <w:bCs/>
          <w:lang w:val="es-ES_tradnl"/>
        </w:rPr>
        <w:t>un estándar de escrutinio ordinario</w:t>
      </w:r>
      <w:r w:rsidR="00CF73DE" w:rsidRPr="00847234">
        <w:rPr>
          <w:rFonts w:ascii="Arial" w:hAnsi="Arial" w:cs="Arial"/>
          <w:bCs/>
          <w:lang w:val="es-ES_tradnl"/>
        </w:rPr>
        <w:t xml:space="preserve">. </w:t>
      </w:r>
      <w:r w:rsidR="00906B79" w:rsidRPr="00847234">
        <w:rPr>
          <w:rFonts w:ascii="Arial" w:hAnsi="Arial" w:cs="Arial"/>
          <w:bCs/>
          <w:lang w:val="es-ES_tradnl"/>
        </w:rPr>
        <w:t xml:space="preserve"> </w:t>
      </w:r>
      <w:r w:rsidR="00B577A7" w:rsidRPr="00847234">
        <w:rPr>
          <w:rFonts w:ascii="Arial" w:hAnsi="Arial" w:cs="Arial"/>
          <w:bCs/>
          <w:lang w:val="es-ES_tradnl"/>
        </w:rPr>
        <w:t xml:space="preserve"> </w:t>
      </w:r>
    </w:p>
    <w:p w14:paraId="732F1601" w14:textId="77777777" w:rsidR="003F40D9" w:rsidRPr="00847234" w:rsidRDefault="003F40D9" w:rsidP="004104DC">
      <w:pPr>
        <w:spacing w:line="360" w:lineRule="auto"/>
        <w:jc w:val="both"/>
        <w:rPr>
          <w:rFonts w:ascii="Arial" w:hAnsi="Arial" w:cs="Arial"/>
          <w:bCs/>
          <w:lang w:val="es-ES_tradnl"/>
        </w:rPr>
      </w:pPr>
    </w:p>
    <w:p w14:paraId="5F47AFD2" w14:textId="76733437" w:rsidR="008B0128" w:rsidRPr="00847234" w:rsidRDefault="008B0128" w:rsidP="004104DC">
      <w:pPr>
        <w:spacing w:line="360" w:lineRule="auto"/>
        <w:jc w:val="both"/>
        <w:rPr>
          <w:rFonts w:ascii="Arial" w:hAnsi="Arial" w:cs="Arial"/>
          <w:bCs/>
          <w:lang w:val="es-ES_tradnl"/>
        </w:rPr>
      </w:pPr>
      <w:r w:rsidRPr="00847234">
        <w:rPr>
          <w:rFonts w:ascii="Arial" w:hAnsi="Arial" w:cs="Arial"/>
          <w:bCs/>
          <w:lang w:val="es-ES_tradnl"/>
        </w:rPr>
        <w:t xml:space="preserve">Así, estoy en condiciones de justificar el sentido de mi voto. </w:t>
      </w:r>
      <w:r w:rsidR="00052162" w:rsidRPr="00847234">
        <w:rPr>
          <w:rFonts w:ascii="Arial" w:hAnsi="Arial" w:cs="Arial"/>
          <w:bCs/>
          <w:lang w:val="es-ES_tradnl"/>
        </w:rPr>
        <w:t xml:space="preserve"> </w:t>
      </w:r>
      <w:r w:rsidR="004104DC" w:rsidRPr="00847234">
        <w:rPr>
          <w:rFonts w:ascii="Arial" w:hAnsi="Arial" w:cs="Arial"/>
          <w:bCs/>
          <w:lang w:val="es-ES_tradnl"/>
        </w:rPr>
        <w:t>L</w:t>
      </w:r>
      <w:r w:rsidRPr="00847234">
        <w:rPr>
          <w:rFonts w:ascii="Arial" w:hAnsi="Arial" w:cs="Arial"/>
          <w:bCs/>
          <w:lang w:val="es-ES_tradnl"/>
        </w:rPr>
        <w:t xml:space="preserve">as normas impugnadas que modifican el orden de despacho </w:t>
      </w:r>
      <w:r w:rsidR="00903146" w:rsidRPr="00847234">
        <w:rPr>
          <w:rFonts w:ascii="Arial" w:hAnsi="Arial" w:cs="Arial"/>
          <w:bCs/>
          <w:lang w:val="es-ES_tradnl"/>
        </w:rPr>
        <w:t>son válidas</w:t>
      </w:r>
      <w:r w:rsidR="003534B1" w:rsidRPr="00847234">
        <w:rPr>
          <w:rFonts w:ascii="Arial" w:hAnsi="Arial" w:cs="Arial"/>
          <w:bCs/>
          <w:lang w:val="es-ES_tradnl"/>
        </w:rPr>
        <w:t xml:space="preserve"> vistas desde los principios de libre concurrencia y competencia. </w:t>
      </w:r>
      <w:r w:rsidR="00903146" w:rsidRPr="00847234">
        <w:rPr>
          <w:rFonts w:ascii="Arial" w:hAnsi="Arial" w:cs="Arial"/>
          <w:bCs/>
          <w:lang w:val="es-ES_tradnl"/>
        </w:rPr>
        <w:t xml:space="preserve">Mis razones son cuatro: </w:t>
      </w:r>
      <w:r w:rsidRPr="00847234">
        <w:rPr>
          <w:rFonts w:ascii="Arial" w:hAnsi="Arial" w:cs="Arial"/>
          <w:bCs/>
          <w:lang w:val="es-ES_tradnl"/>
        </w:rPr>
        <w:t xml:space="preserve"> 1) </w:t>
      </w:r>
      <w:r w:rsidR="004104DC" w:rsidRPr="00847234">
        <w:rPr>
          <w:rFonts w:ascii="Arial" w:hAnsi="Arial" w:cs="Arial"/>
          <w:bCs/>
          <w:lang w:val="es-ES_tradnl"/>
        </w:rPr>
        <w:t xml:space="preserve">ninguna de esas normas viola la primera de las reglas identificadas, pues </w:t>
      </w:r>
      <w:r w:rsidRPr="00847234">
        <w:rPr>
          <w:rFonts w:ascii="Arial" w:hAnsi="Arial" w:cs="Arial"/>
          <w:bCs/>
          <w:lang w:val="es-ES_tradnl"/>
        </w:rPr>
        <w:t>no impiden la participación de los particulares en el mercado de generación de energía eléctrica</w:t>
      </w:r>
      <w:r w:rsidR="00903146" w:rsidRPr="00847234">
        <w:rPr>
          <w:rFonts w:ascii="Arial" w:hAnsi="Arial" w:cs="Arial"/>
          <w:bCs/>
          <w:lang w:val="es-ES_tradnl"/>
        </w:rPr>
        <w:t xml:space="preserve">; </w:t>
      </w:r>
      <w:r w:rsidRPr="00847234">
        <w:rPr>
          <w:rFonts w:ascii="Arial" w:hAnsi="Arial" w:cs="Arial"/>
          <w:bCs/>
          <w:lang w:val="es-ES_tradnl"/>
        </w:rPr>
        <w:t xml:space="preserve">2) </w:t>
      </w:r>
      <w:r w:rsidR="004104DC" w:rsidRPr="00847234">
        <w:rPr>
          <w:rFonts w:ascii="Arial" w:hAnsi="Arial" w:cs="Arial"/>
          <w:bCs/>
          <w:lang w:val="es-ES_tradnl"/>
        </w:rPr>
        <w:t xml:space="preserve">tampoco vulneran la segunda de las reglas poque </w:t>
      </w:r>
      <w:r w:rsidRPr="00847234">
        <w:rPr>
          <w:rFonts w:ascii="Arial" w:hAnsi="Arial" w:cs="Arial"/>
          <w:bCs/>
          <w:lang w:val="es-ES_tradnl"/>
        </w:rPr>
        <w:t>no desnaturalizan a la Comisión Federal de Electricidad y no la blindan</w:t>
      </w:r>
      <w:r w:rsidR="00093E9A" w:rsidRPr="00847234">
        <w:rPr>
          <w:rFonts w:ascii="Arial" w:hAnsi="Arial" w:cs="Arial"/>
          <w:bCs/>
          <w:lang w:val="es-ES_tradnl"/>
        </w:rPr>
        <w:t xml:space="preserve"> para </w:t>
      </w:r>
      <w:r w:rsidRPr="00847234">
        <w:rPr>
          <w:rFonts w:ascii="Arial" w:hAnsi="Arial" w:cs="Arial"/>
          <w:bCs/>
          <w:lang w:val="es-ES_tradnl"/>
        </w:rPr>
        <w:t>competir con los particulares</w:t>
      </w:r>
      <w:r w:rsidR="00FB4802" w:rsidRPr="00847234">
        <w:rPr>
          <w:rFonts w:ascii="Arial" w:hAnsi="Arial" w:cs="Arial"/>
          <w:bCs/>
          <w:lang w:val="es-ES_tradnl"/>
        </w:rPr>
        <w:t xml:space="preserve">; </w:t>
      </w:r>
      <w:r w:rsidRPr="00847234">
        <w:rPr>
          <w:rFonts w:ascii="Arial" w:hAnsi="Arial" w:cs="Arial"/>
          <w:bCs/>
          <w:lang w:val="es-ES_tradnl"/>
        </w:rPr>
        <w:t xml:space="preserve"> 3) </w:t>
      </w:r>
      <w:r w:rsidR="004104DC" w:rsidRPr="00847234">
        <w:rPr>
          <w:rFonts w:ascii="Arial" w:hAnsi="Arial" w:cs="Arial"/>
          <w:bCs/>
          <w:lang w:val="es-ES_tradnl"/>
        </w:rPr>
        <w:t xml:space="preserve">de la misma forma, no violentan la terceras de las reglas, ya que </w:t>
      </w:r>
      <w:r w:rsidRPr="00847234">
        <w:rPr>
          <w:rFonts w:ascii="Arial" w:hAnsi="Arial" w:cs="Arial"/>
          <w:bCs/>
          <w:lang w:val="es-ES_tradnl"/>
        </w:rPr>
        <w:t>no excluyen a las energías limpias de los requisitos que deben cumplir los agentes económicos</w:t>
      </w:r>
      <w:r w:rsidR="00FB4802" w:rsidRPr="00847234">
        <w:rPr>
          <w:rFonts w:ascii="Arial" w:hAnsi="Arial" w:cs="Arial"/>
          <w:bCs/>
          <w:lang w:val="es-ES_tradnl"/>
        </w:rPr>
        <w:t>,</w:t>
      </w:r>
      <w:r w:rsidRPr="00847234">
        <w:rPr>
          <w:rFonts w:ascii="Arial" w:hAnsi="Arial" w:cs="Arial"/>
          <w:bCs/>
          <w:lang w:val="es-ES_tradnl"/>
        </w:rPr>
        <w:t xml:space="preserve"> y 4) las nuevas figuras de modelos de costos unitarios, contratos de cobertura, y prioridad de acceso de centrales legadas y legadas externas superan un estándar de escrutinio ordinario.</w:t>
      </w:r>
    </w:p>
    <w:p w14:paraId="5C30F6E2" w14:textId="77777777" w:rsidR="008B0128" w:rsidRPr="00847234" w:rsidRDefault="008B0128" w:rsidP="008B0128">
      <w:pPr>
        <w:spacing w:line="360" w:lineRule="auto"/>
        <w:jc w:val="both"/>
        <w:rPr>
          <w:rFonts w:ascii="Arial" w:hAnsi="Arial" w:cs="Arial"/>
          <w:bCs/>
          <w:lang w:val="es-ES_tradnl"/>
        </w:rPr>
      </w:pPr>
    </w:p>
    <w:p w14:paraId="0016F2BD" w14:textId="258B449E" w:rsidR="00D82537" w:rsidRPr="00847234" w:rsidRDefault="00B66E15" w:rsidP="008B0128">
      <w:pPr>
        <w:spacing w:line="360" w:lineRule="auto"/>
        <w:jc w:val="both"/>
        <w:rPr>
          <w:rFonts w:ascii="Arial" w:hAnsi="Arial" w:cs="Arial"/>
          <w:bCs/>
        </w:rPr>
      </w:pPr>
      <w:r w:rsidRPr="00847234">
        <w:rPr>
          <w:rFonts w:ascii="Arial" w:hAnsi="Arial" w:cs="Arial"/>
          <w:bCs/>
          <w:lang w:val="es-ES_tradnl"/>
        </w:rPr>
        <w:t xml:space="preserve">En efecto, </w:t>
      </w:r>
      <w:r w:rsidR="00826D5D" w:rsidRPr="00847234">
        <w:rPr>
          <w:rFonts w:ascii="Arial" w:hAnsi="Arial" w:cs="Arial"/>
          <w:bCs/>
          <w:lang w:val="es-ES_tradnl"/>
        </w:rPr>
        <w:t xml:space="preserve">el </w:t>
      </w:r>
      <w:r w:rsidR="008B0128" w:rsidRPr="00847234">
        <w:rPr>
          <w:rFonts w:ascii="Arial" w:hAnsi="Arial" w:cs="Arial"/>
          <w:bCs/>
          <w:lang w:val="es-ES_tradnl"/>
        </w:rPr>
        <w:t xml:space="preserve">orden de despacho se justifica en un fin legítimo, como es asegurar las condiciones de continuidad y abastecimiento de energía eléctrica; </w:t>
      </w:r>
      <w:r w:rsidR="0044670D" w:rsidRPr="00847234">
        <w:rPr>
          <w:rFonts w:ascii="Arial" w:hAnsi="Arial" w:cs="Arial"/>
          <w:bCs/>
          <w:lang w:val="es-ES_tradnl"/>
        </w:rPr>
        <w:t xml:space="preserve">la medidas legislativas adoptadas </w:t>
      </w:r>
      <w:r w:rsidR="008B0128" w:rsidRPr="00847234">
        <w:rPr>
          <w:rFonts w:ascii="Arial" w:hAnsi="Arial" w:cs="Arial"/>
          <w:bCs/>
          <w:lang w:val="es-ES_tradnl"/>
        </w:rPr>
        <w:t>son idóneas para ese fin, porque privilegia</w:t>
      </w:r>
      <w:r w:rsidR="00E1665B" w:rsidRPr="00847234">
        <w:rPr>
          <w:rFonts w:ascii="Arial" w:hAnsi="Arial" w:cs="Arial"/>
          <w:bCs/>
          <w:lang w:val="es-ES_tradnl"/>
        </w:rPr>
        <w:t>n</w:t>
      </w:r>
      <w:r w:rsidR="008B0128" w:rsidRPr="00847234">
        <w:rPr>
          <w:rFonts w:ascii="Arial" w:hAnsi="Arial" w:cs="Arial"/>
          <w:bCs/>
          <w:lang w:val="es-ES_tradnl"/>
        </w:rPr>
        <w:t xml:space="preserve"> aquellas relaciones contractuales que garanti</w:t>
      </w:r>
      <w:r w:rsidR="00D23B38" w:rsidRPr="00847234">
        <w:rPr>
          <w:rFonts w:ascii="Arial" w:hAnsi="Arial" w:cs="Arial"/>
          <w:bCs/>
          <w:lang w:val="es-ES_tradnl"/>
        </w:rPr>
        <w:t xml:space="preserve">zan </w:t>
      </w:r>
      <w:r w:rsidR="008B0128" w:rsidRPr="00847234">
        <w:rPr>
          <w:rFonts w:ascii="Arial" w:hAnsi="Arial" w:cs="Arial"/>
          <w:bCs/>
          <w:lang w:val="es-ES_tradnl"/>
        </w:rPr>
        <w:t>abastecimiento en un tiempo y cantidad determinada, en oposición a un sistema exclusivo de subastas que es más intermitente</w:t>
      </w:r>
      <w:r w:rsidR="00905EC1" w:rsidRPr="00847234">
        <w:rPr>
          <w:rFonts w:ascii="Arial" w:hAnsi="Arial" w:cs="Arial"/>
          <w:bCs/>
          <w:lang w:val="es-ES_tradnl"/>
        </w:rPr>
        <w:t>,</w:t>
      </w:r>
      <w:r w:rsidR="00826D5D" w:rsidRPr="00847234">
        <w:rPr>
          <w:rFonts w:ascii="Arial" w:hAnsi="Arial" w:cs="Arial"/>
          <w:bCs/>
          <w:lang w:val="es-ES_tradnl"/>
        </w:rPr>
        <w:t xml:space="preserve"> </w:t>
      </w:r>
      <w:r w:rsidR="008B0128" w:rsidRPr="00847234">
        <w:rPr>
          <w:rFonts w:ascii="Arial" w:hAnsi="Arial" w:cs="Arial"/>
          <w:bCs/>
          <w:lang w:val="es-ES_tradnl"/>
        </w:rPr>
        <w:t>y</w:t>
      </w:r>
      <w:r w:rsidR="00905EC1" w:rsidRPr="00847234">
        <w:rPr>
          <w:rFonts w:ascii="Arial" w:hAnsi="Arial" w:cs="Arial"/>
          <w:bCs/>
          <w:lang w:val="es-ES_tradnl"/>
        </w:rPr>
        <w:t>,</w:t>
      </w:r>
      <w:r w:rsidR="008B0128" w:rsidRPr="00847234">
        <w:rPr>
          <w:rFonts w:ascii="Arial" w:hAnsi="Arial" w:cs="Arial"/>
          <w:bCs/>
          <w:lang w:val="es-ES_tradnl"/>
        </w:rPr>
        <w:t xml:space="preserve"> finalmente</w:t>
      </w:r>
      <w:r w:rsidR="00905EC1" w:rsidRPr="00847234">
        <w:rPr>
          <w:rFonts w:ascii="Arial" w:hAnsi="Arial" w:cs="Arial"/>
          <w:bCs/>
          <w:lang w:val="es-ES_tradnl"/>
        </w:rPr>
        <w:t>,</w:t>
      </w:r>
      <w:r w:rsidR="008B0128" w:rsidRPr="00847234">
        <w:rPr>
          <w:rFonts w:ascii="Arial" w:hAnsi="Arial" w:cs="Arial"/>
          <w:bCs/>
          <w:lang w:val="es-ES_tradnl"/>
        </w:rPr>
        <w:t xml:space="preserve"> </w:t>
      </w:r>
      <w:r w:rsidR="00D23B38" w:rsidRPr="00847234">
        <w:rPr>
          <w:rFonts w:ascii="Arial" w:hAnsi="Arial" w:cs="Arial"/>
          <w:bCs/>
          <w:lang w:val="es-ES_tradnl"/>
        </w:rPr>
        <w:t xml:space="preserve">son </w:t>
      </w:r>
      <w:r w:rsidR="008B0128" w:rsidRPr="00847234">
        <w:rPr>
          <w:rFonts w:ascii="Arial" w:hAnsi="Arial" w:cs="Arial"/>
          <w:bCs/>
          <w:lang w:val="es-ES_tradnl"/>
        </w:rPr>
        <w:t>proporcional</w:t>
      </w:r>
      <w:r w:rsidR="00D23B38" w:rsidRPr="00847234">
        <w:rPr>
          <w:rFonts w:ascii="Arial" w:hAnsi="Arial" w:cs="Arial"/>
          <w:bCs/>
          <w:lang w:val="es-ES_tradnl"/>
        </w:rPr>
        <w:t>es</w:t>
      </w:r>
      <w:r w:rsidR="008B0128" w:rsidRPr="00847234">
        <w:rPr>
          <w:rFonts w:ascii="Arial" w:hAnsi="Arial" w:cs="Arial"/>
          <w:bCs/>
          <w:lang w:val="es-ES_tradnl"/>
        </w:rPr>
        <w:t xml:space="preserve"> en sentido estricto, pues los beneficios esperados compensan los costos asociados a las libertades económicas involucradas de los agentes participantes. </w:t>
      </w:r>
      <w:r w:rsidR="00D82537" w:rsidRPr="00847234">
        <w:rPr>
          <w:rFonts w:ascii="Arial" w:hAnsi="Arial" w:cs="Arial"/>
          <w:bCs/>
          <w:lang w:val="es-ES_tradnl"/>
        </w:rPr>
        <w:t xml:space="preserve">No obstante, como había anticipado, </w:t>
      </w:r>
      <w:r w:rsidR="007A7DE6" w:rsidRPr="00847234">
        <w:rPr>
          <w:rFonts w:ascii="Arial" w:hAnsi="Arial" w:cs="Arial"/>
          <w:bCs/>
          <w:lang w:val="es-ES_tradnl"/>
        </w:rPr>
        <w:t xml:space="preserve">concuerdo con la </w:t>
      </w:r>
      <w:r w:rsidR="00D82537" w:rsidRPr="00847234">
        <w:rPr>
          <w:rFonts w:ascii="Arial" w:hAnsi="Arial" w:cs="Arial"/>
          <w:bCs/>
          <w:lang w:val="es-ES_tradnl"/>
        </w:rPr>
        <w:t>invalidez de los</w:t>
      </w:r>
      <w:r w:rsidR="00D82537" w:rsidRPr="00847234">
        <w:rPr>
          <w:rFonts w:ascii="Arial" w:hAnsi="Arial" w:cs="Arial"/>
          <w:bCs/>
        </w:rPr>
        <w:t xml:space="preserve"> artículos 4, fracción VI, 26 y 126, fracción II de la Ley de la Industria Eléctrica</w:t>
      </w:r>
      <w:r w:rsidR="007A7DE6" w:rsidRPr="00847234">
        <w:rPr>
          <w:rFonts w:ascii="Arial" w:hAnsi="Arial" w:cs="Arial"/>
          <w:bCs/>
        </w:rPr>
        <w:t xml:space="preserve">; mis razones, sin embargo, son otras. </w:t>
      </w:r>
    </w:p>
    <w:p w14:paraId="6AD42C2D" w14:textId="68AF9ED3" w:rsidR="004104DC" w:rsidRPr="00847234" w:rsidRDefault="004104DC" w:rsidP="008B0128">
      <w:pPr>
        <w:spacing w:line="360" w:lineRule="auto"/>
        <w:jc w:val="both"/>
        <w:rPr>
          <w:rFonts w:ascii="Arial" w:hAnsi="Arial" w:cs="Arial"/>
          <w:bCs/>
        </w:rPr>
      </w:pPr>
    </w:p>
    <w:p w14:paraId="346CF4D2" w14:textId="0383C729" w:rsidR="004104DC" w:rsidRPr="00847234" w:rsidRDefault="00EA0BA8" w:rsidP="008B0128">
      <w:pPr>
        <w:spacing w:line="360" w:lineRule="auto"/>
        <w:jc w:val="both"/>
        <w:rPr>
          <w:rFonts w:ascii="Arial" w:hAnsi="Arial" w:cs="Arial"/>
          <w:bCs/>
        </w:rPr>
      </w:pPr>
      <w:r w:rsidRPr="00847234">
        <w:rPr>
          <w:rFonts w:ascii="Arial" w:hAnsi="Arial" w:cs="Arial"/>
          <w:bCs/>
        </w:rPr>
        <w:t xml:space="preserve">Hasta este momento </w:t>
      </w:r>
      <w:r w:rsidR="004104DC" w:rsidRPr="00847234">
        <w:rPr>
          <w:rFonts w:ascii="Arial" w:hAnsi="Arial" w:cs="Arial"/>
          <w:bCs/>
        </w:rPr>
        <w:t>he destacado la importancia metodológica de distinguir entre reglas y principios y en la necesidad de precisar el estándar de escrutinio aplicable</w:t>
      </w:r>
      <w:r w:rsidR="008C5F81" w:rsidRPr="00847234">
        <w:rPr>
          <w:rFonts w:ascii="Arial" w:hAnsi="Arial" w:cs="Arial"/>
          <w:bCs/>
        </w:rPr>
        <w:t xml:space="preserve">. Estas precisiones </w:t>
      </w:r>
      <w:r w:rsidR="00676EFB" w:rsidRPr="00847234">
        <w:rPr>
          <w:rFonts w:ascii="Arial" w:hAnsi="Arial" w:cs="Arial"/>
          <w:bCs/>
        </w:rPr>
        <w:t xml:space="preserve">metodológicas </w:t>
      </w:r>
      <w:r w:rsidR="008C5F81" w:rsidRPr="00847234">
        <w:rPr>
          <w:rFonts w:ascii="Arial" w:hAnsi="Arial" w:cs="Arial"/>
          <w:bCs/>
        </w:rPr>
        <w:t>son pertinentes</w:t>
      </w:r>
      <w:r w:rsidR="001E51EC" w:rsidRPr="00847234">
        <w:rPr>
          <w:rFonts w:ascii="Arial" w:hAnsi="Arial" w:cs="Arial"/>
          <w:bCs/>
        </w:rPr>
        <w:t xml:space="preserve"> </w:t>
      </w:r>
      <w:r w:rsidR="0030326F" w:rsidRPr="00847234">
        <w:rPr>
          <w:rFonts w:ascii="Arial" w:hAnsi="Arial" w:cs="Arial"/>
          <w:bCs/>
        </w:rPr>
        <w:t xml:space="preserve">para </w:t>
      </w:r>
      <w:r w:rsidR="004104DC" w:rsidRPr="00847234">
        <w:rPr>
          <w:rFonts w:ascii="Arial" w:hAnsi="Arial" w:cs="Arial"/>
          <w:bCs/>
        </w:rPr>
        <w:t xml:space="preserve">explicar </w:t>
      </w:r>
      <w:r w:rsidR="00362AB4" w:rsidRPr="00847234">
        <w:rPr>
          <w:rFonts w:ascii="Arial" w:hAnsi="Arial" w:cs="Arial"/>
          <w:bCs/>
        </w:rPr>
        <w:t xml:space="preserve">mi disenso con </w:t>
      </w:r>
      <w:r w:rsidR="003D3CD8" w:rsidRPr="00847234">
        <w:rPr>
          <w:rFonts w:ascii="Arial" w:hAnsi="Arial" w:cs="Arial"/>
          <w:bCs/>
        </w:rPr>
        <w:t xml:space="preserve">los </w:t>
      </w:r>
      <w:r w:rsidR="003D3CD8" w:rsidRPr="00847234">
        <w:rPr>
          <w:rFonts w:ascii="Arial" w:hAnsi="Arial" w:cs="Arial"/>
          <w:bCs/>
        </w:rPr>
        <w:lastRenderedPageBreak/>
        <w:t xml:space="preserve">argumentos </w:t>
      </w:r>
      <w:r w:rsidR="004104DC" w:rsidRPr="00847234">
        <w:rPr>
          <w:rFonts w:ascii="Arial" w:hAnsi="Arial" w:cs="Arial"/>
          <w:bCs/>
        </w:rPr>
        <w:t xml:space="preserve">de la mayoría que </w:t>
      </w:r>
      <w:r w:rsidR="00B239DD" w:rsidRPr="00847234">
        <w:rPr>
          <w:rFonts w:ascii="Arial" w:hAnsi="Arial" w:cs="Arial"/>
          <w:bCs/>
        </w:rPr>
        <w:t xml:space="preserve">declaró </w:t>
      </w:r>
      <w:r w:rsidR="004104DC" w:rsidRPr="00847234">
        <w:rPr>
          <w:rFonts w:ascii="Arial" w:hAnsi="Arial" w:cs="Arial"/>
          <w:bCs/>
        </w:rPr>
        <w:t>la invalidez de los preceptos impugnados desde la perspectiva de los principios de libre competencia y concurrencia. Algunos de los integrantes de este Pleno utilizaron esos principios como si se tratara de una regla; quienes sí aceptaron que se trata de principios, aplicaron un estándar más exigente que el ordinario; en mi opinión, ambas conclusiones deb</w:t>
      </w:r>
      <w:r w:rsidR="00D1571B" w:rsidRPr="00847234">
        <w:rPr>
          <w:rFonts w:ascii="Arial" w:hAnsi="Arial" w:cs="Arial"/>
          <w:bCs/>
        </w:rPr>
        <w:t>ieron r</w:t>
      </w:r>
      <w:r w:rsidR="003A6CFA" w:rsidRPr="00847234">
        <w:rPr>
          <w:rFonts w:ascii="Arial" w:hAnsi="Arial" w:cs="Arial"/>
          <w:bCs/>
        </w:rPr>
        <w:t xml:space="preserve">echazarse, </w:t>
      </w:r>
      <w:r w:rsidR="00D1571B" w:rsidRPr="00847234">
        <w:rPr>
          <w:rFonts w:ascii="Arial" w:hAnsi="Arial" w:cs="Arial"/>
          <w:bCs/>
        </w:rPr>
        <w:t xml:space="preserve">tanto como </w:t>
      </w:r>
      <w:r w:rsidR="00842D4F" w:rsidRPr="00847234">
        <w:rPr>
          <w:rFonts w:ascii="Arial" w:hAnsi="Arial" w:cs="Arial"/>
          <w:bCs/>
        </w:rPr>
        <w:t xml:space="preserve">el recurso a las </w:t>
      </w:r>
      <w:r w:rsidR="00BB4563" w:rsidRPr="00847234">
        <w:rPr>
          <w:rFonts w:ascii="Arial" w:hAnsi="Arial" w:cs="Arial"/>
          <w:bCs/>
        </w:rPr>
        <w:t xml:space="preserve">normas derogadas de la Ley de la </w:t>
      </w:r>
      <w:r w:rsidR="00B239DD" w:rsidRPr="00847234">
        <w:rPr>
          <w:rFonts w:ascii="Arial" w:hAnsi="Arial" w:cs="Arial"/>
          <w:bCs/>
        </w:rPr>
        <w:t>Industria</w:t>
      </w:r>
      <w:r w:rsidR="00BB4563" w:rsidRPr="00847234">
        <w:rPr>
          <w:rFonts w:ascii="Arial" w:hAnsi="Arial" w:cs="Arial"/>
          <w:bCs/>
        </w:rPr>
        <w:t xml:space="preserve"> Eléctrica </w:t>
      </w:r>
      <w:r w:rsidR="00A246BF" w:rsidRPr="00847234">
        <w:rPr>
          <w:rFonts w:ascii="Arial" w:hAnsi="Arial" w:cs="Arial"/>
          <w:bCs/>
        </w:rPr>
        <w:t xml:space="preserve">para integrar </w:t>
      </w:r>
      <w:r w:rsidR="00BB4563" w:rsidRPr="00847234">
        <w:rPr>
          <w:rFonts w:ascii="Arial" w:hAnsi="Arial" w:cs="Arial"/>
          <w:bCs/>
        </w:rPr>
        <w:t xml:space="preserve">un parámetro de libre competencia </w:t>
      </w:r>
      <w:r w:rsidR="00842D4F" w:rsidRPr="00847234">
        <w:rPr>
          <w:rFonts w:ascii="Arial" w:hAnsi="Arial" w:cs="Arial"/>
          <w:bCs/>
        </w:rPr>
        <w:t xml:space="preserve">del cual </w:t>
      </w:r>
      <w:r w:rsidR="00BB4563" w:rsidRPr="00847234">
        <w:rPr>
          <w:rFonts w:ascii="Arial" w:hAnsi="Arial" w:cs="Arial"/>
          <w:bCs/>
        </w:rPr>
        <w:t>el legislador no debe</w:t>
      </w:r>
      <w:r w:rsidR="00842D4F" w:rsidRPr="00847234">
        <w:rPr>
          <w:rFonts w:ascii="Arial" w:hAnsi="Arial" w:cs="Arial"/>
          <w:bCs/>
        </w:rPr>
        <w:t xml:space="preserve"> alejarse, a riesgo de ser </w:t>
      </w:r>
      <w:r w:rsidR="00BB4563" w:rsidRPr="00847234">
        <w:rPr>
          <w:rFonts w:ascii="Arial" w:hAnsi="Arial" w:cs="Arial"/>
          <w:bCs/>
        </w:rPr>
        <w:t>regresivo</w:t>
      </w:r>
      <w:r w:rsidR="004104DC" w:rsidRPr="00847234">
        <w:rPr>
          <w:rFonts w:ascii="Arial" w:hAnsi="Arial" w:cs="Arial"/>
          <w:bCs/>
        </w:rPr>
        <w:t>.</w:t>
      </w:r>
    </w:p>
    <w:p w14:paraId="00207C0D" w14:textId="7943BC3C" w:rsidR="00BB4563" w:rsidRPr="00847234" w:rsidRDefault="00BB4563" w:rsidP="008B0128">
      <w:pPr>
        <w:spacing w:line="360" w:lineRule="auto"/>
        <w:jc w:val="both"/>
        <w:rPr>
          <w:rFonts w:ascii="Arial" w:hAnsi="Arial" w:cs="Arial"/>
          <w:bCs/>
        </w:rPr>
      </w:pPr>
    </w:p>
    <w:p w14:paraId="0B1DBBC8" w14:textId="751C2287" w:rsidR="008519BA" w:rsidRPr="00847234" w:rsidRDefault="008519BA" w:rsidP="008519BA">
      <w:pPr>
        <w:spacing w:line="360" w:lineRule="auto"/>
        <w:jc w:val="both"/>
        <w:rPr>
          <w:rFonts w:ascii="Arial" w:hAnsi="Arial" w:cs="Arial"/>
          <w:bCs/>
        </w:rPr>
      </w:pPr>
      <w:r w:rsidRPr="00847234">
        <w:rPr>
          <w:rFonts w:ascii="Arial" w:hAnsi="Arial" w:cs="Arial"/>
          <w:bCs/>
        </w:rPr>
        <w:t xml:space="preserve">Recordemos, la elección entre un estándar de escrutinio y otro no es una decisión discrecional de los jueces constitucionales. El nivel de escrutinio impide que los juzgadores filtren sus preferencias, las hagan pasar como exigencias constitucionales y las impongan a los órganos políticos. En otras palabras, mi opinión sobre si el modelo legislativo derogado constituye una mejor política pública en comparación con las normas vigentes es indiferente para la resolución del presente caso. </w:t>
      </w:r>
    </w:p>
    <w:p w14:paraId="0EB994C5" w14:textId="77777777" w:rsidR="008519BA" w:rsidRPr="00847234" w:rsidRDefault="008519BA" w:rsidP="008519BA">
      <w:pPr>
        <w:spacing w:line="360" w:lineRule="auto"/>
        <w:jc w:val="both"/>
        <w:rPr>
          <w:rFonts w:ascii="Arial" w:hAnsi="Arial" w:cs="Arial"/>
          <w:bCs/>
        </w:rPr>
      </w:pPr>
    </w:p>
    <w:p w14:paraId="3B866830" w14:textId="2B7FA74A" w:rsidR="008519BA" w:rsidRPr="00847234" w:rsidRDefault="008519BA" w:rsidP="008519BA">
      <w:pPr>
        <w:spacing w:line="360" w:lineRule="auto"/>
        <w:jc w:val="both"/>
        <w:rPr>
          <w:rFonts w:ascii="Arial" w:hAnsi="Arial" w:cs="Arial"/>
          <w:bCs/>
        </w:rPr>
      </w:pPr>
      <w:r w:rsidRPr="00847234">
        <w:rPr>
          <w:rFonts w:ascii="Arial" w:hAnsi="Arial" w:cs="Arial"/>
          <w:bCs/>
        </w:rPr>
        <w:t xml:space="preserve">La teoría constitucional contemporánea ha </w:t>
      </w:r>
      <w:r w:rsidR="00731604" w:rsidRPr="00847234">
        <w:rPr>
          <w:rFonts w:ascii="Arial" w:hAnsi="Arial" w:cs="Arial"/>
          <w:bCs/>
        </w:rPr>
        <w:t>i</w:t>
      </w:r>
      <w:r w:rsidRPr="00847234">
        <w:rPr>
          <w:rFonts w:ascii="Arial" w:hAnsi="Arial" w:cs="Arial"/>
          <w:bCs/>
        </w:rPr>
        <w:t>lustrado cómo la justicia constitucional es problemática hasta cierto punto. Esto ocurre porque la Constitución no sólo se compone de reglas de implementación mecánica donde las preferencias personales quedan excluidas. La Constitución se integra</w:t>
      </w:r>
      <w:r w:rsidR="00EC2067" w:rsidRPr="00847234">
        <w:rPr>
          <w:rFonts w:ascii="Arial" w:hAnsi="Arial" w:cs="Arial"/>
          <w:bCs/>
        </w:rPr>
        <w:t xml:space="preserve"> </w:t>
      </w:r>
      <w:r w:rsidRPr="00847234">
        <w:rPr>
          <w:rFonts w:ascii="Arial" w:hAnsi="Arial" w:cs="Arial"/>
          <w:bCs/>
        </w:rPr>
        <w:t xml:space="preserve">sobre todo de principios, cuya aplicación concreta se encuentra </w:t>
      </w:r>
      <w:r w:rsidR="00AF61D1" w:rsidRPr="00847234">
        <w:rPr>
          <w:rFonts w:ascii="Arial" w:hAnsi="Arial" w:cs="Arial"/>
          <w:bCs/>
        </w:rPr>
        <w:t>destinada a</w:t>
      </w:r>
      <w:r w:rsidR="00FF3461" w:rsidRPr="00847234">
        <w:rPr>
          <w:rFonts w:ascii="Arial" w:hAnsi="Arial" w:cs="Arial"/>
          <w:bCs/>
        </w:rPr>
        <w:t xml:space="preserve"> </w:t>
      </w:r>
      <w:r w:rsidR="009E1D42" w:rsidRPr="00847234">
        <w:rPr>
          <w:rFonts w:ascii="Arial" w:hAnsi="Arial" w:cs="Arial"/>
          <w:bCs/>
        </w:rPr>
        <w:t>la controversia</w:t>
      </w:r>
      <w:r w:rsidR="000E4302" w:rsidRPr="00847234">
        <w:rPr>
          <w:rFonts w:ascii="Arial" w:hAnsi="Arial" w:cs="Arial"/>
          <w:bCs/>
        </w:rPr>
        <w:t xml:space="preserve">, pues la definición de su contenido </w:t>
      </w:r>
      <w:r w:rsidR="007C7F29" w:rsidRPr="00847234">
        <w:rPr>
          <w:rFonts w:ascii="Arial" w:hAnsi="Arial" w:cs="Arial"/>
          <w:bCs/>
        </w:rPr>
        <w:t xml:space="preserve">puede </w:t>
      </w:r>
      <w:r w:rsidR="000E4302" w:rsidRPr="00847234">
        <w:rPr>
          <w:rFonts w:ascii="Arial" w:hAnsi="Arial" w:cs="Arial"/>
          <w:bCs/>
        </w:rPr>
        <w:t>genera</w:t>
      </w:r>
      <w:r w:rsidR="007C7F29" w:rsidRPr="00847234">
        <w:rPr>
          <w:rFonts w:ascii="Arial" w:hAnsi="Arial" w:cs="Arial"/>
          <w:bCs/>
        </w:rPr>
        <w:t>r</w:t>
      </w:r>
      <w:r w:rsidR="000E4302" w:rsidRPr="00847234">
        <w:rPr>
          <w:rFonts w:ascii="Arial" w:hAnsi="Arial" w:cs="Arial"/>
          <w:bCs/>
        </w:rPr>
        <w:t xml:space="preserve"> </w:t>
      </w:r>
      <w:r w:rsidRPr="00847234">
        <w:rPr>
          <w:rFonts w:ascii="Arial" w:hAnsi="Arial" w:cs="Arial"/>
          <w:bCs/>
        </w:rPr>
        <w:t>un desacuerdo razonable en la comunidad jurídica. Los jueces constitucionales, como lo sostuvo Ronald Dworkin, deben asegurar que esa aplicación se mantenga en el ámbito del derecho y no incursione en la política. Esto exige la construcción de una práctica interpretativa sostenida a lo largo del tiempo y a la cual deben guardar fidelidad los integrantes de un tribunal Constitucional.</w:t>
      </w:r>
      <w:r w:rsidRPr="00847234">
        <w:rPr>
          <w:rStyle w:val="Refdenotaalpie"/>
          <w:rFonts w:ascii="Arial" w:hAnsi="Arial" w:cs="Arial"/>
          <w:bCs/>
        </w:rPr>
        <w:footnoteReference w:id="36"/>
      </w:r>
      <w:r w:rsidRPr="00847234">
        <w:rPr>
          <w:rFonts w:ascii="Arial" w:hAnsi="Arial" w:cs="Arial"/>
          <w:bCs/>
        </w:rPr>
        <w:t xml:space="preserve"> Los estándares de escrutinio que esta Corte ha construido representan nuestro esfuerzo para</w:t>
      </w:r>
      <w:r w:rsidR="006412A2" w:rsidRPr="00847234">
        <w:rPr>
          <w:rFonts w:ascii="Arial" w:hAnsi="Arial" w:cs="Arial"/>
          <w:bCs/>
        </w:rPr>
        <w:t xml:space="preserve"> preservar </w:t>
      </w:r>
      <w:r w:rsidRPr="00847234">
        <w:rPr>
          <w:rFonts w:ascii="Arial" w:hAnsi="Arial" w:cs="Arial"/>
          <w:bCs/>
        </w:rPr>
        <w:t>la aplicabilidad de los principios constitucional</w:t>
      </w:r>
      <w:r w:rsidR="00980EF0" w:rsidRPr="00847234">
        <w:rPr>
          <w:rFonts w:ascii="Arial" w:hAnsi="Arial" w:cs="Arial"/>
          <w:bCs/>
        </w:rPr>
        <w:t>es</w:t>
      </w:r>
      <w:r w:rsidRPr="00847234">
        <w:rPr>
          <w:rFonts w:ascii="Arial" w:hAnsi="Arial" w:cs="Arial"/>
          <w:bCs/>
        </w:rPr>
        <w:t xml:space="preserve"> en el ámbito del derecho. Trascender esas fronteras nos conduciría -como advierte Dworkin- a la arbitrariedad judicial. </w:t>
      </w:r>
    </w:p>
    <w:p w14:paraId="2E57BD36" w14:textId="77777777" w:rsidR="008519BA" w:rsidRPr="00847234" w:rsidRDefault="008519BA" w:rsidP="008519BA">
      <w:pPr>
        <w:spacing w:line="360" w:lineRule="auto"/>
        <w:jc w:val="both"/>
        <w:rPr>
          <w:rFonts w:ascii="Arial" w:hAnsi="Arial" w:cs="Arial"/>
          <w:bCs/>
        </w:rPr>
      </w:pPr>
    </w:p>
    <w:p w14:paraId="77029E0D" w14:textId="15307BE7" w:rsidR="008519BA" w:rsidRPr="00847234" w:rsidRDefault="008519BA" w:rsidP="008519BA">
      <w:pPr>
        <w:spacing w:line="360" w:lineRule="auto"/>
        <w:jc w:val="both"/>
        <w:rPr>
          <w:rFonts w:ascii="Arial" w:hAnsi="Arial" w:cs="Arial"/>
          <w:bCs/>
        </w:rPr>
      </w:pPr>
      <w:r w:rsidRPr="00847234">
        <w:rPr>
          <w:rFonts w:ascii="Arial" w:hAnsi="Arial" w:cs="Arial"/>
          <w:bCs/>
        </w:rPr>
        <w:t xml:space="preserve">Nuestros precedentes se inclinan por un estándar de escrutinio ordinario </w:t>
      </w:r>
      <w:r w:rsidR="00980EF0" w:rsidRPr="00847234">
        <w:rPr>
          <w:rFonts w:ascii="Arial" w:hAnsi="Arial" w:cs="Arial"/>
          <w:bCs/>
        </w:rPr>
        <w:t xml:space="preserve">respecto de las </w:t>
      </w:r>
      <w:r w:rsidRPr="00847234">
        <w:rPr>
          <w:rFonts w:ascii="Arial" w:hAnsi="Arial" w:cs="Arial"/>
          <w:bCs/>
        </w:rPr>
        <w:t xml:space="preserve">leyes que regulan mercados y cuestiones económicas. Hemos entendido que se trata de un ámbito donde el control judicial, dado el régimen democrático y la división de poderes, queda reducido a </w:t>
      </w:r>
      <w:r w:rsidR="00C2649A" w:rsidRPr="00847234">
        <w:rPr>
          <w:rFonts w:ascii="Arial" w:hAnsi="Arial" w:cs="Arial"/>
          <w:bCs/>
        </w:rPr>
        <w:t xml:space="preserve">verificar </w:t>
      </w:r>
      <w:r w:rsidRPr="00847234">
        <w:rPr>
          <w:rFonts w:ascii="Arial" w:hAnsi="Arial" w:cs="Arial"/>
          <w:bCs/>
        </w:rPr>
        <w:t xml:space="preserve">la mínima razonabilidad de parte del </w:t>
      </w:r>
      <w:r w:rsidRPr="00847234">
        <w:rPr>
          <w:rFonts w:ascii="Arial" w:hAnsi="Arial" w:cs="Arial"/>
          <w:bCs/>
        </w:rPr>
        <w:lastRenderedPageBreak/>
        <w:t>legislador. La Primera Sala estableció esta metodología desde la Novena Época y desde entonces el Pleno de esta Suprema Corte la ha hecho suya.</w:t>
      </w:r>
      <w:r w:rsidRPr="00847234">
        <w:rPr>
          <w:rStyle w:val="Refdenotaalpie"/>
          <w:rFonts w:ascii="Arial" w:hAnsi="Arial" w:cs="Arial"/>
          <w:bCs/>
        </w:rPr>
        <w:footnoteReference w:id="37"/>
      </w:r>
      <w:r w:rsidRPr="00847234">
        <w:rPr>
          <w:rFonts w:ascii="Arial" w:hAnsi="Arial" w:cs="Arial"/>
          <w:bCs/>
        </w:rPr>
        <w:t xml:space="preserve"> </w:t>
      </w:r>
      <w:r w:rsidR="007E0805" w:rsidRPr="00847234">
        <w:rPr>
          <w:rFonts w:ascii="Arial" w:hAnsi="Arial" w:cs="Arial"/>
          <w:bCs/>
        </w:rPr>
        <w:t>N</w:t>
      </w:r>
      <w:r w:rsidRPr="00847234">
        <w:rPr>
          <w:rFonts w:ascii="Arial" w:hAnsi="Arial" w:cs="Arial"/>
          <w:bCs/>
        </w:rPr>
        <w:t xml:space="preserve">uestra obligación era acudir a la metodología judicial establecida y resistir la tentación de inmiscuir nuestras preferencias, lo cual es una garantía de la imparcialidad en el ejercicio del control constitucional. </w:t>
      </w:r>
    </w:p>
    <w:p w14:paraId="3A7645F8" w14:textId="77777777" w:rsidR="008519BA" w:rsidRPr="00847234" w:rsidRDefault="008519BA" w:rsidP="008519BA">
      <w:pPr>
        <w:spacing w:line="360" w:lineRule="auto"/>
        <w:jc w:val="both"/>
        <w:rPr>
          <w:rFonts w:ascii="Arial" w:hAnsi="Arial" w:cs="Arial"/>
          <w:bCs/>
        </w:rPr>
      </w:pPr>
    </w:p>
    <w:p w14:paraId="66670EA3" w14:textId="2BCDE998" w:rsidR="008519BA" w:rsidRPr="00847234" w:rsidRDefault="008519BA" w:rsidP="008519BA">
      <w:pPr>
        <w:spacing w:line="360" w:lineRule="auto"/>
        <w:jc w:val="both"/>
        <w:rPr>
          <w:rFonts w:ascii="Arial" w:hAnsi="Arial" w:cs="Arial"/>
          <w:bCs/>
        </w:rPr>
      </w:pPr>
      <w:r w:rsidRPr="00847234">
        <w:rPr>
          <w:rFonts w:ascii="Arial" w:hAnsi="Arial" w:cs="Arial"/>
          <w:bCs/>
        </w:rPr>
        <w:t xml:space="preserve">Los estándares de escrutinio delimitan la intervención legítima de la justicia constitucional en el funcionamiento de la democracia representativa. En materia económica, hemos recurrido a un estándar de escrutinio ordinario, pues ahí corresponde al legislador actuar con la mínima racionalidad y evitar la arbitrariedad, </w:t>
      </w:r>
      <w:r w:rsidR="00340725" w:rsidRPr="00847234">
        <w:rPr>
          <w:rFonts w:ascii="Arial" w:hAnsi="Arial" w:cs="Arial"/>
          <w:bCs/>
        </w:rPr>
        <w:t>aunque también goza d</w:t>
      </w:r>
      <w:r w:rsidRPr="00847234">
        <w:rPr>
          <w:rFonts w:ascii="Arial" w:hAnsi="Arial" w:cs="Arial"/>
          <w:bCs/>
        </w:rPr>
        <w:t xml:space="preserve">e un amplio margen para </w:t>
      </w:r>
      <w:r w:rsidR="00340725" w:rsidRPr="00847234">
        <w:rPr>
          <w:rFonts w:ascii="Arial" w:hAnsi="Arial" w:cs="Arial"/>
          <w:bCs/>
        </w:rPr>
        <w:t xml:space="preserve">trabajar con </w:t>
      </w:r>
      <w:r w:rsidRPr="00847234">
        <w:rPr>
          <w:rFonts w:ascii="Arial" w:hAnsi="Arial" w:cs="Arial"/>
          <w:bCs/>
        </w:rPr>
        <w:t xml:space="preserve">el ensayo y el error. ¿Cómo se relaciona -entonces- un estándar de escrutinio ordinario con la política pública y la democracia? Muy sencillo. La justicia constitucional no está ahí para corregir lo que compete a las </w:t>
      </w:r>
      <w:r w:rsidR="0044296E" w:rsidRPr="00847234">
        <w:rPr>
          <w:rFonts w:ascii="Arial" w:hAnsi="Arial" w:cs="Arial"/>
          <w:bCs/>
        </w:rPr>
        <w:t xml:space="preserve">procesos democráticos y deliberativos. </w:t>
      </w:r>
      <w:r w:rsidR="002815F0" w:rsidRPr="00847234">
        <w:rPr>
          <w:rFonts w:ascii="Arial" w:hAnsi="Arial" w:cs="Arial"/>
          <w:bCs/>
        </w:rPr>
        <w:t>Insisto</w:t>
      </w:r>
      <w:r w:rsidRPr="00847234">
        <w:rPr>
          <w:rFonts w:ascii="Arial" w:hAnsi="Arial" w:cs="Arial"/>
          <w:bCs/>
        </w:rPr>
        <w:t>, suponer que la política pública llegó para quedarse -pues no puede adaptarse ni modularse- es contrario a los principios democráticos, según los cuales las personas pueden elegir</w:t>
      </w:r>
      <w:r w:rsidR="00375A7C" w:rsidRPr="00847234">
        <w:rPr>
          <w:rFonts w:ascii="Arial" w:hAnsi="Arial" w:cs="Arial"/>
          <w:bCs/>
        </w:rPr>
        <w:t xml:space="preserve"> -entre otras cosas-</w:t>
      </w:r>
      <w:r w:rsidR="002815F0" w:rsidRPr="00847234">
        <w:rPr>
          <w:rFonts w:ascii="Arial" w:hAnsi="Arial" w:cs="Arial"/>
          <w:bCs/>
        </w:rPr>
        <w:t xml:space="preserve"> </w:t>
      </w:r>
      <w:r w:rsidRPr="00847234">
        <w:rPr>
          <w:rFonts w:ascii="Arial" w:hAnsi="Arial" w:cs="Arial"/>
          <w:bCs/>
        </w:rPr>
        <w:t>el rumbo económico</w:t>
      </w:r>
      <w:r w:rsidR="002815F0" w:rsidRPr="00847234">
        <w:rPr>
          <w:rFonts w:ascii="Arial" w:hAnsi="Arial" w:cs="Arial"/>
          <w:bCs/>
        </w:rPr>
        <w:t xml:space="preserve"> del</w:t>
      </w:r>
      <w:r w:rsidRPr="00847234">
        <w:rPr>
          <w:rFonts w:ascii="Arial" w:hAnsi="Arial" w:cs="Arial"/>
          <w:bCs/>
        </w:rPr>
        <w:t xml:space="preserve"> país. </w:t>
      </w:r>
      <w:r w:rsidR="002815F0" w:rsidRPr="00847234">
        <w:rPr>
          <w:rFonts w:ascii="Arial" w:hAnsi="Arial" w:cs="Arial"/>
          <w:bCs/>
        </w:rPr>
        <w:t xml:space="preserve">¿Existe un ámbito no disponible a las mayorías? Sí y ese es tema que expongo a continuación. </w:t>
      </w:r>
    </w:p>
    <w:p w14:paraId="484032E7" w14:textId="61EDB157" w:rsidR="00BB4563" w:rsidRPr="00847234" w:rsidRDefault="00BB4563" w:rsidP="008B0128">
      <w:pPr>
        <w:spacing w:line="360" w:lineRule="auto"/>
        <w:jc w:val="both"/>
        <w:rPr>
          <w:rFonts w:ascii="Arial" w:hAnsi="Arial" w:cs="Arial"/>
          <w:bCs/>
        </w:rPr>
      </w:pPr>
    </w:p>
    <w:p w14:paraId="34036E05" w14:textId="731D499A" w:rsidR="00F14B28" w:rsidRPr="00847234" w:rsidRDefault="00F14B28" w:rsidP="00FB5231">
      <w:pPr>
        <w:spacing w:line="360" w:lineRule="auto"/>
        <w:jc w:val="center"/>
        <w:rPr>
          <w:rFonts w:ascii="Arial" w:hAnsi="Arial" w:cs="Arial"/>
          <w:bCs/>
        </w:rPr>
      </w:pPr>
      <w:r w:rsidRPr="00847234">
        <w:rPr>
          <w:rFonts w:ascii="Arial" w:hAnsi="Arial" w:cs="Arial"/>
          <w:bCs/>
        </w:rPr>
        <w:lastRenderedPageBreak/>
        <w:t>¿Por qué las normas del circuito normativ</w:t>
      </w:r>
      <w:r w:rsidR="00A564B2" w:rsidRPr="00847234">
        <w:rPr>
          <w:rFonts w:ascii="Arial" w:hAnsi="Arial" w:cs="Arial"/>
          <w:bCs/>
        </w:rPr>
        <w:t>o</w:t>
      </w:r>
      <w:r w:rsidRPr="00847234">
        <w:rPr>
          <w:rFonts w:ascii="Arial" w:hAnsi="Arial" w:cs="Arial"/>
          <w:bCs/>
        </w:rPr>
        <w:t xml:space="preserve"> violan el derecho al medio ambiente?</w:t>
      </w:r>
    </w:p>
    <w:p w14:paraId="4BDD0FF8" w14:textId="77777777" w:rsidR="00B577A7" w:rsidRPr="00847234" w:rsidRDefault="00B577A7" w:rsidP="008B0128">
      <w:pPr>
        <w:spacing w:line="360" w:lineRule="auto"/>
        <w:jc w:val="both"/>
        <w:rPr>
          <w:rFonts w:ascii="Arial" w:hAnsi="Arial" w:cs="Arial"/>
          <w:bCs/>
          <w:lang w:val="es-ES_tradnl"/>
        </w:rPr>
      </w:pPr>
    </w:p>
    <w:p w14:paraId="6533E029" w14:textId="0FA878D3" w:rsidR="006C3525" w:rsidRPr="00847234" w:rsidRDefault="001C28CC" w:rsidP="006C3525">
      <w:pPr>
        <w:spacing w:line="360" w:lineRule="auto"/>
        <w:jc w:val="both"/>
        <w:rPr>
          <w:rFonts w:ascii="Arial" w:hAnsi="Arial" w:cs="Arial"/>
          <w:bCs/>
          <w:lang w:val="es-ES_tradnl"/>
        </w:rPr>
      </w:pPr>
      <w:r w:rsidRPr="00847234">
        <w:rPr>
          <w:rFonts w:ascii="Arial" w:hAnsi="Arial" w:cs="Arial"/>
          <w:bCs/>
        </w:rPr>
        <w:t>Para empezar</w:t>
      </w:r>
      <w:r w:rsidR="00E56DDE" w:rsidRPr="00847234">
        <w:rPr>
          <w:rFonts w:ascii="Arial" w:hAnsi="Arial" w:cs="Arial"/>
          <w:bCs/>
        </w:rPr>
        <w:t xml:space="preserve">, </w:t>
      </w:r>
      <w:r w:rsidR="006C3525" w:rsidRPr="00847234">
        <w:rPr>
          <w:rFonts w:ascii="Arial" w:hAnsi="Arial" w:cs="Arial"/>
          <w:bCs/>
        </w:rPr>
        <w:t xml:space="preserve">el medio ambiente no </w:t>
      </w:r>
      <w:r w:rsidR="009D3EDB">
        <w:rPr>
          <w:rFonts w:ascii="Arial" w:hAnsi="Arial" w:cs="Arial"/>
          <w:bCs/>
        </w:rPr>
        <w:t xml:space="preserve">es </w:t>
      </w:r>
      <w:r w:rsidR="006C3525" w:rsidRPr="00847234">
        <w:rPr>
          <w:rFonts w:ascii="Arial" w:hAnsi="Arial" w:cs="Arial"/>
          <w:bCs/>
        </w:rPr>
        <w:t xml:space="preserve">una regla, sino un principio de derechos humanos, al cual sí le resulta aplicable el principio de no regresividad. </w:t>
      </w:r>
      <w:r w:rsidR="002339DB" w:rsidRPr="00847234">
        <w:rPr>
          <w:rFonts w:ascii="Arial" w:hAnsi="Arial" w:cs="Arial"/>
          <w:bCs/>
          <w:lang w:val="es-ES_tradnl"/>
        </w:rPr>
        <w:t xml:space="preserve">A diferencia de los principios de libre competencia y concurrencia, el de medio ambiente es </w:t>
      </w:r>
      <w:r w:rsidR="001E7851" w:rsidRPr="00847234">
        <w:rPr>
          <w:rFonts w:ascii="Arial" w:hAnsi="Arial" w:cs="Arial"/>
          <w:bCs/>
          <w:lang w:val="es-ES_tradnl"/>
        </w:rPr>
        <w:t xml:space="preserve">un </w:t>
      </w:r>
      <w:r w:rsidR="002339DB" w:rsidRPr="00847234">
        <w:rPr>
          <w:rFonts w:ascii="Arial" w:hAnsi="Arial" w:cs="Arial"/>
          <w:bCs/>
          <w:lang w:val="es-ES_tradnl"/>
        </w:rPr>
        <w:t xml:space="preserve">instrumento constitucional </w:t>
      </w:r>
      <w:r w:rsidR="001E7851" w:rsidRPr="00847234">
        <w:rPr>
          <w:rFonts w:ascii="Arial" w:hAnsi="Arial" w:cs="Arial"/>
          <w:bCs/>
          <w:lang w:val="es-ES_tradnl"/>
        </w:rPr>
        <w:t xml:space="preserve">que </w:t>
      </w:r>
      <w:r w:rsidR="002339DB" w:rsidRPr="00847234">
        <w:rPr>
          <w:rFonts w:ascii="Arial" w:hAnsi="Arial" w:cs="Arial"/>
          <w:bCs/>
          <w:lang w:val="es-ES_tradnl"/>
        </w:rPr>
        <w:t>contrarresta la principal amenaza de nuestros tiempos</w:t>
      </w:r>
      <w:r w:rsidR="003534B1" w:rsidRPr="00847234">
        <w:rPr>
          <w:rFonts w:ascii="Arial" w:hAnsi="Arial" w:cs="Arial"/>
          <w:bCs/>
          <w:lang w:val="es-ES_tradnl"/>
        </w:rPr>
        <w:t>: el cambio climático.</w:t>
      </w:r>
      <w:r w:rsidR="002339DB" w:rsidRPr="00847234">
        <w:rPr>
          <w:rFonts w:ascii="Arial" w:hAnsi="Arial" w:cs="Arial"/>
          <w:bCs/>
          <w:lang w:val="es-ES_tradnl"/>
        </w:rPr>
        <w:t xml:space="preserve"> </w:t>
      </w:r>
      <w:r w:rsidR="004A1FFD" w:rsidRPr="00847234">
        <w:rPr>
          <w:rFonts w:ascii="Arial" w:hAnsi="Arial" w:cs="Arial"/>
          <w:bCs/>
          <w:lang w:val="es-ES_tradnl"/>
        </w:rPr>
        <w:t>En e</w:t>
      </w:r>
      <w:r w:rsidR="004101F8" w:rsidRPr="00847234">
        <w:rPr>
          <w:rFonts w:ascii="Arial" w:hAnsi="Arial" w:cs="Arial"/>
          <w:bCs/>
        </w:rPr>
        <w:t xml:space="preserve">ste tema </w:t>
      </w:r>
      <w:r w:rsidR="00987C73" w:rsidRPr="00847234">
        <w:rPr>
          <w:rFonts w:ascii="Arial" w:hAnsi="Arial" w:cs="Arial"/>
          <w:bCs/>
        </w:rPr>
        <w:t>la Corte</w:t>
      </w:r>
      <w:r w:rsidR="006C3525" w:rsidRPr="00847234">
        <w:rPr>
          <w:rFonts w:ascii="Arial" w:hAnsi="Arial" w:cs="Arial"/>
          <w:bCs/>
        </w:rPr>
        <w:t xml:space="preserve"> cumple una función </w:t>
      </w:r>
      <w:r w:rsidR="00617739" w:rsidRPr="00847234">
        <w:rPr>
          <w:rFonts w:ascii="Arial" w:hAnsi="Arial" w:cs="Arial"/>
          <w:bCs/>
        </w:rPr>
        <w:t>contramayoritaria</w:t>
      </w:r>
      <w:r w:rsidR="00FC1421" w:rsidRPr="00847234">
        <w:rPr>
          <w:rFonts w:ascii="Arial" w:hAnsi="Arial" w:cs="Arial"/>
          <w:bCs/>
        </w:rPr>
        <w:t>, l</w:t>
      </w:r>
      <w:r w:rsidR="001209D5" w:rsidRPr="00847234">
        <w:rPr>
          <w:rFonts w:ascii="Arial" w:hAnsi="Arial" w:cs="Arial"/>
          <w:bCs/>
        </w:rPr>
        <w:t xml:space="preserve">o que supone su </w:t>
      </w:r>
      <w:r w:rsidR="001209D5" w:rsidRPr="00847234">
        <w:rPr>
          <w:rFonts w:ascii="Arial" w:hAnsi="Arial" w:cs="Arial"/>
          <w:bCs/>
          <w:i/>
          <w:iCs/>
        </w:rPr>
        <w:t xml:space="preserve">defensa </w:t>
      </w:r>
      <w:r w:rsidR="00FC1421" w:rsidRPr="00847234">
        <w:rPr>
          <w:rFonts w:ascii="Arial" w:hAnsi="Arial" w:cs="Arial"/>
          <w:bCs/>
        </w:rPr>
        <w:t xml:space="preserve">ante el ímpetu </w:t>
      </w:r>
      <w:r w:rsidR="001209D5" w:rsidRPr="00847234">
        <w:rPr>
          <w:rFonts w:ascii="Arial" w:hAnsi="Arial" w:cs="Arial"/>
          <w:bCs/>
        </w:rPr>
        <w:t xml:space="preserve">de las </w:t>
      </w:r>
      <w:r w:rsidR="0044296E" w:rsidRPr="00847234">
        <w:rPr>
          <w:rFonts w:ascii="Arial" w:hAnsi="Arial" w:cs="Arial"/>
          <w:bCs/>
        </w:rPr>
        <w:t xml:space="preserve">mayorías. </w:t>
      </w:r>
      <w:r w:rsidR="004613CA" w:rsidRPr="00847234">
        <w:rPr>
          <w:rFonts w:ascii="Arial" w:hAnsi="Arial" w:cs="Arial"/>
          <w:bCs/>
        </w:rPr>
        <w:t>Si concluyéramos</w:t>
      </w:r>
      <w:r w:rsidR="002339DB" w:rsidRPr="00847234">
        <w:rPr>
          <w:rFonts w:ascii="Arial" w:hAnsi="Arial" w:cs="Arial"/>
          <w:bCs/>
        </w:rPr>
        <w:t xml:space="preserve"> que </w:t>
      </w:r>
      <w:r w:rsidR="006C3525" w:rsidRPr="00847234">
        <w:rPr>
          <w:rFonts w:ascii="Arial" w:hAnsi="Arial" w:cs="Arial"/>
          <w:bCs/>
        </w:rPr>
        <w:t xml:space="preserve">la ley contiene una regulación regresiva, sólo </w:t>
      </w:r>
      <w:r w:rsidR="00617739" w:rsidRPr="00847234">
        <w:rPr>
          <w:rFonts w:ascii="Arial" w:hAnsi="Arial" w:cs="Arial"/>
          <w:bCs/>
        </w:rPr>
        <w:t xml:space="preserve">será válida </w:t>
      </w:r>
      <w:r w:rsidR="006C3525" w:rsidRPr="00847234">
        <w:rPr>
          <w:rFonts w:ascii="Arial" w:hAnsi="Arial" w:cs="Arial"/>
          <w:bCs/>
        </w:rPr>
        <w:t>si supera un estándar de escrutinio estricto</w:t>
      </w:r>
      <w:r w:rsidR="00336E9F" w:rsidRPr="00847234">
        <w:rPr>
          <w:rFonts w:ascii="Arial" w:hAnsi="Arial" w:cs="Arial"/>
          <w:bCs/>
        </w:rPr>
        <w:t xml:space="preserve">. Es decir, </w:t>
      </w:r>
      <w:r w:rsidR="006C3525" w:rsidRPr="00847234">
        <w:rPr>
          <w:rFonts w:ascii="Arial" w:hAnsi="Arial" w:cs="Arial"/>
          <w:bCs/>
        </w:rPr>
        <w:t xml:space="preserve">si la ley </w:t>
      </w:r>
      <w:r w:rsidR="00336E9F" w:rsidRPr="00847234">
        <w:rPr>
          <w:rFonts w:ascii="Arial" w:hAnsi="Arial" w:cs="Arial"/>
          <w:bCs/>
        </w:rPr>
        <w:t xml:space="preserve">persigue </w:t>
      </w:r>
      <w:r w:rsidR="006C3525" w:rsidRPr="00847234">
        <w:rPr>
          <w:rFonts w:ascii="Arial" w:hAnsi="Arial" w:cs="Arial"/>
          <w:bCs/>
        </w:rPr>
        <w:t xml:space="preserve">un fin imperioso, </w:t>
      </w:r>
      <w:r w:rsidR="00DC78A2" w:rsidRPr="00847234">
        <w:rPr>
          <w:rFonts w:ascii="Arial" w:hAnsi="Arial" w:cs="Arial"/>
          <w:bCs/>
        </w:rPr>
        <w:t xml:space="preserve">con </w:t>
      </w:r>
      <w:r w:rsidR="006C3525" w:rsidRPr="00847234">
        <w:rPr>
          <w:rFonts w:ascii="Arial" w:hAnsi="Arial" w:cs="Arial"/>
          <w:bCs/>
        </w:rPr>
        <w:t>los medios menos gravosos disponibles y si es proporcional en sentido estricto.</w:t>
      </w:r>
      <w:r w:rsidR="006F444D" w:rsidRPr="00847234">
        <w:rPr>
          <w:rStyle w:val="Refdenotaalpie"/>
          <w:rFonts w:ascii="Arial" w:hAnsi="Arial" w:cs="Arial"/>
          <w:bCs/>
        </w:rPr>
        <w:footnoteReference w:id="38"/>
      </w:r>
    </w:p>
    <w:p w14:paraId="526BBC9A" w14:textId="77777777" w:rsidR="00AF2D4F" w:rsidRPr="00847234" w:rsidRDefault="00AF2D4F" w:rsidP="006C3525">
      <w:pPr>
        <w:spacing w:line="360" w:lineRule="auto"/>
        <w:jc w:val="both"/>
        <w:rPr>
          <w:rFonts w:ascii="Arial" w:hAnsi="Arial" w:cs="Arial"/>
          <w:bCs/>
          <w:lang w:val="es-ES_tradnl"/>
        </w:rPr>
      </w:pPr>
    </w:p>
    <w:p w14:paraId="480E78A1" w14:textId="28F33BAC" w:rsidR="006C3525" w:rsidRPr="00847234" w:rsidRDefault="00C47A76" w:rsidP="006C3525">
      <w:pPr>
        <w:spacing w:line="360" w:lineRule="auto"/>
        <w:jc w:val="both"/>
        <w:rPr>
          <w:rFonts w:ascii="Arial" w:hAnsi="Arial" w:cs="Arial"/>
          <w:bCs/>
          <w:lang w:val="es-ES_tradnl"/>
        </w:rPr>
      </w:pPr>
      <w:r w:rsidRPr="00847234">
        <w:rPr>
          <w:rFonts w:ascii="Arial" w:hAnsi="Arial" w:cs="Arial"/>
          <w:bCs/>
          <w:lang w:val="es-ES_tradnl"/>
        </w:rPr>
        <w:t>El derecho humano al medio ambiente</w:t>
      </w:r>
      <w:r w:rsidR="00C972BE" w:rsidRPr="00847234">
        <w:rPr>
          <w:rFonts w:ascii="Arial" w:hAnsi="Arial" w:cs="Arial"/>
          <w:bCs/>
          <w:lang w:val="es-ES_tradnl"/>
        </w:rPr>
        <w:t xml:space="preserve"> </w:t>
      </w:r>
      <w:r w:rsidR="00730451" w:rsidRPr="00847234">
        <w:rPr>
          <w:rFonts w:ascii="Arial" w:hAnsi="Arial" w:cs="Arial"/>
          <w:bCs/>
          <w:lang w:val="es-ES_tradnl"/>
        </w:rPr>
        <w:t xml:space="preserve">está reconocido </w:t>
      </w:r>
      <w:r w:rsidR="004A1FFD" w:rsidRPr="00847234">
        <w:rPr>
          <w:rFonts w:ascii="Arial" w:hAnsi="Arial" w:cs="Arial"/>
          <w:bCs/>
          <w:lang w:val="es-ES_tradnl"/>
        </w:rPr>
        <w:t xml:space="preserve">en </w:t>
      </w:r>
      <w:r w:rsidR="006C3525" w:rsidRPr="00847234">
        <w:rPr>
          <w:rFonts w:ascii="Arial" w:hAnsi="Arial" w:cs="Arial"/>
          <w:bCs/>
          <w:lang w:val="es-ES_tradnl"/>
        </w:rPr>
        <w:t xml:space="preserve">el artículo 4° de la Constitución Federal, así como </w:t>
      </w:r>
      <w:r w:rsidR="00C972BE" w:rsidRPr="00847234">
        <w:rPr>
          <w:rFonts w:ascii="Arial" w:hAnsi="Arial" w:cs="Arial"/>
          <w:bCs/>
          <w:lang w:val="es-ES_tradnl"/>
        </w:rPr>
        <w:t>por el</w:t>
      </w:r>
      <w:r w:rsidR="006C3525" w:rsidRPr="00847234">
        <w:rPr>
          <w:rFonts w:ascii="Arial" w:hAnsi="Arial" w:cs="Arial"/>
          <w:bCs/>
          <w:lang w:val="es-ES_tradnl"/>
        </w:rPr>
        <w:t xml:space="preserve"> Acuerdo de París</w:t>
      </w:r>
      <w:r w:rsidR="00C96554" w:rsidRPr="00847234">
        <w:rPr>
          <w:rFonts w:ascii="Arial" w:hAnsi="Arial" w:cs="Arial"/>
          <w:bCs/>
          <w:lang w:val="es-ES_tradnl"/>
        </w:rPr>
        <w:t>,</w:t>
      </w:r>
      <w:r w:rsidR="006C3525" w:rsidRPr="00847234">
        <w:rPr>
          <w:rFonts w:ascii="Arial" w:hAnsi="Arial" w:cs="Arial"/>
          <w:bCs/>
          <w:lang w:val="es-ES_tradnl"/>
        </w:rPr>
        <w:t xml:space="preserve"> publicado en el Diario Oficial el 4 de noviembre de 2016</w:t>
      </w:r>
      <w:r w:rsidR="00C96554" w:rsidRPr="00847234">
        <w:rPr>
          <w:rFonts w:ascii="Arial" w:hAnsi="Arial" w:cs="Arial"/>
          <w:bCs/>
          <w:lang w:val="es-ES_tradnl"/>
        </w:rPr>
        <w:t>. Debe</w:t>
      </w:r>
      <w:r w:rsidR="008D0DBB" w:rsidRPr="00847234">
        <w:rPr>
          <w:rFonts w:ascii="Arial" w:hAnsi="Arial" w:cs="Arial"/>
          <w:bCs/>
          <w:lang w:val="es-ES_tradnl"/>
        </w:rPr>
        <w:t xml:space="preserve"> integrarse </w:t>
      </w:r>
      <w:r w:rsidR="00C972BE" w:rsidRPr="00847234">
        <w:rPr>
          <w:rFonts w:ascii="Arial" w:hAnsi="Arial" w:cs="Arial"/>
          <w:bCs/>
          <w:lang w:val="es-ES_tradnl"/>
        </w:rPr>
        <w:t>también con</w:t>
      </w:r>
      <w:r w:rsidR="006C3525" w:rsidRPr="00847234">
        <w:rPr>
          <w:rFonts w:ascii="Arial" w:hAnsi="Arial" w:cs="Arial"/>
          <w:bCs/>
          <w:lang w:val="es-ES_tradnl"/>
        </w:rPr>
        <w:t xml:space="preserve"> otros instrumentos</w:t>
      </w:r>
      <w:r w:rsidR="008D0DBB" w:rsidRPr="00847234">
        <w:rPr>
          <w:rFonts w:ascii="Arial" w:hAnsi="Arial" w:cs="Arial"/>
          <w:bCs/>
          <w:lang w:val="es-ES_tradnl"/>
        </w:rPr>
        <w:t>. Por ejemplo</w:t>
      </w:r>
      <w:r w:rsidR="00D35C79" w:rsidRPr="00847234">
        <w:rPr>
          <w:rFonts w:ascii="Arial" w:hAnsi="Arial" w:cs="Arial"/>
          <w:bCs/>
          <w:lang w:val="es-ES_tradnl"/>
        </w:rPr>
        <w:t xml:space="preserve">: </w:t>
      </w:r>
      <w:r w:rsidR="008D0DBB" w:rsidRPr="00847234">
        <w:rPr>
          <w:rFonts w:ascii="Arial" w:hAnsi="Arial" w:cs="Arial"/>
          <w:bCs/>
          <w:lang w:val="es-ES_tradnl"/>
        </w:rPr>
        <w:t xml:space="preserve"> </w:t>
      </w:r>
      <w:r w:rsidR="006C3525" w:rsidRPr="00847234">
        <w:rPr>
          <w:rFonts w:ascii="Arial" w:hAnsi="Arial" w:cs="Arial"/>
          <w:bCs/>
          <w:lang w:val="es-ES_tradnl"/>
        </w:rPr>
        <w:t>el Acuerdo Regional sobre el Acceso a la Información, la Participación Pública y el Acceso a la Justicia en Asuntos Ambientales en América Latina y el Caribe, también conocido como Convenio de Escazú, publicado en el Diario Oficial de la Federación el 9 de diciembre de 2020</w:t>
      </w:r>
      <w:r w:rsidR="00E2419F" w:rsidRPr="00847234">
        <w:rPr>
          <w:rFonts w:ascii="Arial" w:hAnsi="Arial" w:cs="Arial"/>
          <w:bCs/>
          <w:lang w:val="es-ES_tradnl"/>
        </w:rPr>
        <w:t>;</w:t>
      </w:r>
      <w:r w:rsidR="006C3525" w:rsidRPr="00847234">
        <w:rPr>
          <w:rFonts w:ascii="Arial" w:hAnsi="Arial" w:cs="Arial"/>
          <w:bCs/>
          <w:lang w:val="es-ES_tradnl"/>
        </w:rPr>
        <w:t xml:space="preserve"> así como con la Opinión Consultiva 23/17 de la Corte Interamericana de Derechos Humanos, la cual, con independencia de su caracterización como parte del parámetro</w:t>
      </w:r>
      <w:r w:rsidR="009E5160" w:rsidRPr="00847234">
        <w:rPr>
          <w:rFonts w:ascii="Arial" w:hAnsi="Arial" w:cs="Arial"/>
          <w:bCs/>
          <w:lang w:val="es-ES_tradnl"/>
        </w:rPr>
        <w:t>,</w:t>
      </w:r>
      <w:r w:rsidR="006C3525" w:rsidRPr="00847234">
        <w:rPr>
          <w:rFonts w:ascii="Arial" w:hAnsi="Arial" w:cs="Arial"/>
          <w:bCs/>
          <w:lang w:val="es-ES_tradnl"/>
        </w:rPr>
        <w:t xml:space="preserve"> en términos de la Contradicción de Tesis 293/2011, </w:t>
      </w:r>
      <w:r w:rsidR="009E5160" w:rsidRPr="00847234">
        <w:rPr>
          <w:rFonts w:ascii="Arial" w:hAnsi="Arial" w:cs="Arial"/>
          <w:bCs/>
          <w:lang w:val="es-ES_tradnl"/>
        </w:rPr>
        <w:t xml:space="preserve">es </w:t>
      </w:r>
      <w:r w:rsidR="006C3525" w:rsidRPr="00847234">
        <w:rPr>
          <w:rFonts w:ascii="Arial" w:hAnsi="Arial" w:cs="Arial"/>
          <w:bCs/>
          <w:lang w:val="es-ES_tradnl"/>
        </w:rPr>
        <w:t xml:space="preserve">un criterio útil para desentrañar las obligaciones del Estado mexicano.  </w:t>
      </w:r>
    </w:p>
    <w:p w14:paraId="6E3684FD" w14:textId="77777777" w:rsidR="006C3525" w:rsidRPr="00847234" w:rsidRDefault="006C3525" w:rsidP="006C3525">
      <w:pPr>
        <w:spacing w:line="360" w:lineRule="auto"/>
        <w:jc w:val="both"/>
        <w:rPr>
          <w:rFonts w:ascii="Arial" w:hAnsi="Arial" w:cs="Arial"/>
          <w:bCs/>
          <w:lang w:val="es-ES_tradnl"/>
        </w:rPr>
      </w:pPr>
    </w:p>
    <w:p w14:paraId="6C1C6B06" w14:textId="0A712D21" w:rsidR="00AB5FFD" w:rsidRPr="00847234" w:rsidRDefault="006C3525" w:rsidP="006C3525">
      <w:pPr>
        <w:spacing w:line="360" w:lineRule="auto"/>
        <w:jc w:val="both"/>
        <w:rPr>
          <w:rFonts w:ascii="Arial" w:hAnsi="Arial" w:cs="Arial"/>
          <w:bCs/>
          <w:lang w:val="es-ES_tradnl"/>
        </w:rPr>
      </w:pPr>
      <w:r w:rsidRPr="00847234">
        <w:rPr>
          <w:rFonts w:ascii="Arial" w:hAnsi="Arial" w:cs="Arial"/>
          <w:bCs/>
          <w:lang w:val="es-ES_tradnl"/>
        </w:rPr>
        <w:t xml:space="preserve">El Acuerdo de París es el primer tratado internacional </w:t>
      </w:r>
      <w:r w:rsidR="00031099" w:rsidRPr="00847234">
        <w:rPr>
          <w:rFonts w:ascii="Arial" w:hAnsi="Arial" w:cs="Arial"/>
          <w:bCs/>
          <w:lang w:val="es-ES_tradnl"/>
        </w:rPr>
        <w:t xml:space="preserve">que </w:t>
      </w:r>
      <w:r w:rsidR="00CC3582" w:rsidRPr="00847234">
        <w:rPr>
          <w:rFonts w:ascii="Arial" w:hAnsi="Arial" w:cs="Arial"/>
          <w:bCs/>
          <w:lang w:val="es-ES_tradnl"/>
        </w:rPr>
        <w:t xml:space="preserve">enlista los deberes jurídicos </w:t>
      </w:r>
      <w:r w:rsidRPr="00847234">
        <w:rPr>
          <w:rFonts w:ascii="Arial" w:hAnsi="Arial" w:cs="Arial"/>
          <w:bCs/>
          <w:lang w:val="es-ES_tradnl"/>
        </w:rPr>
        <w:t>para frenar el cambio climático</w:t>
      </w:r>
      <w:r w:rsidR="000E2D55" w:rsidRPr="00847234">
        <w:rPr>
          <w:rFonts w:ascii="Arial" w:hAnsi="Arial" w:cs="Arial"/>
          <w:bCs/>
          <w:lang w:val="es-ES_tradnl"/>
        </w:rPr>
        <w:t xml:space="preserve">. Hablar de él en esta ocasión brindaba a este Pleno la oportunidad de desarrollar su contenido y </w:t>
      </w:r>
      <w:r w:rsidR="00FB71B5" w:rsidRPr="00847234">
        <w:rPr>
          <w:rFonts w:ascii="Arial" w:hAnsi="Arial" w:cs="Arial"/>
          <w:bCs/>
          <w:lang w:val="es-ES_tradnl"/>
        </w:rPr>
        <w:t xml:space="preserve">favorecer </w:t>
      </w:r>
      <w:r w:rsidR="00115D5A" w:rsidRPr="00847234">
        <w:rPr>
          <w:rFonts w:ascii="Arial" w:hAnsi="Arial" w:cs="Arial"/>
          <w:bCs/>
          <w:lang w:val="es-ES_tradnl"/>
        </w:rPr>
        <w:t xml:space="preserve">la </w:t>
      </w:r>
      <w:proofErr w:type="spellStart"/>
      <w:r w:rsidR="00115D5A" w:rsidRPr="00847234">
        <w:rPr>
          <w:rFonts w:ascii="Arial" w:hAnsi="Arial" w:cs="Arial"/>
          <w:bCs/>
          <w:lang w:val="es-ES_tradnl"/>
        </w:rPr>
        <w:t>justiciabilidad</w:t>
      </w:r>
      <w:proofErr w:type="spellEnd"/>
      <w:r w:rsidR="00115D5A" w:rsidRPr="00847234">
        <w:rPr>
          <w:rFonts w:ascii="Arial" w:hAnsi="Arial" w:cs="Arial"/>
          <w:bCs/>
          <w:lang w:val="es-ES_tradnl"/>
        </w:rPr>
        <w:t xml:space="preserve"> </w:t>
      </w:r>
      <w:r w:rsidRPr="00847234">
        <w:rPr>
          <w:rFonts w:ascii="Arial" w:hAnsi="Arial" w:cs="Arial"/>
          <w:bCs/>
          <w:lang w:val="es-ES_tradnl"/>
        </w:rPr>
        <w:t>de las obligaciones de las autoridades para evitar la propagación de los gases efecto invernadero.</w:t>
      </w:r>
      <w:r w:rsidR="00115D5A" w:rsidRPr="00847234">
        <w:rPr>
          <w:rFonts w:ascii="Arial" w:hAnsi="Arial" w:cs="Arial"/>
          <w:bCs/>
          <w:lang w:val="es-ES_tradnl"/>
        </w:rPr>
        <w:t xml:space="preserve"> </w:t>
      </w:r>
      <w:r w:rsidRPr="00847234">
        <w:rPr>
          <w:rFonts w:ascii="Arial" w:hAnsi="Arial" w:cs="Arial"/>
          <w:bCs/>
          <w:lang w:val="es-ES_tradnl"/>
        </w:rPr>
        <w:t>E</w:t>
      </w:r>
      <w:r w:rsidR="00CC3582" w:rsidRPr="00847234">
        <w:rPr>
          <w:rFonts w:ascii="Arial" w:hAnsi="Arial" w:cs="Arial"/>
          <w:bCs/>
          <w:lang w:val="es-ES_tradnl"/>
        </w:rPr>
        <w:t>s</w:t>
      </w:r>
      <w:r w:rsidR="002A703D" w:rsidRPr="00847234">
        <w:rPr>
          <w:rFonts w:ascii="Arial" w:hAnsi="Arial" w:cs="Arial"/>
          <w:bCs/>
          <w:lang w:val="es-ES_tradnl"/>
        </w:rPr>
        <w:t>o</w:t>
      </w:r>
      <w:r w:rsidR="00CC3582" w:rsidRPr="00847234">
        <w:rPr>
          <w:rFonts w:ascii="Arial" w:hAnsi="Arial" w:cs="Arial"/>
          <w:bCs/>
          <w:lang w:val="es-ES_tradnl"/>
        </w:rPr>
        <w:t xml:space="preserve"> hubiese inaugurado una doctrina constitucional</w:t>
      </w:r>
      <w:r w:rsidR="005E64D4" w:rsidRPr="00847234">
        <w:rPr>
          <w:rFonts w:ascii="Arial" w:hAnsi="Arial" w:cs="Arial"/>
          <w:bCs/>
          <w:lang w:val="es-ES_tradnl"/>
        </w:rPr>
        <w:t xml:space="preserve"> en este Tribunal Pleno</w:t>
      </w:r>
      <w:r w:rsidR="00CC3582" w:rsidRPr="00847234">
        <w:rPr>
          <w:rFonts w:ascii="Arial" w:hAnsi="Arial" w:cs="Arial"/>
          <w:bCs/>
          <w:lang w:val="es-ES_tradnl"/>
        </w:rPr>
        <w:t xml:space="preserve"> respecto a una de las mayores preocupaciones del</w:t>
      </w:r>
      <w:r w:rsidRPr="00847234">
        <w:rPr>
          <w:rFonts w:ascii="Arial" w:hAnsi="Arial" w:cs="Arial"/>
          <w:bCs/>
          <w:lang w:val="es-ES_tradnl"/>
        </w:rPr>
        <w:t xml:space="preserve"> constitucionalismo contemporáneo: ¿</w:t>
      </w:r>
      <w:r w:rsidR="00AB5FFD" w:rsidRPr="00847234">
        <w:rPr>
          <w:rFonts w:ascii="Arial" w:hAnsi="Arial" w:cs="Arial"/>
          <w:bCs/>
          <w:lang w:val="es-ES_tradnl"/>
        </w:rPr>
        <w:t>L</w:t>
      </w:r>
      <w:r w:rsidRPr="00847234">
        <w:rPr>
          <w:rFonts w:ascii="Arial" w:hAnsi="Arial" w:cs="Arial"/>
          <w:bCs/>
          <w:lang w:val="es-ES_tradnl"/>
        </w:rPr>
        <w:t xml:space="preserve">os jueces constitucionales deben </w:t>
      </w:r>
      <w:r w:rsidR="00CC3582" w:rsidRPr="00847234">
        <w:rPr>
          <w:rFonts w:ascii="Arial" w:hAnsi="Arial" w:cs="Arial"/>
          <w:bCs/>
          <w:lang w:val="es-ES_tradnl"/>
        </w:rPr>
        <w:t xml:space="preserve">o no </w:t>
      </w:r>
      <w:r w:rsidR="005D0D4F" w:rsidRPr="00847234">
        <w:rPr>
          <w:rFonts w:ascii="Arial" w:hAnsi="Arial" w:cs="Arial"/>
          <w:bCs/>
          <w:lang w:val="es-ES_tradnl"/>
        </w:rPr>
        <w:t xml:space="preserve">vigilar </w:t>
      </w:r>
      <w:r w:rsidRPr="00847234">
        <w:rPr>
          <w:rFonts w:ascii="Arial" w:hAnsi="Arial" w:cs="Arial"/>
          <w:bCs/>
          <w:lang w:val="es-ES_tradnl"/>
        </w:rPr>
        <w:t xml:space="preserve">las políticas </w:t>
      </w:r>
      <w:r w:rsidR="00AB5FFD" w:rsidRPr="00847234">
        <w:rPr>
          <w:rFonts w:ascii="Arial" w:hAnsi="Arial" w:cs="Arial"/>
          <w:bCs/>
          <w:lang w:val="es-ES_tradnl"/>
        </w:rPr>
        <w:t>públicas</w:t>
      </w:r>
      <w:r w:rsidRPr="00847234">
        <w:rPr>
          <w:rFonts w:ascii="Arial" w:hAnsi="Arial" w:cs="Arial"/>
          <w:bCs/>
          <w:lang w:val="es-ES_tradnl"/>
        </w:rPr>
        <w:t xml:space="preserve"> que retroceden en la producción de energías limpias?</w:t>
      </w:r>
      <w:r w:rsidR="0027474A" w:rsidRPr="00847234">
        <w:rPr>
          <w:rFonts w:ascii="Arial" w:hAnsi="Arial" w:cs="Arial"/>
          <w:bCs/>
          <w:lang w:val="es-ES_tradnl"/>
        </w:rPr>
        <w:t xml:space="preserve"> </w:t>
      </w:r>
    </w:p>
    <w:p w14:paraId="5E9DC5E5" w14:textId="77777777" w:rsidR="00512CF7" w:rsidRPr="00847234" w:rsidRDefault="00512CF7" w:rsidP="006C3525">
      <w:pPr>
        <w:spacing w:line="360" w:lineRule="auto"/>
        <w:jc w:val="both"/>
        <w:rPr>
          <w:rFonts w:ascii="Arial" w:hAnsi="Arial" w:cs="Arial"/>
          <w:bCs/>
          <w:lang w:val="es-ES_tradnl"/>
        </w:rPr>
      </w:pPr>
    </w:p>
    <w:p w14:paraId="30108044" w14:textId="054AB142" w:rsidR="00CD79F1" w:rsidRPr="00F72403" w:rsidRDefault="00A71F93" w:rsidP="006C3525">
      <w:pPr>
        <w:spacing w:line="360" w:lineRule="auto"/>
        <w:jc w:val="both"/>
        <w:rPr>
          <w:rFonts w:ascii="Arial" w:hAnsi="Arial" w:cs="Arial"/>
          <w:bCs/>
          <w:lang w:val="es-ES_tradnl"/>
        </w:rPr>
      </w:pPr>
      <w:r w:rsidRPr="00F72403">
        <w:rPr>
          <w:rFonts w:ascii="Arial" w:hAnsi="Arial" w:cs="Arial"/>
          <w:bCs/>
          <w:lang w:val="es-ES_tradnl"/>
        </w:rPr>
        <w:t xml:space="preserve">El </w:t>
      </w:r>
      <w:r w:rsidR="006C3525" w:rsidRPr="00F72403">
        <w:rPr>
          <w:rFonts w:ascii="Arial" w:hAnsi="Arial" w:cs="Arial"/>
          <w:bCs/>
          <w:lang w:val="es-ES_tradnl"/>
        </w:rPr>
        <w:t>Acuerdo de París tiene dos tipos de contenidos: unos comprometen a los Estados-</w:t>
      </w:r>
      <w:r w:rsidR="00F14E39">
        <w:rPr>
          <w:rFonts w:ascii="Arial" w:hAnsi="Arial" w:cs="Arial"/>
          <w:bCs/>
          <w:lang w:val="es-ES_tradnl"/>
        </w:rPr>
        <w:t>p</w:t>
      </w:r>
      <w:r w:rsidR="006C3525" w:rsidRPr="00F72403">
        <w:rPr>
          <w:rFonts w:ascii="Arial" w:hAnsi="Arial" w:cs="Arial"/>
          <w:bCs/>
          <w:lang w:val="es-ES_tradnl"/>
        </w:rPr>
        <w:t>arte a lograr ciertas metas en determinado tiempo</w:t>
      </w:r>
      <w:r w:rsidR="007105F5" w:rsidRPr="00F72403">
        <w:rPr>
          <w:rFonts w:ascii="Arial" w:hAnsi="Arial" w:cs="Arial"/>
          <w:bCs/>
          <w:lang w:val="es-ES_tradnl"/>
        </w:rPr>
        <w:t xml:space="preserve"> -</w:t>
      </w:r>
      <w:r w:rsidR="006C3525" w:rsidRPr="00F72403">
        <w:rPr>
          <w:rFonts w:ascii="Arial" w:hAnsi="Arial" w:cs="Arial"/>
          <w:bCs/>
          <w:lang w:val="es-ES_tradnl"/>
        </w:rPr>
        <w:t xml:space="preserve">las cuales excluyo de </w:t>
      </w:r>
      <w:r w:rsidR="00BB6483" w:rsidRPr="00F72403">
        <w:rPr>
          <w:rFonts w:ascii="Arial" w:hAnsi="Arial" w:cs="Arial"/>
          <w:bCs/>
          <w:lang w:val="es-ES_tradnl"/>
        </w:rPr>
        <w:t>esta discusión</w:t>
      </w:r>
      <w:r w:rsidR="007105F5" w:rsidRPr="00F72403">
        <w:rPr>
          <w:rFonts w:ascii="Arial" w:hAnsi="Arial" w:cs="Arial"/>
          <w:bCs/>
          <w:lang w:val="es-ES_tradnl"/>
        </w:rPr>
        <w:t>-</w:t>
      </w:r>
      <w:r w:rsidR="006C3525" w:rsidRPr="00F72403">
        <w:rPr>
          <w:rFonts w:ascii="Arial" w:hAnsi="Arial" w:cs="Arial"/>
          <w:bCs/>
          <w:lang w:val="es-ES_tradnl"/>
        </w:rPr>
        <w:t xml:space="preserve"> y otros que </w:t>
      </w:r>
      <w:r w:rsidR="00BB6483" w:rsidRPr="00F72403">
        <w:rPr>
          <w:rFonts w:ascii="Arial" w:hAnsi="Arial" w:cs="Arial"/>
          <w:bCs/>
          <w:lang w:val="es-ES_tradnl"/>
        </w:rPr>
        <w:t xml:space="preserve">enumeran </w:t>
      </w:r>
      <w:r w:rsidR="006C3525" w:rsidRPr="00F72403">
        <w:rPr>
          <w:rFonts w:ascii="Arial" w:hAnsi="Arial" w:cs="Arial"/>
          <w:bCs/>
          <w:lang w:val="es-ES_tradnl"/>
        </w:rPr>
        <w:t xml:space="preserve">principios autónomos </w:t>
      </w:r>
      <w:r w:rsidR="00BE6C9F" w:rsidRPr="00F72403">
        <w:rPr>
          <w:rFonts w:ascii="Arial" w:hAnsi="Arial" w:cs="Arial"/>
          <w:bCs/>
          <w:lang w:val="es-ES_tradnl"/>
        </w:rPr>
        <w:t xml:space="preserve">destinados a </w:t>
      </w:r>
      <w:r w:rsidR="009B213D" w:rsidRPr="00F72403">
        <w:rPr>
          <w:rFonts w:ascii="Arial" w:hAnsi="Arial" w:cs="Arial"/>
          <w:bCs/>
          <w:lang w:val="es-ES_tradnl"/>
        </w:rPr>
        <w:t xml:space="preserve">adoptarse por </w:t>
      </w:r>
      <w:r w:rsidR="006C3525" w:rsidRPr="00F72403">
        <w:rPr>
          <w:rFonts w:ascii="Arial" w:hAnsi="Arial" w:cs="Arial"/>
          <w:bCs/>
          <w:lang w:val="es-ES_tradnl"/>
        </w:rPr>
        <w:t xml:space="preserve">los Estados en el control de sus </w:t>
      </w:r>
      <w:r w:rsidR="00462685" w:rsidRPr="00F72403">
        <w:rPr>
          <w:rFonts w:ascii="Arial" w:hAnsi="Arial" w:cs="Arial"/>
          <w:bCs/>
          <w:lang w:val="es-ES_tradnl"/>
        </w:rPr>
        <w:t>decisiones medio</w:t>
      </w:r>
      <w:r w:rsidR="006C3525" w:rsidRPr="00F72403">
        <w:rPr>
          <w:rFonts w:ascii="Arial" w:hAnsi="Arial" w:cs="Arial"/>
          <w:bCs/>
          <w:lang w:val="es-ES_tradnl"/>
        </w:rPr>
        <w:t xml:space="preserve"> ambientales</w:t>
      </w:r>
      <w:r w:rsidR="00BE6C9F" w:rsidRPr="00F72403">
        <w:rPr>
          <w:rFonts w:ascii="Arial" w:hAnsi="Arial" w:cs="Arial"/>
          <w:bCs/>
          <w:lang w:val="es-ES_tradnl"/>
        </w:rPr>
        <w:t xml:space="preserve"> internas</w:t>
      </w:r>
      <w:r w:rsidR="006C3525" w:rsidRPr="00F72403">
        <w:rPr>
          <w:rFonts w:ascii="Arial" w:hAnsi="Arial" w:cs="Arial"/>
          <w:bCs/>
          <w:lang w:val="es-ES_tradnl"/>
        </w:rPr>
        <w:t>, con independencia de su relación con las metas prometidas.</w:t>
      </w:r>
      <w:r w:rsidR="00810883" w:rsidRPr="00F72403">
        <w:rPr>
          <w:rFonts w:ascii="Arial" w:hAnsi="Arial" w:cs="Arial"/>
          <w:bCs/>
          <w:lang w:val="es-ES_tradnl"/>
        </w:rPr>
        <w:t xml:space="preserve"> </w:t>
      </w:r>
      <w:r w:rsidR="00AD58D4" w:rsidRPr="00F72403">
        <w:rPr>
          <w:rFonts w:ascii="Arial" w:hAnsi="Arial" w:cs="Arial"/>
          <w:bCs/>
          <w:lang w:val="es-ES_tradnl"/>
        </w:rPr>
        <w:t xml:space="preserve">A continuación, </w:t>
      </w:r>
      <w:r w:rsidR="004F6234" w:rsidRPr="00F72403">
        <w:rPr>
          <w:rFonts w:ascii="Arial" w:hAnsi="Arial" w:cs="Arial"/>
          <w:bCs/>
          <w:lang w:val="es-ES_tradnl"/>
        </w:rPr>
        <w:t xml:space="preserve">me referiré al segundo de los puntos: los principios autónomos que delinean la política ambiental. </w:t>
      </w:r>
    </w:p>
    <w:p w14:paraId="444D0452" w14:textId="77777777" w:rsidR="004104DC" w:rsidRPr="00847234" w:rsidRDefault="004104DC" w:rsidP="006C3525">
      <w:pPr>
        <w:spacing w:line="360" w:lineRule="auto"/>
        <w:jc w:val="both"/>
        <w:rPr>
          <w:rFonts w:ascii="Arial" w:hAnsi="Arial" w:cs="Arial"/>
          <w:bCs/>
          <w:lang w:val="es-ES_tradnl"/>
        </w:rPr>
      </w:pPr>
    </w:p>
    <w:p w14:paraId="23FF2E87" w14:textId="0D0AF28F" w:rsidR="004104DC" w:rsidRPr="00847234" w:rsidRDefault="00E66A17" w:rsidP="006C3525">
      <w:pPr>
        <w:spacing w:line="360" w:lineRule="auto"/>
        <w:jc w:val="both"/>
        <w:rPr>
          <w:rFonts w:ascii="Arial" w:hAnsi="Arial" w:cs="Arial"/>
          <w:bCs/>
          <w:lang w:val="es-ES_tradnl"/>
        </w:rPr>
      </w:pPr>
      <w:r w:rsidRPr="00847234">
        <w:rPr>
          <w:rFonts w:ascii="Arial" w:hAnsi="Arial" w:cs="Arial"/>
          <w:bCs/>
          <w:lang w:val="es-ES_tradnl"/>
        </w:rPr>
        <w:t xml:space="preserve">Del </w:t>
      </w:r>
      <w:r w:rsidR="006C3525" w:rsidRPr="00847234">
        <w:rPr>
          <w:rFonts w:ascii="Arial" w:hAnsi="Arial" w:cs="Arial"/>
          <w:bCs/>
          <w:lang w:val="es-ES_tradnl"/>
        </w:rPr>
        <w:t xml:space="preserve">Acuerdo de París </w:t>
      </w:r>
      <w:r w:rsidR="00456173" w:rsidRPr="00847234">
        <w:rPr>
          <w:rFonts w:ascii="Arial" w:hAnsi="Arial" w:cs="Arial"/>
          <w:bCs/>
          <w:lang w:val="es-ES_tradnl"/>
        </w:rPr>
        <w:t xml:space="preserve">subrayo la pertinencia </w:t>
      </w:r>
      <w:r w:rsidR="00786029" w:rsidRPr="00847234">
        <w:rPr>
          <w:rFonts w:ascii="Arial" w:hAnsi="Arial" w:cs="Arial"/>
          <w:bCs/>
          <w:lang w:val="es-ES_tradnl"/>
        </w:rPr>
        <w:t xml:space="preserve">de </w:t>
      </w:r>
      <w:r w:rsidR="006C3525" w:rsidRPr="00847234">
        <w:rPr>
          <w:rFonts w:ascii="Arial" w:hAnsi="Arial" w:cs="Arial"/>
          <w:bCs/>
          <w:lang w:val="es-ES_tradnl"/>
        </w:rPr>
        <w:t>los artículos 2, 4, 7, 9, y 10</w:t>
      </w:r>
      <w:r w:rsidRPr="00847234">
        <w:rPr>
          <w:rFonts w:ascii="Arial" w:hAnsi="Arial" w:cs="Arial"/>
          <w:bCs/>
          <w:lang w:val="es-ES_tradnl"/>
        </w:rPr>
        <w:t xml:space="preserve">. </w:t>
      </w:r>
      <w:r w:rsidR="00B75F42" w:rsidRPr="00847234">
        <w:rPr>
          <w:rFonts w:ascii="Arial" w:hAnsi="Arial" w:cs="Arial"/>
          <w:bCs/>
          <w:lang w:val="es-ES_tradnl"/>
        </w:rPr>
        <w:t>Est</w:t>
      </w:r>
      <w:r w:rsidR="00786029" w:rsidRPr="00847234">
        <w:rPr>
          <w:rFonts w:ascii="Arial" w:hAnsi="Arial" w:cs="Arial"/>
          <w:bCs/>
          <w:lang w:val="es-ES_tradnl"/>
        </w:rPr>
        <w:t xml:space="preserve">as </w:t>
      </w:r>
      <w:r w:rsidR="00CC7D28" w:rsidRPr="00847234">
        <w:rPr>
          <w:rFonts w:ascii="Arial" w:hAnsi="Arial" w:cs="Arial"/>
          <w:bCs/>
          <w:lang w:val="es-ES_tradnl"/>
        </w:rPr>
        <w:t>disposiciones</w:t>
      </w:r>
      <w:r w:rsidR="00786029" w:rsidRPr="00847234">
        <w:rPr>
          <w:rFonts w:ascii="Arial" w:hAnsi="Arial" w:cs="Arial"/>
          <w:bCs/>
          <w:lang w:val="es-ES_tradnl"/>
        </w:rPr>
        <w:t xml:space="preserve"> introducen l</w:t>
      </w:r>
      <w:r w:rsidR="00CC7D28" w:rsidRPr="00847234">
        <w:rPr>
          <w:rFonts w:ascii="Arial" w:hAnsi="Arial" w:cs="Arial"/>
          <w:bCs/>
          <w:lang w:val="es-ES_tradnl"/>
        </w:rPr>
        <w:t xml:space="preserve">a </w:t>
      </w:r>
      <w:r w:rsidR="006C3525" w:rsidRPr="00847234">
        <w:rPr>
          <w:rFonts w:ascii="Arial" w:hAnsi="Arial" w:cs="Arial"/>
          <w:bCs/>
          <w:lang w:val="es-ES_tradnl"/>
        </w:rPr>
        <w:t>existencia de un mandato de transición económica y social en los procesos de producción generadores de emisiones de gases efecto invernadero</w:t>
      </w:r>
      <w:r w:rsidR="00AF2D4F" w:rsidRPr="00847234">
        <w:rPr>
          <w:rFonts w:ascii="Arial" w:hAnsi="Arial" w:cs="Arial"/>
          <w:bCs/>
          <w:lang w:val="es-ES_tradnl"/>
        </w:rPr>
        <w:t>.</w:t>
      </w:r>
      <w:r w:rsidR="00EC5C6A" w:rsidRPr="00847234">
        <w:rPr>
          <w:rFonts w:ascii="Arial" w:hAnsi="Arial" w:cs="Arial"/>
          <w:bCs/>
          <w:lang w:val="es-ES_tradnl"/>
        </w:rPr>
        <w:t xml:space="preserve"> </w:t>
      </w:r>
      <w:r w:rsidR="00CC7D28" w:rsidRPr="00847234">
        <w:rPr>
          <w:rFonts w:ascii="Arial" w:hAnsi="Arial" w:cs="Arial"/>
          <w:bCs/>
          <w:lang w:val="es-ES_tradnl"/>
        </w:rPr>
        <w:t xml:space="preserve">De ellos también </w:t>
      </w:r>
      <w:r w:rsidR="006C3525" w:rsidRPr="00847234">
        <w:rPr>
          <w:rFonts w:ascii="Arial" w:hAnsi="Arial" w:cs="Arial"/>
          <w:bCs/>
          <w:lang w:val="es-ES_tradnl"/>
        </w:rPr>
        <w:t xml:space="preserve">deriva una obligación </w:t>
      </w:r>
      <w:r w:rsidR="00CC7D28" w:rsidRPr="00847234">
        <w:rPr>
          <w:rFonts w:ascii="Arial" w:hAnsi="Arial" w:cs="Arial"/>
          <w:bCs/>
          <w:lang w:val="es-ES_tradnl"/>
        </w:rPr>
        <w:t xml:space="preserve">para </w:t>
      </w:r>
      <w:r w:rsidR="006C3525" w:rsidRPr="00847234">
        <w:rPr>
          <w:rFonts w:ascii="Arial" w:hAnsi="Arial" w:cs="Arial"/>
          <w:bCs/>
          <w:lang w:val="es-ES_tradnl"/>
        </w:rPr>
        <w:t xml:space="preserve">implementar una transferencia tecnológica consecuente con </w:t>
      </w:r>
      <w:r w:rsidR="00B4077B" w:rsidRPr="00847234">
        <w:rPr>
          <w:rFonts w:ascii="Arial" w:hAnsi="Arial" w:cs="Arial"/>
          <w:bCs/>
          <w:lang w:val="es-ES_tradnl"/>
        </w:rPr>
        <w:t>el fin mencionado</w:t>
      </w:r>
      <w:r w:rsidR="006C3525" w:rsidRPr="00847234">
        <w:rPr>
          <w:rFonts w:ascii="Arial" w:hAnsi="Arial" w:cs="Arial"/>
          <w:bCs/>
          <w:lang w:val="es-ES_tradnl"/>
        </w:rPr>
        <w:t xml:space="preserve">, así como un principio de no regresión </w:t>
      </w:r>
      <w:r w:rsidR="00FD244F" w:rsidRPr="00847234">
        <w:rPr>
          <w:rFonts w:ascii="Arial" w:hAnsi="Arial" w:cs="Arial"/>
          <w:bCs/>
          <w:lang w:val="es-ES_tradnl"/>
        </w:rPr>
        <w:t xml:space="preserve">de lo </w:t>
      </w:r>
      <w:r w:rsidR="006C3525" w:rsidRPr="00847234">
        <w:rPr>
          <w:rFonts w:ascii="Arial" w:hAnsi="Arial" w:cs="Arial"/>
          <w:bCs/>
          <w:lang w:val="es-ES_tradnl"/>
        </w:rPr>
        <w:t>logrado, a la luz de la obligación de</w:t>
      </w:r>
      <w:r w:rsidR="00CC7D28" w:rsidRPr="00847234">
        <w:rPr>
          <w:rFonts w:ascii="Arial" w:hAnsi="Arial" w:cs="Arial"/>
          <w:bCs/>
          <w:lang w:val="es-ES_tradnl"/>
        </w:rPr>
        <w:t xml:space="preserve"> </w:t>
      </w:r>
      <w:r w:rsidR="00C002C2" w:rsidRPr="00847234">
        <w:rPr>
          <w:rFonts w:ascii="Arial" w:hAnsi="Arial" w:cs="Arial"/>
          <w:bCs/>
          <w:lang w:val="es-ES_tradnl"/>
        </w:rPr>
        <w:t>preferir e</w:t>
      </w:r>
      <w:r w:rsidR="006C3525" w:rsidRPr="00847234">
        <w:rPr>
          <w:rFonts w:ascii="Arial" w:hAnsi="Arial" w:cs="Arial"/>
          <w:bCs/>
          <w:lang w:val="es-ES_tradnl"/>
        </w:rPr>
        <w:t xml:space="preserve">strategias </w:t>
      </w:r>
      <w:r w:rsidR="00C002C2" w:rsidRPr="00847234">
        <w:rPr>
          <w:rFonts w:ascii="Arial" w:hAnsi="Arial" w:cs="Arial"/>
          <w:bCs/>
          <w:lang w:val="es-ES_tradnl"/>
        </w:rPr>
        <w:t>para</w:t>
      </w:r>
      <w:r w:rsidR="006C3525" w:rsidRPr="00847234">
        <w:rPr>
          <w:rFonts w:ascii="Arial" w:hAnsi="Arial" w:cs="Arial"/>
          <w:bCs/>
          <w:lang w:val="es-ES_tradnl"/>
        </w:rPr>
        <w:t xml:space="preserve"> lograr bajas emisiones de gases efecto invernadero.</w:t>
      </w:r>
      <w:r w:rsidR="00FD244F" w:rsidRPr="00847234">
        <w:rPr>
          <w:rFonts w:ascii="Arial" w:hAnsi="Arial" w:cs="Arial"/>
          <w:bCs/>
          <w:lang w:val="es-ES_tradnl"/>
        </w:rPr>
        <w:t xml:space="preserve"> </w:t>
      </w:r>
    </w:p>
    <w:p w14:paraId="7808085A" w14:textId="67354B92" w:rsidR="00520557" w:rsidRPr="00847234" w:rsidRDefault="00520557" w:rsidP="006C3525">
      <w:pPr>
        <w:spacing w:line="360" w:lineRule="auto"/>
        <w:jc w:val="both"/>
        <w:rPr>
          <w:rFonts w:ascii="Arial" w:hAnsi="Arial" w:cs="Arial"/>
          <w:bCs/>
          <w:lang w:val="es-ES_tradnl"/>
        </w:rPr>
      </w:pPr>
    </w:p>
    <w:p w14:paraId="4B6336C0" w14:textId="28EE5542" w:rsidR="0092783B" w:rsidRPr="00921E02" w:rsidRDefault="00520557" w:rsidP="006C3525">
      <w:pPr>
        <w:spacing w:line="360" w:lineRule="auto"/>
        <w:jc w:val="both"/>
        <w:rPr>
          <w:rFonts w:ascii="Arial" w:hAnsi="Arial" w:cs="Arial"/>
          <w:bCs/>
          <w:lang w:val="es-ES_tradnl"/>
        </w:rPr>
      </w:pPr>
      <w:r w:rsidRPr="00921E02">
        <w:rPr>
          <w:rFonts w:ascii="Arial" w:hAnsi="Arial" w:cs="Arial"/>
          <w:bCs/>
          <w:lang w:val="es-ES_tradnl"/>
        </w:rPr>
        <w:t xml:space="preserve">Mi disidencia con los integrantes de este Tribunal Pleno, que sostuvieron la validez de los preceptos impugnados </w:t>
      </w:r>
      <w:r w:rsidR="00887015" w:rsidRPr="00921E02">
        <w:rPr>
          <w:rFonts w:ascii="Arial" w:hAnsi="Arial" w:cs="Arial"/>
          <w:bCs/>
          <w:lang w:val="es-ES_tradnl"/>
        </w:rPr>
        <w:t xml:space="preserve">acudiendo </w:t>
      </w:r>
      <w:r w:rsidR="00715672" w:rsidRPr="00921E02">
        <w:rPr>
          <w:rFonts w:ascii="Arial" w:hAnsi="Arial" w:cs="Arial"/>
          <w:bCs/>
          <w:lang w:val="es-ES_tradnl"/>
        </w:rPr>
        <w:t>a la</w:t>
      </w:r>
      <w:r w:rsidR="00887015" w:rsidRPr="00921E02">
        <w:rPr>
          <w:rFonts w:ascii="Arial" w:hAnsi="Arial" w:cs="Arial"/>
          <w:bCs/>
          <w:lang w:val="es-ES_tradnl"/>
        </w:rPr>
        <w:t xml:space="preserve"> </w:t>
      </w:r>
      <w:r w:rsidR="00FC2B1B" w:rsidRPr="00921E02">
        <w:rPr>
          <w:rFonts w:ascii="Arial" w:hAnsi="Arial" w:cs="Arial"/>
          <w:bCs/>
          <w:lang w:val="es-ES_tradnl"/>
        </w:rPr>
        <w:t>i</w:t>
      </w:r>
      <w:r w:rsidRPr="00921E02">
        <w:rPr>
          <w:rFonts w:ascii="Arial" w:hAnsi="Arial" w:cs="Arial"/>
          <w:bCs/>
          <w:lang w:val="es-ES_tradnl"/>
        </w:rPr>
        <w:t xml:space="preserve">nterpretación conforme de su contenido, </w:t>
      </w:r>
      <w:r w:rsidR="00887015" w:rsidRPr="00921E02">
        <w:rPr>
          <w:rFonts w:ascii="Arial" w:hAnsi="Arial" w:cs="Arial"/>
          <w:bCs/>
          <w:lang w:val="es-ES_tradnl"/>
        </w:rPr>
        <w:t xml:space="preserve">descansa en que </w:t>
      </w:r>
      <w:r w:rsidR="00FC2B1B" w:rsidRPr="00921E02">
        <w:rPr>
          <w:rFonts w:ascii="Arial" w:hAnsi="Arial" w:cs="Arial"/>
          <w:bCs/>
          <w:lang w:val="es-ES_tradnl"/>
        </w:rPr>
        <w:t xml:space="preserve">ellos </w:t>
      </w:r>
      <w:r w:rsidR="007A6C03" w:rsidRPr="00921E02">
        <w:rPr>
          <w:rFonts w:ascii="Arial" w:hAnsi="Arial" w:cs="Arial"/>
          <w:bCs/>
          <w:lang w:val="es-ES_tradnl"/>
        </w:rPr>
        <w:t xml:space="preserve">no detectan </w:t>
      </w:r>
      <w:r w:rsidRPr="00921E02">
        <w:rPr>
          <w:rFonts w:ascii="Arial" w:hAnsi="Arial" w:cs="Arial"/>
          <w:bCs/>
          <w:lang w:val="es-ES_tradnl"/>
        </w:rPr>
        <w:t>que el Convenio de Par</w:t>
      </w:r>
      <w:r w:rsidR="00EB5CBC">
        <w:rPr>
          <w:rFonts w:ascii="Arial" w:hAnsi="Arial" w:cs="Arial"/>
          <w:bCs/>
          <w:lang w:val="es-ES_tradnl"/>
        </w:rPr>
        <w:t>í</w:t>
      </w:r>
      <w:r w:rsidRPr="00921E02">
        <w:rPr>
          <w:rFonts w:ascii="Arial" w:hAnsi="Arial" w:cs="Arial"/>
          <w:bCs/>
          <w:lang w:val="es-ES_tradnl"/>
        </w:rPr>
        <w:t xml:space="preserve">s tiene </w:t>
      </w:r>
      <w:r w:rsidR="007A6C03" w:rsidRPr="00921E02">
        <w:rPr>
          <w:rFonts w:ascii="Arial" w:hAnsi="Arial" w:cs="Arial"/>
          <w:bCs/>
          <w:lang w:val="es-ES_tradnl"/>
        </w:rPr>
        <w:t xml:space="preserve">esos </w:t>
      </w:r>
      <w:r w:rsidRPr="00921E02">
        <w:rPr>
          <w:rFonts w:ascii="Arial" w:hAnsi="Arial" w:cs="Arial"/>
          <w:bCs/>
          <w:lang w:val="es-ES_tradnl"/>
        </w:rPr>
        <w:t>dos tipos de prescripciones</w:t>
      </w:r>
      <w:r w:rsidR="007A6C03" w:rsidRPr="00921E02">
        <w:rPr>
          <w:rFonts w:ascii="Arial" w:hAnsi="Arial" w:cs="Arial"/>
          <w:bCs/>
          <w:lang w:val="es-ES_tradnl"/>
        </w:rPr>
        <w:t xml:space="preserve">. Así, no basta </w:t>
      </w:r>
      <w:r w:rsidRPr="00921E02">
        <w:rPr>
          <w:rFonts w:ascii="Arial" w:hAnsi="Arial" w:cs="Arial"/>
          <w:bCs/>
          <w:lang w:val="es-ES_tradnl"/>
        </w:rPr>
        <w:t xml:space="preserve">condicionar la validez de las normas combatidas al hecho de que el </w:t>
      </w:r>
      <w:r w:rsidR="007A6C03" w:rsidRPr="00921E02">
        <w:rPr>
          <w:rFonts w:ascii="Arial" w:hAnsi="Arial" w:cs="Arial"/>
          <w:bCs/>
          <w:lang w:val="es-ES_tradnl"/>
        </w:rPr>
        <w:t>g</w:t>
      </w:r>
      <w:r w:rsidRPr="00921E02">
        <w:rPr>
          <w:rFonts w:ascii="Arial" w:hAnsi="Arial" w:cs="Arial"/>
          <w:bCs/>
          <w:lang w:val="es-ES_tradnl"/>
        </w:rPr>
        <w:t xml:space="preserve">obierno </w:t>
      </w:r>
      <w:r w:rsidR="007A6C03" w:rsidRPr="00921E02">
        <w:rPr>
          <w:rFonts w:ascii="Arial" w:hAnsi="Arial" w:cs="Arial"/>
          <w:bCs/>
          <w:lang w:val="es-ES_tradnl"/>
        </w:rPr>
        <w:t xml:space="preserve">cumpla </w:t>
      </w:r>
      <w:r w:rsidRPr="00921E02">
        <w:rPr>
          <w:rFonts w:ascii="Arial" w:hAnsi="Arial" w:cs="Arial"/>
          <w:bCs/>
          <w:lang w:val="es-ES_tradnl"/>
        </w:rPr>
        <w:t>con sus metas de emisiones de gases con efecto invernadero</w:t>
      </w:r>
      <w:r w:rsidR="007A6C03" w:rsidRPr="00921E02">
        <w:rPr>
          <w:rFonts w:ascii="Arial" w:hAnsi="Arial" w:cs="Arial"/>
          <w:bCs/>
          <w:lang w:val="es-ES_tradnl"/>
        </w:rPr>
        <w:t xml:space="preserve"> con o</w:t>
      </w:r>
      <w:r w:rsidRPr="00921E02">
        <w:rPr>
          <w:rFonts w:ascii="Arial" w:hAnsi="Arial" w:cs="Arial"/>
          <w:bCs/>
          <w:lang w:val="es-ES_tradnl"/>
        </w:rPr>
        <w:t>tros medios</w:t>
      </w:r>
      <w:r w:rsidR="007A6C03" w:rsidRPr="00921E02">
        <w:rPr>
          <w:rFonts w:ascii="Arial" w:hAnsi="Arial" w:cs="Arial"/>
          <w:bCs/>
          <w:lang w:val="es-ES_tradnl"/>
        </w:rPr>
        <w:t xml:space="preserve">. Lo </w:t>
      </w:r>
      <w:r w:rsidR="00512CF7" w:rsidRPr="00921E02">
        <w:rPr>
          <w:rFonts w:ascii="Arial" w:hAnsi="Arial" w:cs="Arial"/>
          <w:bCs/>
          <w:lang w:val="es-ES_tradnl"/>
        </w:rPr>
        <w:t xml:space="preserve">relevante </w:t>
      </w:r>
      <w:r w:rsidR="00A04912" w:rsidRPr="00921E02">
        <w:rPr>
          <w:rFonts w:ascii="Arial" w:hAnsi="Arial" w:cs="Arial"/>
          <w:bCs/>
          <w:lang w:val="es-ES_tradnl"/>
        </w:rPr>
        <w:t xml:space="preserve">son los principios autónomos en ese </w:t>
      </w:r>
      <w:r w:rsidR="00512CF7" w:rsidRPr="00921E02">
        <w:rPr>
          <w:rFonts w:ascii="Arial" w:hAnsi="Arial" w:cs="Arial"/>
          <w:bCs/>
          <w:lang w:val="es-ES_tradnl"/>
        </w:rPr>
        <w:t>Convenio</w:t>
      </w:r>
      <w:r w:rsidR="00A04912" w:rsidRPr="00921E02">
        <w:rPr>
          <w:rFonts w:ascii="Arial" w:hAnsi="Arial" w:cs="Arial"/>
          <w:bCs/>
          <w:lang w:val="es-ES_tradnl"/>
        </w:rPr>
        <w:t xml:space="preserve">, los cuales </w:t>
      </w:r>
      <w:r w:rsidRPr="00921E02">
        <w:rPr>
          <w:rFonts w:ascii="Arial" w:hAnsi="Arial" w:cs="Arial"/>
          <w:bCs/>
          <w:lang w:val="es-ES_tradnl"/>
        </w:rPr>
        <w:t>obligan a los jueces constitucionales</w:t>
      </w:r>
      <w:r w:rsidR="00D905B9" w:rsidRPr="00921E02">
        <w:rPr>
          <w:rFonts w:ascii="Arial" w:hAnsi="Arial" w:cs="Arial"/>
          <w:bCs/>
          <w:lang w:val="es-ES_tradnl"/>
        </w:rPr>
        <w:t xml:space="preserve"> a supervisar la validez de </w:t>
      </w:r>
      <w:r w:rsidRPr="00921E02">
        <w:rPr>
          <w:rFonts w:ascii="Arial" w:hAnsi="Arial" w:cs="Arial"/>
          <w:bCs/>
          <w:lang w:val="es-ES_tradnl"/>
        </w:rPr>
        <w:t xml:space="preserve">las decisiones legislativas que </w:t>
      </w:r>
      <w:r w:rsidR="008F5C49" w:rsidRPr="00921E02">
        <w:rPr>
          <w:rFonts w:ascii="Arial" w:hAnsi="Arial" w:cs="Arial"/>
          <w:bCs/>
          <w:lang w:val="es-ES_tradnl"/>
        </w:rPr>
        <w:t xml:space="preserve">impliquen </w:t>
      </w:r>
      <w:r w:rsidRPr="00921E02">
        <w:rPr>
          <w:rFonts w:ascii="Arial" w:hAnsi="Arial" w:cs="Arial"/>
          <w:bCs/>
          <w:lang w:val="es-ES_tradnl"/>
        </w:rPr>
        <w:t xml:space="preserve">regresión en la transición económica </w:t>
      </w:r>
      <w:r w:rsidR="00612FB9" w:rsidRPr="00921E02">
        <w:rPr>
          <w:rFonts w:ascii="Arial" w:hAnsi="Arial" w:cs="Arial"/>
          <w:bCs/>
          <w:lang w:val="es-ES_tradnl"/>
        </w:rPr>
        <w:t>y tecno</w:t>
      </w:r>
      <w:r w:rsidR="00805E70" w:rsidRPr="00921E02">
        <w:rPr>
          <w:rFonts w:ascii="Arial" w:hAnsi="Arial" w:cs="Arial"/>
          <w:bCs/>
          <w:lang w:val="es-ES_tradnl"/>
        </w:rPr>
        <w:t xml:space="preserve">lógica </w:t>
      </w:r>
      <w:r w:rsidR="00F63CD4" w:rsidRPr="00921E02">
        <w:rPr>
          <w:rFonts w:ascii="Arial" w:hAnsi="Arial" w:cs="Arial"/>
          <w:bCs/>
          <w:lang w:val="es-ES_tradnl"/>
        </w:rPr>
        <w:t>dirigida a</w:t>
      </w:r>
      <w:r w:rsidRPr="00921E02">
        <w:rPr>
          <w:rFonts w:ascii="Arial" w:hAnsi="Arial" w:cs="Arial"/>
          <w:bCs/>
          <w:lang w:val="es-ES_tradnl"/>
        </w:rPr>
        <w:t xml:space="preserve"> evitar los efectos del cambio climático</w:t>
      </w:r>
      <w:r w:rsidR="00C02C64" w:rsidRPr="00921E02">
        <w:rPr>
          <w:rFonts w:ascii="Arial" w:hAnsi="Arial" w:cs="Arial"/>
          <w:bCs/>
          <w:lang w:val="es-ES_tradnl"/>
        </w:rPr>
        <w:t xml:space="preserve">, </w:t>
      </w:r>
      <w:r w:rsidR="00D61FFB" w:rsidRPr="00921E02">
        <w:rPr>
          <w:rFonts w:ascii="Arial" w:hAnsi="Arial" w:cs="Arial"/>
          <w:bCs/>
          <w:lang w:val="es-ES_tradnl"/>
        </w:rPr>
        <w:t xml:space="preserve">sin reparar </w:t>
      </w:r>
      <w:r w:rsidR="00C02C64" w:rsidRPr="00921E02">
        <w:rPr>
          <w:rFonts w:ascii="Arial" w:hAnsi="Arial" w:cs="Arial"/>
          <w:bCs/>
          <w:lang w:val="es-ES_tradnl"/>
        </w:rPr>
        <w:t xml:space="preserve">solo en </w:t>
      </w:r>
      <w:r w:rsidR="00D61FFB" w:rsidRPr="00921E02">
        <w:rPr>
          <w:rFonts w:ascii="Arial" w:hAnsi="Arial" w:cs="Arial"/>
          <w:bCs/>
          <w:lang w:val="es-ES_tradnl"/>
        </w:rPr>
        <w:t xml:space="preserve">el cumplimiento de las metas </w:t>
      </w:r>
      <w:r w:rsidR="00896EB1" w:rsidRPr="00921E02">
        <w:rPr>
          <w:rFonts w:ascii="Arial" w:hAnsi="Arial" w:cs="Arial"/>
          <w:bCs/>
          <w:lang w:val="es-ES_tradnl"/>
        </w:rPr>
        <w:t xml:space="preserve">por más que están sean el objetivo deseable y medible. </w:t>
      </w:r>
      <w:r w:rsidRPr="00921E02">
        <w:rPr>
          <w:rFonts w:ascii="Arial" w:hAnsi="Arial" w:cs="Arial"/>
          <w:bCs/>
          <w:lang w:val="es-ES_tradnl"/>
        </w:rPr>
        <w:t>En otras palabras, la interpretación conforme de los artículos impugnados no es técnicamente viable</w:t>
      </w:r>
      <w:r w:rsidR="00896EB1" w:rsidRPr="00921E02">
        <w:rPr>
          <w:rFonts w:ascii="Arial" w:hAnsi="Arial" w:cs="Arial"/>
          <w:bCs/>
          <w:lang w:val="es-ES_tradnl"/>
        </w:rPr>
        <w:t>. El Acuerdo de Par</w:t>
      </w:r>
      <w:r w:rsidR="00EB5CBC">
        <w:rPr>
          <w:rFonts w:ascii="Arial" w:hAnsi="Arial" w:cs="Arial"/>
          <w:bCs/>
          <w:lang w:val="es-ES_tradnl"/>
        </w:rPr>
        <w:t>í</w:t>
      </w:r>
      <w:r w:rsidR="00896EB1" w:rsidRPr="00921E02">
        <w:rPr>
          <w:rFonts w:ascii="Arial" w:hAnsi="Arial" w:cs="Arial"/>
          <w:bCs/>
          <w:lang w:val="es-ES_tradnl"/>
        </w:rPr>
        <w:t xml:space="preserve">s establece claramente </w:t>
      </w:r>
      <w:r w:rsidR="000F2D29" w:rsidRPr="00921E02">
        <w:rPr>
          <w:rFonts w:ascii="Arial" w:hAnsi="Arial" w:cs="Arial"/>
          <w:bCs/>
          <w:lang w:val="es-ES_tradnl"/>
        </w:rPr>
        <w:t xml:space="preserve">un camino, una línea a seguir, </w:t>
      </w:r>
      <w:r w:rsidR="00565E65" w:rsidRPr="00921E02">
        <w:rPr>
          <w:rFonts w:ascii="Arial" w:hAnsi="Arial" w:cs="Arial"/>
          <w:bCs/>
          <w:lang w:val="es-ES_tradnl"/>
        </w:rPr>
        <w:t xml:space="preserve">para </w:t>
      </w:r>
      <w:r w:rsidR="000F2D29" w:rsidRPr="00921E02">
        <w:rPr>
          <w:rFonts w:ascii="Arial" w:hAnsi="Arial" w:cs="Arial"/>
          <w:bCs/>
          <w:lang w:val="es-ES_tradnl"/>
        </w:rPr>
        <w:t xml:space="preserve">el </w:t>
      </w:r>
      <w:r w:rsidR="00565E65" w:rsidRPr="00921E02">
        <w:rPr>
          <w:rFonts w:ascii="Arial" w:hAnsi="Arial" w:cs="Arial"/>
          <w:bCs/>
          <w:lang w:val="es-ES_tradnl"/>
        </w:rPr>
        <w:t>comportamiento</w:t>
      </w:r>
      <w:r w:rsidR="000F2D29" w:rsidRPr="00921E02">
        <w:rPr>
          <w:rFonts w:ascii="Arial" w:hAnsi="Arial" w:cs="Arial"/>
          <w:bCs/>
          <w:lang w:val="es-ES_tradnl"/>
        </w:rPr>
        <w:t xml:space="preserve"> estatal y</w:t>
      </w:r>
      <w:r w:rsidR="00A552F4" w:rsidRPr="00921E02">
        <w:rPr>
          <w:rFonts w:ascii="Arial" w:hAnsi="Arial" w:cs="Arial"/>
          <w:bCs/>
          <w:lang w:val="es-ES_tradnl"/>
        </w:rPr>
        <w:t xml:space="preserve"> para </w:t>
      </w:r>
      <w:r w:rsidR="00565E65" w:rsidRPr="00921E02">
        <w:rPr>
          <w:rFonts w:ascii="Arial" w:hAnsi="Arial" w:cs="Arial"/>
          <w:bCs/>
          <w:lang w:val="es-ES_tradnl"/>
        </w:rPr>
        <w:t>la interpretación</w:t>
      </w:r>
      <w:r w:rsidR="00F07DB8" w:rsidRPr="00921E02">
        <w:rPr>
          <w:rFonts w:ascii="Arial" w:hAnsi="Arial" w:cs="Arial"/>
          <w:bCs/>
          <w:lang w:val="es-ES_tradnl"/>
        </w:rPr>
        <w:t xml:space="preserve"> constitucional</w:t>
      </w:r>
      <w:r w:rsidR="00A552F4" w:rsidRPr="00921E02">
        <w:rPr>
          <w:rFonts w:ascii="Arial" w:hAnsi="Arial" w:cs="Arial"/>
          <w:bCs/>
          <w:lang w:val="es-ES_tradnl"/>
        </w:rPr>
        <w:t>,</w:t>
      </w:r>
      <w:r w:rsidR="00F07DB8" w:rsidRPr="00921E02">
        <w:rPr>
          <w:rFonts w:ascii="Arial" w:hAnsi="Arial" w:cs="Arial"/>
          <w:bCs/>
          <w:lang w:val="es-ES_tradnl"/>
        </w:rPr>
        <w:t xml:space="preserve"> y no sólo impone el cumplimiento de metas numéricas.</w:t>
      </w:r>
      <w:r w:rsidR="004E5B78" w:rsidRPr="00921E02">
        <w:rPr>
          <w:rFonts w:ascii="Arial" w:hAnsi="Arial" w:cs="Arial"/>
          <w:bCs/>
          <w:lang w:val="es-ES_tradnl"/>
        </w:rPr>
        <w:t xml:space="preserve"> O caminas o no caminas por esa línea ascendente: tu caminar no está sujeto a interpretación conforme y menos </w:t>
      </w:r>
      <w:r w:rsidR="00D41818" w:rsidRPr="00921E02">
        <w:rPr>
          <w:rFonts w:ascii="Arial" w:hAnsi="Arial" w:cs="Arial"/>
          <w:bCs/>
          <w:lang w:val="es-ES_tradnl"/>
        </w:rPr>
        <w:t xml:space="preserve">fundada </w:t>
      </w:r>
      <w:r w:rsidR="004E5B78" w:rsidRPr="00921E02">
        <w:rPr>
          <w:rFonts w:ascii="Arial" w:hAnsi="Arial" w:cs="Arial"/>
          <w:bCs/>
          <w:lang w:val="es-ES_tradnl"/>
        </w:rPr>
        <w:t xml:space="preserve">en objetivos numéricos que, además, como tales, no se </w:t>
      </w:r>
      <w:r w:rsidR="00DE0CA8" w:rsidRPr="00921E02">
        <w:rPr>
          <w:rFonts w:ascii="Arial" w:hAnsi="Arial" w:cs="Arial"/>
          <w:bCs/>
          <w:lang w:val="es-ES_tradnl"/>
        </w:rPr>
        <w:t xml:space="preserve">pueden ajustar interpretativamente. </w:t>
      </w:r>
      <w:r w:rsidR="00F07DB8" w:rsidRPr="00921E02">
        <w:rPr>
          <w:rFonts w:ascii="Arial" w:hAnsi="Arial" w:cs="Arial"/>
          <w:bCs/>
          <w:lang w:val="es-ES_tradnl"/>
        </w:rPr>
        <w:t xml:space="preserve"> </w:t>
      </w:r>
      <w:r w:rsidR="00B22406" w:rsidRPr="00921E02">
        <w:rPr>
          <w:rFonts w:ascii="Arial" w:hAnsi="Arial" w:cs="Arial"/>
          <w:bCs/>
          <w:lang w:val="es-ES_tradnl"/>
        </w:rPr>
        <w:t>En otras palabras, el Acuerdo de Par</w:t>
      </w:r>
      <w:r w:rsidR="00EB5CBC">
        <w:rPr>
          <w:rFonts w:ascii="Arial" w:hAnsi="Arial" w:cs="Arial"/>
          <w:bCs/>
          <w:lang w:val="es-ES_tradnl"/>
        </w:rPr>
        <w:t>í</w:t>
      </w:r>
      <w:r w:rsidR="00B22406" w:rsidRPr="00921E02">
        <w:rPr>
          <w:rFonts w:ascii="Arial" w:hAnsi="Arial" w:cs="Arial"/>
          <w:bCs/>
          <w:lang w:val="es-ES_tradnl"/>
        </w:rPr>
        <w:t xml:space="preserve">s no autoriza a seguir generando emisiones que causarán un daño específico </w:t>
      </w:r>
      <w:r w:rsidR="000D30D7" w:rsidRPr="00921E02">
        <w:rPr>
          <w:rFonts w:ascii="Arial" w:hAnsi="Arial" w:cs="Arial"/>
          <w:bCs/>
          <w:lang w:val="es-ES_tradnl"/>
        </w:rPr>
        <w:t xml:space="preserve">porque al final </w:t>
      </w:r>
      <w:r w:rsidR="007F1D0D" w:rsidRPr="00921E02">
        <w:rPr>
          <w:rFonts w:ascii="Arial" w:hAnsi="Arial" w:cs="Arial"/>
          <w:bCs/>
          <w:lang w:val="es-ES_tradnl"/>
        </w:rPr>
        <w:t>creemos que las reducir</w:t>
      </w:r>
      <w:r w:rsidR="0000557F" w:rsidRPr="00921E02">
        <w:rPr>
          <w:rFonts w:ascii="Arial" w:hAnsi="Arial" w:cs="Arial"/>
          <w:bCs/>
          <w:lang w:val="es-ES_tradnl"/>
        </w:rPr>
        <w:t xml:space="preserve">emos </w:t>
      </w:r>
      <w:r w:rsidR="000D30D7" w:rsidRPr="00921E02">
        <w:rPr>
          <w:rFonts w:ascii="Arial" w:hAnsi="Arial" w:cs="Arial"/>
          <w:bCs/>
          <w:lang w:val="es-ES_tradnl"/>
        </w:rPr>
        <w:t>con otros medios. Es sencillo</w:t>
      </w:r>
      <w:r w:rsidR="00DE0CA8" w:rsidRPr="00921E02">
        <w:rPr>
          <w:rFonts w:ascii="Arial" w:hAnsi="Arial" w:cs="Arial"/>
          <w:bCs/>
          <w:lang w:val="es-ES_tradnl"/>
        </w:rPr>
        <w:t xml:space="preserve">: </w:t>
      </w:r>
      <w:r w:rsidR="000D30D7" w:rsidRPr="00921E02">
        <w:rPr>
          <w:rFonts w:ascii="Arial" w:hAnsi="Arial" w:cs="Arial"/>
          <w:bCs/>
          <w:lang w:val="es-ES_tradnl"/>
        </w:rPr>
        <w:t xml:space="preserve"> siempre será mejor </w:t>
      </w:r>
      <w:r w:rsidR="00BA7DDA" w:rsidRPr="00921E02">
        <w:rPr>
          <w:rFonts w:ascii="Arial" w:hAnsi="Arial" w:cs="Arial"/>
          <w:bCs/>
          <w:lang w:val="es-ES_tradnl"/>
        </w:rPr>
        <w:t xml:space="preserve">y obligatorio </w:t>
      </w:r>
      <w:r w:rsidR="000D30D7" w:rsidRPr="00921E02">
        <w:rPr>
          <w:rFonts w:ascii="Arial" w:hAnsi="Arial" w:cs="Arial"/>
          <w:bCs/>
          <w:lang w:val="es-ES_tradnl"/>
        </w:rPr>
        <w:t xml:space="preserve">no emitirlas. </w:t>
      </w:r>
      <w:r w:rsidR="00991EB8" w:rsidRPr="00921E02">
        <w:rPr>
          <w:rFonts w:ascii="Arial" w:hAnsi="Arial" w:cs="Arial"/>
          <w:bCs/>
          <w:lang w:val="es-ES_tradnl"/>
        </w:rPr>
        <w:t xml:space="preserve">Mezclar esos dos tipos de disposiciones y </w:t>
      </w:r>
      <w:r w:rsidR="00991EB8" w:rsidRPr="00921E02">
        <w:rPr>
          <w:rFonts w:ascii="Arial" w:hAnsi="Arial" w:cs="Arial"/>
          <w:bCs/>
          <w:lang w:val="es-ES_tradnl"/>
        </w:rPr>
        <w:lastRenderedPageBreak/>
        <w:t>subordinar los principios a los números es desnaturalizar las finalidades del Acuerdo de Par</w:t>
      </w:r>
      <w:r w:rsidR="00EB5CBC">
        <w:rPr>
          <w:rFonts w:ascii="Arial" w:hAnsi="Arial" w:cs="Arial"/>
          <w:bCs/>
          <w:lang w:val="es-ES_tradnl"/>
        </w:rPr>
        <w:t>í</w:t>
      </w:r>
      <w:r w:rsidR="00991EB8" w:rsidRPr="00921E02">
        <w:rPr>
          <w:rFonts w:ascii="Arial" w:hAnsi="Arial" w:cs="Arial"/>
          <w:bCs/>
          <w:lang w:val="es-ES_tradnl"/>
        </w:rPr>
        <w:t xml:space="preserve">s. </w:t>
      </w:r>
    </w:p>
    <w:p w14:paraId="7ADC8F0B" w14:textId="7A688EB5" w:rsidR="004662B5" w:rsidRPr="00921E02" w:rsidRDefault="004662B5" w:rsidP="006C3525">
      <w:pPr>
        <w:spacing w:line="360" w:lineRule="auto"/>
        <w:jc w:val="both"/>
        <w:rPr>
          <w:rFonts w:ascii="Arial" w:hAnsi="Arial" w:cs="Arial"/>
          <w:bCs/>
          <w:lang w:val="es-ES_tradnl"/>
        </w:rPr>
      </w:pPr>
    </w:p>
    <w:p w14:paraId="3C906844" w14:textId="179883A8" w:rsidR="004662B5" w:rsidRPr="00921E02" w:rsidRDefault="004662B5" w:rsidP="006C3525">
      <w:pPr>
        <w:spacing w:line="360" w:lineRule="auto"/>
        <w:jc w:val="both"/>
        <w:rPr>
          <w:rFonts w:ascii="Arial" w:hAnsi="Arial" w:cs="Arial"/>
          <w:bCs/>
          <w:lang w:val="es-ES_tradnl"/>
        </w:rPr>
      </w:pPr>
      <w:r w:rsidRPr="00921E02">
        <w:rPr>
          <w:rFonts w:ascii="Arial" w:hAnsi="Arial" w:cs="Arial"/>
          <w:bCs/>
          <w:lang w:val="es-ES_tradnl"/>
        </w:rPr>
        <w:t xml:space="preserve">La utilización de lo que </w:t>
      </w:r>
      <w:r w:rsidR="0017777D">
        <w:rPr>
          <w:rFonts w:ascii="Arial" w:hAnsi="Arial" w:cs="Arial"/>
          <w:bCs/>
          <w:lang w:val="es-ES_tradnl"/>
        </w:rPr>
        <w:t>i</w:t>
      </w:r>
      <w:r w:rsidRPr="00921E02">
        <w:rPr>
          <w:rFonts w:ascii="Arial" w:hAnsi="Arial" w:cs="Arial"/>
          <w:bCs/>
          <w:lang w:val="es-ES_tradnl"/>
        </w:rPr>
        <w:t>dentif</w:t>
      </w:r>
      <w:r w:rsidR="0017777D">
        <w:rPr>
          <w:rFonts w:ascii="Arial" w:hAnsi="Arial" w:cs="Arial"/>
          <w:bCs/>
          <w:lang w:val="es-ES_tradnl"/>
        </w:rPr>
        <w:t>ic</w:t>
      </w:r>
      <w:r w:rsidRPr="00921E02">
        <w:rPr>
          <w:rFonts w:ascii="Arial" w:hAnsi="Arial" w:cs="Arial"/>
          <w:bCs/>
          <w:lang w:val="es-ES_tradnl"/>
        </w:rPr>
        <w:t xml:space="preserve">o como la segunda parte del parámetro de control del </w:t>
      </w:r>
      <w:r w:rsidR="00292781" w:rsidRPr="00921E02">
        <w:rPr>
          <w:rFonts w:ascii="Arial" w:hAnsi="Arial" w:cs="Arial"/>
          <w:bCs/>
          <w:lang w:val="es-ES_tradnl"/>
        </w:rPr>
        <w:t xml:space="preserve">Acuerdo </w:t>
      </w:r>
      <w:r w:rsidRPr="00921E02">
        <w:rPr>
          <w:rFonts w:ascii="Arial" w:hAnsi="Arial" w:cs="Arial"/>
          <w:bCs/>
          <w:lang w:val="es-ES_tradnl"/>
        </w:rPr>
        <w:t>de Par</w:t>
      </w:r>
      <w:r w:rsidR="00EB5CBC">
        <w:rPr>
          <w:rFonts w:ascii="Arial" w:hAnsi="Arial" w:cs="Arial"/>
          <w:bCs/>
          <w:lang w:val="es-ES_tradnl"/>
        </w:rPr>
        <w:t>í</w:t>
      </w:r>
      <w:r w:rsidRPr="00921E02">
        <w:rPr>
          <w:rFonts w:ascii="Arial" w:hAnsi="Arial" w:cs="Arial"/>
          <w:bCs/>
          <w:lang w:val="es-ES_tradnl"/>
        </w:rPr>
        <w:t>s -principios autónomos aplicables con independencia de las metas específicas- supone también un cambio de entendimiento de la función de control de constitucionalidad sobre las leyes que regulan los mercados</w:t>
      </w:r>
      <w:r w:rsidR="00292781" w:rsidRPr="00921E02">
        <w:rPr>
          <w:rFonts w:ascii="Arial" w:hAnsi="Arial" w:cs="Arial"/>
          <w:bCs/>
          <w:lang w:val="es-ES_tradnl"/>
        </w:rPr>
        <w:t>. Clásicamente, l</w:t>
      </w:r>
      <w:r w:rsidRPr="00921E02">
        <w:rPr>
          <w:rFonts w:ascii="Arial" w:hAnsi="Arial" w:cs="Arial"/>
          <w:bCs/>
          <w:lang w:val="es-ES_tradnl"/>
        </w:rPr>
        <w:t xml:space="preserve">os </w:t>
      </w:r>
      <w:r w:rsidR="00292781" w:rsidRPr="00921E02">
        <w:rPr>
          <w:rFonts w:ascii="Arial" w:hAnsi="Arial" w:cs="Arial"/>
          <w:bCs/>
          <w:lang w:val="es-ES_tradnl"/>
        </w:rPr>
        <w:t>t</w:t>
      </w:r>
      <w:r w:rsidRPr="00921E02">
        <w:rPr>
          <w:rFonts w:ascii="Arial" w:hAnsi="Arial" w:cs="Arial"/>
          <w:bCs/>
          <w:lang w:val="es-ES_tradnl"/>
        </w:rPr>
        <w:t xml:space="preserve">ribunales </w:t>
      </w:r>
      <w:r w:rsidR="00292781" w:rsidRPr="00921E02">
        <w:rPr>
          <w:rFonts w:ascii="Arial" w:hAnsi="Arial" w:cs="Arial"/>
          <w:bCs/>
          <w:lang w:val="es-ES_tradnl"/>
        </w:rPr>
        <w:t>c</w:t>
      </w:r>
      <w:r w:rsidRPr="00921E02">
        <w:rPr>
          <w:rFonts w:ascii="Arial" w:hAnsi="Arial" w:cs="Arial"/>
          <w:bCs/>
          <w:lang w:val="es-ES_tradnl"/>
        </w:rPr>
        <w:t>onstitucionales han establecido que los órganos representativos gozan de un poder legítimo para crear modelos de explotación de los recurso</w:t>
      </w:r>
      <w:r w:rsidR="00921E02">
        <w:rPr>
          <w:rFonts w:ascii="Arial" w:hAnsi="Arial" w:cs="Arial"/>
          <w:bCs/>
          <w:lang w:val="es-ES_tradnl"/>
        </w:rPr>
        <w:t>s</w:t>
      </w:r>
      <w:r w:rsidRPr="00921E02">
        <w:rPr>
          <w:rFonts w:ascii="Arial" w:hAnsi="Arial" w:cs="Arial"/>
          <w:bCs/>
          <w:lang w:val="es-ES_tradnl"/>
        </w:rPr>
        <w:t xml:space="preserve"> naturales con el fin de producir utilidades medibles cuantitativamente</w:t>
      </w:r>
      <w:r w:rsidR="00292781" w:rsidRPr="00921E02">
        <w:rPr>
          <w:rFonts w:ascii="Arial" w:hAnsi="Arial" w:cs="Arial"/>
          <w:bCs/>
          <w:lang w:val="es-ES_tradnl"/>
        </w:rPr>
        <w:t>. Sin embargo, lo</w:t>
      </w:r>
      <w:r w:rsidRPr="00921E02">
        <w:rPr>
          <w:rFonts w:ascii="Arial" w:hAnsi="Arial" w:cs="Arial"/>
          <w:bCs/>
          <w:lang w:val="es-ES_tradnl"/>
        </w:rPr>
        <w:t>s principios autónomos del Convenio de Par</w:t>
      </w:r>
      <w:r w:rsidR="00EB5CBC">
        <w:rPr>
          <w:rFonts w:ascii="Arial" w:hAnsi="Arial" w:cs="Arial"/>
          <w:bCs/>
          <w:lang w:val="es-ES_tradnl"/>
        </w:rPr>
        <w:t>í</w:t>
      </w:r>
      <w:r w:rsidRPr="00921E02">
        <w:rPr>
          <w:rFonts w:ascii="Arial" w:hAnsi="Arial" w:cs="Arial"/>
          <w:bCs/>
          <w:lang w:val="es-ES_tradnl"/>
        </w:rPr>
        <w:t>s nos obligan a trascender ese entendimiento para hacernos responsables de garantizar que las autoridades incluyan dentro de esos modelos la consideración de beneficios cualitativos relacionados con la integridad del medio ambiente.</w:t>
      </w:r>
    </w:p>
    <w:p w14:paraId="1E3A6649" w14:textId="77777777" w:rsidR="004662B5" w:rsidRPr="00921E02" w:rsidRDefault="004662B5" w:rsidP="006C3525">
      <w:pPr>
        <w:spacing w:line="360" w:lineRule="auto"/>
        <w:jc w:val="both"/>
        <w:rPr>
          <w:rFonts w:ascii="Arial" w:hAnsi="Arial" w:cs="Arial"/>
          <w:bCs/>
          <w:lang w:val="es-ES_tradnl"/>
        </w:rPr>
      </w:pPr>
    </w:p>
    <w:p w14:paraId="18379D62" w14:textId="75D76E08" w:rsidR="004662B5" w:rsidRPr="00921E02" w:rsidRDefault="00292781" w:rsidP="006C3525">
      <w:pPr>
        <w:spacing w:line="360" w:lineRule="auto"/>
        <w:jc w:val="both"/>
        <w:rPr>
          <w:rFonts w:ascii="Arial" w:hAnsi="Arial" w:cs="Arial"/>
          <w:bCs/>
          <w:lang w:val="es-ES_tradnl"/>
        </w:rPr>
      </w:pPr>
      <w:r w:rsidRPr="00921E02">
        <w:rPr>
          <w:rFonts w:ascii="Arial" w:hAnsi="Arial" w:cs="Arial"/>
          <w:bCs/>
          <w:lang w:val="es-ES_tradnl"/>
        </w:rPr>
        <w:t>L</w:t>
      </w:r>
      <w:r w:rsidR="004662B5" w:rsidRPr="00921E02">
        <w:rPr>
          <w:rFonts w:ascii="Arial" w:hAnsi="Arial" w:cs="Arial"/>
          <w:bCs/>
          <w:lang w:val="es-ES_tradnl"/>
        </w:rPr>
        <w:t>a interpretación conforme rechaza ese cambio de entendimiento, pues se construye sobre la idea de que los beneficios más amplios que ofrece el medio ambiente y la reversión del cambio climático pueden ser objeto de transacción en los cálculos de corto plazo del legislador. En otras palabras, la interpretación conforme permite al legislador dar prioridad a sus cálculos de previsión económica</w:t>
      </w:r>
      <w:r w:rsidRPr="00921E02">
        <w:rPr>
          <w:rFonts w:ascii="Arial" w:hAnsi="Arial" w:cs="Arial"/>
          <w:bCs/>
          <w:lang w:val="es-ES_tradnl"/>
        </w:rPr>
        <w:t xml:space="preserve"> y le otorga </w:t>
      </w:r>
      <w:r w:rsidR="004662B5" w:rsidRPr="00921E02">
        <w:rPr>
          <w:rFonts w:ascii="Arial" w:hAnsi="Arial" w:cs="Arial"/>
          <w:bCs/>
          <w:lang w:val="es-ES_tradnl"/>
        </w:rPr>
        <w:t xml:space="preserve">una licencia configurativa reprochable a la luz del </w:t>
      </w:r>
      <w:r w:rsidRPr="00921E02">
        <w:rPr>
          <w:rFonts w:ascii="Arial" w:hAnsi="Arial" w:cs="Arial"/>
          <w:bCs/>
          <w:lang w:val="es-ES_tradnl"/>
        </w:rPr>
        <w:t xml:space="preserve">Acuerdo </w:t>
      </w:r>
      <w:r w:rsidR="004662B5" w:rsidRPr="00921E02">
        <w:rPr>
          <w:rFonts w:ascii="Arial" w:hAnsi="Arial" w:cs="Arial"/>
          <w:bCs/>
          <w:lang w:val="es-ES_tradnl"/>
        </w:rPr>
        <w:t>de Par</w:t>
      </w:r>
      <w:r w:rsidR="00EB5CBC">
        <w:rPr>
          <w:rFonts w:ascii="Arial" w:hAnsi="Arial" w:cs="Arial"/>
          <w:bCs/>
          <w:lang w:val="es-ES_tradnl"/>
        </w:rPr>
        <w:t>í</w:t>
      </w:r>
      <w:r w:rsidR="004662B5" w:rsidRPr="00921E02">
        <w:rPr>
          <w:rFonts w:ascii="Arial" w:hAnsi="Arial" w:cs="Arial"/>
          <w:bCs/>
          <w:lang w:val="es-ES_tradnl"/>
        </w:rPr>
        <w:t xml:space="preserve">s: el legislador puede concentrarse en resolver nuestras necesidades económicas actuales y </w:t>
      </w:r>
      <w:r w:rsidRPr="00921E02">
        <w:rPr>
          <w:rFonts w:ascii="Arial" w:hAnsi="Arial" w:cs="Arial"/>
          <w:bCs/>
          <w:lang w:val="es-ES_tradnl"/>
        </w:rPr>
        <w:t xml:space="preserve">postergar atender las </w:t>
      </w:r>
      <w:r w:rsidR="004662B5" w:rsidRPr="00921E02">
        <w:rPr>
          <w:rFonts w:ascii="Arial" w:hAnsi="Arial" w:cs="Arial"/>
          <w:bCs/>
          <w:lang w:val="es-ES_tradnl"/>
        </w:rPr>
        <w:t xml:space="preserve">implicaciones ambientales. Mi criterio no admite matices en este punto: </w:t>
      </w:r>
      <w:r w:rsidR="00F53CFF" w:rsidRPr="00921E02">
        <w:rPr>
          <w:rFonts w:ascii="Arial" w:hAnsi="Arial" w:cs="Arial"/>
          <w:bCs/>
          <w:lang w:val="es-ES_tradnl"/>
        </w:rPr>
        <w:t xml:space="preserve">el principio de progresividad en las medidas para revertir el cambio climático no es aplazable </w:t>
      </w:r>
      <w:r w:rsidR="004662B5" w:rsidRPr="00921E02">
        <w:rPr>
          <w:rFonts w:ascii="Arial" w:hAnsi="Arial" w:cs="Arial"/>
          <w:bCs/>
          <w:lang w:val="es-ES_tradnl"/>
        </w:rPr>
        <w:t>para el legislador</w:t>
      </w:r>
      <w:r w:rsidR="00F53CFF" w:rsidRPr="00921E02">
        <w:rPr>
          <w:rFonts w:ascii="Arial" w:hAnsi="Arial" w:cs="Arial"/>
          <w:bCs/>
          <w:lang w:val="es-ES_tradnl"/>
        </w:rPr>
        <w:t xml:space="preserve">. En </w:t>
      </w:r>
      <w:r w:rsidR="004662B5" w:rsidRPr="00921E02">
        <w:rPr>
          <w:rFonts w:ascii="Arial" w:hAnsi="Arial" w:cs="Arial"/>
          <w:bCs/>
          <w:lang w:val="es-ES_tradnl"/>
        </w:rPr>
        <w:t>esta materia no cabe apelar a las soluciones futuras.</w:t>
      </w:r>
    </w:p>
    <w:p w14:paraId="0D62594F" w14:textId="77777777" w:rsidR="00DA071E" w:rsidRPr="00921E02" w:rsidRDefault="00DA071E" w:rsidP="00CD79F1">
      <w:pPr>
        <w:spacing w:line="360" w:lineRule="auto"/>
        <w:jc w:val="both"/>
        <w:rPr>
          <w:rFonts w:ascii="Arial" w:hAnsi="Arial" w:cs="Arial"/>
          <w:bCs/>
        </w:rPr>
      </w:pPr>
    </w:p>
    <w:p w14:paraId="4E4773A4" w14:textId="1B2C1091" w:rsidR="007E71B0" w:rsidRPr="00921E02" w:rsidRDefault="00DA071E" w:rsidP="007E71B0">
      <w:pPr>
        <w:spacing w:line="360" w:lineRule="auto"/>
        <w:jc w:val="both"/>
        <w:rPr>
          <w:rFonts w:ascii="Arial" w:hAnsi="Arial" w:cs="Arial"/>
          <w:bCs/>
          <w:lang w:val="es-ES_tradnl"/>
        </w:rPr>
      </w:pPr>
      <w:r w:rsidRPr="00921E02">
        <w:rPr>
          <w:rFonts w:ascii="Arial" w:hAnsi="Arial" w:cs="Arial"/>
          <w:bCs/>
          <w:lang w:val="es-ES_tradnl"/>
        </w:rPr>
        <w:t xml:space="preserve">Nuestro </w:t>
      </w:r>
      <w:r w:rsidR="00520557" w:rsidRPr="00921E02">
        <w:rPr>
          <w:rFonts w:ascii="Arial" w:hAnsi="Arial" w:cs="Arial"/>
          <w:bCs/>
          <w:lang w:val="es-ES_tradnl"/>
        </w:rPr>
        <w:t xml:space="preserve">texto constitucional </w:t>
      </w:r>
      <w:r w:rsidRPr="00921E02">
        <w:rPr>
          <w:rFonts w:ascii="Arial" w:hAnsi="Arial" w:cs="Arial"/>
          <w:bCs/>
          <w:lang w:val="es-ES_tradnl"/>
        </w:rPr>
        <w:t xml:space="preserve">incluye </w:t>
      </w:r>
      <w:r w:rsidR="00520557" w:rsidRPr="00921E02">
        <w:rPr>
          <w:rFonts w:ascii="Arial" w:hAnsi="Arial" w:cs="Arial"/>
          <w:bCs/>
          <w:lang w:val="es-ES_tradnl"/>
        </w:rPr>
        <w:t xml:space="preserve">contenidos que </w:t>
      </w:r>
      <w:r w:rsidRPr="00921E02">
        <w:rPr>
          <w:rFonts w:ascii="Arial" w:hAnsi="Arial" w:cs="Arial"/>
          <w:bCs/>
          <w:lang w:val="es-ES_tradnl"/>
        </w:rPr>
        <w:t>también nos impon</w:t>
      </w:r>
      <w:r w:rsidR="00540043" w:rsidRPr="00921E02">
        <w:rPr>
          <w:rFonts w:ascii="Arial" w:hAnsi="Arial" w:cs="Arial"/>
          <w:bCs/>
          <w:lang w:val="es-ES_tradnl"/>
        </w:rPr>
        <w:t xml:space="preserve">en </w:t>
      </w:r>
      <w:r w:rsidR="00520557" w:rsidRPr="00921E02">
        <w:rPr>
          <w:rFonts w:ascii="Arial" w:hAnsi="Arial" w:cs="Arial"/>
          <w:bCs/>
          <w:lang w:val="es-ES_tradnl"/>
        </w:rPr>
        <w:t xml:space="preserve">ejercer un control sobre las políticas públicas </w:t>
      </w:r>
      <w:r w:rsidR="00540043" w:rsidRPr="00921E02">
        <w:rPr>
          <w:rFonts w:ascii="Arial" w:hAnsi="Arial" w:cs="Arial"/>
          <w:bCs/>
          <w:lang w:val="es-ES_tradnl"/>
        </w:rPr>
        <w:t xml:space="preserve">contrarias a </w:t>
      </w:r>
      <w:r w:rsidR="00520557" w:rsidRPr="00921E02">
        <w:rPr>
          <w:rFonts w:ascii="Arial" w:hAnsi="Arial" w:cs="Arial"/>
          <w:bCs/>
          <w:lang w:val="es-ES_tradnl"/>
        </w:rPr>
        <w:t xml:space="preserve">la sustentabilidad del desarrollo económico y que, por tanto, conforman una unidad normativa con los referidos preceptos del </w:t>
      </w:r>
      <w:r w:rsidR="00A4266F" w:rsidRPr="00921E02">
        <w:rPr>
          <w:rFonts w:ascii="Arial" w:hAnsi="Arial" w:cs="Arial"/>
          <w:bCs/>
          <w:lang w:val="es-ES_tradnl"/>
        </w:rPr>
        <w:t xml:space="preserve">Acuerdo </w:t>
      </w:r>
      <w:r w:rsidR="00520557" w:rsidRPr="00921E02">
        <w:rPr>
          <w:rFonts w:ascii="Arial" w:hAnsi="Arial" w:cs="Arial"/>
          <w:bCs/>
          <w:lang w:val="es-ES_tradnl"/>
        </w:rPr>
        <w:t>de Par</w:t>
      </w:r>
      <w:r w:rsidR="00A044E9">
        <w:rPr>
          <w:rFonts w:ascii="Arial" w:hAnsi="Arial" w:cs="Arial"/>
          <w:bCs/>
          <w:lang w:val="es-ES_tradnl"/>
        </w:rPr>
        <w:t>í</w:t>
      </w:r>
      <w:r w:rsidR="00520557" w:rsidRPr="00921E02">
        <w:rPr>
          <w:rFonts w:ascii="Arial" w:hAnsi="Arial" w:cs="Arial"/>
          <w:bCs/>
          <w:lang w:val="es-ES_tradnl"/>
        </w:rPr>
        <w:t xml:space="preserve">s. </w:t>
      </w:r>
      <w:r w:rsidR="00CD79F1" w:rsidRPr="00921E02">
        <w:rPr>
          <w:rFonts w:ascii="Arial" w:hAnsi="Arial" w:cs="Arial"/>
          <w:bCs/>
          <w:lang w:val="es-ES_tradnl"/>
        </w:rPr>
        <w:t xml:space="preserve">Este parámetro de control está constituido por los artículos constitucionales incluidos en 2013. </w:t>
      </w:r>
      <w:r w:rsidR="002B616E" w:rsidRPr="00921E02">
        <w:rPr>
          <w:rFonts w:ascii="Arial" w:hAnsi="Arial" w:cs="Arial"/>
          <w:bCs/>
          <w:lang w:val="es-ES_tradnl"/>
        </w:rPr>
        <w:t xml:space="preserve">El </w:t>
      </w:r>
      <w:r w:rsidR="00CD79F1" w:rsidRPr="00921E02">
        <w:rPr>
          <w:rFonts w:ascii="Arial" w:hAnsi="Arial" w:cs="Arial"/>
          <w:bCs/>
          <w:lang w:val="es-ES_tradnl"/>
        </w:rPr>
        <w:t>artículo 25 enuncia que la participación de los particulares en los mercados cuidará el medio ambient</w:t>
      </w:r>
      <w:r w:rsidR="00485C99" w:rsidRPr="00921E02">
        <w:rPr>
          <w:rFonts w:ascii="Arial" w:hAnsi="Arial" w:cs="Arial"/>
          <w:bCs/>
          <w:lang w:val="es-ES_tradnl"/>
        </w:rPr>
        <w:t xml:space="preserve">e, </w:t>
      </w:r>
      <w:r w:rsidR="00C4090F" w:rsidRPr="00921E02">
        <w:rPr>
          <w:rFonts w:ascii="Arial" w:hAnsi="Arial" w:cs="Arial"/>
          <w:bCs/>
          <w:lang w:val="es-ES_tradnl"/>
        </w:rPr>
        <w:t>y el</w:t>
      </w:r>
      <w:r w:rsidR="00CD79F1" w:rsidRPr="00921E02">
        <w:rPr>
          <w:rFonts w:ascii="Arial" w:hAnsi="Arial" w:cs="Arial"/>
          <w:bCs/>
          <w:lang w:val="es-ES_tradnl"/>
        </w:rPr>
        <w:t xml:space="preserve"> artículo décimo séptimo transitorio dice que “en materia de electricidad, la ley establecerá a los participantes de la industria eléctrica obligaciones de energías limpias y reducción de emisiones contaminantes.” </w:t>
      </w:r>
      <w:r w:rsidR="004662B5" w:rsidRPr="00921E02">
        <w:rPr>
          <w:rFonts w:ascii="Arial" w:hAnsi="Arial" w:cs="Arial"/>
          <w:bCs/>
          <w:lang w:val="es-ES_tradnl"/>
        </w:rPr>
        <w:t>Por tanto, nuestro texto constitucional también nos obliga</w:t>
      </w:r>
      <w:r w:rsidR="0004595A" w:rsidRPr="00921E02">
        <w:rPr>
          <w:rFonts w:ascii="Arial" w:hAnsi="Arial" w:cs="Arial"/>
          <w:bCs/>
          <w:lang w:val="es-ES_tradnl"/>
        </w:rPr>
        <w:t xml:space="preserve"> </w:t>
      </w:r>
      <w:r w:rsidR="004662B5" w:rsidRPr="00921E02">
        <w:rPr>
          <w:rFonts w:ascii="Arial" w:hAnsi="Arial" w:cs="Arial"/>
          <w:bCs/>
          <w:lang w:val="es-ES_tradnl"/>
        </w:rPr>
        <w:t xml:space="preserve">a evadir la </w:t>
      </w:r>
      <w:r w:rsidR="00F53CFF" w:rsidRPr="00921E02">
        <w:rPr>
          <w:rFonts w:ascii="Arial" w:hAnsi="Arial" w:cs="Arial"/>
          <w:bCs/>
          <w:lang w:val="es-ES_tradnl"/>
        </w:rPr>
        <w:t>tentación</w:t>
      </w:r>
      <w:r w:rsidR="004662B5" w:rsidRPr="00921E02">
        <w:rPr>
          <w:rFonts w:ascii="Arial" w:hAnsi="Arial" w:cs="Arial"/>
          <w:bCs/>
          <w:lang w:val="es-ES_tradnl"/>
        </w:rPr>
        <w:t xml:space="preserve"> de alentar al </w:t>
      </w:r>
      <w:r w:rsidR="00F53CFF" w:rsidRPr="00921E02">
        <w:rPr>
          <w:rFonts w:ascii="Arial" w:hAnsi="Arial" w:cs="Arial"/>
          <w:bCs/>
          <w:lang w:val="es-ES_tradnl"/>
        </w:rPr>
        <w:t>legislador</w:t>
      </w:r>
      <w:r w:rsidR="004662B5" w:rsidRPr="00921E02">
        <w:rPr>
          <w:rFonts w:ascii="Arial" w:hAnsi="Arial" w:cs="Arial"/>
          <w:bCs/>
          <w:lang w:val="es-ES_tradnl"/>
        </w:rPr>
        <w:t xml:space="preserve"> a </w:t>
      </w:r>
      <w:r w:rsidR="00F53CFF" w:rsidRPr="00921E02">
        <w:rPr>
          <w:rFonts w:ascii="Arial" w:hAnsi="Arial" w:cs="Arial"/>
          <w:bCs/>
          <w:lang w:val="es-ES_tradnl"/>
        </w:rPr>
        <w:lastRenderedPageBreak/>
        <w:t xml:space="preserve">emitir </w:t>
      </w:r>
      <w:r w:rsidR="004662B5" w:rsidRPr="00921E02">
        <w:rPr>
          <w:rFonts w:ascii="Arial" w:hAnsi="Arial" w:cs="Arial"/>
          <w:bCs/>
          <w:lang w:val="es-ES_tradnl"/>
        </w:rPr>
        <w:t xml:space="preserve">leyes que produzcan </w:t>
      </w:r>
      <w:r w:rsidR="007E71B0" w:rsidRPr="00921E02">
        <w:rPr>
          <w:rFonts w:ascii="Arial" w:hAnsi="Arial" w:cs="Arial"/>
          <w:bCs/>
        </w:rPr>
        <w:t>ganancias a corto plazo</w:t>
      </w:r>
      <w:r w:rsidR="00F53CFF" w:rsidRPr="00921E02">
        <w:rPr>
          <w:rFonts w:ascii="Arial" w:hAnsi="Arial" w:cs="Arial"/>
          <w:bCs/>
        </w:rPr>
        <w:t xml:space="preserve"> y coloquen </w:t>
      </w:r>
      <w:r w:rsidR="007E71B0" w:rsidRPr="00921E02">
        <w:rPr>
          <w:rFonts w:ascii="Arial" w:hAnsi="Arial" w:cs="Arial"/>
          <w:bCs/>
        </w:rPr>
        <w:t xml:space="preserve">el crecimiento económico por encima de la devastación ambiental y el bienestar de la gente. </w:t>
      </w:r>
    </w:p>
    <w:p w14:paraId="587C20C5" w14:textId="77777777" w:rsidR="007E71B0" w:rsidRPr="00847234" w:rsidRDefault="007E71B0" w:rsidP="00CD79F1">
      <w:pPr>
        <w:spacing w:line="360" w:lineRule="auto"/>
        <w:jc w:val="both"/>
        <w:rPr>
          <w:rFonts w:ascii="Arial" w:hAnsi="Arial" w:cs="Arial"/>
          <w:bCs/>
        </w:rPr>
      </w:pPr>
    </w:p>
    <w:p w14:paraId="3815BA8F" w14:textId="77777777" w:rsidR="000D7C53" w:rsidRPr="00847234" w:rsidRDefault="004613CA" w:rsidP="00991709">
      <w:pPr>
        <w:spacing w:line="360" w:lineRule="auto"/>
        <w:jc w:val="both"/>
        <w:rPr>
          <w:rFonts w:ascii="Arial" w:hAnsi="Arial" w:cs="Arial"/>
          <w:bCs/>
          <w:lang w:val="es-ES_tradnl"/>
        </w:rPr>
      </w:pPr>
      <w:r w:rsidRPr="00847234">
        <w:rPr>
          <w:rFonts w:ascii="Arial" w:hAnsi="Arial" w:cs="Arial"/>
          <w:bCs/>
          <w:lang w:val="es-ES_tradnl"/>
        </w:rPr>
        <w:t>E</w:t>
      </w:r>
      <w:r w:rsidR="00991709" w:rsidRPr="00847234">
        <w:rPr>
          <w:rFonts w:ascii="Arial" w:hAnsi="Arial" w:cs="Arial"/>
          <w:bCs/>
          <w:lang w:val="es-ES_tradnl"/>
        </w:rPr>
        <w:t xml:space="preserve">ste Tribunal Pleno debió implantar el derecho al medio ambiente como el principal parámetro de control sobre las normas impugnadas. Debió afirmar que el papel de este tribunal constitucional es frenar a las mayorías legislativas en cualquier intento de regresividad en las medidas de transición hacia la neutralidad climática en la producción de energía, lo que incluye la reducción de gases con efecto invernadero. </w:t>
      </w:r>
    </w:p>
    <w:p w14:paraId="7A2401BF" w14:textId="38268053" w:rsidR="00991709" w:rsidRPr="00847234" w:rsidRDefault="00991709" w:rsidP="00991709">
      <w:pPr>
        <w:spacing w:line="360" w:lineRule="auto"/>
        <w:jc w:val="both"/>
        <w:rPr>
          <w:rFonts w:ascii="Arial" w:hAnsi="Arial" w:cs="Arial"/>
          <w:bCs/>
          <w:lang w:val="es-ES_tradnl"/>
        </w:rPr>
      </w:pPr>
      <w:r w:rsidRPr="00847234">
        <w:rPr>
          <w:rFonts w:ascii="Arial" w:hAnsi="Arial" w:cs="Arial"/>
          <w:bCs/>
          <w:lang w:val="es-ES_tradnl"/>
        </w:rPr>
        <w:t xml:space="preserve">En palabras contundentes: la regresión en el camino hacia la reversión del cambio climático es justiciable. </w:t>
      </w:r>
    </w:p>
    <w:p w14:paraId="5263F3F9" w14:textId="77777777" w:rsidR="00991709" w:rsidRPr="00847234" w:rsidRDefault="00991709" w:rsidP="00991709">
      <w:pPr>
        <w:spacing w:line="360" w:lineRule="auto"/>
        <w:jc w:val="both"/>
        <w:rPr>
          <w:rFonts w:ascii="Arial" w:hAnsi="Arial" w:cs="Arial"/>
          <w:bCs/>
          <w:lang w:val="es-ES_tradnl"/>
        </w:rPr>
      </w:pPr>
    </w:p>
    <w:p w14:paraId="5F936D66" w14:textId="0134AD39" w:rsidR="00991709" w:rsidRPr="00847234" w:rsidRDefault="00991709" w:rsidP="00991709">
      <w:pPr>
        <w:spacing w:line="360" w:lineRule="auto"/>
        <w:jc w:val="both"/>
        <w:rPr>
          <w:rFonts w:ascii="Arial" w:hAnsi="Arial" w:cs="Arial"/>
          <w:bCs/>
          <w:lang w:val="es-ES_tradnl"/>
        </w:rPr>
      </w:pPr>
      <w:r w:rsidRPr="00847234">
        <w:rPr>
          <w:rFonts w:ascii="Arial" w:hAnsi="Arial" w:cs="Arial"/>
          <w:bCs/>
          <w:lang w:val="es-ES_tradnl"/>
        </w:rPr>
        <w:t>De haberse alcanzado la mayoría calificada alrededor de esta decisión, esta Suprema Corte de Justicia de la Nación se habría añadido a</w:t>
      </w:r>
      <w:r w:rsidR="003755ED" w:rsidRPr="00847234">
        <w:rPr>
          <w:rFonts w:ascii="Arial" w:hAnsi="Arial" w:cs="Arial"/>
          <w:bCs/>
          <w:lang w:val="es-ES_tradnl"/>
        </w:rPr>
        <w:t xml:space="preserve"> los t</w:t>
      </w:r>
      <w:r w:rsidRPr="00847234">
        <w:rPr>
          <w:rFonts w:ascii="Arial" w:hAnsi="Arial" w:cs="Arial"/>
          <w:bCs/>
          <w:lang w:val="es-ES_tradnl"/>
        </w:rPr>
        <w:t xml:space="preserve">ribunales </w:t>
      </w:r>
      <w:r w:rsidR="003755ED" w:rsidRPr="00847234">
        <w:rPr>
          <w:rFonts w:ascii="Arial" w:hAnsi="Arial" w:cs="Arial"/>
          <w:bCs/>
          <w:lang w:val="es-ES_tradnl"/>
        </w:rPr>
        <w:t>c</w:t>
      </w:r>
      <w:r w:rsidRPr="00847234">
        <w:rPr>
          <w:rFonts w:ascii="Arial" w:hAnsi="Arial" w:cs="Arial"/>
          <w:bCs/>
          <w:lang w:val="es-ES_tradnl"/>
        </w:rPr>
        <w:t xml:space="preserve">onstitucionales que han abierto este camino. Por ejemplo, la sentencia dictada por la Suprema Corte de Holanda el 20 de diciembre de 2019, en el caso de la </w:t>
      </w:r>
      <w:r w:rsidRPr="00847234">
        <w:rPr>
          <w:rFonts w:ascii="Arial" w:hAnsi="Arial" w:cs="Arial"/>
          <w:bCs/>
          <w:i/>
          <w:iCs/>
          <w:lang w:val="es-ES_tradnl"/>
        </w:rPr>
        <w:t xml:space="preserve">Fundación </w:t>
      </w:r>
      <w:proofErr w:type="spellStart"/>
      <w:r w:rsidRPr="00847234">
        <w:rPr>
          <w:rFonts w:ascii="Arial" w:hAnsi="Arial" w:cs="Arial"/>
          <w:bCs/>
          <w:i/>
          <w:iCs/>
          <w:lang w:val="es-ES_tradnl"/>
        </w:rPr>
        <w:t>Urgenda</w:t>
      </w:r>
      <w:proofErr w:type="spellEnd"/>
      <w:r w:rsidRPr="00847234">
        <w:rPr>
          <w:rFonts w:ascii="Arial" w:hAnsi="Arial" w:cs="Arial"/>
          <w:bCs/>
          <w:i/>
          <w:iCs/>
          <w:lang w:val="es-ES_tradnl"/>
        </w:rPr>
        <w:t xml:space="preserve"> vs el Estado Holandés</w:t>
      </w:r>
      <w:r w:rsidRPr="00847234">
        <w:rPr>
          <w:rFonts w:ascii="Arial" w:hAnsi="Arial" w:cs="Arial"/>
          <w:bCs/>
          <w:lang w:val="es-ES_tradnl"/>
        </w:rPr>
        <w:t xml:space="preserve">, en el cual se </w:t>
      </w:r>
      <w:r w:rsidR="00820705" w:rsidRPr="00847234">
        <w:rPr>
          <w:rFonts w:ascii="Arial" w:hAnsi="Arial" w:cs="Arial"/>
          <w:bCs/>
          <w:lang w:val="es-ES_tradnl"/>
        </w:rPr>
        <w:t xml:space="preserve">acogió </w:t>
      </w:r>
      <w:r w:rsidRPr="00847234">
        <w:rPr>
          <w:rFonts w:ascii="Arial" w:hAnsi="Arial" w:cs="Arial"/>
          <w:bCs/>
          <w:lang w:val="es-ES_tradnl"/>
        </w:rPr>
        <w:t xml:space="preserve">el reclamo de la fundación acerca de que el gobierno de ese estado estaba obligado a reducir las emisiones de gases de efecto invernadero en un porcentaje mayor al que había proyectado. Esta decisión </w:t>
      </w:r>
      <w:r w:rsidR="006347EE" w:rsidRPr="00847234">
        <w:rPr>
          <w:rFonts w:ascii="Arial" w:hAnsi="Arial" w:cs="Arial"/>
          <w:bCs/>
          <w:lang w:val="es-ES_tradnl"/>
        </w:rPr>
        <w:t xml:space="preserve">fijó el </w:t>
      </w:r>
      <w:r w:rsidRPr="00847234">
        <w:rPr>
          <w:rFonts w:ascii="Arial" w:hAnsi="Arial" w:cs="Arial"/>
          <w:bCs/>
          <w:lang w:val="es-ES_tradnl"/>
        </w:rPr>
        <w:t>contenido</w:t>
      </w:r>
      <w:r w:rsidR="006347EE" w:rsidRPr="00847234">
        <w:rPr>
          <w:rFonts w:ascii="Arial" w:hAnsi="Arial" w:cs="Arial"/>
          <w:bCs/>
          <w:lang w:val="es-ES_tradnl"/>
        </w:rPr>
        <w:t xml:space="preserve"> de </w:t>
      </w:r>
      <w:r w:rsidRPr="00847234">
        <w:rPr>
          <w:rFonts w:ascii="Arial" w:hAnsi="Arial" w:cs="Arial"/>
          <w:bCs/>
          <w:lang w:val="es-ES_tradnl"/>
        </w:rPr>
        <w:t xml:space="preserve">las obligaciones estatales en materia de protección de derechos humanos, especialmente, aquellas relacionados con el derecho al medio ambiente. En su sentencia, esta </w:t>
      </w:r>
      <w:r w:rsidR="006347EE" w:rsidRPr="00847234">
        <w:rPr>
          <w:rFonts w:ascii="Arial" w:hAnsi="Arial" w:cs="Arial"/>
          <w:bCs/>
          <w:lang w:val="es-ES_tradnl"/>
        </w:rPr>
        <w:t>c</w:t>
      </w:r>
      <w:r w:rsidRPr="00847234">
        <w:rPr>
          <w:rFonts w:ascii="Arial" w:hAnsi="Arial" w:cs="Arial"/>
          <w:bCs/>
          <w:lang w:val="es-ES_tradnl"/>
        </w:rPr>
        <w:t>orte dispuso que la libertad configurativa de las ramas políticas en materia económica queda subordinada, en materia ambiental, a los principios de precaución y a un deber de cuidado, los cuales obligan a tomar medidas preventivas y concretas contra el riesgo, incluso si no existe certeza sobre la materialización del daño.</w:t>
      </w:r>
      <w:r w:rsidRPr="00847234">
        <w:rPr>
          <w:rStyle w:val="Refdenotaalpie"/>
          <w:rFonts w:ascii="Arial" w:hAnsi="Arial" w:cs="Arial"/>
          <w:bCs/>
          <w:lang w:val="es-ES_tradnl"/>
        </w:rPr>
        <w:footnoteReference w:id="39"/>
      </w:r>
    </w:p>
    <w:p w14:paraId="35D8C902" w14:textId="77777777" w:rsidR="00991709" w:rsidRPr="00847234" w:rsidRDefault="00991709" w:rsidP="00991709">
      <w:pPr>
        <w:spacing w:line="360" w:lineRule="auto"/>
        <w:jc w:val="both"/>
        <w:rPr>
          <w:rFonts w:ascii="Arial" w:hAnsi="Arial" w:cs="Arial"/>
          <w:bCs/>
          <w:lang w:val="es-ES_tradnl"/>
        </w:rPr>
      </w:pPr>
    </w:p>
    <w:p w14:paraId="58A41B3B" w14:textId="263E8E76" w:rsidR="00991709" w:rsidRPr="00847234" w:rsidRDefault="00991709" w:rsidP="00991709">
      <w:pPr>
        <w:spacing w:line="360" w:lineRule="auto"/>
        <w:jc w:val="both"/>
        <w:rPr>
          <w:rFonts w:ascii="Arial" w:hAnsi="Arial" w:cs="Arial"/>
          <w:bCs/>
          <w:lang w:val="es-ES_tradnl"/>
        </w:rPr>
      </w:pPr>
      <w:r w:rsidRPr="00847234">
        <w:rPr>
          <w:rFonts w:ascii="Arial" w:hAnsi="Arial" w:cs="Arial"/>
          <w:bCs/>
          <w:lang w:val="es-ES_tradnl"/>
        </w:rPr>
        <w:t>De la misma forma</w:t>
      </w:r>
      <w:r w:rsidR="004D35E7" w:rsidRPr="00847234">
        <w:rPr>
          <w:rFonts w:ascii="Arial" w:hAnsi="Arial" w:cs="Arial"/>
          <w:bCs/>
          <w:lang w:val="es-ES_tradnl"/>
        </w:rPr>
        <w:t>,</w:t>
      </w:r>
      <w:r w:rsidRPr="00847234">
        <w:rPr>
          <w:rFonts w:ascii="Arial" w:hAnsi="Arial" w:cs="Arial"/>
          <w:bCs/>
          <w:lang w:val="es-ES_tradnl"/>
        </w:rPr>
        <w:t xml:space="preserve"> la Corte Suprema de Irlanda, al conocer del caso </w:t>
      </w:r>
      <w:r w:rsidRPr="00847234">
        <w:rPr>
          <w:rFonts w:ascii="Arial" w:hAnsi="Arial" w:cs="Arial"/>
          <w:bCs/>
          <w:i/>
          <w:iCs/>
          <w:lang w:val="es-ES_tradnl"/>
        </w:rPr>
        <w:t xml:space="preserve">Friends </w:t>
      </w:r>
      <w:proofErr w:type="spellStart"/>
      <w:r w:rsidRPr="00847234">
        <w:rPr>
          <w:rFonts w:ascii="Arial" w:hAnsi="Arial" w:cs="Arial"/>
          <w:bCs/>
          <w:i/>
          <w:iCs/>
          <w:lang w:val="es-ES_tradnl"/>
        </w:rPr>
        <w:t>of</w:t>
      </w:r>
      <w:proofErr w:type="spellEnd"/>
      <w:r w:rsidRPr="00847234">
        <w:rPr>
          <w:rFonts w:ascii="Arial" w:hAnsi="Arial" w:cs="Arial"/>
          <w:bCs/>
          <w:i/>
          <w:iCs/>
          <w:lang w:val="es-ES_tradnl"/>
        </w:rPr>
        <w:t xml:space="preserve"> </w:t>
      </w:r>
      <w:proofErr w:type="spellStart"/>
      <w:r w:rsidRPr="00847234">
        <w:rPr>
          <w:rFonts w:ascii="Arial" w:hAnsi="Arial" w:cs="Arial"/>
          <w:bCs/>
          <w:i/>
          <w:iCs/>
          <w:lang w:val="es-ES_tradnl"/>
        </w:rPr>
        <w:t>the</w:t>
      </w:r>
      <w:proofErr w:type="spellEnd"/>
      <w:r w:rsidRPr="00847234">
        <w:rPr>
          <w:rFonts w:ascii="Arial" w:hAnsi="Arial" w:cs="Arial"/>
          <w:bCs/>
          <w:i/>
          <w:iCs/>
          <w:lang w:val="es-ES_tradnl"/>
        </w:rPr>
        <w:t xml:space="preserve"> </w:t>
      </w:r>
      <w:proofErr w:type="spellStart"/>
      <w:r w:rsidRPr="00847234">
        <w:rPr>
          <w:rFonts w:ascii="Arial" w:hAnsi="Arial" w:cs="Arial"/>
          <w:bCs/>
          <w:i/>
          <w:iCs/>
          <w:lang w:val="es-ES_tradnl"/>
        </w:rPr>
        <w:t>Irish</w:t>
      </w:r>
      <w:proofErr w:type="spellEnd"/>
      <w:r w:rsidRPr="00847234">
        <w:rPr>
          <w:rFonts w:ascii="Arial" w:hAnsi="Arial" w:cs="Arial"/>
          <w:bCs/>
          <w:i/>
          <w:iCs/>
          <w:lang w:val="es-ES_tradnl"/>
        </w:rPr>
        <w:t xml:space="preserve"> </w:t>
      </w:r>
      <w:proofErr w:type="spellStart"/>
      <w:r w:rsidRPr="00847234">
        <w:rPr>
          <w:rFonts w:ascii="Arial" w:hAnsi="Arial" w:cs="Arial"/>
          <w:bCs/>
          <w:i/>
          <w:iCs/>
          <w:lang w:val="es-ES_tradnl"/>
        </w:rPr>
        <w:t>Enviroment</w:t>
      </w:r>
      <w:proofErr w:type="spellEnd"/>
      <w:r w:rsidRPr="00847234">
        <w:rPr>
          <w:rFonts w:ascii="Arial" w:hAnsi="Arial" w:cs="Arial"/>
          <w:bCs/>
          <w:i/>
          <w:iCs/>
          <w:lang w:val="es-ES_tradnl"/>
        </w:rPr>
        <w:t xml:space="preserve"> v </w:t>
      </w:r>
      <w:proofErr w:type="spellStart"/>
      <w:r w:rsidRPr="00847234">
        <w:rPr>
          <w:rFonts w:ascii="Arial" w:hAnsi="Arial" w:cs="Arial"/>
          <w:bCs/>
          <w:i/>
          <w:iCs/>
          <w:lang w:val="es-ES_tradnl"/>
        </w:rPr>
        <w:t>Gover</w:t>
      </w:r>
      <w:r w:rsidR="009151A6" w:rsidRPr="00847234">
        <w:rPr>
          <w:rFonts w:ascii="Arial" w:hAnsi="Arial" w:cs="Arial"/>
          <w:bCs/>
          <w:i/>
          <w:iCs/>
          <w:lang w:val="es-ES_tradnl"/>
        </w:rPr>
        <w:t>n</w:t>
      </w:r>
      <w:r w:rsidRPr="00847234">
        <w:rPr>
          <w:rFonts w:ascii="Arial" w:hAnsi="Arial" w:cs="Arial"/>
          <w:bCs/>
          <w:i/>
          <w:iCs/>
          <w:lang w:val="es-ES_tradnl"/>
        </w:rPr>
        <w:t>ment</w:t>
      </w:r>
      <w:proofErr w:type="spellEnd"/>
      <w:r w:rsidRPr="00847234">
        <w:rPr>
          <w:rFonts w:ascii="Arial" w:hAnsi="Arial" w:cs="Arial"/>
          <w:bCs/>
          <w:i/>
          <w:iCs/>
          <w:lang w:val="es-ES_tradnl"/>
        </w:rPr>
        <w:t xml:space="preserve"> of </w:t>
      </w:r>
      <w:proofErr w:type="spellStart"/>
      <w:r w:rsidRPr="00847234">
        <w:rPr>
          <w:rFonts w:ascii="Arial" w:hAnsi="Arial" w:cs="Arial"/>
          <w:bCs/>
          <w:i/>
          <w:iCs/>
          <w:lang w:val="es-ES_tradnl"/>
        </w:rPr>
        <w:t>Ireland</w:t>
      </w:r>
      <w:proofErr w:type="spellEnd"/>
      <w:r w:rsidRPr="00847234">
        <w:rPr>
          <w:rFonts w:ascii="Arial" w:hAnsi="Arial" w:cs="Arial"/>
          <w:bCs/>
          <w:lang w:val="es-ES_tradnl"/>
        </w:rPr>
        <w:t xml:space="preserve">, resuelto el 31 de julio de 2020, </w:t>
      </w:r>
      <w:r w:rsidR="00E128B0" w:rsidRPr="00847234">
        <w:rPr>
          <w:rFonts w:ascii="Arial" w:hAnsi="Arial" w:cs="Arial"/>
          <w:bCs/>
          <w:lang w:val="es-ES_tradnl"/>
        </w:rPr>
        <w:t xml:space="preserve">invalidó </w:t>
      </w:r>
      <w:r w:rsidRPr="00847234">
        <w:rPr>
          <w:rFonts w:ascii="Arial" w:hAnsi="Arial" w:cs="Arial"/>
          <w:bCs/>
          <w:lang w:val="es-ES_tradnl"/>
        </w:rPr>
        <w:t xml:space="preserve">un plan nacional de mitigación diseñado por el gobierno. La corte </w:t>
      </w:r>
      <w:r w:rsidR="00C4522B" w:rsidRPr="00847234">
        <w:rPr>
          <w:rFonts w:ascii="Arial" w:hAnsi="Arial" w:cs="Arial"/>
          <w:bCs/>
          <w:lang w:val="es-ES_tradnl"/>
        </w:rPr>
        <w:t xml:space="preserve">resolvió que </w:t>
      </w:r>
      <w:r w:rsidRPr="00847234">
        <w:rPr>
          <w:rFonts w:ascii="Arial" w:hAnsi="Arial" w:cs="Arial"/>
          <w:bCs/>
          <w:lang w:val="es-ES_tradnl"/>
        </w:rPr>
        <w:t xml:space="preserve">ese plan </w:t>
      </w:r>
      <w:r w:rsidR="00C4522B" w:rsidRPr="00847234">
        <w:rPr>
          <w:rFonts w:ascii="Arial" w:hAnsi="Arial" w:cs="Arial"/>
          <w:bCs/>
          <w:lang w:val="es-ES_tradnl"/>
        </w:rPr>
        <w:t xml:space="preserve">era </w:t>
      </w:r>
      <w:r w:rsidRPr="00847234">
        <w:rPr>
          <w:rFonts w:ascii="Arial" w:hAnsi="Arial" w:cs="Arial"/>
          <w:bCs/>
          <w:lang w:val="es-ES_tradnl"/>
        </w:rPr>
        <w:t xml:space="preserve">insuficiente a la luz de las obligaciones del Estado para evitar el cambio climático. En su sentencia, la corte </w:t>
      </w:r>
      <w:r w:rsidR="00C4522B" w:rsidRPr="00847234">
        <w:rPr>
          <w:rFonts w:ascii="Arial" w:hAnsi="Arial" w:cs="Arial"/>
          <w:bCs/>
          <w:lang w:val="es-ES_tradnl"/>
        </w:rPr>
        <w:t xml:space="preserve">encontró </w:t>
      </w:r>
      <w:r w:rsidRPr="00847234">
        <w:rPr>
          <w:rFonts w:ascii="Arial" w:hAnsi="Arial" w:cs="Arial"/>
          <w:bCs/>
          <w:lang w:val="es-ES_tradnl"/>
        </w:rPr>
        <w:t>que el plan era revisable con base en el derecho al medio ambiente, pero que ciertamente n</w:t>
      </w:r>
      <w:r w:rsidR="00391CC1" w:rsidRPr="00847234">
        <w:rPr>
          <w:rFonts w:ascii="Arial" w:hAnsi="Arial" w:cs="Arial"/>
          <w:bCs/>
          <w:lang w:val="es-ES_tradnl"/>
        </w:rPr>
        <w:t>o correspondía a e</w:t>
      </w:r>
      <w:r w:rsidR="005233CF" w:rsidRPr="00847234">
        <w:rPr>
          <w:rFonts w:ascii="Arial" w:hAnsi="Arial" w:cs="Arial"/>
          <w:bCs/>
          <w:lang w:val="es-ES_tradnl"/>
        </w:rPr>
        <w:t>se tribunal</w:t>
      </w:r>
      <w:r w:rsidRPr="00847234">
        <w:rPr>
          <w:rFonts w:ascii="Arial" w:hAnsi="Arial" w:cs="Arial"/>
          <w:bCs/>
          <w:lang w:val="es-ES_tradnl"/>
        </w:rPr>
        <w:t xml:space="preserve"> evaluar su conveniencia, sino examinar si cumplía con los lineamientos jurídicos</w:t>
      </w:r>
      <w:r w:rsidR="005233CF" w:rsidRPr="00847234">
        <w:rPr>
          <w:rFonts w:ascii="Arial" w:hAnsi="Arial" w:cs="Arial"/>
          <w:bCs/>
          <w:lang w:val="es-ES_tradnl"/>
        </w:rPr>
        <w:t xml:space="preserve"> </w:t>
      </w:r>
      <w:r w:rsidR="005233CF" w:rsidRPr="00847234">
        <w:rPr>
          <w:rFonts w:ascii="Arial" w:hAnsi="Arial" w:cs="Arial"/>
          <w:bCs/>
          <w:lang w:val="es-ES_tradnl"/>
        </w:rPr>
        <w:lastRenderedPageBreak/>
        <w:t>provenientes de las o</w:t>
      </w:r>
      <w:r w:rsidRPr="00847234">
        <w:rPr>
          <w:rFonts w:ascii="Arial" w:hAnsi="Arial" w:cs="Arial"/>
          <w:bCs/>
          <w:lang w:val="es-ES_tradnl"/>
        </w:rPr>
        <w:t xml:space="preserve">bligaciones </w:t>
      </w:r>
      <w:r w:rsidR="005233CF" w:rsidRPr="00847234">
        <w:rPr>
          <w:rFonts w:ascii="Arial" w:hAnsi="Arial" w:cs="Arial"/>
          <w:bCs/>
          <w:lang w:val="es-ES_tradnl"/>
        </w:rPr>
        <w:t xml:space="preserve">del gobierno en lo relativo al </w:t>
      </w:r>
      <w:r w:rsidRPr="00847234">
        <w:rPr>
          <w:rFonts w:ascii="Arial" w:hAnsi="Arial" w:cs="Arial"/>
          <w:bCs/>
          <w:lang w:val="es-ES_tradnl"/>
        </w:rPr>
        <w:t>medio ambiente. En el caso, el vicio de invalidez fue la ausencia de una reglamentación precisa para lograr el objetivo de la transición nacional. Entonces,</w:t>
      </w:r>
      <w:r w:rsidR="009F490D" w:rsidRPr="00847234">
        <w:rPr>
          <w:rFonts w:ascii="Arial" w:hAnsi="Arial" w:cs="Arial"/>
          <w:bCs/>
          <w:lang w:val="es-ES_tradnl"/>
        </w:rPr>
        <w:t xml:space="preserve"> el tribunal </w:t>
      </w:r>
      <w:r w:rsidRPr="00847234">
        <w:rPr>
          <w:rFonts w:ascii="Arial" w:hAnsi="Arial" w:cs="Arial"/>
          <w:bCs/>
          <w:lang w:val="es-ES_tradnl"/>
        </w:rPr>
        <w:t>condenó al gobierno a diseñar y emitir un nuevo plan que incluyera medidas concretas hasta un periodo que llegue al 2050.</w:t>
      </w:r>
      <w:r w:rsidRPr="00847234">
        <w:rPr>
          <w:rStyle w:val="Refdenotaalpie"/>
          <w:rFonts w:ascii="Arial" w:hAnsi="Arial" w:cs="Arial"/>
          <w:bCs/>
          <w:lang w:val="es-ES_tradnl"/>
        </w:rPr>
        <w:footnoteReference w:id="40"/>
      </w:r>
    </w:p>
    <w:p w14:paraId="5EC8241E" w14:textId="3F1E6E16" w:rsidR="00BB4563" w:rsidRPr="00847234" w:rsidRDefault="00BB4563" w:rsidP="006C3525">
      <w:pPr>
        <w:spacing w:line="360" w:lineRule="auto"/>
        <w:jc w:val="both"/>
        <w:rPr>
          <w:rFonts w:ascii="Arial" w:hAnsi="Arial" w:cs="Arial"/>
          <w:bCs/>
          <w:lang w:val="es-ES_tradnl"/>
        </w:rPr>
      </w:pPr>
    </w:p>
    <w:p w14:paraId="0D721E02" w14:textId="6A17CA2A" w:rsidR="00BB4563" w:rsidRPr="00847234" w:rsidRDefault="00BB4563" w:rsidP="006C3525">
      <w:pPr>
        <w:spacing w:line="360" w:lineRule="auto"/>
        <w:jc w:val="both"/>
        <w:rPr>
          <w:rFonts w:ascii="Arial" w:hAnsi="Arial" w:cs="Arial"/>
          <w:bCs/>
          <w:lang w:val="es-ES_tradnl"/>
        </w:rPr>
      </w:pPr>
      <w:r w:rsidRPr="00847234">
        <w:rPr>
          <w:rFonts w:ascii="Arial" w:hAnsi="Arial" w:cs="Arial"/>
          <w:bCs/>
          <w:lang w:val="es-ES_tradnl"/>
        </w:rPr>
        <w:t xml:space="preserve">Finalmente, cabe </w:t>
      </w:r>
      <w:r w:rsidR="00CC49C7">
        <w:rPr>
          <w:rFonts w:ascii="Arial" w:hAnsi="Arial" w:cs="Arial"/>
          <w:bCs/>
          <w:lang w:val="es-ES_tradnl"/>
        </w:rPr>
        <w:t>añadir a esta</w:t>
      </w:r>
      <w:r w:rsidRPr="00847234">
        <w:rPr>
          <w:rFonts w:ascii="Arial" w:hAnsi="Arial" w:cs="Arial"/>
          <w:bCs/>
          <w:lang w:val="es-ES_tradnl"/>
        </w:rPr>
        <w:t xml:space="preserve"> lista ejemplificativa de precedentes de derecho comparado, la sentencia dictada por el Tribunal Constitucional </w:t>
      </w:r>
      <w:r w:rsidR="00374AF4" w:rsidRPr="00847234">
        <w:rPr>
          <w:rFonts w:ascii="Arial" w:hAnsi="Arial" w:cs="Arial"/>
          <w:bCs/>
          <w:lang w:val="es-ES_tradnl"/>
        </w:rPr>
        <w:t>A</w:t>
      </w:r>
      <w:r w:rsidRPr="00847234">
        <w:rPr>
          <w:rFonts w:ascii="Arial" w:hAnsi="Arial" w:cs="Arial"/>
          <w:bCs/>
          <w:lang w:val="es-ES_tradnl"/>
        </w:rPr>
        <w:t xml:space="preserve">lemán, en la cual determinó que era inconstitucional una ley federal sobre cambio climático (emitida en diciembre de 2019), la cual establecía los umbrales de emisiones de gases con efecto invernadero permitidos hasta el periodo comprendido de 2030, al estimar que era incompatible con los derechos fundamentales. En la sentencia se destacó que esa ley carecía de las especificaciones para garantizar las reducciones necesarias del 2031 en adelante, lo cual se </w:t>
      </w:r>
      <w:r w:rsidR="00D078B9" w:rsidRPr="00847234">
        <w:rPr>
          <w:rFonts w:ascii="Arial" w:hAnsi="Arial" w:cs="Arial"/>
          <w:bCs/>
          <w:lang w:val="es-ES_tradnl"/>
        </w:rPr>
        <w:t>fundamentó</w:t>
      </w:r>
      <w:r w:rsidRPr="00847234">
        <w:rPr>
          <w:rFonts w:ascii="Arial" w:hAnsi="Arial" w:cs="Arial"/>
          <w:bCs/>
          <w:lang w:val="es-ES_tradnl"/>
        </w:rPr>
        <w:t xml:space="preserve"> en la provisión de la Ley Básica que obliga a tomar</w:t>
      </w:r>
      <w:r w:rsidR="00B9537E" w:rsidRPr="00847234">
        <w:rPr>
          <w:rFonts w:ascii="Arial" w:hAnsi="Arial" w:cs="Arial"/>
          <w:bCs/>
          <w:lang w:val="es-ES_tradnl"/>
        </w:rPr>
        <w:t xml:space="preserve"> </w:t>
      </w:r>
      <w:r w:rsidRPr="00847234">
        <w:rPr>
          <w:rFonts w:ascii="Arial" w:hAnsi="Arial" w:cs="Arial"/>
          <w:bCs/>
          <w:lang w:val="es-ES_tradnl"/>
        </w:rPr>
        <w:t>acciones en materia de cambio climático, enfatizando que los jueces deben tutelar la constitucionalidad de la transición a la neutralidad climática.</w:t>
      </w:r>
      <w:r w:rsidRPr="00847234">
        <w:rPr>
          <w:rStyle w:val="Refdenotaalpie"/>
          <w:rFonts w:ascii="Arial" w:hAnsi="Arial" w:cs="Arial"/>
          <w:bCs/>
          <w:lang w:val="es-ES_tradnl"/>
        </w:rPr>
        <w:footnoteReference w:id="41"/>
      </w:r>
      <w:r w:rsidRPr="00847234">
        <w:rPr>
          <w:rFonts w:ascii="Arial" w:hAnsi="Arial" w:cs="Arial"/>
          <w:bCs/>
          <w:lang w:val="es-ES_tradnl"/>
        </w:rPr>
        <w:t xml:space="preserve"> </w:t>
      </w:r>
    </w:p>
    <w:p w14:paraId="57C7256E" w14:textId="77777777" w:rsidR="004104DC" w:rsidRPr="00847234" w:rsidRDefault="004104DC" w:rsidP="006C3525">
      <w:pPr>
        <w:spacing w:line="360" w:lineRule="auto"/>
        <w:jc w:val="both"/>
        <w:rPr>
          <w:rFonts w:ascii="Arial" w:hAnsi="Arial" w:cs="Arial"/>
          <w:bCs/>
          <w:lang w:val="es-ES_tradnl"/>
        </w:rPr>
      </w:pPr>
    </w:p>
    <w:p w14:paraId="0638B4C8" w14:textId="1C7ADA03" w:rsidR="00D65FAD" w:rsidRPr="00847234" w:rsidRDefault="005E64D4" w:rsidP="006C3525">
      <w:pPr>
        <w:spacing w:line="360" w:lineRule="auto"/>
        <w:jc w:val="both"/>
        <w:rPr>
          <w:rFonts w:ascii="Arial" w:hAnsi="Arial" w:cs="Arial"/>
          <w:bCs/>
          <w:lang w:val="es-ES_tradnl"/>
        </w:rPr>
      </w:pPr>
      <w:r w:rsidRPr="00847234">
        <w:rPr>
          <w:rFonts w:ascii="Arial" w:hAnsi="Arial" w:cs="Arial"/>
          <w:bCs/>
          <w:lang w:val="es-ES_tradnl"/>
        </w:rPr>
        <w:t xml:space="preserve">El parámetro de control en materia medio ambiental es amplio y este caso hubiera ofrecido la oportunidad a este Pleno de relacionar los distintos instrumentos internacionales y de darles operatividad. </w:t>
      </w:r>
      <w:r w:rsidR="006C3525" w:rsidRPr="00847234">
        <w:rPr>
          <w:rFonts w:ascii="Arial" w:hAnsi="Arial" w:cs="Arial"/>
          <w:bCs/>
          <w:lang w:val="es-ES_tradnl"/>
        </w:rPr>
        <w:t xml:space="preserve">Del Convenio de Escazú </w:t>
      </w:r>
      <w:r w:rsidR="00BC19E3" w:rsidRPr="00847234">
        <w:rPr>
          <w:rFonts w:ascii="Arial" w:hAnsi="Arial" w:cs="Arial"/>
          <w:bCs/>
          <w:lang w:val="es-ES_tradnl"/>
        </w:rPr>
        <w:t>son aplicables los</w:t>
      </w:r>
      <w:r w:rsidR="006C3525" w:rsidRPr="00847234">
        <w:rPr>
          <w:rFonts w:ascii="Arial" w:hAnsi="Arial" w:cs="Arial"/>
          <w:bCs/>
          <w:lang w:val="es-ES_tradnl"/>
        </w:rPr>
        <w:t xml:space="preserve"> artículos 3, 7 y 8, los cuales</w:t>
      </w:r>
      <w:r w:rsidR="005A19E9" w:rsidRPr="00847234">
        <w:rPr>
          <w:rFonts w:ascii="Arial" w:hAnsi="Arial" w:cs="Arial"/>
          <w:bCs/>
          <w:lang w:val="es-ES_tradnl"/>
        </w:rPr>
        <w:t xml:space="preserve"> </w:t>
      </w:r>
      <w:r w:rsidR="007A6D7C" w:rsidRPr="00847234">
        <w:rPr>
          <w:rFonts w:ascii="Arial" w:hAnsi="Arial" w:cs="Arial"/>
          <w:bCs/>
          <w:lang w:val="es-ES_tradnl"/>
        </w:rPr>
        <w:t xml:space="preserve">contienen </w:t>
      </w:r>
      <w:r w:rsidR="006C3525" w:rsidRPr="00847234">
        <w:rPr>
          <w:rFonts w:ascii="Arial" w:hAnsi="Arial" w:cs="Arial"/>
          <w:bCs/>
          <w:lang w:val="es-ES_tradnl"/>
        </w:rPr>
        <w:t>los principios de no regresión en materia medio ambiental, preventivo y precautorio</w:t>
      </w:r>
      <w:r w:rsidR="002519B3" w:rsidRPr="00847234">
        <w:rPr>
          <w:rFonts w:ascii="Arial" w:hAnsi="Arial" w:cs="Arial"/>
          <w:bCs/>
          <w:lang w:val="es-ES_tradnl"/>
        </w:rPr>
        <w:t>;</w:t>
      </w:r>
      <w:r w:rsidR="006C3525" w:rsidRPr="00847234">
        <w:rPr>
          <w:rFonts w:ascii="Arial" w:hAnsi="Arial" w:cs="Arial"/>
          <w:bCs/>
          <w:lang w:val="es-ES_tradnl"/>
        </w:rPr>
        <w:t xml:space="preserve"> el derecho de participación pública en la toma de decisiones medio ambientales, así como el derecho de acceso a la justicia medio ambiental</w:t>
      </w:r>
      <w:r w:rsidR="005B51E3" w:rsidRPr="00847234">
        <w:rPr>
          <w:rFonts w:ascii="Arial" w:hAnsi="Arial" w:cs="Arial"/>
          <w:bCs/>
          <w:lang w:val="es-ES_tradnl"/>
        </w:rPr>
        <w:t xml:space="preserve"> </w:t>
      </w:r>
    </w:p>
    <w:p w14:paraId="4F9DC5EA" w14:textId="77777777" w:rsidR="00B75F42" w:rsidRPr="00847234" w:rsidRDefault="00B75F42" w:rsidP="006C3525">
      <w:pPr>
        <w:spacing w:line="360" w:lineRule="auto"/>
        <w:jc w:val="both"/>
        <w:rPr>
          <w:rFonts w:ascii="Arial" w:hAnsi="Arial" w:cs="Arial"/>
          <w:bCs/>
          <w:lang w:val="es-ES_tradnl"/>
        </w:rPr>
      </w:pPr>
    </w:p>
    <w:p w14:paraId="5DF02331" w14:textId="3CF57269" w:rsidR="004104DC" w:rsidRPr="00847234" w:rsidRDefault="006C3525" w:rsidP="006C3525">
      <w:pPr>
        <w:spacing w:line="360" w:lineRule="auto"/>
        <w:jc w:val="both"/>
        <w:rPr>
          <w:rFonts w:ascii="Arial" w:hAnsi="Arial" w:cs="Arial"/>
          <w:bCs/>
          <w:i/>
          <w:iCs/>
          <w:lang w:val="es-ES_tradnl"/>
        </w:rPr>
      </w:pPr>
      <w:r w:rsidRPr="00847234">
        <w:rPr>
          <w:rFonts w:ascii="Arial" w:hAnsi="Arial" w:cs="Arial"/>
          <w:bCs/>
          <w:lang w:val="es-ES_tradnl"/>
        </w:rPr>
        <w:t>Finalmente, la Opinión Consultiva 23/17 de la Corte Interameri</w:t>
      </w:r>
      <w:r w:rsidR="00EF6624" w:rsidRPr="00847234">
        <w:rPr>
          <w:rFonts w:ascii="Arial" w:hAnsi="Arial" w:cs="Arial"/>
          <w:bCs/>
          <w:lang w:val="es-ES_tradnl"/>
        </w:rPr>
        <w:t>cana</w:t>
      </w:r>
      <w:r w:rsidR="00BB4563" w:rsidRPr="00847234">
        <w:rPr>
          <w:rFonts w:ascii="Arial" w:hAnsi="Arial" w:cs="Arial"/>
          <w:bCs/>
          <w:lang w:val="es-ES_tradnl"/>
        </w:rPr>
        <w:t xml:space="preserve"> de Derechos Humanos</w:t>
      </w:r>
      <w:r w:rsidR="00EF6624" w:rsidRPr="00847234">
        <w:rPr>
          <w:rFonts w:ascii="Arial" w:hAnsi="Arial" w:cs="Arial"/>
          <w:bCs/>
          <w:lang w:val="es-ES_tradnl"/>
        </w:rPr>
        <w:t xml:space="preserve"> </w:t>
      </w:r>
      <w:r w:rsidR="005005E0" w:rsidRPr="00847234">
        <w:rPr>
          <w:rFonts w:ascii="Arial" w:hAnsi="Arial" w:cs="Arial"/>
          <w:bCs/>
          <w:lang w:val="es-ES_tradnl"/>
        </w:rPr>
        <w:t xml:space="preserve">obliga </w:t>
      </w:r>
      <w:r w:rsidRPr="00847234">
        <w:rPr>
          <w:rFonts w:ascii="Arial" w:hAnsi="Arial" w:cs="Arial"/>
          <w:bCs/>
          <w:lang w:val="es-ES_tradnl"/>
        </w:rPr>
        <w:t xml:space="preserve">a los Estados Parte </w:t>
      </w:r>
      <w:r w:rsidR="005005E0" w:rsidRPr="00847234">
        <w:rPr>
          <w:rFonts w:ascii="Arial" w:hAnsi="Arial" w:cs="Arial"/>
          <w:bCs/>
          <w:lang w:val="es-ES_tradnl"/>
        </w:rPr>
        <w:t xml:space="preserve">a ejercer un </w:t>
      </w:r>
      <w:r w:rsidRPr="00847234">
        <w:rPr>
          <w:rFonts w:ascii="Arial" w:hAnsi="Arial" w:cs="Arial"/>
          <w:bCs/>
          <w:lang w:val="es-ES_tradnl"/>
        </w:rPr>
        <w:t>control de convencionalidad, que incluya al medio ambiente; la obligación de aplicar este estudio a los planes de desarrollo económico</w:t>
      </w:r>
      <w:r w:rsidR="006976CD" w:rsidRPr="00847234">
        <w:rPr>
          <w:rFonts w:ascii="Arial" w:hAnsi="Arial" w:cs="Arial"/>
          <w:bCs/>
          <w:lang w:val="es-ES_tradnl"/>
        </w:rPr>
        <w:t xml:space="preserve">; </w:t>
      </w:r>
      <w:r w:rsidRPr="00847234">
        <w:rPr>
          <w:rFonts w:ascii="Arial" w:hAnsi="Arial" w:cs="Arial"/>
          <w:bCs/>
          <w:lang w:val="es-ES_tradnl"/>
        </w:rPr>
        <w:t xml:space="preserve">la existencia de un principio de la función ecológica de la propiedad, </w:t>
      </w:r>
      <w:r w:rsidR="006976CD" w:rsidRPr="00847234">
        <w:rPr>
          <w:rFonts w:ascii="Arial" w:hAnsi="Arial" w:cs="Arial"/>
          <w:bCs/>
          <w:lang w:val="es-ES_tradnl"/>
        </w:rPr>
        <w:t xml:space="preserve">y </w:t>
      </w:r>
      <w:r w:rsidRPr="00847234">
        <w:rPr>
          <w:rFonts w:ascii="Arial" w:hAnsi="Arial" w:cs="Arial"/>
          <w:bCs/>
          <w:lang w:val="es-ES_tradnl"/>
        </w:rPr>
        <w:t xml:space="preserve">el </w:t>
      </w:r>
      <w:r w:rsidRPr="00847234">
        <w:rPr>
          <w:rFonts w:ascii="Arial" w:hAnsi="Arial" w:cs="Arial"/>
          <w:bCs/>
          <w:i/>
          <w:iCs/>
          <w:lang w:val="es-ES_tradnl"/>
        </w:rPr>
        <w:t xml:space="preserve">principio in dubio </w:t>
      </w:r>
      <w:proofErr w:type="gramStart"/>
      <w:r w:rsidRPr="00847234">
        <w:rPr>
          <w:rFonts w:ascii="Arial" w:hAnsi="Arial" w:cs="Arial"/>
          <w:bCs/>
          <w:i/>
          <w:iCs/>
          <w:lang w:val="es-ES_tradnl"/>
        </w:rPr>
        <w:t>pro natura</w:t>
      </w:r>
      <w:proofErr w:type="gramEnd"/>
      <w:r w:rsidRPr="00847234">
        <w:rPr>
          <w:rFonts w:ascii="Arial" w:hAnsi="Arial" w:cs="Arial"/>
          <w:bCs/>
          <w:i/>
          <w:iCs/>
          <w:lang w:val="es-ES_tradnl"/>
        </w:rPr>
        <w:t>.</w:t>
      </w:r>
      <w:r w:rsidR="00866D92" w:rsidRPr="00847234">
        <w:rPr>
          <w:rFonts w:ascii="Arial" w:hAnsi="Arial" w:cs="Arial"/>
          <w:bCs/>
          <w:i/>
          <w:iCs/>
          <w:lang w:val="es-ES_tradnl"/>
        </w:rPr>
        <w:t xml:space="preserve"> </w:t>
      </w:r>
    </w:p>
    <w:p w14:paraId="1C820674" w14:textId="77777777" w:rsidR="004104DC" w:rsidRPr="00847234" w:rsidRDefault="004104DC" w:rsidP="006C3525">
      <w:pPr>
        <w:spacing w:line="360" w:lineRule="auto"/>
        <w:jc w:val="both"/>
        <w:rPr>
          <w:rFonts w:ascii="Arial" w:hAnsi="Arial" w:cs="Arial"/>
          <w:bCs/>
          <w:lang w:val="es-ES_tradnl"/>
        </w:rPr>
      </w:pPr>
    </w:p>
    <w:p w14:paraId="0193488A" w14:textId="514434A6" w:rsidR="006C3525" w:rsidRPr="00847234" w:rsidRDefault="006C3525" w:rsidP="006C3525">
      <w:pPr>
        <w:spacing w:line="360" w:lineRule="auto"/>
        <w:jc w:val="both"/>
        <w:rPr>
          <w:rFonts w:ascii="Arial" w:hAnsi="Arial" w:cs="Arial"/>
          <w:bCs/>
          <w:lang w:val="es-ES_tradnl"/>
        </w:rPr>
      </w:pPr>
      <w:r w:rsidRPr="00847234">
        <w:rPr>
          <w:rFonts w:ascii="Arial" w:hAnsi="Arial" w:cs="Arial"/>
          <w:bCs/>
        </w:rPr>
        <w:t>El principio de la función ecológica de la propiedad reconoce que la propiedad es un derecho que otorga a su titular la potestad de u</w:t>
      </w:r>
      <w:r w:rsidR="00866D92" w:rsidRPr="00847234">
        <w:rPr>
          <w:rFonts w:ascii="Arial" w:hAnsi="Arial" w:cs="Arial"/>
          <w:bCs/>
        </w:rPr>
        <w:t xml:space="preserve">sar una cosa </w:t>
      </w:r>
      <w:r w:rsidRPr="00847234">
        <w:rPr>
          <w:rFonts w:ascii="Arial" w:hAnsi="Arial" w:cs="Arial"/>
          <w:bCs/>
        </w:rPr>
        <w:t>y aprovechar</w:t>
      </w:r>
      <w:r w:rsidR="00866D92" w:rsidRPr="00847234">
        <w:rPr>
          <w:rFonts w:ascii="Arial" w:hAnsi="Arial" w:cs="Arial"/>
          <w:bCs/>
        </w:rPr>
        <w:t xml:space="preserve"> </w:t>
      </w:r>
      <w:r w:rsidRPr="00847234">
        <w:rPr>
          <w:rFonts w:ascii="Arial" w:hAnsi="Arial" w:cs="Arial"/>
          <w:bCs/>
        </w:rPr>
        <w:t xml:space="preserve">sus </w:t>
      </w:r>
      <w:r w:rsidRPr="00847234">
        <w:rPr>
          <w:rFonts w:ascii="Arial" w:hAnsi="Arial" w:cs="Arial"/>
          <w:bCs/>
        </w:rPr>
        <w:lastRenderedPageBreak/>
        <w:t>frutos con libertad</w:t>
      </w:r>
      <w:r w:rsidR="00D56D20" w:rsidRPr="00847234">
        <w:rPr>
          <w:rFonts w:ascii="Arial" w:hAnsi="Arial" w:cs="Arial"/>
          <w:bCs/>
        </w:rPr>
        <w:t xml:space="preserve">; </w:t>
      </w:r>
      <w:r w:rsidR="00866D92" w:rsidRPr="00847234">
        <w:rPr>
          <w:rFonts w:ascii="Arial" w:hAnsi="Arial" w:cs="Arial"/>
          <w:bCs/>
        </w:rPr>
        <w:t xml:space="preserve">pero </w:t>
      </w:r>
      <w:r w:rsidRPr="00847234">
        <w:rPr>
          <w:rFonts w:ascii="Arial" w:hAnsi="Arial" w:cs="Arial"/>
          <w:bCs/>
        </w:rPr>
        <w:t>asigna responsabilidad al Estado para intervenir en el ejercicio de esas libertades cuando se generen externalidades negativas sobre el medio ambiente.</w:t>
      </w:r>
      <w:r w:rsidR="00F15600" w:rsidRPr="00847234">
        <w:rPr>
          <w:rFonts w:ascii="Arial" w:hAnsi="Arial" w:cs="Arial"/>
          <w:bCs/>
          <w:lang w:val="es-ES_tradnl"/>
        </w:rPr>
        <w:t xml:space="preserve"> </w:t>
      </w:r>
      <w:r w:rsidRPr="00847234">
        <w:rPr>
          <w:rFonts w:ascii="Arial" w:hAnsi="Arial" w:cs="Arial"/>
          <w:bCs/>
        </w:rPr>
        <w:t xml:space="preserve">El principio precautorio exige la toma de medidas anticipatorias para prevenir daños al ambiente aun ante la falta de certeza científica sobre los </w:t>
      </w:r>
      <w:r w:rsidR="00D56D20" w:rsidRPr="00847234">
        <w:rPr>
          <w:rFonts w:ascii="Arial" w:hAnsi="Arial" w:cs="Arial"/>
          <w:bCs/>
        </w:rPr>
        <w:t xml:space="preserve">eventuales </w:t>
      </w:r>
      <w:r w:rsidRPr="00847234">
        <w:rPr>
          <w:rFonts w:ascii="Arial" w:hAnsi="Arial" w:cs="Arial"/>
          <w:bCs/>
        </w:rPr>
        <w:t xml:space="preserve">daños ambientales de una actividad o conducta. El principio preventivo opera una vez </w:t>
      </w:r>
      <w:r w:rsidR="00177636" w:rsidRPr="00847234">
        <w:rPr>
          <w:rFonts w:ascii="Arial" w:hAnsi="Arial" w:cs="Arial"/>
          <w:bCs/>
        </w:rPr>
        <w:t>se detectan</w:t>
      </w:r>
      <w:r w:rsidRPr="00847234">
        <w:rPr>
          <w:rFonts w:ascii="Arial" w:hAnsi="Arial" w:cs="Arial"/>
          <w:bCs/>
        </w:rPr>
        <w:t xml:space="preserve"> riesgos medio ambientales</w:t>
      </w:r>
      <w:r w:rsidR="00D56D20" w:rsidRPr="00847234">
        <w:rPr>
          <w:rFonts w:ascii="Arial" w:hAnsi="Arial" w:cs="Arial"/>
          <w:bCs/>
        </w:rPr>
        <w:t>,</w:t>
      </w:r>
      <w:r w:rsidR="00DB22AF" w:rsidRPr="00847234">
        <w:rPr>
          <w:rFonts w:ascii="Arial" w:hAnsi="Arial" w:cs="Arial"/>
          <w:bCs/>
        </w:rPr>
        <w:t xml:space="preserve"> e </w:t>
      </w:r>
      <w:r w:rsidR="00F15600" w:rsidRPr="00847234">
        <w:rPr>
          <w:rFonts w:ascii="Arial" w:hAnsi="Arial" w:cs="Arial"/>
          <w:bCs/>
        </w:rPr>
        <w:t>implica la</w:t>
      </w:r>
      <w:r w:rsidRPr="00847234">
        <w:rPr>
          <w:rFonts w:ascii="Arial" w:hAnsi="Arial" w:cs="Arial"/>
          <w:bCs/>
        </w:rPr>
        <w:t xml:space="preserve"> obligación de tomar medidas eficaces para contener dichos riesgos.</w:t>
      </w:r>
      <w:r w:rsidR="00F15600" w:rsidRPr="00847234">
        <w:rPr>
          <w:rFonts w:ascii="Arial" w:hAnsi="Arial" w:cs="Arial"/>
          <w:bCs/>
        </w:rPr>
        <w:t xml:space="preserve"> </w:t>
      </w:r>
      <w:r w:rsidRPr="00847234">
        <w:rPr>
          <w:rFonts w:ascii="Arial" w:hAnsi="Arial" w:cs="Arial"/>
          <w:bCs/>
        </w:rPr>
        <w:t xml:space="preserve">El principio </w:t>
      </w:r>
      <w:r w:rsidRPr="00847234">
        <w:rPr>
          <w:rFonts w:ascii="Arial" w:hAnsi="Arial" w:cs="Arial"/>
          <w:bCs/>
          <w:i/>
          <w:iCs/>
        </w:rPr>
        <w:t xml:space="preserve">in dubio pro natura </w:t>
      </w:r>
      <w:r w:rsidR="00DF15C0" w:rsidRPr="00847234">
        <w:rPr>
          <w:rFonts w:ascii="Arial" w:hAnsi="Arial" w:cs="Arial"/>
          <w:bCs/>
        </w:rPr>
        <w:t xml:space="preserve">dispone </w:t>
      </w:r>
      <w:r w:rsidRPr="00847234">
        <w:rPr>
          <w:rFonts w:ascii="Arial" w:hAnsi="Arial" w:cs="Arial"/>
          <w:bCs/>
        </w:rPr>
        <w:t xml:space="preserve">que ante la duda sobre los posibles daños que una </w:t>
      </w:r>
      <w:r w:rsidR="00F15600" w:rsidRPr="00847234">
        <w:rPr>
          <w:rFonts w:ascii="Arial" w:hAnsi="Arial" w:cs="Arial"/>
          <w:bCs/>
        </w:rPr>
        <w:t xml:space="preserve">decisión producirá en el </w:t>
      </w:r>
      <w:r w:rsidRPr="00847234">
        <w:rPr>
          <w:rFonts w:ascii="Arial" w:hAnsi="Arial" w:cs="Arial"/>
          <w:bCs/>
        </w:rPr>
        <w:t>medio ambiente</w:t>
      </w:r>
      <w:r w:rsidR="00DB22AF" w:rsidRPr="00847234">
        <w:rPr>
          <w:rFonts w:ascii="Arial" w:hAnsi="Arial" w:cs="Arial"/>
          <w:bCs/>
        </w:rPr>
        <w:t>,</w:t>
      </w:r>
      <w:r w:rsidRPr="00847234">
        <w:rPr>
          <w:rFonts w:ascii="Arial" w:hAnsi="Arial" w:cs="Arial"/>
          <w:bCs/>
        </w:rPr>
        <w:t xml:space="preserve"> </w:t>
      </w:r>
      <w:r w:rsidR="00DB22AF" w:rsidRPr="00847234">
        <w:rPr>
          <w:rFonts w:ascii="Arial" w:hAnsi="Arial" w:cs="Arial"/>
          <w:bCs/>
        </w:rPr>
        <w:t xml:space="preserve">se </w:t>
      </w:r>
      <w:r w:rsidR="00FE5566" w:rsidRPr="00847234">
        <w:rPr>
          <w:rFonts w:ascii="Arial" w:hAnsi="Arial" w:cs="Arial"/>
          <w:bCs/>
        </w:rPr>
        <w:t>e</w:t>
      </w:r>
      <w:r w:rsidR="00657580" w:rsidRPr="00847234">
        <w:rPr>
          <w:rFonts w:ascii="Arial" w:hAnsi="Arial" w:cs="Arial"/>
          <w:bCs/>
        </w:rPr>
        <w:t xml:space="preserve">lija la </w:t>
      </w:r>
      <w:r w:rsidRPr="00847234">
        <w:rPr>
          <w:rFonts w:ascii="Arial" w:hAnsi="Arial" w:cs="Arial"/>
          <w:bCs/>
        </w:rPr>
        <w:t xml:space="preserve">protección medio ambiental, aunque dichos </w:t>
      </w:r>
      <w:r w:rsidR="00657580" w:rsidRPr="00847234">
        <w:rPr>
          <w:rFonts w:ascii="Arial" w:hAnsi="Arial" w:cs="Arial"/>
          <w:bCs/>
        </w:rPr>
        <w:t>riesgos terminen</w:t>
      </w:r>
      <w:r w:rsidR="008961E6" w:rsidRPr="00847234">
        <w:rPr>
          <w:rFonts w:ascii="Arial" w:hAnsi="Arial" w:cs="Arial"/>
          <w:bCs/>
        </w:rPr>
        <w:t xml:space="preserve"> por desvirtuarse </w:t>
      </w:r>
      <w:r w:rsidRPr="00847234">
        <w:rPr>
          <w:rFonts w:ascii="Arial" w:hAnsi="Arial" w:cs="Arial"/>
          <w:bCs/>
        </w:rPr>
        <w:t>con mejor información.</w:t>
      </w:r>
      <w:r w:rsidR="00657580" w:rsidRPr="00847234">
        <w:rPr>
          <w:rFonts w:ascii="Arial" w:hAnsi="Arial" w:cs="Arial"/>
          <w:bCs/>
        </w:rPr>
        <w:t xml:space="preserve"> </w:t>
      </w:r>
      <w:r w:rsidRPr="00847234">
        <w:rPr>
          <w:rFonts w:ascii="Arial" w:hAnsi="Arial" w:cs="Arial"/>
          <w:bCs/>
        </w:rPr>
        <w:t xml:space="preserve">El principio de no regresividad ha sido explorado por esta Suprema Corte, y en la Primera Sala hemos </w:t>
      </w:r>
      <w:r w:rsidR="0063131F" w:rsidRPr="00847234">
        <w:rPr>
          <w:rFonts w:ascii="Arial" w:hAnsi="Arial" w:cs="Arial"/>
          <w:bCs/>
        </w:rPr>
        <w:t>resuelt</w:t>
      </w:r>
      <w:r w:rsidR="004104DC" w:rsidRPr="00847234">
        <w:rPr>
          <w:rFonts w:ascii="Arial" w:hAnsi="Arial" w:cs="Arial"/>
          <w:bCs/>
        </w:rPr>
        <w:t>o</w:t>
      </w:r>
      <w:r w:rsidR="0063131F" w:rsidRPr="00847234">
        <w:rPr>
          <w:rFonts w:ascii="Arial" w:hAnsi="Arial" w:cs="Arial"/>
          <w:bCs/>
        </w:rPr>
        <w:t xml:space="preserve"> </w:t>
      </w:r>
      <w:r w:rsidRPr="00847234">
        <w:rPr>
          <w:rFonts w:ascii="Arial" w:hAnsi="Arial" w:cs="Arial"/>
          <w:bCs/>
        </w:rPr>
        <w:t>que</w:t>
      </w:r>
      <w:r w:rsidR="0063131F" w:rsidRPr="00847234">
        <w:rPr>
          <w:rFonts w:ascii="Arial" w:hAnsi="Arial" w:cs="Arial"/>
          <w:bCs/>
        </w:rPr>
        <w:t xml:space="preserve"> abarca </w:t>
      </w:r>
      <w:r w:rsidRPr="00847234">
        <w:rPr>
          <w:rFonts w:ascii="Arial" w:hAnsi="Arial" w:cs="Arial"/>
          <w:bCs/>
        </w:rPr>
        <w:t xml:space="preserve">la obligación de las autoridades de no retroceder en el </w:t>
      </w:r>
      <w:r w:rsidR="0063131F" w:rsidRPr="00847234">
        <w:rPr>
          <w:rFonts w:ascii="Arial" w:hAnsi="Arial" w:cs="Arial"/>
          <w:bCs/>
        </w:rPr>
        <w:t xml:space="preserve">grado de </w:t>
      </w:r>
      <w:r w:rsidRPr="00847234">
        <w:rPr>
          <w:rFonts w:ascii="Arial" w:hAnsi="Arial" w:cs="Arial"/>
          <w:bCs/>
        </w:rPr>
        <w:t xml:space="preserve">protección de un derecho humano a menos </w:t>
      </w:r>
      <w:r w:rsidR="00F27C11" w:rsidRPr="00847234">
        <w:rPr>
          <w:rFonts w:ascii="Arial" w:hAnsi="Arial" w:cs="Arial"/>
          <w:bCs/>
        </w:rPr>
        <w:t xml:space="preserve">de que cualquier decisión </w:t>
      </w:r>
      <w:r w:rsidR="00B51FB7" w:rsidRPr="00847234">
        <w:rPr>
          <w:rFonts w:ascii="Arial" w:hAnsi="Arial" w:cs="Arial"/>
          <w:bCs/>
        </w:rPr>
        <w:t xml:space="preserve">venza después de </w:t>
      </w:r>
      <w:r w:rsidR="00231194" w:rsidRPr="00847234">
        <w:rPr>
          <w:rFonts w:ascii="Arial" w:hAnsi="Arial" w:cs="Arial"/>
          <w:bCs/>
        </w:rPr>
        <w:t xml:space="preserve">un </w:t>
      </w:r>
      <w:r w:rsidRPr="00847234">
        <w:rPr>
          <w:rFonts w:ascii="Arial" w:hAnsi="Arial" w:cs="Arial"/>
          <w:bCs/>
        </w:rPr>
        <w:t>escrutinio estricto</w:t>
      </w:r>
      <w:r w:rsidR="00201501" w:rsidRPr="00847234">
        <w:rPr>
          <w:rFonts w:ascii="Arial" w:hAnsi="Arial" w:cs="Arial"/>
          <w:bCs/>
          <w:lang w:val="es-ES_tradnl"/>
        </w:rPr>
        <w:t xml:space="preserve">. </w:t>
      </w:r>
    </w:p>
    <w:p w14:paraId="0A527B00" w14:textId="77777777" w:rsidR="006C3525" w:rsidRPr="00847234" w:rsidRDefault="006C3525" w:rsidP="006C3525">
      <w:pPr>
        <w:spacing w:line="360" w:lineRule="auto"/>
        <w:jc w:val="both"/>
        <w:rPr>
          <w:rFonts w:ascii="Arial" w:hAnsi="Arial" w:cs="Arial"/>
          <w:bCs/>
        </w:rPr>
      </w:pPr>
    </w:p>
    <w:p w14:paraId="6F69DF11" w14:textId="44AD2A59" w:rsidR="006A4526" w:rsidRPr="00847234" w:rsidRDefault="009151A6" w:rsidP="006C3525">
      <w:pPr>
        <w:spacing w:line="360" w:lineRule="auto"/>
        <w:jc w:val="both"/>
        <w:rPr>
          <w:rFonts w:ascii="Arial" w:hAnsi="Arial" w:cs="Arial"/>
          <w:bCs/>
        </w:rPr>
      </w:pPr>
      <w:r w:rsidRPr="00847234">
        <w:rPr>
          <w:rFonts w:ascii="Arial" w:hAnsi="Arial" w:cs="Arial"/>
          <w:bCs/>
        </w:rPr>
        <w:t>L</w:t>
      </w:r>
      <w:r w:rsidR="006C3525" w:rsidRPr="00847234">
        <w:rPr>
          <w:rFonts w:ascii="Arial" w:hAnsi="Arial" w:cs="Arial"/>
          <w:bCs/>
        </w:rPr>
        <w:t>a</w:t>
      </w:r>
      <w:r w:rsidR="004104DC" w:rsidRPr="00847234">
        <w:rPr>
          <w:rFonts w:ascii="Arial" w:hAnsi="Arial" w:cs="Arial"/>
          <w:bCs/>
        </w:rPr>
        <w:t>s</w:t>
      </w:r>
      <w:r w:rsidR="006C3525" w:rsidRPr="00847234">
        <w:rPr>
          <w:rFonts w:ascii="Arial" w:hAnsi="Arial" w:cs="Arial"/>
          <w:bCs/>
        </w:rPr>
        <w:t xml:space="preserve"> pregunta</w:t>
      </w:r>
      <w:r w:rsidR="004104DC" w:rsidRPr="00847234">
        <w:rPr>
          <w:rFonts w:ascii="Arial" w:hAnsi="Arial" w:cs="Arial"/>
          <w:bCs/>
        </w:rPr>
        <w:t>s relevante</w:t>
      </w:r>
      <w:r w:rsidR="00D7551F" w:rsidRPr="00847234">
        <w:rPr>
          <w:rFonts w:ascii="Arial" w:hAnsi="Arial" w:cs="Arial"/>
          <w:bCs/>
        </w:rPr>
        <w:t>s</w:t>
      </w:r>
      <w:r w:rsidR="004104DC" w:rsidRPr="00847234">
        <w:rPr>
          <w:rFonts w:ascii="Arial" w:hAnsi="Arial" w:cs="Arial"/>
          <w:bCs/>
        </w:rPr>
        <w:t xml:space="preserve"> son, en primer lugar, si</w:t>
      </w:r>
      <w:r w:rsidR="009E03BD" w:rsidRPr="00847234">
        <w:rPr>
          <w:rFonts w:ascii="Arial" w:hAnsi="Arial" w:cs="Arial"/>
          <w:bCs/>
        </w:rPr>
        <w:t xml:space="preserve"> </w:t>
      </w:r>
      <w:r w:rsidR="006C3525" w:rsidRPr="00847234">
        <w:rPr>
          <w:rFonts w:ascii="Arial" w:hAnsi="Arial" w:cs="Arial"/>
          <w:bCs/>
        </w:rPr>
        <w:t xml:space="preserve">los preceptos impugnados </w:t>
      </w:r>
      <w:r w:rsidR="003E69AF" w:rsidRPr="00847234">
        <w:rPr>
          <w:rFonts w:ascii="Arial" w:hAnsi="Arial" w:cs="Arial"/>
          <w:bCs/>
        </w:rPr>
        <w:t xml:space="preserve">retroceden </w:t>
      </w:r>
      <w:r w:rsidR="006C3525" w:rsidRPr="00847234">
        <w:rPr>
          <w:rFonts w:ascii="Arial" w:hAnsi="Arial" w:cs="Arial"/>
          <w:bCs/>
        </w:rPr>
        <w:t xml:space="preserve">en el camino previamente </w:t>
      </w:r>
      <w:r w:rsidR="00A7223D" w:rsidRPr="00847234">
        <w:rPr>
          <w:rFonts w:ascii="Arial" w:hAnsi="Arial" w:cs="Arial"/>
          <w:bCs/>
        </w:rPr>
        <w:t xml:space="preserve">fijado </w:t>
      </w:r>
      <w:r w:rsidR="006C3525" w:rsidRPr="00847234">
        <w:rPr>
          <w:rFonts w:ascii="Arial" w:hAnsi="Arial" w:cs="Arial"/>
          <w:bCs/>
        </w:rPr>
        <w:t>hacia la transición tecnológica para reducir los gases con efecto invernadero y frenar el cambio climático</w:t>
      </w:r>
      <w:r w:rsidR="009E03BD" w:rsidRPr="00847234">
        <w:rPr>
          <w:rFonts w:ascii="Arial" w:hAnsi="Arial" w:cs="Arial"/>
          <w:bCs/>
        </w:rPr>
        <w:t>, y</w:t>
      </w:r>
      <w:r w:rsidR="004104DC" w:rsidRPr="00847234">
        <w:rPr>
          <w:rFonts w:ascii="Arial" w:hAnsi="Arial" w:cs="Arial"/>
          <w:bCs/>
        </w:rPr>
        <w:t>, en segundo lugar,</w:t>
      </w:r>
      <w:r w:rsidR="009E03BD" w:rsidRPr="00847234">
        <w:rPr>
          <w:rFonts w:ascii="Arial" w:hAnsi="Arial" w:cs="Arial"/>
          <w:bCs/>
        </w:rPr>
        <w:t xml:space="preserve"> </w:t>
      </w:r>
      <w:r w:rsidR="006C3525" w:rsidRPr="00847234">
        <w:rPr>
          <w:rFonts w:ascii="Arial" w:hAnsi="Arial" w:cs="Arial"/>
          <w:bCs/>
        </w:rPr>
        <w:t xml:space="preserve">si ese retroceso </w:t>
      </w:r>
      <w:r w:rsidR="00BB312C" w:rsidRPr="00847234">
        <w:rPr>
          <w:rFonts w:ascii="Arial" w:hAnsi="Arial" w:cs="Arial"/>
          <w:bCs/>
        </w:rPr>
        <w:t xml:space="preserve">fue producto </w:t>
      </w:r>
      <w:r w:rsidR="00AA4389" w:rsidRPr="00847234">
        <w:rPr>
          <w:rFonts w:ascii="Arial" w:hAnsi="Arial" w:cs="Arial"/>
          <w:bCs/>
        </w:rPr>
        <w:t>del cumplimiento</w:t>
      </w:r>
      <w:r w:rsidR="006C3525" w:rsidRPr="00847234">
        <w:rPr>
          <w:rFonts w:ascii="Arial" w:hAnsi="Arial" w:cs="Arial"/>
          <w:bCs/>
        </w:rPr>
        <w:t xml:space="preserve"> de los principios medio ambientales, como lo es precautorio, de participación pública en la toma de decisiones, </w:t>
      </w:r>
      <w:r w:rsidR="006C3525" w:rsidRPr="00847234">
        <w:rPr>
          <w:rFonts w:ascii="Arial" w:hAnsi="Arial" w:cs="Arial"/>
          <w:bCs/>
          <w:i/>
          <w:iCs/>
        </w:rPr>
        <w:t xml:space="preserve">in dubio </w:t>
      </w:r>
      <w:r w:rsidR="00686E10" w:rsidRPr="00847234">
        <w:rPr>
          <w:rFonts w:ascii="Arial" w:hAnsi="Arial" w:cs="Arial"/>
          <w:bCs/>
          <w:i/>
          <w:iCs/>
        </w:rPr>
        <w:t>pro</w:t>
      </w:r>
      <w:r w:rsidR="00BB4563" w:rsidRPr="00847234">
        <w:rPr>
          <w:rFonts w:ascii="Arial" w:hAnsi="Arial" w:cs="Arial"/>
          <w:bCs/>
          <w:i/>
          <w:iCs/>
        </w:rPr>
        <w:t xml:space="preserve"> </w:t>
      </w:r>
      <w:r w:rsidR="00686E10" w:rsidRPr="00847234">
        <w:rPr>
          <w:rFonts w:ascii="Arial" w:hAnsi="Arial" w:cs="Arial"/>
          <w:bCs/>
          <w:i/>
          <w:iCs/>
        </w:rPr>
        <w:t>natura</w:t>
      </w:r>
      <w:r w:rsidR="006C3525" w:rsidRPr="00847234">
        <w:rPr>
          <w:rFonts w:ascii="Arial" w:hAnsi="Arial" w:cs="Arial"/>
          <w:bCs/>
        </w:rPr>
        <w:t xml:space="preserve"> y función ecológica de la propiedad. </w:t>
      </w:r>
      <w:r w:rsidR="006A4526" w:rsidRPr="00B322B7">
        <w:rPr>
          <w:rFonts w:ascii="Arial" w:hAnsi="Arial" w:cs="Arial"/>
          <w:bCs/>
        </w:rPr>
        <w:t xml:space="preserve">A diferencia del análisis emprendido al amparo de los principios de libre competencia y concurrencia, aquí es importante introducir a las normas derogadas como base inicial porque el derecho al medio ambiente incluye la prohibición de </w:t>
      </w:r>
      <w:r w:rsidRPr="00B322B7">
        <w:rPr>
          <w:rFonts w:ascii="Arial" w:hAnsi="Arial" w:cs="Arial"/>
          <w:bCs/>
        </w:rPr>
        <w:t xml:space="preserve">no </w:t>
      </w:r>
      <w:r w:rsidR="006A4526" w:rsidRPr="00B322B7">
        <w:rPr>
          <w:rFonts w:ascii="Arial" w:hAnsi="Arial" w:cs="Arial"/>
          <w:bCs/>
        </w:rPr>
        <w:t>regresión</w:t>
      </w:r>
      <w:r w:rsidRPr="00B322B7">
        <w:rPr>
          <w:rStyle w:val="Refdenotaalpie"/>
          <w:rFonts w:ascii="Arial" w:hAnsi="Arial" w:cs="Arial"/>
          <w:bCs/>
        </w:rPr>
        <w:footnoteReference w:id="42"/>
      </w:r>
      <w:r w:rsidR="006A4526" w:rsidRPr="00B322B7">
        <w:rPr>
          <w:rFonts w:ascii="Arial" w:hAnsi="Arial" w:cs="Arial"/>
          <w:bCs/>
        </w:rPr>
        <w:t xml:space="preserve">. Por tanto, </w:t>
      </w:r>
      <w:r w:rsidR="005218D1">
        <w:rPr>
          <w:rFonts w:ascii="Arial" w:hAnsi="Arial" w:cs="Arial"/>
          <w:bCs/>
        </w:rPr>
        <w:t xml:space="preserve">corresponde </w:t>
      </w:r>
      <w:r w:rsidR="006A4526" w:rsidRPr="00B322B7">
        <w:rPr>
          <w:rFonts w:ascii="Arial" w:hAnsi="Arial" w:cs="Arial"/>
          <w:bCs/>
        </w:rPr>
        <w:t>realizar un ejercicio comparativo entre las normas derogadas y las vigentes.</w:t>
      </w:r>
    </w:p>
    <w:p w14:paraId="441481B8" w14:textId="77777777" w:rsidR="006A4526" w:rsidRPr="00847234" w:rsidRDefault="006A4526" w:rsidP="006C3525">
      <w:pPr>
        <w:spacing w:line="360" w:lineRule="auto"/>
        <w:jc w:val="both"/>
        <w:rPr>
          <w:rFonts w:ascii="Arial" w:hAnsi="Arial" w:cs="Arial"/>
          <w:bCs/>
        </w:rPr>
      </w:pPr>
    </w:p>
    <w:p w14:paraId="31B53F94" w14:textId="053578D9" w:rsidR="005C6653" w:rsidRPr="00847234" w:rsidRDefault="006C3525" w:rsidP="006C3525">
      <w:pPr>
        <w:spacing w:line="360" w:lineRule="auto"/>
        <w:jc w:val="both"/>
        <w:rPr>
          <w:rFonts w:ascii="Arial" w:hAnsi="Arial" w:cs="Arial"/>
          <w:bCs/>
          <w:lang w:val="es-ES_tradnl"/>
        </w:rPr>
      </w:pPr>
      <w:r w:rsidRPr="00847234">
        <w:rPr>
          <w:rFonts w:ascii="Arial" w:hAnsi="Arial" w:cs="Arial"/>
          <w:bCs/>
        </w:rPr>
        <w:t xml:space="preserve">De las normas </w:t>
      </w:r>
      <w:r w:rsidR="004104DC" w:rsidRPr="00847234">
        <w:rPr>
          <w:rFonts w:ascii="Arial" w:hAnsi="Arial" w:cs="Arial"/>
          <w:bCs/>
        </w:rPr>
        <w:t>impugnadas</w:t>
      </w:r>
      <w:r w:rsidRPr="00847234">
        <w:rPr>
          <w:rFonts w:ascii="Arial" w:hAnsi="Arial" w:cs="Arial"/>
          <w:bCs/>
        </w:rPr>
        <w:t>, se desprende una conclusión</w:t>
      </w:r>
      <w:r w:rsidR="009F3CF2" w:rsidRPr="00847234">
        <w:rPr>
          <w:rFonts w:ascii="Arial" w:hAnsi="Arial" w:cs="Arial"/>
          <w:bCs/>
        </w:rPr>
        <w:t xml:space="preserve">: </w:t>
      </w:r>
      <w:r w:rsidRPr="00847234">
        <w:rPr>
          <w:rFonts w:ascii="Arial" w:hAnsi="Arial" w:cs="Arial"/>
          <w:bCs/>
        </w:rPr>
        <w:t xml:space="preserve">el orden de despacho </w:t>
      </w:r>
      <w:r w:rsidR="000450F0" w:rsidRPr="00847234">
        <w:rPr>
          <w:rFonts w:ascii="Arial" w:hAnsi="Arial" w:cs="Arial"/>
          <w:bCs/>
        </w:rPr>
        <w:t xml:space="preserve">existente antes </w:t>
      </w:r>
      <w:r w:rsidRPr="00847234">
        <w:rPr>
          <w:rFonts w:ascii="Arial" w:hAnsi="Arial" w:cs="Arial"/>
          <w:bCs/>
        </w:rPr>
        <w:t>de la reforma priorizaba aquellas energías cuyos costos variables fueran menores en el mercado, siendo éstas, principalmente, la eólica y la solar.</w:t>
      </w:r>
      <w:r w:rsidR="00D623B5" w:rsidRPr="00847234">
        <w:rPr>
          <w:rFonts w:ascii="Arial" w:hAnsi="Arial" w:cs="Arial"/>
          <w:bCs/>
          <w:lang w:val="es-ES_tradnl"/>
        </w:rPr>
        <w:t xml:space="preserve"> </w:t>
      </w:r>
      <w:r w:rsidRPr="00847234">
        <w:rPr>
          <w:rFonts w:ascii="Arial" w:hAnsi="Arial" w:cs="Arial"/>
          <w:bCs/>
          <w:lang w:val="es-ES_tradnl"/>
        </w:rPr>
        <w:t>La reforma cambió el orden de desp</w:t>
      </w:r>
      <w:r w:rsidR="00E31AC0" w:rsidRPr="00847234">
        <w:rPr>
          <w:rFonts w:ascii="Arial" w:hAnsi="Arial" w:cs="Arial"/>
          <w:bCs/>
          <w:lang w:val="es-ES_tradnl"/>
        </w:rPr>
        <w:t>a</w:t>
      </w:r>
      <w:r w:rsidRPr="00847234">
        <w:rPr>
          <w:rFonts w:ascii="Arial" w:hAnsi="Arial" w:cs="Arial"/>
          <w:bCs/>
          <w:lang w:val="es-ES_tradnl"/>
        </w:rPr>
        <w:t>cho de energía eléctrica y ahora se garantiza el acceso, en primer lugar, a los contratos de cobertura eléctrica con compromiso de entrega física y, en segundo término, el acceso a los medios de suministro de energías limpias.</w:t>
      </w:r>
      <w:r w:rsidR="00785774" w:rsidRPr="00847234">
        <w:rPr>
          <w:rFonts w:ascii="Arial" w:hAnsi="Arial" w:cs="Arial"/>
          <w:bCs/>
          <w:lang w:val="es-ES_tradnl"/>
        </w:rPr>
        <w:t xml:space="preserve"> </w:t>
      </w:r>
      <w:r w:rsidRPr="00847234">
        <w:rPr>
          <w:rFonts w:ascii="Arial" w:hAnsi="Arial" w:cs="Arial"/>
          <w:bCs/>
          <w:lang w:val="es-ES_tradnl"/>
        </w:rPr>
        <w:t>Es cierto que los contratos de cobertura referid</w:t>
      </w:r>
      <w:r w:rsidR="00E31AC0" w:rsidRPr="00847234">
        <w:rPr>
          <w:rFonts w:ascii="Arial" w:hAnsi="Arial" w:cs="Arial"/>
          <w:bCs/>
          <w:lang w:val="es-ES_tradnl"/>
        </w:rPr>
        <w:t>o</w:t>
      </w:r>
      <w:r w:rsidRPr="00847234">
        <w:rPr>
          <w:rFonts w:ascii="Arial" w:hAnsi="Arial" w:cs="Arial"/>
          <w:bCs/>
          <w:lang w:val="es-ES_tradnl"/>
        </w:rPr>
        <w:t xml:space="preserve">s pueden </w:t>
      </w:r>
      <w:r w:rsidRPr="00847234">
        <w:rPr>
          <w:rFonts w:ascii="Arial" w:hAnsi="Arial" w:cs="Arial"/>
          <w:bCs/>
          <w:lang w:val="es-ES_tradnl"/>
        </w:rPr>
        <w:lastRenderedPageBreak/>
        <w:t xml:space="preserve">cumplirse con energías limpias. Sin embargo, lo </w:t>
      </w:r>
      <w:r w:rsidR="00E31AC0" w:rsidRPr="00847234">
        <w:rPr>
          <w:rFonts w:ascii="Arial" w:hAnsi="Arial" w:cs="Arial"/>
          <w:bCs/>
          <w:lang w:val="es-ES_tradnl"/>
        </w:rPr>
        <w:t xml:space="preserve">problemático </w:t>
      </w:r>
      <w:r w:rsidRPr="00847234">
        <w:rPr>
          <w:rFonts w:ascii="Arial" w:hAnsi="Arial" w:cs="Arial"/>
          <w:bCs/>
          <w:lang w:val="es-ES_tradnl"/>
        </w:rPr>
        <w:t xml:space="preserve">constitucionalmente es </w:t>
      </w:r>
      <w:r w:rsidR="0042178B" w:rsidRPr="00847234">
        <w:rPr>
          <w:rFonts w:ascii="Arial" w:hAnsi="Arial" w:cs="Arial"/>
          <w:bCs/>
          <w:lang w:val="es-ES_tradnl"/>
        </w:rPr>
        <w:t xml:space="preserve">la eliminación de </w:t>
      </w:r>
      <w:r w:rsidRPr="00847234">
        <w:rPr>
          <w:rFonts w:ascii="Arial" w:hAnsi="Arial" w:cs="Arial"/>
          <w:bCs/>
          <w:lang w:val="es-ES_tradnl"/>
        </w:rPr>
        <w:t xml:space="preserve">la regla de preferencia que </w:t>
      </w:r>
      <w:r w:rsidR="002D6BC8" w:rsidRPr="00847234">
        <w:rPr>
          <w:rFonts w:ascii="Arial" w:hAnsi="Arial" w:cs="Arial"/>
          <w:bCs/>
          <w:lang w:val="es-ES_tradnl"/>
        </w:rPr>
        <w:t>solía proteger</w:t>
      </w:r>
      <w:r w:rsidR="00BF2186" w:rsidRPr="00847234">
        <w:rPr>
          <w:rFonts w:ascii="Arial" w:hAnsi="Arial" w:cs="Arial"/>
          <w:bCs/>
          <w:lang w:val="es-ES_tradnl"/>
        </w:rPr>
        <w:t xml:space="preserve"> las energías limpias. </w:t>
      </w:r>
      <w:r w:rsidRPr="00847234">
        <w:rPr>
          <w:rFonts w:ascii="Arial" w:hAnsi="Arial" w:cs="Arial"/>
          <w:bCs/>
          <w:lang w:val="es-ES_tradnl"/>
        </w:rPr>
        <w:t>Por otra parte, es cierto también que los certificados de energía limpia no fueron modificados en sus méritos</w:t>
      </w:r>
      <w:r w:rsidR="00360C6D" w:rsidRPr="00847234">
        <w:rPr>
          <w:rFonts w:ascii="Arial" w:hAnsi="Arial" w:cs="Arial"/>
          <w:bCs/>
          <w:lang w:val="es-ES_tradnl"/>
        </w:rPr>
        <w:t xml:space="preserve">; el meollo no está ahí. Al </w:t>
      </w:r>
      <w:r w:rsidRPr="00847234">
        <w:rPr>
          <w:rFonts w:ascii="Arial" w:hAnsi="Arial" w:cs="Arial"/>
          <w:bCs/>
          <w:lang w:val="es-ES_tradnl"/>
        </w:rPr>
        <w:t xml:space="preserve">suprimir las condiciones de su otorgamiento, se elimina el incentivo legal de inversión en </w:t>
      </w:r>
      <w:r w:rsidR="0003019B" w:rsidRPr="00847234">
        <w:rPr>
          <w:rFonts w:ascii="Arial" w:hAnsi="Arial" w:cs="Arial"/>
          <w:bCs/>
          <w:lang w:val="es-ES_tradnl"/>
        </w:rPr>
        <w:t xml:space="preserve">ese tipo de </w:t>
      </w:r>
      <w:r w:rsidRPr="00847234">
        <w:rPr>
          <w:rFonts w:ascii="Arial" w:hAnsi="Arial" w:cs="Arial"/>
          <w:bCs/>
          <w:lang w:val="es-ES_tradnl"/>
        </w:rPr>
        <w:t>tecnologías.</w:t>
      </w:r>
      <w:r w:rsidR="00C318F4" w:rsidRPr="00847234">
        <w:rPr>
          <w:rFonts w:ascii="Arial" w:hAnsi="Arial" w:cs="Arial"/>
          <w:bCs/>
          <w:lang w:val="es-ES_tradnl"/>
        </w:rPr>
        <w:t xml:space="preserve"> Esta aproximación es constitucionalmente inadmisible</w:t>
      </w:r>
      <w:r w:rsidR="004104DC" w:rsidRPr="00847234">
        <w:rPr>
          <w:rFonts w:ascii="Arial" w:hAnsi="Arial" w:cs="Arial"/>
          <w:bCs/>
          <w:lang w:val="es-ES_tradnl"/>
        </w:rPr>
        <w:t>, pues no supera un estándar de escrutinio estricto</w:t>
      </w:r>
      <w:r w:rsidR="00C318F4" w:rsidRPr="00847234">
        <w:rPr>
          <w:rFonts w:ascii="Arial" w:hAnsi="Arial" w:cs="Arial"/>
          <w:bCs/>
          <w:lang w:val="es-ES_tradnl"/>
        </w:rPr>
        <w:t xml:space="preserve">. </w:t>
      </w:r>
    </w:p>
    <w:p w14:paraId="76505C33" w14:textId="03EDF89B" w:rsidR="00BB4563" w:rsidRPr="00847234" w:rsidRDefault="00BB4563" w:rsidP="006C3525">
      <w:pPr>
        <w:spacing w:line="360" w:lineRule="auto"/>
        <w:jc w:val="both"/>
        <w:rPr>
          <w:rFonts w:ascii="Arial" w:hAnsi="Arial" w:cs="Arial"/>
          <w:bCs/>
          <w:lang w:val="es-ES_tradnl"/>
        </w:rPr>
      </w:pPr>
    </w:p>
    <w:p w14:paraId="42EA10C0" w14:textId="238F6E24" w:rsidR="00177073" w:rsidRPr="00847234" w:rsidRDefault="00177073" w:rsidP="00177073">
      <w:pPr>
        <w:spacing w:line="360" w:lineRule="auto"/>
        <w:jc w:val="both"/>
        <w:rPr>
          <w:rFonts w:ascii="Arial" w:hAnsi="Arial" w:cs="Arial"/>
          <w:bCs/>
          <w:lang w:val="es-ES_tradnl"/>
        </w:rPr>
      </w:pPr>
      <w:r w:rsidRPr="00847234">
        <w:rPr>
          <w:rFonts w:ascii="Arial" w:hAnsi="Arial" w:cs="Arial"/>
          <w:bCs/>
          <w:lang w:val="es-ES_tradnl"/>
        </w:rPr>
        <w:t xml:space="preserve">Por tanto, viene a cuento la prohibición de regresividad.  </w:t>
      </w:r>
      <w:r w:rsidR="00602A00" w:rsidRPr="00847234">
        <w:rPr>
          <w:rFonts w:ascii="Arial" w:hAnsi="Arial" w:cs="Arial"/>
          <w:bCs/>
          <w:lang w:val="es-ES_tradnl"/>
        </w:rPr>
        <w:t xml:space="preserve">En </w:t>
      </w:r>
      <w:r w:rsidR="009151A6" w:rsidRPr="00847234">
        <w:rPr>
          <w:rFonts w:ascii="Arial" w:hAnsi="Arial" w:cs="Arial"/>
          <w:bCs/>
          <w:lang w:val="es-ES_tradnl"/>
        </w:rPr>
        <w:t>esta línea argumentativa</w:t>
      </w:r>
      <w:r w:rsidR="00602A00" w:rsidRPr="00847234">
        <w:rPr>
          <w:rFonts w:ascii="Arial" w:hAnsi="Arial" w:cs="Arial"/>
          <w:bCs/>
          <w:lang w:val="es-ES_tradnl"/>
        </w:rPr>
        <w:t xml:space="preserve"> </w:t>
      </w:r>
      <w:r w:rsidRPr="00847234">
        <w:rPr>
          <w:rFonts w:ascii="Arial" w:hAnsi="Arial" w:cs="Arial"/>
          <w:bCs/>
          <w:lang w:val="es-ES_tradnl"/>
        </w:rPr>
        <w:t xml:space="preserve">es técnicamente viable aquello que era imposible con fundamento en los principios de libre competencia y concurrencia: evaluar comparativamente, en una dimensión horizontal, las disposiciones derogadas y las actualmente vigentes para descartar si el nuevo modelo legislativo es regresivo respecto a lo </w:t>
      </w:r>
      <w:r w:rsidR="004A1A4C" w:rsidRPr="00847234">
        <w:rPr>
          <w:rFonts w:ascii="Arial" w:hAnsi="Arial" w:cs="Arial"/>
          <w:bCs/>
          <w:lang w:val="es-ES_tradnl"/>
        </w:rPr>
        <w:t xml:space="preserve">antes </w:t>
      </w:r>
      <w:r w:rsidRPr="00847234">
        <w:rPr>
          <w:rFonts w:ascii="Arial" w:hAnsi="Arial" w:cs="Arial"/>
          <w:bCs/>
          <w:lang w:val="es-ES_tradnl"/>
        </w:rPr>
        <w:t>protegido</w:t>
      </w:r>
      <w:r w:rsidR="004A1A4C" w:rsidRPr="00847234">
        <w:rPr>
          <w:rFonts w:ascii="Arial" w:hAnsi="Arial" w:cs="Arial"/>
          <w:bCs/>
          <w:lang w:val="es-ES_tradnl"/>
        </w:rPr>
        <w:t xml:space="preserve">. </w:t>
      </w:r>
      <w:r w:rsidRPr="00847234">
        <w:rPr>
          <w:rFonts w:ascii="Arial" w:hAnsi="Arial" w:cs="Arial"/>
          <w:bCs/>
          <w:lang w:val="es-ES_tradnl"/>
        </w:rPr>
        <w:t xml:space="preserve">Como lo hemos determinado en casos equivalentes de derechos sociales, la regresividad se acredita cuando “una norma posterior suprime, limita o restringe los derechos o beneficios otorgados </w:t>
      </w:r>
      <w:proofErr w:type="gramStart"/>
      <w:r w:rsidRPr="00847234">
        <w:rPr>
          <w:rFonts w:ascii="Arial" w:hAnsi="Arial" w:cs="Arial"/>
          <w:bCs/>
          <w:lang w:val="es-ES_tradnl"/>
        </w:rPr>
        <w:t>anteriormente al</w:t>
      </w:r>
      <w:proofErr w:type="gramEnd"/>
      <w:r w:rsidRPr="00847234">
        <w:rPr>
          <w:rFonts w:ascii="Arial" w:hAnsi="Arial" w:cs="Arial"/>
          <w:bCs/>
          <w:lang w:val="es-ES_tradnl"/>
        </w:rPr>
        <w:t xml:space="preserve"> amparo del derecho social.”</w:t>
      </w:r>
      <w:r w:rsidRPr="00847234">
        <w:rPr>
          <w:rStyle w:val="Refdenotaalpie"/>
          <w:rFonts w:ascii="Arial" w:hAnsi="Arial" w:cs="Arial"/>
          <w:bCs/>
          <w:lang w:val="es-ES_tradnl"/>
        </w:rPr>
        <w:footnoteReference w:id="43"/>
      </w:r>
      <w:r w:rsidRPr="00847234">
        <w:rPr>
          <w:rFonts w:ascii="Arial" w:hAnsi="Arial" w:cs="Arial"/>
          <w:bCs/>
          <w:lang w:val="es-ES_tradnl"/>
        </w:rPr>
        <w:t xml:space="preserve"> </w:t>
      </w:r>
    </w:p>
    <w:p w14:paraId="28917F40" w14:textId="77777777" w:rsidR="00177073" w:rsidRPr="00847234" w:rsidRDefault="00177073" w:rsidP="00177073">
      <w:pPr>
        <w:spacing w:line="360" w:lineRule="auto"/>
        <w:jc w:val="both"/>
        <w:rPr>
          <w:rFonts w:ascii="Arial" w:hAnsi="Arial" w:cs="Arial"/>
          <w:bCs/>
          <w:lang w:val="es-ES_tradnl"/>
        </w:rPr>
      </w:pPr>
    </w:p>
    <w:p w14:paraId="70CB8A7F" w14:textId="030A2EEB" w:rsidR="00177073" w:rsidRPr="00847234" w:rsidRDefault="00177073" w:rsidP="00177073">
      <w:pPr>
        <w:spacing w:line="360" w:lineRule="auto"/>
        <w:jc w:val="both"/>
        <w:rPr>
          <w:rFonts w:ascii="Arial" w:hAnsi="Arial" w:cs="Arial"/>
          <w:bCs/>
          <w:lang w:val="es-ES_tradnl"/>
        </w:rPr>
      </w:pPr>
      <w:r w:rsidRPr="00847234">
        <w:rPr>
          <w:rFonts w:ascii="Arial" w:hAnsi="Arial" w:cs="Arial"/>
          <w:bCs/>
          <w:lang w:val="es-ES_tradnl"/>
        </w:rPr>
        <w:t xml:space="preserve">En distintos precedentes hemos dicho </w:t>
      </w:r>
      <w:r w:rsidR="004A1A4C" w:rsidRPr="00847234">
        <w:rPr>
          <w:rFonts w:ascii="Arial" w:hAnsi="Arial" w:cs="Arial"/>
          <w:bCs/>
          <w:lang w:val="es-ES_tradnl"/>
        </w:rPr>
        <w:t xml:space="preserve">también </w:t>
      </w:r>
      <w:r w:rsidRPr="00847234">
        <w:rPr>
          <w:rFonts w:ascii="Arial" w:hAnsi="Arial" w:cs="Arial"/>
          <w:bCs/>
          <w:lang w:val="es-ES_tradnl"/>
        </w:rPr>
        <w:t xml:space="preserve">que “[e]l deber de no regresividad supone </w:t>
      </w:r>
      <w:proofErr w:type="gramStart"/>
      <w:r w:rsidRPr="00847234">
        <w:rPr>
          <w:rFonts w:ascii="Arial" w:hAnsi="Arial" w:cs="Arial"/>
          <w:bCs/>
          <w:lang w:val="es-ES_tradnl"/>
        </w:rPr>
        <w:t>que</w:t>
      </w:r>
      <w:proofErr w:type="gramEnd"/>
      <w:r w:rsidRPr="00847234">
        <w:rPr>
          <w:rFonts w:ascii="Arial" w:hAnsi="Arial" w:cs="Arial"/>
          <w:bCs/>
          <w:lang w:val="es-ES_tradnl"/>
        </w:rPr>
        <w:t xml:space="preserve"> una vez alcanzado un determinado nivel de satisfacción de los derechos económicos, sociales y culturales, el Estado está obligado a no dar marcha atrás</w:t>
      </w:r>
      <w:r w:rsidR="007377D7" w:rsidRPr="00847234">
        <w:rPr>
          <w:rFonts w:ascii="Arial" w:hAnsi="Arial" w:cs="Arial"/>
          <w:bCs/>
          <w:lang w:val="es-ES_tradnl"/>
        </w:rPr>
        <w:t>. De</w:t>
      </w:r>
      <w:r w:rsidRPr="00847234">
        <w:rPr>
          <w:rFonts w:ascii="Arial" w:hAnsi="Arial" w:cs="Arial"/>
          <w:bCs/>
          <w:lang w:val="es-ES_tradnl"/>
        </w:rPr>
        <w:t xml:space="preserve"> modo que las prestaciones concretas otorgadas en un </w:t>
      </w:r>
      <w:r w:rsidR="007377D7" w:rsidRPr="00847234">
        <w:rPr>
          <w:rFonts w:ascii="Arial" w:hAnsi="Arial" w:cs="Arial"/>
          <w:bCs/>
          <w:lang w:val="es-ES_tradnl"/>
        </w:rPr>
        <w:t xml:space="preserve">cierto </w:t>
      </w:r>
      <w:r w:rsidRPr="00847234">
        <w:rPr>
          <w:rFonts w:ascii="Arial" w:hAnsi="Arial" w:cs="Arial"/>
          <w:bCs/>
          <w:lang w:val="es-ES_tradnl"/>
        </w:rPr>
        <w:t>momento constituyen el nuevo estándar mínimo a partir del cual debe seguirse avanzando hacia la satisfacción plena de esos derechos”. Una medida regresiva sólo será válida si supera un estándar de escrutinio estricto.</w:t>
      </w:r>
      <w:r w:rsidRPr="00847234">
        <w:rPr>
          <w:rStyle w:val="Refdenotaalpie"/>
          <w:rFonts w:ascii="Arial" w:hAnsi="Arial" w:cs="Arial"/>
          <w:bCs/>
          <w:lang w:val="es-ES_tradnl"/>
        </w:rPr>
        <w:footnoteReference w:id="44"/>
      </w:r>
      <w:r w:rsidRPr="00847234">
        <w:rPr>
          <w:rFonts w:ascii="Arial" w:hAnsi="Arial" w:cs="Arial"/>
          <w:bCs/>
          <w:lang w:val="es-ES_tradnl"/>
        </w:rPr>
        <w:t xml:space="preserve"> </w:t>
      </w:r>
      <w:r w:rsidR="00D2035C" w:rsidRPr="00847234">
        <w:rPr>
          <w:rFonts w:ascii="Arial" w:hAnsi="Arial" w:cs="Arial"/>
          <w:bCs/>
          <w:lang w:val="es-ES_tradnl"/>
        </w:rPr>
        <w:t xml:space="preserve">Ahí se </w:t>
      </w:r>
      <w:r w:rsidRPr="00847234">
        <w:rPr>
          <w:rFonts w:ascii="Arial" w:hAnsi="Arial" w:cs="Arial"/>
          <w:bCs/>
          <w:lang w:val="es-ES_tradnl"/>
        </w:rPr>
        <w:t>exige a los jueces constitucionales una intervención judicial más severa, pues se lidia con contenidos -derechos humanos- que se presentan como “cartas de triunfo”</w:t>
      </w:r>
      <w:r w:rsidR="00D2035C" w:rsidRPr="00847234">
        <w:rPr>
          <w:rFonts w:ascii="Arial" w:hAnsi="Arial" w:cs="Arial"/>
          <w:bCs/>
          <w:lang w:val="es-ES_tradnl"/>
        </w:rPr>
        <w:t>,</w:t>
      </w:r>
      <w:r w:rsidRPr="00847234">
        <w:rPr>
          <w:rFonts w:ascii="Arial" w:hAnsi="Arial" w:cs="Arial"/>
          <w:bCs/>
          <w:lang w:val="es-ES_tradnl"/>
        </w:rPr>
        <w:t xml:space="preserve"> las cuales desafían legítimamente a las posiciones mayoritarias. </w:t>
      </w:r>
    </w:p>
    <w:p w14:paraId="1F566548" w14:textId="77777777" w:rsidR="005C6653" w:rsidRPr="00847234" w:rsidRDefault="005C6653" w:rsidP="006C3525">
      <w:pPr>
        <w:spacing w:line="360" w:lineRule="auto"/>
        <w:jc w:val="both"/>
        <w:rPr>
          <w:rFonts w:ascii="Arial" w:hAnsi="Arial" w:cs="Arial"/>
          <w:bCs/>
          <w:lang w:val="es-ES_tradnl"/>
        </w:rPr>
      </w:pPr>
    </w:p>
    <w:p w14:paraId="1BF450EB" w14:textId="274D5789" w:rsidR="004104DC" w:rsidRPr="00847234" w:rsidRDefault="00177073" w:rsidP="006C3525">
      <w:pPr>
        <w:spacing w:line="360" w:lineRule="auto"/>
        <w:jc w:val="both"/>
        <w:rPr>
          <w:rFonts w:ascii="Arial" w:hAnsi="Arial" w:cs="Arial"/>
          <w:bCs/>
        </w:rPr>
      </w:pPr>
      <w:r w:rsidRPr="00847234">
        <w:rPr>
          <w:rFonts w:ascii="Arial" w:hAnsi="Arial" w:cs="Arial"/>
          <w:bCs/>
          <w:lang w:val="es-ES_tradnl"/>
        </w:rPr>
        <w:lastRenderedPageBreak/>
        <w:t xml:space="preserve">Examinemos ahora el </w:t>
      </w:r>
      <w:r w:rsidR="004F2481" w:rsidRPr="00847234">
        <w:rPr>
          <w:rFonts w:ascii="Arial" w:hAnsi="Arial" w:cs="Arial"/>
          <w:bCs/>
          <w:lang w:val="es-ES_tradnl"/>
        </w:rPr>
        <w:t>cambio legislativo</w:t>
      </w:r>
      <w:r w:rsidRPr="00847234">
        <w:rPr>
          <w:rFonts w:ascii="Arial" w:hAnsi="Arial" w:cs="Arial"/>
          <w:bCs/>
          <w:lang w:val="es-ES_tradnl"/>
        </w:rPr>
        <w:t xml:space="preserve"> impugnado</w:t>
      </w:r>
      <w:r w:rsidR="006578AE" w:rsidRPr="00847234">
        <w:rPr>
          <w:rFonts w:ascii="Arial" w:hAnsi="Arial" w:cs="Arial"/>
          <w:bCs/>
          <w:lang w:val="es-ES_tradnl"/>
        </w:rPr>
        <w:t xml:space="preserve">. </w:t>
      </w:r>
      <w:r w:rsidR="004F2481" w:rsidRPr="00847234">
        <w:rPr>
          <w:rFonts w:ascii="Arial" w:hAnsi="Arial" w:cs="Arial"/>
          <w:bCs/>
          <w:lang w:val="es-ES_tradnl"/>
        </w:rPr>
        <w:t xml:space="preserve"> Es ci</w:t>
      </w:r>
      <w:r w:rsidR="006578AE" w:rsidRPr="00847234">
        <w:rPr>
          <w:rFonts w:ascii="Arial" w:hAnsi="Arial" w:cs="Arial"/>
          <w:bCs/>
          <w:lang w:val="es-ES_tradnl"/>
        </w:rPr>
        <w:t xml:space="preserve">erto que éste </w:t>
      </w:r>
      <w:r w:rsidR="006C3525" w:rsidRPr="00847234">
        <w:rPr>
          <w:rFonts w:ascii="Arial" w:hAnsi="Arial" w:cs="Arial"/>
          <w:bCs/>
        </w:rPr>
        <w:t>responde a un fin legítimo</w:t>
      </w:r>
      <w:r w:rsidR="00C25F1E" w:rsidRPr="00847234">
        <w:rPr>
          <w:rFonts w:ascii="Arial" w:hAnsi="Arial" w:cs="Arial"/>
          <w:bCs/>
        </w:rPr>
        <w:t>; esto es,</w:t>
      </w:r>
      <w:r w:rsidR="006C3525" w:rsidRPr="00847234">
        <w:rPr>
          <w:rFonts w:ascii="Arial" w:hAnsi="Arial" w:cs="Arial"/>
          <w:bCs/>
        </w:rPr>
        <w:t xml:space="preserve"> garantizar el derecho de acceso a la energía eléctrica</w:t>
      </w:r>
      <w:r w:rsidR="00AC5DC8" w:rsidRPr="00847234">
        <w:rPr>
          <w:rFonts w:ascii="Arial" w:hAnsi="Arial" w:cs="Arial"/>
          <w:bCs/>
        </w:rPr>
        <w:t xml:space="preserve"> </w:t>
      </w:r>
      <w:r w:rsidR="006578AE" w:rsidRPr="00847234">
        <w:rPr>
          <w:rFonts w:ascii="Arial" w:hAnsi="Arial" w:cs="Arial"/>
          <w:bCs/>
        </w:rPr>
        <w:t>y cumplir</w:t>
      </w:r>
      <w:r w:rsidR="006C3525" w:rsidRPr="00847234">
        <w:rPr>
          <w:rFonts w:ascii="Arial" w:hAnsi="Arial" w:cs="Arial"/>
          <w:bCs/>
        </w:rPr>
        <w:t xml:space="preserve"> con el elemento de continuidad, como parte de la seguridad de despacho, lo cual satisfa</w:t>
      </w:r>
      <w:r w:rsidR="00C25F1E" w:rsidRPr="00847234">
        <w:rPr>
          <w:rFonts w:ascii="Arial" w:hAnsi="Arial" w:cs="Arial"/>
          <w:bCs/>
        </w:rPr>
        <w:t xml:space="preserve">ría </w:t>
      </w:r>
      <w:r w:rsidR="006C3525" w:rsidRPr="00847234">
        <w:rPr>
          <w:rFonts w:ascii="Arial" w:hAnsi="Arial" w:cs="Arial"/>
          <w:bCs/>
        </w:rPr>
        <w:t>la demanda eléctrica de los usuarios finales con una frecuencia y duración de interrupciones baja</w:t>
      </w:r>
      <w:r w:rsidR="00BC33C1" w:rsidRPr="00847234">
        <w:rPr>
          <w:rFonts w:ascii="Arial" w:hAnsi="Arial" w:cs="Arial"/>
          <w:bCs/>
        </w:rPr>
        <w:t xml:space="preserve">. Es con estos fines que </w:t>
      </w:r>
      <w:r w:rsidR="006578AE" w:rsidRPr="00847234">
        <w:rPr>
          <w:rFonts w:ascii="Arial" w:hAnsi="Arial" w:cs="Arial"/>
          <w:bCs/>
        </w:rPr>
        <w:t>el legislador</w:t>
      </w:r>
      <w:r w:rsidR="006C3525" w:rsidRPr="00847234">
        <w:rPr>
          <w:rFonts w:ascii="Arial" w:hAnsi="Arial" w:cs="Arial"/>
          <w:bCs/>
        </w:rPr>
        <w:t xml:space="preserve"> </w:t>
      </w:r>
      <w:r w:rsidR="00BF2810" w:rsidRPr="00847234">
        <w:rPr>
          <w:rFonts w:ascii="Arial" w:hAnsi="Arial" w:cs="Arial"/>
          <w:bCs/>
        </w:rPr>
        <w:t>introdu</w:t>
      </w:r>
      <w:r w:rsidR="00912989" w:rsidRPr="00847234">
        <w:rPr>
          <w:rFonts w:ascii="Arial" w:hAnsi="Arial" w:cs="Arial"/>
          <w:bCs/>
        </w:rPr>
        <w:t>jo u</w:t>
      </w:r>
      <w:r w:rsidR="00BF2810" w:rsidRPr="00847234">
        <w:rPr>
          <w:rFonts w:ascii="Arial" w:hAnsi="Arial" w:cs="Arial"/>
          <w:bCs/>
        </w:rPr>
        <w:t>na</w:t>
      </w:r>
      <w:r w:rsidR="006C3525" w:rsidRPr="00847234">
        <w:rPr>
          <w:rFonts w:ascii="Arial" w:hAnsi="Arial" w:cs="Arial"/>
          <w:bCs/>
        </w:rPr>
        <w:t xml:space="preserve"> nueva forma de adquisición de energía eléctrica </w:t>
      </w:r>
      <w:r w:rsidR="00912989" w:rsidRPr="00847234">
        <w:rPr>
          <w:rFonts w:ascii="Arial" w:hAnsi="Arial" w:cs="Arial"/>
          <w:bCs/>
        </w:rPr>
        <w:t xml:space="preserve">mediante </w:t>
      </w:r>
      <w:r w:rsidR="006C3525" w:rsidRPr="00847234">
        <w:rPr>
          <w:rFonts w:ascii="Arial" w:hAnsi="Arial" w:cs="Arial"/>
          <w:bCs/>
        </w:rPr>
        <w:t xml:space="preserve">los Contratos de Cobertura de Compromiso de Entrega Física. </w:t>
      </w:r>
      <w:r w:rsidR="00BF2810" w:rsidRPr="00847234">
        <w:rPr>
          <w:rFonts w:ascii="Arial" w:hAnsi="Arial" w:cs="Arial"/>
          <w:bCs/>
        </w:rPr>
        <w:t xml:space="preserve">Ahora bien, esta </w:t>
      </w:r>
      <w:r w:rsidR="001F7FF9" w:rsidRPr="00847234">
        <w:rPr>
          <w:rFonts w:ascii="Arial" w:hAnsi="Arial" w:cs="Arial"/>
          <w:bCs/>
        </w:rPr>
        <w:t>finalidad por sí misma no basta para reconocer la validez</w:t>
      </w:r>
      <w:r w:rsidR="00964471" w:rsidRPr="00847234">
        <w:rPr>
          <w:rFonts w:ascii="Arial" w:hAnsi="Arial" w:cs="Arial"/>
          <w:bCs/>
        </w:rPr>
        <w:t xml:space="preserve">; es necesario someter la decisión </w:t>
      </w:r>
      <w:r w:rsidR="00662DDB" w:rsidRPr="00847234">
        <w:rPr>
          <w:rFonts w:ascii="Arial" w:hAnsi="Arial" w:cs="Arial"/>
          <w:bCs/>
        </w:rPr>
        <w:t xml:space="preserve">legislativa a una intensidad de revisión mayor, pues presumiblemente estamos ante una </w:t>
      </w:r>
      <w:r w:rsidR="00716614" w:rsidRPr="00847234">
        <w:rPr>
          <w:rFonts w:ascii="Arial" w:hAnsi="Arial" w:cs="Arial"/>
          <w:bCs/>
        </w:rPr>
        <w:t>medida que</w:t>
      </w:r>
      <w:r w:rsidR="008042C7" w:rsidRPr="00847234">
        <w:rPr>
          <w:rFonts w:ascii="Arial" w:hAnsi="Arial" w:cs="Arial"/>
          <w:bCs/>
        </w:rPr>
        <w:t xml:space="preserve"> afecta la vigencia </w:t>
      </w:r>
      <w:r w:rsidR="00716614" w:rsidRPr="00847234">
        <w:rPr>
          <w:rFonts w:ascii="Arial" w:hAnsi="Arial" w:cs="Arial"/>
          <w:bCs/>
        </w:rPr>
        <w:t xml:space="preserve">y esfera de protección </w:t>
      </w:r>
      <w:r w:rsidR="008042C7" w:rsidRPr="00847234">
        <w:rPr>
          <w:rFonts w:ascii="Arial" w:hAnsi="Arial" w:cs="Arial"/>
          <w:bCs/>
        </w:rPr>
        <w:t xml:space="preserve">de un derecho humano y compromete los avances logrados; es decir, </w:t>
      </w:r>
      <w:r w:rsidR="00716614" w:rsidRPr="00847234">
        <w:rPr>
          <w:rFonts w:ascii="Arial" w:hAnsi="Arial" w:cs="Arial"/>
          <w:bCs/>
        </w:rPr>
        <w:t xml:space="preserve">podría tratarse de una </w:t>
      </w:r>
      <w:r w:rsidR="008042C7" w:rsidRPr="00847234">
        <w:rPr>
          <w:rFonts w:ascii="Arial" w:hAnsi="Arial" w:cs="Arial"/>
          <w:bCs/>
        </w:rPr>
        <w:t xml:space="preserve">medida regresiva. </w:t>
      </w:r>
      <w:r w:rsidR="00BF2810" w:rsidRPr="00847234">
        <w:rPr>
          <w:rFonts w:ascii="Arial" w:hAnsi="Arial" w:cs="Arial"/>
          <w:bCs/>
        </w:rPr>
        <w:t xml:space="preserve"> </w:t>
      </w:r>
      <w:r w:rsidR="004104DC" w:rsidRPr="00847234">
        <w:rPr>
          <w:rFonts w:ascii="Arial" w:hAnsi="Arial" w:cs="Arial"/>
          <w:bCs/>
        </w:rPr>
        <w:t xml:space="preserve">De ahí que no </w:t>
      </w:r>
      <w:r w:rsidR="00FD4866" w:rsidRPr="00847234">
        <w:rPr>
          <w:rFonts w:ascii="Arial" w:hAnsi="Arial" w:cs="Arial"/>
          <w:bCs/>
        </w:rPr>
        <w:t xml:space="preserve">baste con </w:t>
      </w:r>
      <w:r w:rsidR="004104DC" w:rsidRPr="00847234">
        <w:rPr>
          <w:rFonts w:ascii="Arial" w:hAnsi="Arial" w:cs="Arial"/>
          <w:bCs/>
        </w:rPr>
        <w:t>comprobar que el legislador pretendió alcanzar un fin legítimo con las normas impugnadas</w:t>
      </w:r>
      <w:r w:rsidR="006A4526" w:rsidRPr="00847234">
        <w:rPr>
          <w:rFonts w:ascii="Arial" w:hAnsi="Arial" w:cs="Arial"/>
          <w:bCs/>
        </w:rPr>
        <w:t>, sino que es necesario constatar que se haya buscado realizar un fin imperioso</w:t>
      </w:r>
      <w:r w:rsidR="004104DC" w:rsidRPr="00847234">
        <w:rPr>
          <w:rFonts w:ascii="Arial" w:hAnsi="Arial" w:cs="Arial"/>
          <w:bCs/>
        </w:rPr>
        <w:t>.</w:t>
      </w:r>
    </w:p>
    <w:p w14:paraId="1E10FC05" w14:textId="77777777" w:rsidR="004104DC" w:rsidRPr="00847234" w:rsidRDefault="004104DC" w:rsidP="006C3525">
      <w:pPr>
        <w:spacing w:line="360" w:lineRule="auto"/>
        <w:jc w:val="both"/>
        <w:rPr>
          <w:rFonts w:ascii="Arial" w:hAnsi="Arial" w:cs="Arial"/>
          <w:bCs/>
        </w:rPr>
      </w:pPr>
    </w:p>
    <w:p w14:paraId="4F1289D3" w14:textId="66B14A4E" w:rsidR="006C3525" w:rsidRPr="00847234" w:rsidRDefault="006C3525" w:rsidP="006C3525">
      <w:pPr>
        <w:spacing w:line="360" w:lineRule="auto"/>
        <w:jc w:val="both"/>
        <w:rPr>
          <w:rFonts w:ascii="Arial" w:hAnsi="Arial" w:cs="Arial"/>
          <w:bCs/>
        </w:rPr>
      </w:pPr>
      <w:r w:rsidRPr="00847234">
        <w:rPr>
          <w:rFonts w:ascii="Arial" w:hAnsi="Arial" w:cs="Arial"/>
          <w:bCs/>
        </w:rPr>
        <w:t xml:space="preserve">En mi opinión, </w:t>
      </w:r>
      <w:r w:rsidR="00E7137B" w:rsidRPr="00847234">
        <w:rPr>
          <w:rFonts w:ascii="Arial" w:hAnsi="Arial" w:cs="Arial"/>
          <w:bCs/>
        </w:rPr>
        <w:t xml:space="preserve">pende sobre </w:t>
      </w:r>
      <w:r w:rsidRPr="00847234">
        <w:rPr>
          <w:rFonts w:ascii="Arial" w:hAnsi="Arial" w:cs="Arial"/>
          <w:bCs/>
        </w:rPr>
        <w:t>l</w:t>
      </w:r>
      <w:r w:rsidR="004104DC" w:rsidRPr="00847234">
        <w:rPr>
          <w:rFonts w:ascii="Arial" w:hAnsi="Arial" w:cs="Arial"/>
          <w:bCs/>
        </w:rPr>
        <w:t>os citados preceptos legales</w:t>
      </w:r>
      <w:r w:rsidRPr="00847234">
        <w:rPr>
          <w:rFonts w:ascii="Arial" w:hAnsi="Arial" w:cs="Arial"/>
          <w:bCs/>
        </w:rPr>
        <w:t xml:space="preserve"> </w:t>
      </w:r>
      <w:r w:rsidR="00E7137B" w:rsidRPr="00847234">
        <w:rPr>
          <w:rFonts w:ascii="Arial" w:hAnsi="Arial" w:cs="Arial"/>
          <w:bCs/>
        </w:rPr>
        <w:t xml:space="preserve">una fuerte sospecha </w:t>
      </w:r>
      <w:r w:rsidR="00BF2810" w:rsidRPr="00847234">
        <w:rPr>
          <w:rFonts w:ascii="Arial" w:hAnsi="Arial" w:cs="Arial"/>
          <w:bCs/>
        </w:rPr>
        <w:t xml:space="preserve">de regresividad </w:t>
      </w:r>
      <w:r w:rsidRPr="00847234">
        <w:rPr>
          <w:rFonts w:ascii="Arial" w:hAnsi="Arial" w:cs="Arial"/>
          <w:bCs/>
        </w:rPr>
        <w:t xml:space="preserve">porque </w:t>
      </w:r>
      <w:r w:rsidR="00A26BFC" w:rsidRPr="00847234">
        <w:rPr>
          <w:rFonts w:ascii="Arial" w:hAnsi="Arial" w:cs="Arial"/>
          <w:bCs/>
        </w:rPr>
        <w:t xml:space="preserve">eliminaron </w:t>
      </w:r>
      <w:r w:rsidR="00C9650A" w:rsidRPr="00847234">
        <w:rPr>
          <w:rFonts w:ascii="Arial" w:hAnsi="Arial" w:cs="Arial"/>
          <w:bCs/>
        </w:rPr>
        <w:t>reglas</w:t>
      </w:r>
      <w:r w:rsidR="00BF2810" w:rsidRPr="00847234">
        <w:rPr>
          <w:rFonts w:ascii="Arial" w:hAnsi="Arial" w:cs="Arial"/>
          <w:bCs/>
        </w:rPr>
        <w:t xml:space="preserve"> </w:t>
      </w:r>
      <w:r w:rsidR="00A26BFC" w:rsidRPr="00847234">
        <w:rPr>
          <w:rFonts w:ascii="Arial" w:hAnsi="Arial" w:cs="Arial"/>
          <w:bCs/>
        </w:rPr>
        <w:t xml:space="preserve">que reservaban </w:t>
      </w:r>
      <w:r w:rsidRPr="00847234">
        <w:rPr>
          <w:rFonts w:ascii="Arial" w:hAnsi="Arial" w:cs="Arial"/>
          <w:bCs/>
        </w:rPr>
        <w:t>a las energías limpias una ubicación preferente en el mercado de generación de electricidad</w:t>
      </w:r>
      <w:r w:rsidR="00B3417C" w:rsidRPr="00847234">
        <w:rPr>
          <w:rFonts w:ascii="Arial" w:hAnsi="Arial" w:cs="Arial"/>
          <w:bCs/>
        </w:rPr>
        <w:t xml:space="preserve">. Es decir, estas nuevas normas eliminaron medidas que colocaban a México en </w:t>
      </w:r>
      <w:r w:rsidRPr="00847234">
        <w:rPr>
          <w:rFonts w:ascii="Arial" w:hAnsi="Arial" w:cs="Arial"/>
          <w:bCs/>
        </w:rPr>
        <w:t xml:space="preserve">el proceso de transición tecnológica para eliminar los gases con efecto invernadero </w:t>
      </w:r>
      <w:r w:rsidR="005F3805" w:rsidRPr="00847234">
        <w:rPr>
          <w:rFonts w:ascii="Arial" w:hAnsi="Arial" w:cs="Arial"/>
          <w:bCs/>
        </w:rPr>
        <w:t xml:space="preserve">y </w:t>
      </w:r>
      <w:r w:rsidR="00AC2005" w:rsidRPr="00847234">
        <w:rPr>
          <w:rFonts w:ascii="Arial" w:hAnsi="Arial" w:cs="Arial"/>
          <w:bCs/>
        </w:rPr>
        <w:t xml:space="preserve">para </w:t>
      </w:r>
      <w:r w:rsidRPr="00847234">
        <w:rPr>
          <w:rFonts w:ascii="Arial" w:hAnsi="Arial" w:cs="Arial"/>
          <w:bCs/>
        </w:rPr>
        <w:t>frenar el cambio climático</w:t>
      </w:r>
      <w:r w:rsidR="007B35DA" w:rsidRPr="00847234">
        <w:rPr>
          <w:rFonts w:ascii="Arial" w:hAnsi="Arial" w:cs="Arial"/>
          <w:bCs/>
        </w:rPr>
        <w:t xml:space="preserve"> </w:t>
      </w:r>
      <w:r w:rsidR="002B1162" w:rsidRPr="00847234">
        <w:rPr>
          <w:rFonts w:ascii="Arial" w:hAnsi="Arial" w:cs="Arial"/>
          <w:bCs/>
        </w:rPr>
        <w:t>en consonancia con el</w:t>
      </w:r>
      <w:r w:rsidR="000F0B28" w:rsidRPr="00847234">
        <w:rPr>
          <w:rFonts w:ascii="Arial" w:hAnsi="Arial" w:cs="Arial"/>
          <w:bCs/>
        </w:rPr>
        <w:t xml:space="preserve"> Acuerdo de Par</w:t>
      </w:r>
      <w:r w:rsidR="00C96C13">
        <w:rPr>
          <w:rFonts w:ascii="Arial" w:hAnsi="Arial" w:cs="Arial"/>
          <w:bCs/>
        </w:rPr>
        <w:t>í</w:t>
      </w:r>
      <w:r w:rsidR="000F0B28" w:rsidRPr="00847234">
        <w:rPr>
          <w:rFonts w:ascii="Arial" w:hAnsi="Arial" w:cs="Arial"/>
          <w:bCs/>
        </w:rPr>
        <w:t>s</w:t>
      </w:r>
      <w:r w:rsidR="007B35DA" w:rsidRPr="00847234">
        <w:rPr>
          <w:rFonts w:ascii="Arial" w:hAnsi="Arial" w:cs="Arial"/>
          <w:bCs/>
        </w:rPr>
        <w:t xml:space="preserve">. </w:t>
      </w:r>
      <w:r w:rsidR="005E480C" w:rsidRPr="00847234">
        <w:rPr>
          <w:rFonts w:ascii="Arial" w:hAnsi="Arial" w:cs="Arial"/>
          <w:bCs/>
        </w:rPr>
        <w:t xml:space="preserve"> </w:t>
      </w:r>
      <w:r w:rsidR="00D84533" w:rsidRPr="00847234">
        <w:rPr>
          <w:rFonts w:ascii="Arial" w:hAnsi="Arial" w:cs="Arial"/>
          <w:bCs/>
        </w:rPr>
        <w:t xml:space="preserve">En el caso </w:t>
      </w:r>
      <w:r w:rsidR="00D606E7" w:rsidRPr="00847234">
        <w:rPr>
          <w:rFonts w:ascii="Arial" w:hAnsi="Arial" w:cs="Arial"/>
          <w:bCs/>
        </w:rPr>
        <w:t>concreto, las</w:t>
      </w:r>
      <w:r w:rsidRPr="00847234">
        <w:rPr>
          <w:rFonts w:ascii="Arial" w:hAnsi="Arial" w:cs="Arial"/>
          <w:bCs/>
        </w:rPr>
        <w:t xml:space="preserve"> normas impugnadas no supera</w:t>
      </w:r>
      <w:r w:rsidR="005E480C" w:rsidRPr="00847234">
        <w:rPr>
          <w:rFonts w:ascii="Arial" w:hAnsi="Arial" w:cs="Arial"/>
          <w:bCs/>
        </w:rPr>
        <w:t xml:space="preserve">rían </w:t>
      </w:r>
      <w:r w:rsidRPr="00847234">
        <w:rPr>
          <w:rFonts w:ascii="Arial" w:hAnsi="Arial" w:cs="Arial"/>
          <w:bCs/>
        </w:rPr>
        <w:t>un estándar de escrutinio estricto</w:t>
      </w:r>
      <w:r w:rsidR="00923677" w:rsidRPr="00847234">
        <w:rPr>
          <w:rFonts w:ascii="Arial" w:hAnsi="Arial" w:cs="Arial"/>
          <w:bCs/>
        </w:rPr>
        <w:t xml:space="preserve">. Si bien </w:t>
      </w:r>
      <w:r w:rsidRPr="00847234">
        <w:rPr>
          <w:rFonts w:ascii="Arial" w:hAnsi="Arial" w:cs="Arial"/>
          <w:bCs/>
        </w:rPr>
        <w:t xml:space="preserve">la continuidad y calidad del suministro de energía eléctrica puede calificarse como un fin legítimo, </w:t>
      </w:r>
      <w:r w:rsidR="00824E9A" w:rsidRPr="00847234">
        <w:rPr>
          <w:rFonts w:ascii="Arial" w:hAnsi="Arial" w:cs="Arial"/>
          <w:bCs/>
        </w:rPr>
        <w:t>de ninguna manera alcanza</w:t>
      </w:r>
      <w:r w:rsidRPr="00847234">
        <w:rPr>
          <w:rFonts w:ascii="Arial" w:hAnsi="Arial" w:cs="Arial"/>
          <w:bCs/>
        </w:rPr>
        <w:t xml:space="preserve"> el carácter imperioso</w:t>
      </w:r>
      <w:r w:rsidR="00D606E7" w:rsidRPr="00847234">
        <w:rPr>
          <w:rFonts w:ascii="Arial" w:hAnsi="Arial" w:cs="Arial"/>
          <w:bCs/>
        </w:rPr>
        <w:t xml:space="preserve"> que justificaría la regresión y, que supone, </w:t>
      </w:r>
      <w:r w:rsidR="00F3495E" w:rsidRPr="00847234">
        <w:rPr>
          <w:rFonts w:ascii="Arial" w:hAnsi="Arial" w:cs="Arial"/>
          <w:bCs/>
        </w:rPr>
        <w:t xml:space="preserve">cumplir el primer paso de un </w:t>
      </w:r>
      <w:r w:rsidRPr="00847234">
        <w:rPr>
          <w:rFonts w:ascii="Arial" w:hAnsi="Arial" w:cs="Arial"/>
          <w:bCs/>
        </w:rPr>
        <w:t>escrutinio tan exigente</w:t>
      </w:r>
      <w:r w:rsidR="00923677" w:rsidRPr="00847234">
        <w:rPr>
          <w:rFonts w:ascii="Arial" w:hAnsi="Arial" w:cs="Arial"/>
          <w:bCs/>
        </w:rPr>
        <w:t>.</w:t>
      </w:r>
    </w:p>
    <w:p w14:paraId="153E32A1" w14:textId="77777777" w:rsidR="006C3525" w:rsidRPr="00847234" w:rsidRDefault="006C3525" w:rsidP="006C3525">
      <w:pPr>
        <w:spacing w:line="360" w:lineRule="auto"/>
        <w:jc w:val="both"/>
        <w:rPr>
          <w:rFonts w:ascii="Arial" w:hAnsi="Arial" w:cs="Arial"/>
          <w:bCs/>
        </w:rPr>
      </w:pPr>
    </w:p>
    <w:p w14:paraId="68F227D9" w14:textId="77777777" w:rsidR="00BB4563" w:rsidRPr="00847234" w:rsidRDefault="00F3495E" w:rsidP="006C3525">
      <w:pPr>
        <w:spacing w:line="360" w:lineRule="auto"/>
        <w:jc w:val="both"/>
        <w:rPr>
          <w:rFonts w:ascii="Arial" w:hAnsi="Arial" w:cs="Arial"/>
          <w:bCs/>
        </w:rPr>
      </w:pPr>
      <w:r w:rsidRPr="00847234">
        <w:rPr>
          <w:rFonts w:ascii="Arial" w:hAnsi="Arial" w:cs="Arial"/>
          <w:bCs/>
        </w:rPr>
        <w:t>El acceso</w:t>
      </w:r>
      <w:r w:rsidR="006C3525" w:rsidRPr="00847234">
        <w:rPr>
          <w:rFonts w:ascii="Arial" w:hAnsi="Arial" w:cs="Arial"/>
          <w:bCs/>
        </w:rPr>
        <w:t xml:space="preserve"> a la electricidad es parte de un servicio público</w:t>
      </w:r>
      <w:r w:rsidRPr="00847234">
        <w:rPr>
          <w:rFonts w:ascii="Arial" w:hAnsi="Arial" w:cs="Arial"/>
          <w:bCs/>
        </w:rPr>
        <w:t xml:space="preserve"> indispensable</w:t>
      </w:r>
      <w:r w:rsidR="006C3525" w:rsidRPr="00847234">
        <w:rPr>
          <w:rFonts w:ascii="Arial" w:hAnsi="Arial" w:cs="Arial"/>
          <w:bCs/>
        </w:rPr>
        <w:t xml:space="preserve">, pero </w:t>
      </w:r>
      <w:r w:rsidR="00B5470C" w:rsidRPr="00847234">
        <w:rPr>
          <w:rFonts w:ascii="Arial" w:hAnsi="Arial" w:cs="Arial"/>
          <w:bCs/>
        </w:rPr>
        <w:t xml:space="preserve">eso no es suficiente para atribuirle el carácter </w:t>
      </w:r>
      <w:r w:rsidR="006C3525" w:rsidRPr="00847234">
        <w:rPr>
          <w:rFonts w:ascii="Arial" w:hAnsi="Arial" w:cs="Arial"/>
          <w:bCs/>
        </w:rPr>
        <w:t>de derecho humano. Concluir que el abastecimiento de cualquier bien público previsto en la Constitución es un fin imperioso que</w:t>
      </w:r>
      <w:r w:rsidR="000E5B84" w:rsidRPr="00847234">
        <w:rPr>
          <w:rFonts w:ascii="Arial" w:hAnsi="Arial" w:cs="Arial"/>
          <w:bCs/>
        </w:rPr>
        <w:t xml:space="preserve"> </w:t>
      </w:r>
      <w:r w:rsidR="0058375C" w:rsidRPr="00847234">
        <w:rPr>
          <w:rFonts w:ascii="Arial" w:hAnsi="Arial" w:cs="Arial"/>
          <w:bCs/>
        </w:rPr>
        <w:t>justifi</w:t>
      </w:r>
      <w:r w:rsidR="00AE3FA7" w:rsidRPr="00847234">
        <w:rPr>
          <w:rFonts w:ascii="Arial" w:hAnsi="Arial" w:cs="Arial"/>
          <w:bCs/>
        </w:rPr>
        <w:t>ca</w:t>
      </w:r>
      <w:r w:rsidR="0058375C" w:rsidRPr="00847234">
        <w:rPr>
          <w:rFonts w:ascii="Arial" w:hAnsi="Arial" w:cs="Arial"/>
          <w:bCs/>
        </w:rPr>
        <w:t xml:space="preserve"> la </w:t>
      </w:r>
      <w:r w:rsidRPr="00847234">
        <w:rPr>
          <w:rFonts w:ascii="Arial" w:hAnsi="Arial" w:cs="Arial"/>
          <w:bCs/>
        </w:rPr>
        <w:t>reducción de</w:t>
      </w:r>
      <w:r w:rsidR="006C3525" w:rsidRPr="00847234">
        <w:rPr>
          <w:rFonts w:ascii="Arial" w:hAnsi="Arial" w:cs="Arial"/>
          <w:bCs/>
        </w:rPr>
        <w:t xml:space="preserve"> cualquier derecho humano, termina</w:t>
      </w:r>
      <w:r w:rsidR="00E344F1" w:rsidRPr="00847234">
        <w:rPr>
          <w:rFonts w:ascii="Arial" w:hAnsi="Arial" w:cs="Arial"/>
          <w:bCs/>
        </w:rPr>
        <w:t>ría</w:t>
      </w:r>
      <w:r w:rsidR="006C3525" w:rsidRPr="00847234">
        <w:rPr>
          <w:rFonts w:ascii="Arial" w:hAnsi="Arial" w:cs="Arial"/>
          <w:bCs/>
        </w:rPr>
        <w:t xml:space="preserve"> invirtiendo el orden prioritario que los derechos humanos </w:t>
      </w:r>
      <w:r w:rsidR="00E344F1" w:rsidRPr="00847234">
        <w:rPr>
          <w:rFonts w:ascii="Arial" w:hAnsi="Arial" w:cs="Arial"/>
          <w:bCs/>
        </w:rPr>
        <w:t xml:space="preserve">debieran tener </w:t>
      </w:r>
      <w:r w:rsidR="006C3525" w:rsidRPr="00847234">
        <w:rPr>
          <w:rFonts w:ascii="Arial" w:hAnsi="Arial" w:cs="Arial"/>
          <w:bCs/>
        </w:rPr>
        <w:t>sobre las reglas del mercado</w:t>
      </w:r>
      <w:r w:rsidR="00525A7B" w:rsidRPr="00847234">
        <w:rPr>
          <w:rFonts w:ascii="Arial" w:hAnsi="Arial" w:cs="Arial"/>
          <w:bCs/>
        </w:rPr>
        <w:t>. A</w:t>
      </w:r>
      <w:r w:rsidR="006C3525" w:rsidRPr="00847234">
        <w:rPr>
          <w:rFonts w:ascii="Arial" w:hAnsi="Arial" w:cs="Arial"/>
          <w:bCs/>
        </w:rPr>
        <w:t xml:space="preserve">un y cuando este Pleno llegara a concluir que estos fines sí deben calificarse como imperiosos, la medida </w:t>
      </w:r>
      <w:r w:rsidR="002A3F20" w:rsidRPr="00847234">
        <w:rPr>
          <w:rFonts w:ascii="Arial" w:hAnsi="Arial" w:cs="Arial"/>
          <w:bCs/>
        </w:rPr>
        <w:t>discutid</w:t>
      </w:r>
      <w:r w:rsidR="004104DC" w:rsidRPr="00847234">
        <w:rPr>
          <w:rFonts w:ascii="Arial" w:hAnsi="Arial" w:cs="Arial"/>
          <w:bCs/>
        </w:rPr>
        <w:t>a</w:t>
      </w:r>
      <w:r w:rsidR="002A3F20" w:rsidRPr="00847234">
        <w:rPr>
          <w:rFonts w:ascii="Arial" w:hAnsi="Arial" w:cs="Arial"/>
          <w:bCs/>
        </w:rPr>
        <w:t xml:space="preserve"> </w:t>
      </w:r>
      <w:r w:rsidR="006C3525" w:rsidRPr="00847234">
        <w:rPr>
          <w:rFonts w:ascii="Arial" w:hAnsi="Arial" w:cs="Arial"/>
          <w:bCs/>
        </w:rPr>
        <w:t>no supera la grada de necesidad porque existen otros medios alternativos menos gravosos para obtener el mismo resultado</w:t>
      </w:r>
      <w:r w:rsidR="00BB4563" w:rsidRPr="00847234">
        <w:rPr>
          <w:rFonts w:ascii="Arial" w:hAnsi="Arial" w:cs="Arial"/>
          <w:bCs/>
        </w:rPr>
        <w:t>.</w:t>
      </w:r>
    </w:p>
    <w:p w14:paraId="022FDBB9" w14:textId="77777777" w:rsidR="00BB4563" w:rsidRPr="00847234" w:rsidRDefault="00BB4563" w:rsidP="006C3525">
      <w:pPr>
        <w:spacing w:line="360" w:lineRule="auto"/>
        <w:jc w:val="both"/>
        <w:rPr>
          <w:rFonts w:ascii="Arial" w:hAnsi="Arial" w:cs="Arial"/>
          <w:bCs/>
        </w:rPr>
      </w:pPr>
    </w:p>
    <w:p w14:paraId="30114BC5" w14:textId="552F1AB5" w:rsidR="00DA4488" w:rsidRPr="00847234" w:rsidRDefault="00DA4488" w:rsidP="00DA4488">
      <w:pPr>
        <w:spacing w:line="360" w:lineRule="auto"/>
        <w:jc w:val="both"/>
        <w:rPr>
          <w:rFonts w:ascii="Arial" w:hAnsi="Arial" w:cs="Arial"/>
          <w:bCs/>
        </w:rPr>
      </w:pPr>
      <w:r w:rsidRPr="00847234">
        <w:rPr>
          <w:rFonts w:ascii="Arial" w:hAnsi="Arial" w:cs="Arial"/>
          <w:bCs/>
        </w:rPr>
        <w:lastRenderedPageBreak/>
        <w:t>En efecto, si la medida legislativa pretendía garantizar la continuidad y una mejor calidad, así como mejores condiciones de acceso a la energía eléctrica</w:t>
      </w:r>
      <w:r w:rsidR="00D37B6B" w:rsidRPr="00847234">
        <w:rPr>
          <w:rFonts w:ascii="Arial" w:hAnsi="Arial" w:cs="Arial"/>
          <w:bCs/>
        </w:rPr>
        <w:t xml:space="preserve"> se</w:t>
      </w:r>
      <w:r w:rsidRPr="00847234">
        <w:rPr>
          <w:rFonts w:ascii="Arial" w:hAnsi="Arial" w:cs="Arial"/>
          <w:bCs/>
        </w:rPr>
        <w:t xml:space="preserve"> pudo acudir a medidas disponibles ordinariamente</w:t>
      </w:r>
      <w:r w:rsidR="00D37B6B" w:rsidRPr="00847234">
        <w:rPr>
          <w:rFonts w:ascii="Arial" w:hAnsi="Arial" w:cs="Arial"/>
          <w:bCs/>
        </w:rPr>
        <w:t xml:space="preserve"> y que se suelen usar cuando se pretende ampliar las condiciones de acceso a un servicio público</w:t>
      </w:r>
      <w:r w:rsidRPr="00847234">
        <w:rPr>
          <w:rFonts w:ascii="Arial" w:hAnsi="Arial" w:cs="Arial"/>
          <w:bCs/>
        </w:rPr>
        <w:t>. Por ejemplo, una mayor inversión en obra pública dirigida a proveer a la CFE de infraestructura de producción de energías limpias hasta alcanzar los niveles deseados. Con esto</w:t>
      </w:r>
      <w:r w:rsidR="00592698">
        <w:rPr>
          <w:rFonts w:ascii="Arial" w:hAnsi="Arial" w:cs="Arial"/>
          <w:bCs/>
        </w:rPr>
        <w:t>,</w:t>
      </w:r>
      <w:r w:rsidRPr="00847234">
        <w:rPr>
          <w:rFonts w:ascii="Arial" w:hAnsi="Arial" w:cs="Arial"/>
          <w:bCs/>
        </w:rPr>
        <w:t xml:space="preserve"> la CFE habría ampliado su producción y su oferta a los consumidores, y </w:t>
      </w:r>
      <w:r w:rsidR="00516397" w:rsidRPr="00847234">
        <w:rPr>
          <w:rFonts w:ascii="Arial" w:hAnsi="Arial" w:cs="Arial"/>
          <w:bCs/>
        </w:rPr>
        <w:t xml:space="preserve">se </w:t>
      </w:r>
      <w:r w:rsidRPr="00847234">
        <w:rPr>
          <w:rFonts w:ascii="Arial" w:hAnsi="Arial" w:cs="Arial"/>
          <w:bCs/>
        </w:rPr>
        <w:t>habría vuelto más competitiva. Esta nueva inversión accedería, además, a los certificados de energía limpia. Otra alternativa habría sido incentivar a los agentes económicos privados</w:t>
      </w:r>
      <w:r w:rsidR="000818BC" w:rsidRPr="00847234">
        <w:rPr>
          <w:rFonts w:ascii="Arial" w:hAnsi="Arial" w:cs="Arial"/>
          <w:bCs/>
        </w:rPr>
        <w:t xml:space="preserve">, </w:t>
      </w:r>
      <w:r w:rsidRPr="00847234">
        <w:rPr>
          <w:rFonts w:ascii="Arial" w:hAnsi="Arial" w:cs="Arial"/>
          <w:bCs/>
        </w:rPr>
        <w:t>para subir su oferta de producción de energía, con subsidios que redujeran sus costos y ampliaran sus índices de producción. Incluso, el legislador pudo diseña</w:t>
      </w:r>
      <w:r w:rsidR="0064553C" w:rsidRPr="00847234">
        <w:rPr>
          <w:rFonts w:ascii="Arial" w:hAnsi="Arial" w:cs="Arial"/>
          <w:bCs/>
        </w:rPr>
        <w:t>r</w:t>
      </w:r>
      <w:r w:rsidRPr="00847234">
        <w:rPr>
          <w:rFonts w:ascii="Arial" w:hAnsi="Arial" w:cs="Arial"/>
          <w:bCs/>
        </w:rPr>
        <w:t xml:space="preserve"> un esquema de impuestos especiales para financiar estos proyectos o recurrir a los múltiples instrumentos de financiamiento habilitados por la Constitución. </w:t>
      </w:r>
    </w:p>
    <w:p w14:paraId="22949DA9" w14:textId="77777777" w:rsidR="00DA4488" w:rsidRPr="00847234" w:rsidRDefault="00DA4488" w:rsidP="00DA4488">
      <w:pPr>
        <w:spacing w:line="360" w:lineRule="auto"/>
        <w:jc w:val="both"/>
        <w:rPr>
          <w:rFonts w:ascii="Arial" w:hAnsi="Arial" w:cs="Arial"/>
          <w:bCs/>
        </w:rPr>
      </w:pPr>
    </w:p>
    <w:p w14:paraId="3A710EBF" w14:textId="77777777" w:rsidR="00DA4488" w:rsidRPr="00847234" w:rsidRDefault="00DA4488" w:rsidP="00DA4488">
      <w:pPr>
        <w:spacing w:line="360" w:lineRule="auto"/>
        <w:jc w:val="both"/>
        <w:rPr>
          <w:rFonts w:ascii="Arial" w:hAnsi="Arial" w:cs="Arial"/>
          <w:bCs/>
        </w:rPr>
      </w:pPr>
      <w:r w:rsidRPr="00847234">
        <w:rPr>
          <w:rFonts w:ascii="Arial" w:hAnsi="Arial" w:cs="Arial"/>
          <w:bCs/>
        </w:rPr>
        <w:t xml:space="preserve">Evidentemente no corresponde a esta Suprema Corte seleccionar de, entre las acciones disponibles, la más pertinente. Los ensayos hipotéticos son meros ejercicios para reconocer la existencia de posibilidades y, con ello, diagnosticar la </w:t>
      </w:r>
      <w:r w:rsidRPr="00847234">
        <w:rPr>
          <w:rFonts w:ascii="Arial" w:hAnsi="Arial" w:cs="Arial"/>
          <w:bCs/>
          <w:i/>
          <w:iCs/>
        </w:rPr>
        <w:t xml:space="preserve">necesidad </w:t>
      </w:r>
      <w:r w:rsidRPr="00847234">
        <w:rPr>
          <w:rFonts w:ascii="Arial" w:hAnsi="Arial" w:cs="Arial"/>
          <w:bCs/>
        </w:rPr>
        <w:t xml:space="preserve">de la decisión legislativa. A la Corte le toca simplemente observar si el legislador acogió aquella medida que reducía el umbral de protección medio ambiental logrado, lo que le ganaría de inmediato el calificativo de la más gravosa. Nada importaría si la medida legislativa impugnada resultara más eficiente en términos económicos. El paso de </w:t>
      </w:r>
      <w:r w:rsidRPr="00847234">
        <w:rPr>
          <w:rFonts w:ascii="Arial" w:hAnsi="Arial" w:cs="Arial"/>
          <w:bCs/>
          <w:i/>
          <w:iCs/>
        </w:rPr>
        <w:t>necesidad</w:t>
      </w:r>
      <w:r w:rsidRPr="00847234">
        <w:rPr>
          <w:rFonts w:ascii="Arial" w:hAnsi="Arial" w:cs="Arial"/>
          <w:bCs/>
        </w:rPr>
        <w:t xml:space="preserve"> en el test acarrea la verificación de la disponibilidad y existencia de alternativas menos gravosas para llegar al fin, no en términos económicos, sino en referencia al derecho humano vulnerado. </w:t>
      </w:r>
    </w:p>
    <w:p w14:paraId="53E3A791" w14:textId="77777777" w:rsidR="00D6451C" w:rsidRPr="00847234" w:rsidRDefault="00D6451C" w:rsidP="006C3525">
      <w:pPr>
        <w:spacing w:line="360" w:lineRule="auto"/>
        <w:jc w:val="both"/>
        <w:rPr>
          <w:rFonts w:ascii="Arial" w:hAnsi="Arial" w:cs="Arial"/>
          <w:bCs/>
        </w:rPr>
      </w:pPr>
    </w:p>
    <w:p w14:paraId="1BC837B2" w14:textId="06439C29" w:rsidR="006C3525" w:rsidRPr="00847234" w:rsidRDefault="00E378CD" w:rsidP="006C3525">
      <w:pPr>
        <w:spacing w:line="360" w:lineRule="auto"/>
        <w:jc w:val="both"/>
        <w:rPr>
          <w:rFonts w:ascii="Arial" w:hAnsi="Arial" w:cs="Arial"/>
          <w:bCs/>
        </w:rPr>
      </w:pPr>
      <w:r w:rsidRPr="00847234">
        <w:rPr>
          <w:rFonts w:ascii="Arial" w:hAnsi="Arial" w:cs="Arial"/>
          <w:bCs/>
        </w:rPr>
        <w:t>Esta conclusión</w:t>
      </w:r>
      <w:r w:rsidR="006C3525" w:rsidRPr="00847234">
        <w:rPr>
          <w:rFonts w:ascii="Arial" w:hAnsi="Arial" w:cs="Arial"/>
          <w:bCs/>
        </w:rPr>
        <w:t xml:space="preserve"> </w:t>
      </w:r>
      <w:r w:rsidR="002E4507" w:rsidRPr="00847234">
        <w:rPr>
          <w:rFonts w:ascii="Arial" w:hAnsi="Arial" w:cs="Arial"/>
          <w:bCs/>
        </w:rPr>
        <w:t>surge de</w:t>
      </w:r>
      <w:r w:rsidR="006C3525" w:rsidRPr="00847234">
        <w:rPr>
          <w:rFonts w:ascii="Arial" w:hAnsi="Arial" w:cs="Arial"/>
          <w:bCs/>
        </w:rPr>
        <w:t xml:space="preserve">l parámetro de control constitucional medio ambiental. Cualquier medida que suponga darle un trato preferencial a las llamadas energías sucias </w:t>
      </w:r>
      <w:r w:rsidR="002A3F20" w:rsidRPr="00847234">
        <w:rPr>
          <w:rFonts w:ascii="Arial" w:hAnsi="Arial" w:cs="Arial"/>
          <w:bCs/>
        </w:rPr>
        <w:t xml:space="preserve">será </w:t>
      </w:r>
      <w:r w:rsidR="00637F34" w:rsidRPr="00847234">
        <w:rPr>
          <w:rFonts w:ascii="Arial" w:hAnsi="Arial" w:cs="Arial"/>
          <w:bCs/>
        </w:rPr>
        <w:t>-</w:t>
      </w:r>
      <w:r w:rsidR="002A3F20" w:rsidRPr="00847234">
        <w:rPr>
          <w:rFonts w:ascii="Arial" w:hAnsi="Arial" w:cs="Arial"/>
          <w:bCs/>
        </w:rPr>
        <w:t xml:space="preserve">en principio- </w:t>
      </w:r>
      <w:r w:rsidR="006C3525" w:rsidRPr="00847234">
        <w:rPr>
          <w:rFonts w:ascii="Arial" w:hAnsi="Arial" w:cs="Arial"/>
          <w:bCs/>
        </w:rPr>
        <w:t>más gravosa</w:t>
      </w:r>
      <w:r w:rsidR="00637F34" w:rsidRPr="00847234">
        <w:rPr>
          <w:rFonts w:ascii="Arial" w:hAnsi="Arial" w:cs="Arial"/>
          <w:bCs/>
        </w:rPr>
        <w:t xml:space="preserve">, de </w:t>
      </w:r>
      <w:r w:rsidRPr="00847234">
        <w:rPr>
          <w:rFonts w:ascii="Arial" w:hAnsi="Arial" w:cs="Arial"/>
          <w:bCs/>
        </w:rPr>
        <w:t>acuerdo con</w:t>
      </w:r>
      <w:r w:rsidR="00266CC8" w:rsidRPr="00847234">
        <w:rPr>
          <w:rFonts w:ascii="Arial" w:hAnsi="Arial" w:cs="Arial"/>
          <w:bCs/>
        </w:rPr>
        <w:t xml:space="preserve"> el</w:t>
      </w:r>
      <w:r w:rsidR="006C3525" w:rsidRPr="00847234">
        <w:rPr>
          <w:rFonts w:ascii="Arial" w:hAnsi="Arial" w:cs="Arial"/>
          <w:bCs/>
        </w:rPr>
        <w:t xml:space="preserve"> principio de la función ecológica de la propiedad.</w:t>
      </w:r>
      <w:r w:rsidR="001033A5" w:rsidRPr="00847234">
        <w:rPr>
          <w:rFonts w:ascii="Arial" w:hAnsi="Arial" w:cs="Arial"/>
          <w:bCs/>
        </w:rPr>
        <w:t xml:space="preserve"> </w:t>
      </w:r>
      <w:r w:rsidR="00637F34" w:rsidRPr="00847234">
        <w:rPr>
          <w:rFonts w:ascii="Arial" w:hAnsi="Arial" w:cs="Arial"/>
          <w:bCs/>
        </w:rPr>
        <w:t>Ade</w:t>
      </w:r>
      <w:r w:rsidR="00266CC8" w:rsidRPr="00847234">
        <w:rPr>
          <w:rFonts w:ascii="Arial" w:hAnsi="Arial" w:cs="Arial"/>
          <w:bCs/>
        </w:rPr>
        <w:t xml:space="preserve">más, </w:t>
      </w:r>
      <w:r w:rsidR="006C3525" w:rsidRPr="00847234">
        <w:rPr>
          <w:rFonts w:ascii="Arial" w:hAnsi="Arial" w:cs="Arial"/>
          <w:bCs/>
        </w:rPr>
        <w:t xml:space="preserve">la medida tampoco superaría la grada de proporcionalidad en sentido estricto. En este análisis entran los principios: precautorio, preventivo e </w:t>
      </w:r>
      <w:r w:rsidR="006C3525" w:rsidRPr="00847234">
        <w:rPr>
          <w:rFonts w:ascii="Arial" w:hAnsi="Arial" w:cs="Arial"/>
          <w:bCs/>
          <w:i/>
          <w:iCs/>
        </w:rPr>
        <w:t>in dubio pro natura</w:t>
      </w:r>
      <w:r w:rsidR="006C3525" w:rsidRPr="00847234">
        <w:rPr>
          <w:rFonts w:ascii="Arial" w:hAnsi="Arial" w:cs="Arial"/>
          <w:bCs/>
        </w:rPr>
        <w:t xml:space="preserve"> ¿Cómo saber si los beneficios en las condiciones de continuidad y calidad de la prestación del servicio de energía eléctrica superan los costos generados al medio ambiente y al cambio climático?</w:t>
      </w:r>
      <w:r w:rsidR="00266CC8" w:rsidRPr="00847234">
        <w:rPr>
          <w:rFonts w:ascii="Arial" w:hAnsi="Arial" w:cs="Arial"/>
          <w:bCs/>
        </w:rPr>
        <w:t xml:space="preserve"> </w:t>
      </w:r>
      <w:r w:rsidR="006C3525" w:rsidRPr="00847234">
        <w:rPr>
          <w:rFonts w:ascii="Arial" w:hAnsi="Arial" w:cs="Arial"/>
          <w:bCs/>
        </w:rPr>
        <w:t xml:space="preserve">Como es obvio, no podemos responder esta pregunta con certidumbre científica. </w:t>
      </w:r>
      <w:r w:rsidR="00C5033C" w:rsidRPr="00847234">
        <w:rPr>
          <w:rFonts w:ascii="Arial" w:hAnsi="Arial" w:cs="Arial"/>
          <w:bCs/>
        </w:rPr>
        <w:t xml:space="preserve">Es precisamente para este tipo de preguntas que se adoptaron </w:t>
      </w:r>
      <w:r w:rsidR="006C3525" w:rsidRPr="00847234">
        <w:rPr>
          <w:rFonts w:ascii="Arial" w:hAnsi="Arial" w:cs="Arial"/>
          <w:bCs/>
        </w:rPr>
        <w:t xml:space="preserve">principios que obligan al </w:t>
      </w:r>
      <w:r w:rsidR="00481D09">
        <w:rPr>
          <w:rFonts w:ascii="Arial" w:hAnsi="Arial" w:cs="Arial"/>
          <w:bCs/>
        </w:rPr>
        <w:t>t</w:t>
      </w:r>
      <w:r w:rsidR="006C3525" w:rsidRPr="00847234">
        <w:rPr>
          <w:rFonts w:ascii="Arial" w:hAnsi="Arial" w:cs="Arial"/>
          <w:bCs/>
        </w:rPr>
        <w:t xml:space="preserve">ribunal </w:t>
      </w:r>
      <w:r w:rsidR="00481D09">
        <w:rPr>
          <w:rFonts w:ascii="Arial" w:hAnsi="Arial" w:cs="Arial"/>
          <w:bCs/>
        </w:rPr>
        <w:t>c</w:t>
      </w:r>
      <w:r w:rsidR="006C3525" w:rsidRPr="00847234">
        <w:rPr>
          <w:rFonts w:ascii="Arial" w:hAnsi="Arial" w:cs="Arial"/>
          <w:bCs/>
        </w:rPr>
        <w:t xml:space="preserve">onstitucional </w:t>
      </w:r>
      <w:r w:rsidR="00F527A5" w:rsidRPr="00847234">
        <w:rPr>
          <w:rFonts w:ascii="Arial" w:hAnsi="Arial" w:cs="Arial"/>
          <w:bCs/>
        </w:rPr>
        <w:t xml:space="preserve">a </w:t>
      </w:r>
      <w:r w:rsidR="006C3525" w:rsidRPr="00847234">
        <w:rPr>
          <w:rFonts w:ascii="Arial" w:hAnsi="Arial" w:cs="Arial"/>
          <w:bCs/>
        </w:rPr>
        <w:t>una misma conclusión todas las</w:t>
      </w:r>
      <w:r w:rsidR="002A5562" w:rsidRPr="00847234">
        <w:rPr>
          <w:rFonts w:ascii="Arial" w:hAnsi="Arial" w:cs="Arial"/>
          <w:bCs/>
        </w:rPr>
        <w:t xml:space="preserve"> veces</w:t>
      </w:r>
      <w:r w:rsidR="003D272B" w:rsidRPr="00847234">
        <w:rPr>
          <w:rFonts w:ascii="Arial" w:hAnsi="Arial" w:cs="Arial"/>
          <w:bCs/>
        </w:rPr>
        <w:t>:</w:t>
      </w:r>
      <w:r w:rsidR="006C3525" w:rsidRPr="00847234">
        <w:rPr>
          <w:rFonts w:ascii="Arial" w:hAnsi="Arial" w:cs="Arial"/>
          <w:bCs/>
        </w:rPr>
        <w:t xml:space="preserve"> en caso de duda </w:t>
      </w:r>
      <w:r w:rsidR="006C3525" w:rsidRPr="00847234">
        <w:rPr>
          <w:rFonts w:ascii="Arial" w:hAnsi="Arial" w:cs="Arial"/>
          <w:bCs/>
        </w:rPr>
        <w:lastRenderedPageBreak/>
        <w:t>sobre los daños medio ambientales</w:t>
      </w:r>
      <w:r w:rsidR="00932C64" w:rsidRPr="00847234">
        <w:rPr>
          <w:rFonts w:ascii="Arial" w:hAnsi="Arial" w:cs="Arial"/>
          <w:bCs/>
        </w:rPr>
        <w:t>,</w:t>
      </w:r>
      <w:r w:rsidR="006C3525" w:rsidRPr="00847234">
        <w:rPr>
          <w:rFonts w:ascii="Arial" w:hAnsi="Arial" w:cs="Arial"/>
          <w:bCs/>
        </w:rPr>
        <w:t xml:space="preserve"> se debe optar por la protección del medio ambiente.</w:t>
      </w:r>
    </w:p>
    <w:p w14:paraId="6B0D70B8" w14:textId="77777777" w:rsidR="006C3525" w:rsidRPr="00847234" w:rsidRDefault="006C3525" w:rsidP="006C3525">
      <w:pPr>
        <w:spacing w:line="360" w:lineRule="auto"/>
        <w:jc w:val="both"/>
        <w:rPr>
          <w:rFonts w:ascii="Arial" w:hAnsi="Arial" w:cs="Arial"/>
          <w:bCs/>
        </w:rPr>
      </w:pPr>
    </w:p>
    <w:p w14:paraId="08C6C9D7" w14:textId="69DF91EB" w:rsidR="004104DC" w:rsidRPr="00847234" w:rsidRDefault="006C3525" w:rsidP="006C3525">
      <w:pPr>
        <w:spacing w:line="360" w:lineRule="auto"/>
        <w:jc w:val="both"/>
        <w:rPr>
          <w:rFonts w:ascii="Arial" w:hAnsi="Arial" w:cs="Arial"/>
          <w:bCs/>
        </w:rPr>
      </w:pPr>
      <w:r w:rsidRPr="00847234">
        <w:rPr>
          <w:rFonts w:ascii="Arial" w:hAnsi="Arial" w:cs="Arial"/>
          <w:bCs/>
        </w:rPr>
        <w:t xml:space="preserve">Por estas razones, mi voto </w:t>
      </w:r>
      <w:r w:rsidR="004104DC" w:rsidRPr="00847234">
        <w:rPr>
          <w:rFonts w:ascii="Arial" w:hAnsi="Arial" w:cs="Arial"/>
          <w:bCs/>
        </w:rPr>
        <w:t xml:space="preserve">fue </w:t>
      </w:r>
      <w:r w:rsidRPr="00847234">
        <w:rPr>
          <w:rFonts w:ascii="Arial" w:hAnsi="Arial" w:cs="Arial"/>
          <w:bCs/>
        </w:rPr>
        <w:t>por la invalidez</w:t>
      </w:r>
      <w:r w:rsidR="00BB4563" w:rsidRPr="00847234">
        <w:rPr>
          <w:rStyle w:val="Refdenotaalpie"/>
          <w:rFonts w:ascii="Arial" w:hAnsi="Arial" w:cs="Arial"/>
          <w:bCs/>
        </w:rPr>
        <w:footnoteReference w:id="45"/>
      </w:r>
      <w:r w:rsidRPr="00847234">
        <w:rPr>
          <w:rFonts w:ascii="Arial" w:hAnsi="Arial" w:cs="Arial"/>
          <w:bCs/>
        </w:rPr>
        <w:t xml:space="preserve"> de</w:t>
      </w:r>
      <w:r w:rsidRPr="00847234">
        <w:rPr>
          <w:rFonts w:ascii="Arial" w:hAnsi="Arial" w:cs="Arial"/>
          <w:bCs/>
          <w:lang w:val="es-ES"/>
        </w:rPr>
        <w:t xml:space="preserve"> los artículos 4, fracción VI, 26, y 126, fracción II de la Ley de Industria Eléctrica</w:t>
      </w:r>
      <w:r w:rsidRPr="00847234">
        <w:rPr>
          <w:rFonts w:ascii="Arial" w:hAnsi="Arial" w:cs="Arial"/>
          <w:bCs/>
        </w:rPr>
        <w:t>.</w:t>
      </w:r>
      <w:r w:rsidR="00644127" w:rsidRPr="00847234">
        <w:rPr>
          <w:rFonts w:ascii="Arial" w:hAnsi="Arial" w:cs="Arial"/>
          <w:bCs/>
        </w:rPr>
        <w:t xml:space="preserve"> </w:t>
      </w:r>
    </w:p>
    <w:p w14:paraId="43FD2839" w14:textId="77777777" w:rsidR="004104DC" w:rsidRPr="00847234" w:rsidRDefault="004104DC" w:rsidP="006C3525">
      <w:pPr>
        <w:spacing w:line="360" w:lineRule="auto"/>
        <w:jc w:val="both"/>
        <w:rPr>
          <w:rFonts w:ascii="Arial" w:hAnsi="Arial" w:cs="Arial"/>
          <w:bCs/>
        </w:rPr>
      </w:pPr>
    </w:p>
    <w:p w14:paraId="13BE479D" w14:textId="5B25DC0D" w:rsidR="00FD558B" w:rsidRPr="00847234" w:rsidRDefault="004104DC" w:rsidP="006C3525">
      <w:pPr>
        <w:spacing w:line="360" w:lineRule="auto"/>
        <w:jc w:val="both"/>
        <w:rPr>
          <w:rFonts w:ascii="Arial" w:hAnsi="Arial" w:cs="Arial"/>
          <w:bCs/>
        </w:rPr>
      </w:pPr>
      <w:r w:rsidRPr="00847234">
        <w:rPr>
          <w:rFonts w:ascii="Arial" w:hAnsi="Arial" w:cs="Arial"/>
          <w:bCs/>
        </w:rPr>
        <w:t>Ahora bien, t</w:t>
      </w:r>
      <w:r w:rsidR="003D272B" w:rsidRPr="00847234">
        <w:rPr>
          <w:rFonts w:ascii="Arial" w:hAnsi="Arial" w:cs="Arial"/>
          <w:bCs/>
        </w:rPr>
        <w:t>an pronto</w:t>
      </w:r>
      <w:r w:rsidR="0039421F" w:rsidRPr="00847234">
        <w:rPr>
          <w:rFonts w:ascii="Arial" w:hAnsi="Arial" w:cs="Arial"/>
          <w:bCs/>
        </w:rPr>
        <w:t xml:space="preserve"> </w:t>
      </w:r>
      <w:r w:rsidR="003D272B" w:rsidRPr="00847234">
        <w:rPr>
          <w:rFonts w:ascii="Arial" w:hAnsi="Arial" w:cs="Arial"/>
          <w:bCs/>
        </w:rPr>
        <w:t>se comparasen l</w:t>
      </w:r>
      <w:r w:rsidR="00FD558B" w:rsidRPr="00847234">
        <w:rPr>
          <w:rFonts w:ascii="Arial" w:hAnsi="Arial" w:cs="Arial"/>
          <w:bCs/>
        </w:rPr>
        <w:t>os preceptos legales derogados con los impugnados</w:t>
      </w:r>
      <w:r w:rsidR="003D272B" w:rsidRPr="00847234">
        <w:rPr>
          <w:rFonts w:ascii="Arial" w:hAnsi="Arial" w:cs="Arial"/>
          <w:bCs/>
        </w:rPr>
        <w:t xml:space="preserve">, se concluirá que los vigentes </w:t>
      </w:r>
      <w:r w:rsidR="00FD558B" w:rsidRPr="00847234">
        <w:rPr>
          <w:rFonts w:ascii="Arial" w:hAnsi="Arial" w:cs="Arial"/>
          <w:bCs/>
        </w:rPr>
        <w:t>son regresivos</w:t>
      </w:r>
      <w:r w:rsidR="003D272B" w:rsidRPr="00847234">
        <w:rPr>
          <w:rFonts w:ascii="Arial" w:hAnsi="Arial" w:cs="Arial"/>
          <w:bCs/>
        </w:rPr>
        <w:t xml:space="preserve">. En consecuencia, </w:t>
      </w:r>
      <w:r w:rsidR="00D21B59" w:rsidRPr="00847234">
        <w:rPr>
          <w:rFonts w:ascii="Arial" w:hAnsi="Arial" w:cs="Arial"/>
          <w:bCs/>
        </w:rPr>
        <w:t xml:space="preserve">si una mayoría calificada se hubiese pronunciado </w:t>
      </w:r>
      <w:r w:rsidR="00CF2541" w:rsidRPr="00847234">
        <w:rPr>
          <w:rFonts w:ascii="Arial" w:hAnsi="Arial" w:cs="Arial"/>
          <w:bCs/>
        </w:rPr>
        <w:t xml:space="preserve">por la detección de una violación al derecho al medio ambiente, el efecto de la invalidez </w:t>
      </w:r>
      <w:r w:rsidR="00F06018" w:rsidRPr="00847234">
        <w:rPr>
          <w:rFonts w:ascii="Arial" w:hAnsi="Arial" w:cs="Arial"/>
          <w:bCs/>
        </w:rPr>
        <w:t xml:space="preserve">habría sido </w:t>
      </w:r>
      <w:r w:rsidR="00CF2541" w:rsidRPr="00847234">
        <w:rPr>
          <w:rFonts w:ascii="Arial" w:hAnsi="Arial" w:cs="Arial"/>
          <w:bCs/>
        </w:rPr>
        <w:t>la reviviscencia</w:t>
      </w:r>
      <w:r w:rsidR="00BB4563" w:rsidRPr="00847234">
        <w:rPr>
          <w:rStyle w:val="Refdenotaalpie"/>
          <w:rFonts w:ascii="Arial" w:hAnsi="Arial" w:cs="Arial"/>
          <w:bCs/>
        </w:rPr>
        <w:footnoteReference w:id="46"/>
      </w:r>
      <w:r w:rsidR="00CF2541" w:rsidRPr="00847234">
        <w:rPr>
          <w:rFonts w:ascii="Arial" w:hAnsi="Arial" w:cs="Arial"/>
          <w:bCs/>
        </w:rPr>
        <w:t xml:space="preserve"> de las normas derogadas</w:t>
      </w:r>
      <w:r w:rsidR="00F527A5" w:rsidRPr="00847234">
        <w:rPr>
          <w:rFonts w:ascii="Arial" w:hAnsi="Arial" w:cs="Arial"/>
          <w:bCs/>
        </w:rPr>
        <w:t xml:space="preserve"> porque estas últimas </w:t>
      </w:r>
      <w:r w:rsidR="00CF2541" w:rsidRPr="00847234">
        <w:rPr>
          <w:rFonts w:ascii="Arial" w:hAnsi="Arial" w:cs="Arial"/>
          <w:bCs/>
        </w:rPr>
        <w:t>garantizaban un</w:t>
      </w:r>
      <w:r w:rsidR="00F527A5" w:rsidRPr="00847234">
        <w:rPr>
          <w:rFonts w:ascii="Arial" w:hAnsi="Arial" w:cs="Arial"/>
          <w:bCs/>
        </w:rPr>
        <w:t>a</w:t>
      </w:r>
      <w:r w:rsidR="00CF2541" w:rsidRPr="00847234">
        <w:rPr>
          <w:rFonts w:ascii="Arial" w:hAnsi="Arial" w:cs="Arial"/>
          <w:bCs/>
        </w:rPr>
        <w:t xml:space="preserve"> mayor protección.</w:t>
      </w:r>
    </w:p>
    <w:p w14:paraId="31D03FBA" w14:textId="77777777" w:rsidR="00B8068E" w:rsidRPr="00847234" w:rsidRDefault="00B8068E" w:rsidP="00BA1CDF">
      <w:pPr>
        <w:spacing w:line="360" w:lineRule="auto"/>
        <w:jc w:val="center"/>
        <w:rPr>
          <w:rFonts w:ascii="Arial" w:hAnsi="Arial" w:cs="Arial"/>
          <w:bCs/>
        </w:rPr>
      </w:pPr>
    </w:p>
    <w:p w14:paraId="2DF5AE98" w14:textId="3DA659CF" w:rsidR="007620A5" w:rsidRPr="00A9402C" w:rsidRDefault="00BA1CDF" w:rsidP="00BA1CDF">
      <w:pPr>
        <w:spacing w:line="360" w:lineRule="auto"/>
        <w:jc w:val="center"/>
        <w:rPr>
          <w:rFonts w:ascii="Arial" w:hAnsi="Arial" w:cs="Arial"/>
          <w:b/>
        </w:rPr>
      </w:pPr>
      <w:r w:rsidRPr="00A9402C">
        <w:rPr>
          <w:rFonts w:ascii="Arial" w:hAnsi="Arial" w:cs="Arial"/>
          <w:b/>
        </w:rPr>
        <w:t xml:space="preserve">Voto concurrente </w:t>
      </w:r>
      <w:r w:rsidR="00F527A5" w:rsidRPr="00A9402C">
        <w:rPr>
          <w:rFonts w:ascii="Arial" w:hAnsi="Arial" w:cs="Arial"/>
          <w:b/>
        </w:rPr>
        <w:t>respecto de los apartados</w:t>
      </w:r>
      <w:r w:rsidRPr="00A9402C">
        <w:rPr>
          <w:rFonts w:ascii="Arial" w:hAnsi="Arial" w:cs="Arial"/>
          <w:b/>
        </w:rPr>
        <w:t xml:space="preserve"> </w:t>
      </w:r>
      <w:r w:rsidR="007620A5" w:rsidRPr="00A9402C">
        <w:rPr>
          <w:rFonts w:ascii="Arial" w:hAnsi="Arial" w:cs="Arial"/>
          <w:b/>
        </w:rPr>
        <w:t>B, E</w:t>
      </w:r>
      <w:r w:rsidR="00310A48" w:rsidRPr="00A9402C">
        <w:rPr>
          <w:rFonts w:ascii="Arial" w:hAnsi="Arial" w:cs="Arial"/>
          <w:b/>
        </w:rPr>
        <w:t xml:space="preserve"> y</w:t>
      </w:r>
      <w:r w:rsidR="007620A5" w:rsidRPr="00A9402C">
        <w:rPr>
          <w:rFonts w:ascii="Arial" w:hAnsi="Arial" w:cs="Arial"/>
          <w:b/>
        </w:rPr>
        <w:t xml:space="preserve"> F.</w:t>
      </w:r>
    </w:p>
    <w:p w14:paraId="252B007A" w14:textId="5FBDAEDC" w:rsidR="007620A5" w:rsidRPr="00847234" w:rsidRDefault="007620A5" w:rsidP="00CF2541">
      <w:pPr>
        <w:spacing w:line="360" w:lineRule="auto"/>
        <w:jc w:val="both"/>
        <w:rPr>
          <w:rFonts w:ascii="Arial" w:hAnsi="Arial" w:cs="Arial"/>
          <w:bCs/>
        </w:rPr>
      </w:pPr>
    </w:p>
    <w:p w14:paraId="0AEA0FC8" w14:textId="6BACAD69" w:rsidR="00CF2541" w:rsidRPr="00847234" w:rsidRDefault="00CF2541" w:rsidP="00CF2541">
      <w:pPr>
        <w:spacing w:line="360" w:lineRule="auto"/>
        <w:jc w:val="both"/>
        <w:rPr>
          <w:rFonts w:ascii="Arial" w:hAnsi="Arial" w:cs="Arial"/>
          <w:bCs/>
        </w:rPr>
      </w:pPr>
      <w:r w:rsidRPr="00847234">
        <w:rPr>
          <w:rFonts w:ascii="Arial" w:hAnsi="Arial" w:cs="Arial"/>
          <w:bCs/>
        </w:rPr>
        <w:t>En est</w:t>
      </w:r>
      <w:r w:rsidR="00423B7B">
        <w:rPr>
          <w:rFonts w:ascii="Arial" w:hAnsi="Arial" w:cs="Arial"/>
          <w:bCs/>
        </w:rPr>
        <w:t xml:space="preserve">e capítulo, </w:t>
      </w:r>
      <w:r w:rsidRPr="00847234">
        <w:rPr>
          <w:rFonts w:ascii="Arial" w:hAnsi="Arial" w:cs="Arial"/>
          <w:bCs/>
        </w:rPr>
        <w:t>formular</w:t>
      </w:r>
      <w:r w:rsidR="00313126" w:rsidRPr="00847234">
        <w:rPr>
          <w:rFonts w:ascii="Arial" w:hAnsi="Arial" w:cs="Arial"/>
          <w:bCs/>
        </w:rPr>
        <w:t>é</w:t>
      </w:r>
      <w:r w:rsidRPr="00847234">
        <w:rPr>
          <w:rFonts w:ascii="Arial" w:hAnsi="Arial" w:cs="Arial"/>
          <w:bCs/>
        </w:rPr>
        <w:t xml:space="preserve"> otro voto concurrente</w:t>
      </w:r>
      <w:r w:rsidR="00BC4031" w:rsidRPr="00847234">
        <w:rPr>
          <w:rFonts w:ascii="Arial" w:hAnsi="Arial" w:cs="Arial"/>
          <w:bCs/>
        </w:rPr>
        <w:t xml:space="preserve">. </w:t>
      </w:r>
      <w:r w:rsidR="00DF7E96" w:rsidRPr="00847234">
        <w:rPr>
          <w:rFonts w:ascii="Arial" w:hAnsi="Arial" w:cs="Arial"/>
          <w:bCs/>
        </w:rPr>
        <w:t>Este me</w:t>
      </w:r>
      <w:r w:rsidRPr="00847234">
        <w:rPr>
          <w:rFonts w:ascii="Arial" w:hAnsi="Arial" w:cs="Arial"/>
          <w:bCs/>
        </w:rPr>
        <w:t xml:space="preserve"> servirá para separarme de algunas consideraciones de otros apa</w:t>
      </w:r>
      <w:r w:rsidR="00B52CD4" w:rsidRPr="00847234">
        <w:rPr>
          <w:rFonts w:ascii="Arial" w:hAnsi="Arial" w:cs="Arial"/>
          <w:bCs/>
        </w:rPr>
        <w:t>r</w:t>
      </w:r>
      <w:r w:rsidRPr="00847234">
        <w:rPr>
          <w:rFonts w:ascii="Arial" w:hAnsi="Arial" w:cs="Arial"/>
          <w:bCs/>
        </w:rPr>
        <w:t xml:space="preserve">tados, para clarificar mi criterio y añadir </w:t>
      </w:r>
      <w:r w:rsidR="00A2356D" w:rsidRPr="00847234">
        <w:rPr>
          <w:rFonts w:ascii="Arial" w:hAnsi="Arial" w:cs="Arial"/>
          <w:bCs/>
        </w:rPr>
        <w:t xml:space="preserve">razones y fundamentos </w:t>
      </w:r>
      <w:r w:rsidRPr="00847234">
        <w:rPr>
          <w:rFonts w:ascii="Arial" w:hAnsi="Arial" w:cs="Arial"/>
          <w:bCs/>
        </w:rPr>
        <w:t>necesari</w:t>
      </w:r>
      <w:r w:rsidR="00A2356D" w:rsidRPr="00847234">
        <w:rPr>
          <w:rFonts w:ascii="Arial" w:hAnsi="Arial" w:cs="Arial"/>
          <w:bCs/>
        </w:rPr>
        <w:t>o</w:t>
      </w:r>
      <w:r w:rsidRPr="00847234">
        <w:rPr>
          <w:rFonts w:ascii="Arial" w:hAnsi="Arial" w:cs="Arial"/>
          <w:bCs/>
        </w:rPr>
        <w:t xml:space="preserve">s para la resolución de las preguntas de fondo. </w:t>
      </w:r>
      <w:r w:rsidR="001B55A6" w:rsidRPr="00847234">
        <w:rPr>
          <w:rFonts w:ascii="Arial" w:hAnsi="Arial" w:cs="Arial"/>
          <w:bCs/>
        </w:rPr>
        <w:t xml:space="preserve">Ordenaré mis </w:t>
      </w:r>
      <w:r w:rsidR="00DF7E96" w:rsidRPr="00847234">
        <w:rPr>
          <w:rFonts w:ascii="Arial" w:hAnsi="Arial" w:cs="Arial"/>
          <w:bCs/>
        </w:rPr>
        <w:t>precisiones de</w:t>
      </w:r>
      <w:r w:rsidR="001B55A6" w:rsidRPr="00847234">
        <w:rPr>
          <w:rFonts w:ascii="Arial" w:hAnsi="Arial" w:cs="Arial"/>
          <w:bCs/>
        </w:rPr>
        <w:t xml:space="preserve"> acuerdo con </w:t>
      </w:r>
      <w:r w:rsidR="003322B0" w:rsidRPr="00847234">
        <w:rPr>
          <w:rFonts w:ascii="Arial" w:hAnsi="Arial" w:cs="Arial"/>
          <w:bCs/>
        </w:rPr>
        <w:t>la división temática del proyecto original.</w:t>
      </w:r>
    </w:p>
    <w:p w14:paraId="603ADE47" w14:textId="77777777" w:rsidR="00CF2541" w:rsidRPr="00847234" w:rsidRDefault="00CF2541" w:rsidP="00CF2541">
      <w:pPr>
        <w:spacing w:line="360" w:lineRule="auto"/>
        <w:jc w:val="both"/>
        <w:rPr>
          <w:rFonts w:ascii="Arial" w:hAnsi="Arial" w:cs="Arial"/>
          <w:bCs/>
        </w:rPr>
      </w:pPr>
    </w:p>
    <w:p w14:paraId="554AC690" w14:textId="7AD7B68E" w:rsidR="00BA1CDF" w:rsidRPr="00A9402C" w:rsidRDefault="00BA1CDF" w:rsidP="00BA1CDF">
      <w:pPr>
        <w:spacing w:line="360" w:lineRule="auto"/>
        <w:jc w:val="center"/>
        <w:rPr>
          <w:rFonts w:ascii="Arial" w:hAnsi="Arial" w:cs="Arial"/>
          <w:b/>
        </w:rPr>
      </w:pPr>
      <w:r w:rsidRPr="00A9402C">
        <w:rPr>
          <w:rFonts w:ascii="Arial" w:hAnsi="Arial" w:cs="Arial"/>
          <w:b/>
        </w:rPr>
        <w:t xml:space="preserve"> </w:t>
      </w:r>
      <w:r w:rsidR="007620A5" w:rsidRPr="00A9402C">
        <w:rPr>
          <w:rFonts w:ascii="Arial" w:hAnsi="Arial" w:cs="Arial"/>
          <w:b/>
        </w:rPr>
        <w:t xml:space="preserve">Apartado B: </w:t>
      </w:r>
      <w:r w:rsidRPr="00A9402C">
        <w:rPr>
          <w:rFonts w:ascii="Arial" w:hAnsi="Arial" w:cs="Arial"/>
          <w:b/>
        </w:rPr>
        <w:t>del trato nacional a la luz del Tratado Integral y Progresista de Asociación Transpacífico y del Tratado entre México, Estados Unidos y Canadá.</w:t>
      </w:r>
    </w:p>
    <w:p w14:paraId="31352E89" w14:textId="77777777" w:rsidR="00770E89" w:rsidRDefault="00770E89" w:rsidP="008D342D">
      <w:pPr>
        <w:spacing w:line="360" w:lineRule="auto"/>
        <w:jc w:val="both"/>
        <w:rPr>
          <w:rFonts w:ascii="Arial" w:hAnsi="Arial" w:cs="Arial"/>
          <w:bCs/>
          <w:lang w:val="es-ES_tradnl"/>
        </w:rPr>
      </w:pPr>
    </w:p>
    <w:p w14:paraId="2600D178" w14:textId="47195095" w:rsidR="00D37B6B" w:rsidRPr="00847234" w:rsidRDefault="00D37B6B" w:rsidP="008D342D">
      <w:pPr>
        <w:spacing w:line="360" w:lineRule="auto"/>
        <w:jc w:val="both"/>
        <w:rPr>
          <w:rFonts w:ascii="Arial" w:hAnsi="Arial" w:cs="Arial"/>
          <w:bCs/>
          <w:lang w:val="es-ES_tradnl"/>
        </w:rPr>
      </w:pPr>
      <w:r w:rsidRPr="00847234">
        <w:rPr>
          <w:rFonts w:ascii="Arial" w:hAnsi="Arial" w:cs="Arial"/>
          <w:bCs/>
          <w:lang w:val="es-ES_tradnl"/>
        </w:rPr>
        <w:t xml:space="preserve">En este apartado, la sentencia responde negativamente a la pregunta formulada por los promoventes, consistente en determinar si las normas legales impugnadas </w:t>
      </w:r>
      <w:r w:rsidRPr="00847234">
        <w:rPr>
          <w:rFonts w:ascii="Arial" w:hAnsi="Arial" w:cs="Arial"/>
          <w:bCs/>
          <w:lang w:val="es-ES_tradnl"/>
        </w:rPr>
        <w:lastRenderedPageBreak/>
        <w:t>violan distintos tratados internacionales comerciales de los cuales el Estado Mexicano es parte.</w:t>
      </w:r>
    </w:p>
    <w:p w14:paraId="647920B1" w14:textId="77777777" w:rsidR="00D37B6B" w:rsidRPr="00847234" w:rsidRDefault="00D37B6B" w:rsidP="008D342D">
      <w:pPr>
        <w:spacing w:line="360" w:lineRule="auto"/>
        <w:jc w:val="both"/>
        <w:rPr>
          <w:rFonts w:ascii="Arial" w:hAnsi="Arial" w:cs="Arial"/>
          <w:bCs/>
          <w:lang w:val="es-ES_tradnl"/>
        </w:rPr>
      </w:pPr>
    </w:p>
    <w:p w14:paraId="75DAD810" w14:textId="0870A511" w:rsidR="008D342D" w:rsidRPr="00847234" w:rsidRDefault="008D342D" w:rsidP="008D342D">
      <w:pPr>
        <w:spacing w:line="360" w:lineRule="auto"/>
        <w:jc w:val="both"/>
        <w:rPr>
          <w:rFonts w:ascii="Arial" w:hAnsi="Arial" w:cs="Arial"/>
          <w:bCs/>
          <w:lang w:val="es-ES_tradnl"/>
        </w:rPr>
      </w:pPr>
      <w:r w:rsidRPr="00847234">
        <w:rPr>
          <w:rFonts w:ascii="Arial" w:hAnsi="Arial" w:cs="Arial"/>
          <w:bCs/>
          <w:lang w:val="es-ES_tradnl"/>
        </w:rPr>
        <w:t>Coincid</w:t>
      </w:r>
      <w:r w:rsidR="003322B0" w:rsidRPr="00847234">
        <w:rPr>
          <w:rFonts w:ascii="Arial" w:hAnsi="Arial" w:cs="Arial"/>
          <w:bCs/>
          <w:lang w:val="es-ES_tradnl"/>
        </w:rPr>
        <w:t>í con la decisión de calificar como infundado este planteamiento de la parte actora, ya que suscribo</w:t>
      </w:r>
      <w:r w:rsidRPr="00847234">
        <w:rPr>
          <w:rFonts w:ascii="Arial" w:hAnsi="Arial" w:cs="Arial"/>
          <w:bCs/>
          <w:lang w:val="es-ES_tradnl"/>
        </w:rPr>
        <w:t xml:space="preserve"> </w:t>
      </w:r>
      <w:proofErr w:type="gramStart"/>
      <w:r w:rsidRPr="00847234">
        <w:rPr>
          <w:rFonts w:ascii="Arial" w:hAnsi="Arial" w:cs="Arial"/>
          <w:bCs/>
          <w:lang w:val="es-ES_tradnl"/>
        </w:rPr>
        <w:t>que</w:t>
      </w:r>
      <w:proofErr w:type="gramEnd"/>
      <w:r w:rsidR="00DF7E96" w:rsidRPr="00847234">
        <w:rPr>
          <w:rFonts w:ascii="Arial" w:hAnsi="Arial" w:cs="Arial"/>
          <w:bCs/>
          <w:lang w:val="es-ES_tradnl"/>
        </w:rPr>
        <w:t xml:space="preserve"> </w:t>
      </w:r>
      <w:r w:rsidRPr="00847234">
        <w:rPr>
          <w:rFonts w:ascii="Arial" w:hAnsi="Arial" w:cs="Arial"/>
          <w:bCs/>
          <w:lang w:val="es-ES_tradnl"/>
        </w:rPr>
        <w:t>en una acción de inconstitucionalidad, este Pleno sólo está facultado para evaluar la validez de las leyes desde la perspectiva del parámetro de control</w:t>
      </w:r>
      <w:r w:rsidR="002D5E91" w:rsidRPr="00847234">
        <w:rPr>
          <w:rFonts w:ascii="Arial" w:hAnsi="Arial" w:cs="Arial"/>
          <w:bCs/>
          <w:lang w:val="es-ES_tradnl"/>
        </w:rPr>
        <w:t xml:space="preserve">. Cualquier </w:t>
      </w:r>
      <w:r w:rsidRPr="00847234">
        <w:rPr>
          <w:rFonts w:ascii="Arial" w:hAnsi="Arial" w:cs="Arial"/>
          <w:bCs/>
          <w:lang w:val="es-ES_tradnl"/>
        </w:rPr>
        <w:t>pronunciamiento que suponga responder a una interrogante distinta, como sería de</w:t>
      </w:r>
      <w:r w:rsidR="00B71D3E" w:rsidRPr="00847234">
        <w:rPr>
          <w:rFonts w:ascii="Arial" w:hAnsi="Arial" w:cs="Arial"/>
          <w:bCs/>
          <w:lang w:val="es-ES_tradnl"/>
        </w:rPr>
        <w:t xml:space="preserve">cidir </w:t>
      </w:r>
      <w:r w:rsidRPr="00847234">
        <w:rPr>
          <w:rFonts w:ascii="Arial" w:hAnsi="Arial" w:cs="Arial"/>
          <w:bCs/>
          <w:lang w:val="es-ES_tradnl"/>
        </w:rPr>
        <w:t xml:space="preserve">si la ley impugnada es compatible con normas </w:t>
      </w:r>
      <w:proofErr w:type="spellStart"/>
      <w:r w:rsidRPr="00847234">
        <w:rPr>
          <w:rFonts w:ascii="Arial" w:hAnsi="Arial" w:cs="Arial"/>
          <w:bCs/>
          <w:lang w:val="es-ES_tradnl"/>
        </w:rPr>
        <w:t>infraconstitucionales</w:t>
      </w:r>
      <w:proofErr w:type="spellEnd"/>
      <w:r w:rsidRPr="00847234">
        <w:rPr>
          <w:rFonts w:ascii="Arial" w:hAnsi="Arial" w:cs="Arial"/>
          <w:bCs/>
          <w:lang w:val="es-ES_tradnl"/>
        </w:rPr>
        <w:t xml:space="preserve"> que no son parte del parámetro de control, debe desestimarse.</w:t>
      </w:r>
    </w:p>
    <w:p w14:paraId="679FCCA1" w14:textId="77777777" w:rsidR="008D342D" w:rsidRPr="00847234" w:rsidRDefault="008D342D" w:rsidP="008D342D">
      <w:pPr>
        <w:spacing w:line="360" w:lineRule="auto"/>
        <w:jc w:val="both"/>
        <w:rPr>
          <w:rFonts w:ascii="Arial" w:hAnsi="Arial" w:cs="Arial"/>
          <w:bCs/>
          <w:lang w:val="es-ES_tradnl"/>
        </w:rPr>
      </w:pPr>
    </w:p>
    <w:p w14:paraId="640E6403" w14:textId="77777777" w:rsidR="004104DC" w:rsidRPr="00847234" w:rsidRDefault="008D342D" w:rsidP="00562B76">
      <w:pPr>
        <w:spacing w:line="360" w:lineRule="auto"/>
        <w:jc w:val="both"/>
        <w:rPr>
          <w:rFonts w:ascii="Arial" w:hAnsi="Arial" w:cs="Arial"/>
          <w:bCs/>
          <w:lang w:val="es-ES_tradnl"/>
        </w:rPr>
      </w:pPr>
      <w:r w:rsidRPr="00847234">
        <w:rPr>
          <w:rFonts w:ascii="Arial" w:hAnsi="Arial" w:cs="Arial"/>
          <w:bCs/>
          <w:lang w:val="es-ES_tradnl"/>
        </w:rPr>
        <w:t>De esta manera, considero que la regla denominada de “trato nacional” contenida en el Tratado de Libre Comercio entre México, Estados Unidos y Canadá</w:t>
      </w:r>
      <w:r w:rsidR="002D5E91" w:rsidRPr="00847234">
        <w:rPr>
          <w:rFonts w:ascii="Arial" w:hAnsi="Arial" w:cs="Arial"/>
          <w:bCs/>
          <w:lang w:val="es-ES_tradnl"/>
        </w:rPr>
        <w:t xml:space="preserve">, así </w:t>
      </w:r>
      <w:r w:rsidR="009446DC" w:rsidRPr="00847234">
        <w:rPr>
          <w:rFonts w:ascii="Arial" w:hAnsi="Arial" w:cs="Arial"/>
          <w:bCs/>
          <w:lang w:val="es-ES_tradnl"/>
        </w:rPr>
        <w:t>como en</w:t>
      </w:r>
      <w:r w:rsidRPr="00847234">
        <w:rPr>
          <w:rFonts w:ascii="Arial" w:hAnsi="Arial" w:cs="Arial"/>
          <w:bCs/>
          <w:lang w:val="es-ES_tradnl"/>
        </w:rPr>
        <w:t xml:space="preserve"> el Tratado Integral y Progresista de Asociación Transpacífico</w:t>
      </w:r>
      <w:r w:rsidR="002D5E91" w:rsidRPr="00847234">
        <w:rPr>
          <w:rFonts w:ascii="Arial" w:hAnsi="Arial" w:cs="Arial"/>
          <w:bCs/>
          <w:lang w:val="es-ES_tradnl"/>
        </w:rPr>
        <w:t>,</w:t>
      </w:r>
      <w:r w:rsidRPr="00847234">
        <w:rPr>
          <w:rFonts w:ascii="Arial" w:hAnsi="Arial" w:cs="Arial"/>
          <w:bCs/>
          <w:lang w:val="es-ES_tradnl"/>
        </w:rPr>
        <w:t xml:space="preserve"> no </w:t>
      </w:r>
      <w:r w:rsidR="00BE4F39" w:rsidRPr="00847234">
        <w:rPr>
          <w:rFonts w:ascii="Arial" w:hAnsi="Arial" w:cs="Arial"/>
          <w:bCs/>
          <w:lang w:val="es-ES_tradnl"/>
        </w:rPr>
        <w:t xml:space="preserve">es </w:t>
      </w:r>
      <w:r w:rsidR="002D5E91" w:rsidRPr="00847234">
        <w:rPr>
          <w:rFonts w:ascii="Arial" w:hAnsi="Arial" w:cs="Arial"/>
          <w:bCs/>
          <w:lang w:val="es-ES_tradnl"/>
        </w:rPr>
        <w:t xml:space="preserve">parte </w:t>
      </w:r>
      <w:r w:rsidR="00E010BF" w:rsidRPr="00847234">
        <w:rPr>
          <w:rFonts w:ascii="Arial" w:hAnsi="Arial" w:cs="Arial"/>
          <w:bCs/>
          <w:lang w:val="es-ES_tradnl"/>
        </w:rPr>
        <w:t xml:space="preserve">del </w:t>
      </w:r>
      <w:r w:rsidRPr="00847234">
        <w:rPr>
          <w:rFonts w:ascii="Arial" w:hAnsi="Arial" w:cs="Arial"/>
          <w:bCs/>
          <w:lang w:val="es-ES_tradnl"/>
        </w:rPr>
        <w:t>parámetro de control constitucional</w:t>
      </w:r>
      <w:r w:rsidR="00E010BF" w:rsidRPr="00847234">
        <w:rPr>
          <w:rFonts w:ascii="Arial" w:hAnsi="Arial" w:cs="Arial"/>
          <w:bCs/>
          <w:lang w:val="es-ES_tradnl"/>
        </w:rPr>
        <w:t xml:space="preserve">; </w:t>
      </w:r>
      <w:r w:rsidR="00817B75" w:rsidRPr="00847234">
        <w:rPr>
          <w:rFonts w:ascii="Arial" w:hAnsi="Arial" w:cs="Arial"/>
          <w:bCs/>
          <w:lang w:val="es-ES_tradnl"/>
        </w:rPr>
        <w:t>ese contenido</w:t>
      </w:r>
      <w:r w:rsidRPr="00847234">
        <w:rPr>
          <w:rFonts w:ascii="Arial" w:hAnsi="Arial" w:cs="Arial"/>
          <w:bCs/>
          <w:lang w:val="es-ES_tradnl"/>
        </w:rPr>
        <w:t xml:space="preserve"> </w:t>
      </w:r>
      <w:r w:rsidR="009B2AED" w:rsidRPr="00847234">
        <w:rPr>
          <w:rFonts w:ascii="Arial" w:hAnsi="Arial" w:cs="Arial"/>
          <w:bCs/>
          <w:lang w:val="es-ES_tradnl"/>
        </w:rPr>
        <w:t>no es u</w:t>
      </w:r>
      <w:r w:rsidRPr="00847234">
        <w:rPr>
          <w:rFonts w:ascii="Arial" w:hAnsi="Arial" w:cs="Arial"/>
          <w:bCs/>
          <w:lang w:val="es-ES_tradnl"/>
        </w:rPr>
        <w:t>n derecho humano, sino una regla de trato comercial aplicable a los agentes económicos.</w:t>
      </w:r>
      <w:r w:rsidR="00817B75" w:rsidRPr="00847234">
        <w:rPr>
          <w:rFonts w:ascii="Arial" w:hAnsi="Arial" w:cs="Arial"/>
          <w:bCs/>
          <w:lang w:val="es-ES_tradnl"/>
        </w:rPr>
        <w:t xml:space="preserve"> </w:t>
      </w:r>
    </w:p>
    <w:p w14:paraId="357304DB" w14:textId="77777777" w:rsidR="004104DC" w:rsidRPr="00847234" w:rsidRDefault="004104DC" w:rsidP="00562B76">
      <w:pPr>
        <w:spacing w:line="360" w:lineRule="auto"/>
        <w:jc w:val="both"/>
        <w:rPr>
          <w:rFonts w:ascii="Arial" w:hAnsi="Arial" w:cs="Arial"/>
          <w:bCs/>
          <w:lang w:val="es-ES_tradnl"/>
        </w:rPr>
      </w:pPr>
    </w:p>
    <w:p w14:paraId="328F41D3" w14:textId="171FAE6B" w:rsidR="00562B76" w:rsidRPr="00847234" w:rsidRDefault="008D342D" w:rsidP="00562B76">
      <w:pPr>
        <w:spacing w:line="360" w:lineRule="auto"/>
        <w:jc w:val="both"/>
        <w:rPr>
          <w:rFonts w:ascii="Arial" w:hAnsi="Arial" w:cs="Arial"/>
          <w:bCs/>
          <w:lang w:val="es-ES_tradnl"/>
        </w:rPr>
      </w:pPr>
      <w:r w:rsidRPr="00847234">
        <w:rPr>
          <w:rFonts w:ascii="Arial" w:hAnsi="Arial" w:cs="Arial"/>
          <w:bCs/>
          <w:lang w:val="es-ES_tradnl"/>
        </w:rPr>
        <w:t xml:space="preserve">Al resolver </w:t>
      </w:r>
      <w:r w:rsidR="002B482A" w:rsidRPr="00847234">
        <w:rPr>
          <w:rFonts w:ascii="Arial" w:hAnsi="Arial" w:cs="Arial"/>
          <w:bCs/>
          <w:lang w:val="es-ES_tradnl"/>
        </w:rPr>
        <w:t>las</w:t>
      </w:r>
      <w:r w:rsidRPr="00847234">
        <w:rPr>
          <w:rFonts w:ascii="Arial" w:hAnsi="Arial" w:cs="Arial"/>
          <w:bCs/>
          <w:lang w:val="es-ES_tradnl"/>
        </w:rPr>
        <w:t xml:space="preserve"> contradicci</w:t>
      </w:r>
      <w:r w:rsidR="002B482A" w:rsidRPr="00847234">
        <w:rPr>
          <w:rFonts w:ascii="Arial" w:hAnsi="Arial" w:cs="Arial"/>
          <w:bCs/>
          <w:lang w:val="es-ES_tradnl"/>
        </w:rPr>
        <w:t xml:space="preserve">ones </w:t>
      </w:r>
      <w:r w:rsidRPr="00847234">
        <w:rPr>
          <w:rFonts w:ascii="Arial" w:hAnsi="Arial" w:cs="Arial"/>
          <w:bCs/>
          <w:lang w:val="es-ES_tradnl"/>
        </w:rPr>
        <w:t>de tesis 293/2011</w:t>
      </w:r>
      <w:r w:rsidR="002B482A" w:rsidRPr="00847234">
        <w:rPr>
          <w:rFonts w:ascii="Arial" w:hAnsi="Arial" w:cs="Arial"/>
          <w:bCs/>
          <w:lang w:val="es-ES_tradnl"/>
        </w:rPr>
        <w:t xml:space="preserve"> y </w:t>
      </w:r>
      <w:r w:rsidRPr="00847234">
        <w:rPr>
          <w:rFonts w:ascii="Arial" w:hAnsi="Arial" w:cs="Arial"/>
          <w:bCs/>
          <w:lang w:val="es-ES_tradnl"/>
        </w:rPr>
        <w:t xml:space="preserve">21/2011, este Pleno </w:t>
      </w:r>
      <w:r w:rsidR="009B2AED" w:rsidRPr="00847234">
        <w:rPr>
          <w:rFonts w:ascii="Arial" w:hAnsi="Arial" w:cs="Arial"/>
          <w:bCs/>
          <w:lang w:val="es-ES_tradnl"/>
        </w:rPr>
        <w:t xml:space="preserve">expresó </w:t>
      </w:r>
      <w:r w:rsidR="002B482A" w:rsidRPr="00847234">
        <w:rPr>
          <w:rFonts w:ascii="Arial" w:hAnsi="Arial" w:cs="Arial"/>
          <w:bCs/>
          <w:lang w:val="es-ES_tradnl"/>
        </w:rPr>
        <w:t xml:space="preserve">contundentemente </w:t>
      </w:r>
      <w:r w:rsidRPr="00847234">
        <w:rPr>
          <w:rFonts w:ascii="Arial" w:hAnsi="Arial" w:cs="Arial"/>
          <w:bCs/>
          <w:lang w:val="es-ES_tradnl"/>
        </w:rPr>
        <w:t xml:space="preserve">que </w:t>
      </w:r>
      <w:r w:rsidR="00F616F9" w:rsidRPr="00847234">
        <w:rPr>
          <w:rFonts w:ascii="Arial" w:hAnsi="Arial" w:cs="Arial"/>
          <w:bCs/>
          <w:lang w:val="es-ES_tradnl"/>
        </w:rPr>
        <w:t xml:space="preserve">sólo </w:t>
      </w:r>
      <w:r w:rsidR="008D7BE7" w:rsidRPr="00847234">
        <w:rPr>
          <w:rFonts w:ascii="Arial" w:hAnsi="Arial" w:cs="Arial"/>
          <w:bCs/>
          <w:lang w:val="es-ES_tradnl"/>
        </w:rPr>
        <w:t xml:space="preserve">serían parte del parámetro de control </w:t>
      </w:r>
      <w:r w:rsidRPr="00847234">
        <w:rPr>
          <w:rFonts w:ascii="Arial" w:hAnsi="Arial" w:cs="Arial"/>
          <w:bCs/>
          <w:lang w:val="es-ES_tradnl"/>
        </w:rPr>
        <w:t>l</w:t>
      </w:r>
      <w:r w:rsidR="00C04E99" w:rsidRPr="00847234">
        <w:rPr>
          <w:rFonts w:ascii="Arial" w:hAnsi="Arial" w:cs="Arial"/>
          <w:bCs/>
          <w:lang w:val="es-ES_tradnl"/>
        </w:rPr>
        <w:t>as disposiciones de los tratados internacionales que</w:t>
      </w:r>
      <w:r w:rsidR="00F23AE0" w:rsidRPr="00847234">
        <w:rPr>
          <w:rFonts w:ascii="Arial" w:hAnsi="Arial" w:cs="Arial"/>
          <w:bCs/>
          <w:lang w:val="es-ES_tradnl"/>
        </w:rPr>
        <w:t xml:space="preserve"> reconocieran derechos humanos</w:t>
      </w:r>
      <w:r w:rsidR="00562B76" w:rsidRPr="00847234">
        <w:rPr>
          <w:rFonts w:ascii="Arial" w:hAnsi="Arial" w:cs="Arial"/>
          <w:bCs/>
          <w:lang w:val="es-ES_tradnl"/>
        </w:rPr>
        <w:t>. Esto significa que son los contenidos de derechos humanos y no los tratados internacionales los que integran el parámetro de control.</w:t>
      </w:r>
    </w:p>
    <w:p w14:paraId="7E8A2E68" w14:textId="77777777" w:rsidR="008D342D" w:rsidRPr="00847234" w:rsidRDefault="008D342D" w:rsidP="008D342D">
      <w:pPr>
        <w:spacing w:line="360" w:lineRule="auto"/>
        <w:jc w:val="both"/>
        <w:rPr>
          <w:rFonts w:ascii="Arial" w:hAnsi="Arial" w:cs="Arial"/>
          <w:bCs/>
          <w:lang w:val="es-ES_tradnl"/>
        </w:rPr>
      </w:pPr>
    </w:p>
    <w:p w14:paraId="26693A77" w14:textId="087160A9" w:rsidR="008D342D" w:rsidRPr="00847234" w:rsidRDefault="008D342D" w:rsidP="008D342D">
      <w:pPr>
        <w:spacing w:line="360" w:lineRule="auto"/>
        <w:jc w:val="both"/>
        <w:rPr>
          <w:rFonts w:ascii="Arial" w:hAnsi="Arial" w:cs="Arial"/>
          <w:bCs/>
          <w:lang w:val="es-ES_tradnl"/>
        </w:rPr>
      </w:pPr>
      <w:r w:rsidRPr="00847234">
        <w:rPr>
          <w:rFonts w:ascii="Arial" w:hAnsi="Arial" w:cs="Arial"/>
          <w:bCs/>
          <w:lang w:val="es-ES_tradnl"/>
        </w:rPr>
        <w:t xml:space="preserve">En el presente caso, una regla de trato en las relaciones comerciales no </w:t>
      </w:r>
      <w:r w:rsidR="00453AB3" w:rsidRPr="00847234">
        <w:rPr>
          <w:rFonts w:ascii="Arial" w:hAnsi="Arial" w:cs="Arial"/>
          <w:bCs/>
          <w:lang w:val="es-ES_tradnl"/>
        </w:rPr>
        <w:t>debiera calificarse</w:t>
      </w:r>
      <w:r w:rsidRPr="00847234">
        <w:rPr>
          <w:rFonts w:ascii="Arial" w:hAnsi="Arial" w:cs="Arial"/>
          <w:bCs/>
          <w:lang w:val="es-ES_tradnl"/>
        </w:rPr>
        <w:t xml:space="preserve"> como un derecho humano, ni siquiera como una vertiente del derecho humano a la igualdad y/o no discriminación</w:t>
      </w:r>
      <w:r w:rsidR="0081382C" w:rsidRPr="00847234">
        <w:rPr>
          <w:rFonts w:ascii="Arial" w:hAnsi="Arial" w:cs="Arial"/>
          <w:bCs/>
          <w:lang w:val="es-ES_tradnl"/>
        </w:rPr>
        <w:t xml:space="preserve">; </w:t>
      </w:r>
      <w:r w:rsidRPr="00847234">
        <w:rPr>
          <w:rFonts w:ascii="Arial" w:hAnsi="Arial" w:cs="Arial"/>
          <w:bCs/>
          <w:lang w:val="es-ES_tradnl"/>
        </w:rPr>
        <w:t xml:space="preserve">las reglas de trato comerciales no se relacionan con el principio de igualdad ante la ley o </w:t>
      </w:r>
      <w:r w:rsidR="0081382C" w:rsidRPr="00847234">
        <w:rPr>
          <w:rFonts w:ascii="Arial" w:hAnsi="Arial" w:cs="Arial"/>
          <w:bCs/>
          <w:lang w:val="es-ES_tradnl"/>
        </w:rPr>
        <w:t xml:space="preserve">con </w:t>
      </w:r>
      <w:r w:rsidRPr="00847234">
        <w:rPr>
          <w:rFonts w:ascii="Arial" w:hAnsi="Arial" w:cs="Arial"/>
          <w:bCs/>
          <w:lang w:val="es-ES_tradnl"/>
        </w:rPr>
        <w:t>su contenido, sino con las reglas del mercado.</w:t>
      </w:r>
      <w:r w:rsidR="005A2E4E" w:rsidRPr="00847234">
        <w:rPr>
          <w:rFonts w:ascii="Arial" w:hAnsi="Arial" w:cs="Arial"/>
          <w:bCs/>
          <w:lang w:val="es-ES_tradnl"/>
        </w:rPr>
        <w:t xml:space="preserve"> Suponer lo contrario distorsionaría </w:t>
      </w:r>
      <w:r w:rsidRPr="00847234">
        <w:rPr>
          <w:rFonts w:ascii="Arial" w:hAnsi="Arial" w:cs="Arial"/>
          <w:bCs/>
          <w:lang w:val="es-ES_tradnl"/>
        </w:rPr>
        <w:t>el parámetro de control</w:t>
      </w:r>
      <w:r w:rsidR="005A2E4E" w:rsidRPr="00847234">
        <w:rPr>
          <w:rFonts w:ascii="Arial" w:hAnsi="Arial" w:cs="Arial"/>
          <w:bCs/>
          <w:lang w:val="es-ES_tradnl"/>
        </w:rPr>
        <w:t xml:space="preserve">; de pronto, todas </w:t>
      </w:r>
      <w:r w:rsidRPr="00847234">
        <w:rPr>
          <w:rFonts w:ascii="Arial" w:hAnsi="Arial" w:cs="Arial"/>
          <w:bCs/>
          <w:lang w:val="es-ES_tradnl"/>
        </w:rPr>
        <w:t xml:space="preserve">las reglas de los distintos mercados </w:t>
      </w:r>
      <w:r w:rsidR="00BC78C0" w:rsidRPr="00847234">
        <w:rPr>
          <w:rFonts w:ascii="Arial" w:hAnsi="Arial" w:cs="Arial"/>
          <w:bCs/>
          <w:lang w:val="es-ES_tradnl"/>
        </w:rPr>
        <w:t xml:space="preserve">descansarían en </w:t>
      </w:r>
      <w:r w:rsidRPr="00847234">
        <w:rPr>
          <w:rFonts w:ascii="Arial" w:hAnsi="Arial" w:cs="Arial"/>
          <w:bCs/>
          <w:lang w:val="es-ES_tradnl"/>
        </w:rPr>
        <w:t>un principio genérico de igualdad</w:t>
      </w:r>
      <w:r w:rsidR="000C3238" w:rsidRPr="00847234">
        <w:rPr>
          <w:rFonts w:ascii="Arial" w:hAnsi="Arial" w:cs="Arial"/>
          <w:bCs/>
          <w:lang w:val="es-ES_tradnl"/>
        </w:rPr>
        <w:t xml:space="preserve"> el cual borraría</w:t>
      </w:r>
      <w:r w:rsidR="00AD1FA3" w:rsidRPr="00847234">
        <w:rPr>
          <w:rFonts w:ascii="Arial" w:hAnsi="Arial" w:cs="Arial"/>
          <w:bCs/>
          <w:lang w:val="es-ES_tradnl"/>
        </w:rPr>
        <w:t xml:space="preserve"> </w:t>
      </w:r>
      <w:r w:rsidRPr="00847234">
        <w:rPr>
          <w:rFonts w:ascii="Arial" w:hAnsi="Arial" w:cs="Arial"/>
          <w:bCs/>
          <w:lang w:val="es-ES_tradnl"/>
        </w:rPr>
        <w:t>la distinción entre el ámbito de constitucionalidad y el de legalidad</w:t>
      </w:r>
      <w:r w:rsidR="000C3238" w:rsidRPr="00847234">
        <w:rPr>
          <w:rFonts w:ascii="Arial" w:hAnsi="Arial" w:cs="Arial"/>
          <w:bCs/>
          <w:lang w:val="es-ES_tradnl"/>
        </w:rPr>
        <w:t>; así</w:t>
      </w:r>
      <w:r w:rsidR="00D55BFF" w:rsidRPr="00847234">
        <w:rPr>
          <w:rFonts w:ascii="Arial" w:hAnsi="Arial" w:cs="Arial"/>
          <w:bCs/>
          <w:lang w:val="es-ES_tradnl"/>
        </w:rPr>
        <w:t>,</w:t>
      </w:r>
      <w:r w:rsidR="000C3238" w:rsidRPr="00847234">
        <w:rPr>
          <w:rFonts w:ascii="Arial" w:hAnsi="Arial" w:cs="Arial"/>
          <w:bCs/>
          <w:lang w:val="es-ES_tradnl"/>
        </w:rPr>
        <w:t xml:space="preserve"> </w:t>
      </w:r>
      <w:r w:rsidRPr="00847234">
        <w:rPr>
          <w:rFonts w:ascii="Arial" w:hAnsi="Arial" w:cs="Arial"/>
          <w:bCs/>
          <w:lang w:val="es-ES_tradnl"/>
        </w:rPr>
        <w:t xml:space="preserve">toda determinación comercial </w:t>
      </w:r>
      <w:r w:rsidR="00D82D8B" w:rsidRPr="00847234">
        <w:rPr>
          <w:rFonts w:ascii="Arial" w:hAnsi="Arial" w:cs="Arial"/>
          <w:bCs/>
          <w:lang w:val="es-ES_tradnl"/>
        </w:rPr>
        <w:t>terminaría por ser analizada</w:t>
      </w:r>
      <w:r w:rsidRPr="00847234">
        <w:rPr>
          <w:rFonts w:ascii="Arial" w:hAnsi="Arial" w:cs="Arial"/>
          <w:bCs/>
          <w:lang w:val="es-ES_tradnl"/>
        </w:rPr>
        <w:t xml:space="preserve"> como un problema de derechos humanos.</w:t>
      </w:r>
    </w:p>
    <w:p w14:paraId="2DF4B36F" w14:textId="77777777" w:rsidR="008D342D" w:rsidRPr="00847234" w:rsidRDefault="008D342D" w:rsidP="008D342D">
      <w:pPr>
        <w:spacing w:line="360" w:lineRule="auto"/>
        <w:jc w:val="both"/>
        <w:rPr>
          <w:rFonts w:ascii="Arial" w:hAnsi="Arial" w:cs="Arial"/>
          <w:bCs/>
          <w:lang w:val="es-ES_tradnl"/>
        </w:rPr>
      </w:pPr>
    </w:p>
    <w:p w14:paraId="1F9478C0" w14:textId="09573B56" w:rsidR="008D342D" w:rsidRPr="00847234" w:rsidRDefault="002F1E64" w:rsidP="008D342D">
      <w:pPr>
        <w:spacing w:line="360" w:lineRule="auto"/>
        <w:jc w:val="both"/>
        <w:rPr>
          <w:rFonts w:ascii="Arial" w:hAnsi="Arial" w:cs="Arial"/>
          <w:bCs/>
          <w:lang w:val="es-ES_tradnl"/>
        </w:rPr>
      </w:pPr>
      <w:r w:rsidRPr="00847234">
        <w:rPr>
          <w:rFonts w:ascii="Arial" w:hAnsi="Arial" w:cs="Arial"/>
          <w:bCs/>
          <w:lang w:val="es-ES_tradnl"/>
        </w:rPr>
        <w:t xml:space="preserve">Si </w:t>
      </w:r>
      <w:r w:rsidR="00D82D8B" w:rsidRPr="00847234">
        <w:rPr>
          <w:rFonts w:ascii="Arial" w:hAnsi="Arial" w:cs="Arial"/>
          <w:bCs/>
          <w:lang w:val="es-ES_tradnl"/>
        </w:rPr>
        <w:t>bien mi</w:t>
      </w:r>
      <w:r w:rsidR="008D342D" w:rsidRPr="00847234">
        <w:rPr>
          <w:rFonts w:ascii="Arial" w:hAnsi="Arial" w:cs="Arial"/>
          <w:bCs/>
          <w:lang w:val="es-ES_tradnl"/>
        </w:rPr>
        <w:t xml:space="preserve"> voto </w:t>
      </w:r>
      <w:r w:rsidR="003322B0" w:rsidRPr="00847234">
        <w:rPr>
          <w:rFonts w:ascii="Arial" w:hAnsi="Arial" w:cs="Arial"/>
          <w:bCs/>
          <w:lang w:val="es-ES_tradnl"/>
        </w:rPr>
        <w:t>fue a favor de este apartado</w:t>
      </w:r>
      <w:r w:rsidR="008D342D" w:rsidRPr="00847234">
        <w:rPr>
          <w:rFonts w:ascii="Arial" w:hAnsi="Arial" w:cs="Arial"/>
          <w:bCs/>
          <w:lang w:val="es-ES_tradnl"/>
        </w:rPr>
        <w:t>,</w:t>
      </w:r>
      <w:r w:rsidR="003322B0" w:rsidRPr="00847234">
        <w:rPr>
          <w:rFonts w:ascii="Arial" w:hAnsi="Arial" w:cs="Arial"/>
          <w:bCs/>
          <w:lang w:val="es-ES_tradnl"/>
        </w:rPr>
        <w:t xml:space="preserve"> </w:t>
      </w:r>
      <w:r w:rsidRPr="00847234">
        <w:rPr>
          <w:rFonts w:ascii="Arial" w:hAnsi="Arial" w:cs="Arial"/>
          <w:bCs/>
          <w:lang w:val="es-ES_tradnl"/>
        </w:rPr>
        <w:t xml:space="preserve">me reservo mi </w:t>
      </w:r>
      <w:r w:rsidR="003670A8" w:rsidRPr="00847234">
        <w:rPr>
          <w:rFonts w:ascii="Arial" w:hAnsi="Arial" w:cs="Arial"/>
          <w:bCs/>
          <w:lang w:val="es-ES_tradnl"/>
        </w:rPr>
        <w:t>opinión sobre</w:t>
      </w:r>
      <w:r w:rsidR="003322B0" w:rsidRPr="00847234">
        <w:rPr>
          <w:rFonts w:ascii="Arial" w:hAnsi="Arial" w:cs="Arial"/>
          <w:bCs/>
          <w:lang w:val="es-ES_tradnl"/>
        </w:rPr>
        <w:t xml:space="preserve"> la caracterización del contenido de esos tratados</w:t>
      </w:r>
      <w:r w:rsidR="008D342D" w:rsidRPr="00847234">
        <w:rPr>
          <w:rFonts w:ascii="Arial" w:hAnsi="Arial" w:cs="Arial"/>
          <w:bCs/>
          <w:lang w:val="es-ES_tradnl"/>
        </w:rPr>
        <w:t>.</w:t>
      </w:r>
      <w:r w:rsidR="003322B0" w:rsidRPr="00847234">
        <w:rPr>
          <w:rFonts w:ascii="Arial" w:hAnsi="Arial" w:cs="Arial"/>
          <w:bCs/>
          <w:lang w:val="es-ES_tradnl"/>
        </w:rPr>
        <w:t xml:space="preserve"> </w:t>
      </w:r>
      <w:r w:rsidR="00657B9E" w:rsidRPr="00847234">
        <w:rPr>
          <w:rFonts w:ascii="Arial" w:hAnsi="Arial" w:cs="Arial"/>
          <w:bCs/>
          <w:lang w:val="es-ES_tradnl"/>
        </w:rPr>
        <w:t xml:space="preserve">El </w:t>
      </w:r>
      <w:r w:rsidR="003322B0" w:rsidRPr="00847234">
        <w:rPr>
          <w:rFonts w:ascii="Arial" w:hAnsi="Arial" w:cs="Arial"/>
          <w:bCs/>
          <w:lang w:val="es-ES_tradnl"/>
        </w:rPr>
        <w:t xml:space="preserve">proyecto </w:t>
      </w:r>
      <w:r w:rsidR="003670A8" w:rsidRPr="00847234">
        <w:rPr>
          <w:rFonts w:ascii="Arial" w:hAnsi="Arial" w:cs="Arial"/>
          <w:bCs/>
          <w:lang w:val="es-ES_tradnl"/>
        </w:rPr>
        <w:t>original contenía</w:t>
      </w:r>
      <w:r w:rsidR="003322B0" w:rsidRPr="00847234">
        <w:rPr>
          <w:rFonts w:ascii="Arial" w:hAnsi="Arial" w:cs="Arial"/>
          <w:bCs/>
          <w:lang w:val="es-ES_tradnl"/>
        </w:rPr>
        <w:t xml:space="preserve"> algunas líneas que parecieran adelantar algunas conclusiones sobre su sentido normativ</w:t>
      </w:r>
      <w:r w:rsidR="00A51623" w:rsidRPr="00847234">
        <w:rPr>
          <w:rFonts w:ascii="Arial" w:hAnsi="Arial" w:cs="Arial"/>
          <w:bCs/>
          <w:lang w:val="es-ES_tradnl"/>
        </w:rPr>
        <w:t>o</w:t>
      </w:r>
      <w:r w:rsidR="000F7515" w:rsidRPr="00847234">
        <w:rPr>
          <w:rFonts w:ascii="Arial" w:hAnsi="Arial" w:cs="Arial"/>
          <w:bCs/>
          <w:lang w:val="es-ES_tradnl"/>
        </w:rPr>
        <w:t xml:space="preserve">, respecto de </w:t>
      </w:r>
      <w:r w:rsidR="00D72E34" w:rsidRPr="00847234">
        <w:rPr>
          <w:rFonts w:ascii="Arial" w:hAnsi="Arial" w:cs="Arial"/>
          <w:bCs/>
          <w:lang w:val="es-ES_tradnl"/>
        </w:rPr>
        <w:t>las cuales</w:t>
      </w:r>
      <w:r w:rsidR="003670A8" w:rsidRPr="00847234">
        <w:rPr>
          <w:rFonts w:ascii="Arial" w:hAnsi="Arial" w:cs="Arial"/>
          <w:bCs/>
          <w:lang w:val="es-ES_tradnl"/>
        </w:rPr>
        <w:t>, hasta</w:t>
      </w:r>
      <w:r w:rsidR="000F7515" w:rsidRPr="00847234">
        <w:rPr>
          <w:rFonts w:ascii="Arial" w:hAnsi="Arial" w:cs="Arial"/>
          <w:bCs/>
          <w:lang w:val="es-ES_tradnl"/>
        </w:rPr>
        <w:t xml:space="preserve"> este momento, me separo. </w:t>
      </w:r>
    </w:p>
    <w:p w14:paraId="7DE741F7" w14:textId="2BDAA1D5" w:rsidR="007620A5" w:rsidRPr="00847234" w:rsidRDefault="007620A5" w:rsidP="004814DC">
      <w:pPr>
        <w:spacing w:line="360" w:lineRule="auto"/>
        <w:rPr>
          <w:rFonts w:ascii="Arial" w:hAnsi="Arial" w:cs="Arial"/>
          <w:bCs/>
          <w:lang w:val="es-ES_tradnl"/>
        </w:rPr>
      </w:pPr>
    </w:p>
    <w:p w14:paraId="7D7F4104" w14:textId="796E94FA" w:rsidR="007620A5" w:rsidRPr="00A9402C" w:rsidRDefault="007620A5" w:rsidP="00BA1CDF">
      <w:pPr>
        <w:spacing w:line="360" w:lineRule="auto"/>
        <w:jc w:val="center"/>
        <w:rPr>
          <w:rFonts w:ascii="Arial" w:hAnsi="Arial" w:cs="Arial"/>
          <w:b/>
        </w:rPr>
      </w:pPr>
      <w:r w:rsidRPr="00A9402C">
        <w:rPr>
          <w:rFonts w:ascii="Arial" w:hAnsi="Arial" w:cs="Arial"/>
          <w:b/>
        </w:rPr>
        <w:t>Apartado E. Estud</w:t>
      </w:r>
      <w:r w:rsidR="004814DC" w:rsidRPr="00A9402C">
        <w:rPr>
          <w:rFonts w:ascii="Arial" w:hAnsi="Arial" w:cs="Arial"/>
          <w:b/>
        </w:rPr>
        <w:t>io del artículo 12, fracción I de la Ley de la Industria Eléctrica.</w:t>
      </w:r>
    </w:p>
    <w:p w14:paraId="1E25A0F9" w14:textId="70E65CD6" w:rsidR="00BB4563" w:rsidRPr="00847234" w:rsidRDefault="00BB4563" w:rsidP="008D342D">
      <w:pPr>
        <w:spacing w:line="360" w:lineRule="auto"/>
        <w:jc w:val="both"/>
        <w:rPr>
          <w:rFonts w:ascii="Arial" w:hAnsi="Arial" w:cs="Arial"/>
          <w:bCs/>
        </w:rPr>
      </w:pPr>
    </w:p>
    <w:p w14:paraId="409AB034" w14:textId="06167B72" w:rsidR="00BB4563" w:rsidRPr="00847234" w:rsidRDefault="00BB4563" w:rsidP="00BB4563">
      <w:pPr>
        <w:spacing w:line="360" w:lineRule="auto"/>
        <w:jc w:val="both"/>
        <w:rPr>
          <w:rFonts w:ascii="Arial" w:hAnsi="Arial" w:cs="Arial"/>
          <w:bCs/>
        </w:rPr>
      </w:pPr>
      <w:proofErr w:type="gramStart"/>
      <w:r w:rsidRPr="00847234">
        <w:rPr>
          <w:rFonts w:ascii="Arial" w:hAnsi="Arial" w:cs="Arial"/>
          <w:bCs/>
        </w:rPr>
        <w:t>La pregunta a dilucidar</w:t>
      </w:r>
      <w:proofErr w:type="gramEnd"/>
      <w:r w:rsidRPr="00847234">
        <w:rPr>
          <w:rFonts w:ascii="Arial" w:hAnsi="Arial" w:cs="Arial"/>
          <w:bCs/>
        </w:rPr>
        <w:t xml:space="preserve"> en este apartado </w:t>
      </w:r>
      <w:r w:rsidR="00194917" w:rsidRPr="00847234">
        <w:rPr>
          <w:rFonts w:ascii="Arial" w:hAnsi="Arial" w:cs="Arial"/>
          <w:bCs/>
        </w:rPr>
        <w:t xml:space="preserve">fue </w:t>
      </w:r>
      <w:r w:rsidRPr="00847234">
        <w:rPr>
          <w:rFonts w:ascii="Arial" w:hAnsi="Arial" w:cs="Arial"/>
          <w:bCs/>
        </w:rPr>
        <w:t xml:space="preserve">si el artículo 12, fracción de I de la Ley de la </w:t>
      </w:r>
      <w:r w:rsidR="00194917" w:rsidRPr="00847234">
        <w:rPr>
          <w:rFonts w:ascii="Arial" w:hAnsi="Arial" w:cs="Arial"/>
          <w:bCs/>
        </w:rPr>
        <w:t>Industria</w:t>
      </w:r>
      <w:r w:rsidRPr="00847234">
        <w:rPr>
          <w:rFonts w:ascii="Arial" w:hAnsi="Arial" w:cs="Arial"/>
          <w:bCs/>
        </w:rPr>
        <w:t xml:space="preserve"> Eléctrica es inconstitucional por actualizar una invasión</w:t>
      </w:r>
      <w:r w:rsidR="00945213" w:rsidRPr="00847234">
        <w:rPr>
          <w:rFonts w:ascii="Arial" w:hAnsi="Arial" w:cs="Arial"/>
          <w:bCs/>
        </w:rPr>
        <w:t xml:space="preserve"> perpetrada por el </w:t>
      </w:r>
      <w:r w:rsidR="00C1294B" w:rsidRPr="00847234">
        <w:rPr>
          <w:rFonts w:ascii="Arial" w:hAnsi="Arial" w:cs="Arial"/>
          <w:bCs/>
        </w:rPr>
        <w:t xml:space="preserve">Poder </w:t>
      </w:r>
      <w:r w:rsidR="00C1294B">
        <w:rPr>
          <w:rFonts w:ascii="Arial" w:hAnsi="Arial" w:cs="Arial"/>
          <w:bCs/>
        </w:rPr>
        <w:t>L</w:t>
      </w:r>
      <w:r w:rsidR="00945213" w:rsidRPr="00847234">
        <w:rPr>
          <w:rFonts w:ascii="Arial" w:hAnsi="Arial" w:cs="Arial"/>
          <w:bCs/>
        </w:rPr>
        <w:t>egislativo en detrimento de</w:t>
      </w:r>
      <w:r w:rsidRPr="00847234">
        <w:rPr>
          <w:rFonts w:ascii="Arial" w:hAnsi="Arial" w:cs="Arial"/>
          <w:bCs/>
        </w:rPr>
        <w:t xml:space="preserve"> la Comisión Reguladora de Energía, la cual </w:t>
      </w:r>
      <w:r w:rsidR="00194917" w:rsidRPr="00847234">
        <w:rPr>
          <w:rFonts w:ascii="Arial" w:hAnsi="Arial" w:cs="Arial"/>
          <w:bCs/>
        </w:rPr>
        <w:t xml:space="preserve">cuenta con </w:t>
      </w:r>
      <w:r w:rsidRPr="00847234">
        <w:rPr>
          <w:rFonts w:ascii="Arial" w:hAnsi="Arial" w:cs="Arial"/>
          <w:bCs/>
        </w:rPr>
        <w:t>competencias propias</w:t>
      </w:r>
      <w:r w:rsidR="00194917" w:rsidRPr="00847234">
        <w:rPr>
          <w:rFonts w:ascii="Arial" w:hAnsi="Arial" w:cs="Arial"/>
          <w:bCs/>
        </w:rPr>
        <w:t xml:space="preserve"> atribuidas por la Constitución. </w:t>
      </w:r>
    </w:p>
    <w:p w14:paraId="3F8BCA8D" w14:textId="77777777" w:rsidR="00BB4563" w:rsidRPr="00847234" w:rsidRDefault="00BB4563" w:rsidP="008D342D">
      <w:pPr>
        <w:spacing w:line="360" w:lineRule="auto"/>
        <w:jc w:val="both"/>
        <w:rPr>
          <w:rFonts w:ascii="Arial" w:hAnsi="Arial" w:cs="Arial"/>
          <w:bCs/>
        </w:rPr>
      </w:pPr>
    </w:p>
    <w:p w14:paraId="5A98386F" w14:textId="2D16776B" w:rsidR="008D342D" w:rsidRPr="00847234" w:rsidRDefault="000D71B8" w:rsidP="008D342D">
      <w:pPr>
        <w:spacing w:line="360" w:lineRule="auto"/>
        <w:jc w:val="both"/>
        <w:rPr>
          <w:rFonts w:ascii="Arial" w:hAnsi="Arial" w:cs="Arial"/>
          <w:bCs/>
        </w:rPr>
      </w:pPr>
      <w:r w:rsidRPr="00847234">
        <w:rPr>
          <w:rFonts w:ascii="Arial" w:hAnsi="Arial" w:cs="Arial"/>
          <w:bCs/>
        </w:rPr>
        <w:t>L</w:t>
      </w:r>
      <w:r w:rsidR="008173E2" w:rsidRPr="00847234">
        <w:rPr>
          <w:rFonts w:ascii="Arial" w:hAnsi="Arial" w:cs="Arial"/>
          <w:bCs/>
        </w:rPr>
        <w:t xml:space="preserve">a sentencia reconoce la validez </w:t>
      </w:r>
      <w:r w:rsidR="008D342D" w:rsidRPr="00847234">
        <w:rPr>
          <w:rFonts w:ascii="Arial" w:hAnsi="Arial" w:cs="Arial"/>
          <w:bCs/>
        </w:rPr>
        <w:t>del artículo 12, fracción I</w:t>
      </w:r>
      <w:r w:rsidR="006F2B02" w:rsidRPr="00847234">
        <w:rPr>
          <w:rFonts w:ascii="Arial" w:hAnsi="Arial" w:cs="Arial"/>
          <w:bCs/>
        </w:rPr>
        <w:t>,</w:t>
      </w:r>
      <w:r w:rsidR="008D342D" w:rsidRPr="00847234">
        <w:rPr>
          <w:rFonts w:ascii="Arial" w:hAnsi="Arial" w:cs="Arial"/>
          <w:bCs/>
        </w:rPr>
        <w:t xml:space="preserve"> de la Ley de la Industria Eléctrica, el cual establece que la Comisión Reguladora de Energía está facultada para “otorgar los permisos a que se refiere esta Ley, considerando los criterios de planeación del Sistema Eléctrico Nacional, establecidos por la Secretaría y resolver sobre su modificación, revocación, cesión, prórroga o terminación”.</w:t>
      </w:r>
    </w:p>
    <w:p w14:paraId="1CB9D1FE" w14:textId="52C0F955" w:rsidR="008D342D" w:rsidRPr="00847234" w:rsidRDefault="008D342D" w:rsidP="008D342D">
      <w:pPr>
        <w:spacing w:line="360" w:lineRule="auto"/>
        <w:jc w:val="both"/>
        <w:rPr>
          <w:rFonts w:ascii="Arial" w:hAnsi="Arial" w:cs="Arial"/>
          <w:bCs/>
        </w:rPr>
      </w:pPr>
    </w:p>
    <w:p w14:paraId="6DD5643B" w14:textId="77871E37" w:rsidR="008173E2" w:rsidRPr="00847234" w:rsidRDefault="00453AB3" w:rsidP="008D342D">
      <w:pPr>
        <w:spacing w:line="360" w:lineRule="auto"/>
        <w:jc w:val="both"/>
        <w:rPr>
          <w:rFonts w:ascii="Arial" w:hAnsi="Arial" w:cs="Arial"/>
          <w:bCs/>
        </w:rPr>
      </w:pPr>
      <w:r w:rsidRPr="00847234">
        <w:rPr>
          <w:rFonts w:ascii="Arial" w:hAnsi="Arial" w:cs="Arial"/>
          <w:bCs/>
        </w:rPr>
        <w:t xml:space="preserve">Me adhiero a la </w:t>
      </w:r>
      <w:r w:rsidR="008173E2" w:rsidRPr="00847234">
        <w:rPr>
          <w:rFonts w:ascii="Arial" w:hAnsi="Arial" w:cs="Arial"/>
          <w:bCs/>
        </w:rPr>
        <w:t>validez</w:t>
      </w:r>
      <w:r w:rsidR="006F2B02" w:rsidRPr="00847234">
        <w:rPr>
          <w:rFonts w:ascii="Arial" w:hAnsi="Arial" w:cs="Arial"/>
          <w:bCs/>
        </w:rPr>
        <w:t xml:space="preserve">; esta </w:t>
      </w:r>
      <w:r w:rsidR="008173E2" w:rsidRPr="00847234">
        <w:rPr>
          <w:rFonts w:ascii="Arial" w:hAnsi="Arial" w:cs="Arial"/>
          <w:bCs/>
        </w:rPr>
        <w:t xml:space="preserve">norma </w:t>
      </w:r>
      <w:r w:rsidR="006F2B02" w:rsidRPr="00847234">
        <w:rPr>
          <w:rFonts w:ascii="Arial" w:hAnsi="Arial" w:cs="Arial"/>
          <w:bCs/>
        </w:rPr>
        <w:t xml:space="preserve">no </w:t>
      </w:r>
      <w:r w:rsidR="00733413" w:rsidRPr="00847234">
        <w:rPr>
          <w:rFonts w:ascii="Arial" w:hAnsi="Arial" w:cs="Arial"/>
          <w:bCs/>
        </w:rPr>
        <w:t xml:space="preserve">implica </w:t>
      </w:r>
      <w:r w:rsidR="008173E2" w:rsidRPr="00847234">
        <w:rPr>
          <w:rFonts w:ascii="Arial" w:hAnsi="Arial" w:cs="Arial"/>
          <w:bCs/>
        </w:rPr>
        <w:t xml:space="preserve">una invasión de competencias en perjuicio de la Comisión Reguladora de Energía. Sin embargo, la sentencia no </w:t>
      </w:r>
      <w:r w:rsidR="001536CF" w:rsidRPr="00847234">
        <w:rPr>
          <w:rFonts w:ascii="Arial" w:hAnsi="Arial" w:cs="Arial"/>
          <w:bCs/>
        </w:rPr>
        <w:t xml:space="preserve">propone </w:t>
      </w:r>
      <w:r w:rsidRPr="00847234">
        <w:rPr>
          <w:rFonts w:ascii="Arial" w:hAnsi="Arial" w:cs="Arial"/>
          <w:bCs/>
        </w:rPr>
        <w:t xml:space="preserve">razones y fundamentos </w:t>
      </w:r>
      <w:r w:rsidR="002E6CB8" w:rsidRPr="00847234">
        <w:rPr>
          <w:rFonts w:ascii="Arial" w:hAnsi="Arial" w:cs="Arial"/>
          <w:bCs/>
        </w:rPr>
        <w:t xml:space="preserve">suficientes </w:t>
      </w:r>
      <w:r w:rsidR="008173E2" w:rsidRPr="00847234">
        <w:rPr>
          <w:rFonts w:ascii="Arial" w:hAnsi="Arial" w:cs="Arial"/>
          <w:bCs/>
        </w:rPr>
        <w:t xml:space="preserve">para </w:t>
      </w:r>
      <w:r w:rsidR="005E6531" w:rsidRPr="00847234">
        <w:rPr>
          <w:rFonts w:ascii="Arial" w:hAnsi="Arial" w:cs="Arial"/>
          <w:bCs/>
        </w:rPr>
        <w:t xml:space="preserve">contestar el planteamiento de </w:t>
      </w:r>
      <w:r w:rsidR="00B04B12" w:rsidRPr="00847234">
        <w:rPr>
          <w:rFonts w:ascii="Arial" w:hAnsi="Arial" w:cs="Arial"/>
          <w:bCs/>
        </w:rPr>
        <w:t>la demanda</w:t>
      </w:r>
      <w:r w:rsidR="008173E2" w:rsidRPr="00847234">
        <w:rPr>
          <w:rFonts w:ascii="Arial" w:hAnsi="Arial" w:cs="Arial"/>
          <w:bCs/>
        </w:rPr>
        <w:t>.</w:t>
      </w:r>
      <w:r w:rsidR="000D71B8" w:rsidRPr="00847234">
        <w:rPr>
          <w:rFonts w:ascii="Arial" w:hAnsi="Arial" w:cs="Arial"/>
          <w:bCs/>
        </w:rPr>
        <w:t xml:space="preserve"> L</w:t>
      </w:r>
      <w:r w:rsidR="008173E2" w:rsidRPr="00847234">
        <w:rPr>
          <w:rFonts w:ascii="Arial" w:hAnsi="Arial" w:cs="Arial"/>
          <w:bCs/>
        </w:rPr>
        <w:t xml:space="preserve">a parte actora de este juicio acudió ante esta Suprema Corte </w:t>
      </w:r>
      <w:r w:rsidR="001469AE" w:rsidRPr="00847234">
        <w:rPr>
          <w:rFonts w:ascii="Arial" w:hAnsi="Arial" w:cs="Arial"/>
          <w:bCs/>
        </w:rPr>
        <w:t xml:space="preserve">y formuló </w:t>
      </w:r>
      <w:r w:rsidR="008173E2" w:rsidRPr="00847234">
        <w:rPr>
          <w:rFonts w:ascii="Arial" w:hAnsi="Arial" w:cs="Arial"/>
          <w:bCs/>
        </w:rPr>
        <w:t xml:space="preserve">una pregunta de mayor alcance que </w:t>
      </w:r>
      <w:r w:rsidR="00FD76DB" w:rsidRPr="00847234">
        <w:rPr>
          <w:rFonts w:ascii="Arial" w:hAnsi="Arial" w:cs="Arial"/>
          <w:bCs/>
        </w:rPr>
        <w:t xml:space="preserve">aquella que fue </w:t>
      </w:r>
      <w:r w:rsidR="008173E2" w:rsidRPr="00847234">
        <w:rPr>
          <w:rFonts w:ascii="Arial" w:hAnsi="Arial" w:cs="Arial"/>
          <w:bCs/>
        </w:rPr>
        <w:t>finalmente contestada</w:t>
      </w:r>
      <w:r w:rsidR="00FD76DB" w:rsidRPr="00847234">
        <w:rPr>
          <w:rFonts w:ascii="Arial" w:hAnsi="Arial" w:cs="Arial"/>
          <w:bCs/>
        </w:rPr>
        <w:t xml:space="preserve">. </w:t>
      </w:r>
      <w:r w:rsidR="008173E2" w:rsidRPr="00847234">
        <w:rPr>
          <w:rFonts w:ascii="Arial" w:hAnsi="Arial" w:cs="Arial"/>
          <w:bCs/>
        </w:rPr>
        <w:t xml:space="preserve"> </w:t>
      </w:r>
      <w:r w:rsidR="003014EF" w:rsidRPr="00847234">
        <w:rPr>
          <w:rFonts w:ascii="Arial" w:hAnsi="Arial" w:cs="Arial"/>
          <w:bCs/>
        </w:rPr>
        <w:t>L</w:t>
      </w:r>
      <w:r w:rsidR="008173E2" w:rsidRPr="00847234">
        <w:rPr>
          <w:rFonts w:ascii="Arial" w:hAnsi="Arial" w:cs="Arial"/>
          <w:bCs/>
        </w:rPr>
        <w:t>a impugnación del artículo 12, fracción I</w:t>
      </w:r>
      <w:r w:rsidR="000E6E18" w:rsidRPr="00847234">
        <w:rPr>
          <w:rFonts w:ascii="Arial" w:hAnsi="Arial" w:cs="Arial"/>
          <w:bCs/>
        </w:rPr>
        <w:t>,</w:t>
      </w:r>
      <w:r w:rsidR="008173E2" w:rsidRPr="00847234">
        <w:rPr>
          <w:rFonts w:ascii="Arial" w:hAnsi="Arial" w:cs="Arial"/>
          <w:bCs/>
        </w:rPr>
        <w:t xml:space="preserve"> de la Ley de la Industria Eléctrica </w:t>
      </w:r>
      <w:r w:rsidR="001536CF" w:rsidRPr="00847234">
        <w:rPr>
          <w:rFonts w:ascii="Arial" w:hAnsi="Arial" w:cs="Arial"/>
          <w:bCs/>
        </w:rPr>
        <w:t>cuestionaba</w:t>
      </w:r>
      <w:r w:rsidR="000E6E18" w:rsidRPr="00847234">
        <w:rPr>
          <w:rFonts w:ascii="Arial" w:hAnsi="Arial" w:cs="Arial"/>
          <w:bCs/>
        </w:rPr>
        <w:t xml:space="preserve"> </w:t>
      </w:r>
      <w:r w:rsidR="00D1201B" w:rsidRPr="00847234">
        <w:rPr>
          <w:rFonts w:ascii="Arial" w:hAnsi="Arial" w:cs="Arial"/>
          <w:bCs/>
        </w:rPr>
        <w:t>si el legislador no había desconfigurado un sistema de equilibrios institucionales diseñado para garantizar la autonomía de órganos constitucionale</w:t>
      </w:r>
      <w:r w:rsidR="00FE6349" w:rsidRPr="00847234">
        <w:rPr>
          <w:rFonts w:ascii="Arial" w:hAnsi="Arial" w:cs="Arial"/>
          <w:bCs/>
        </w:rPr>
        <w:t>s c</w:t>
      </w:r>
      <w:r w:rsidR="00D1201B" w:rsidRPr="00847234">
        <w:rPr>
          <w:rFonts w:ascii="Arial" w:hAnsi="Arial" w:cs="Arial"/>
          <w:bCs/>
        </w:rPr>
        <w:t>omo la Comisión Reguladora de Energía.</w:t>
      </w:r>
    </w:p>
    <w:p w14:paraId="33C5ED56" w14:textId="77777777" w:rsidR="0067596B" w:rsidRPr="00847234" w:rsidRDefault="0067596B" w:rsidP="008D342D">
      <w:pPr>
        <w:spacing w:line="360" w:lineRule="auto"/>
        <w:jc w:val="both"/>
        <w:rPr>
          <w:rFonts w:ascii="Arial" w:hAnsi="Arial" w:cs="Arial"/>
          <w:bCs/>
        </w:rPr>
      </w:pPr>
    </w:p>
    <w:p w14:paraId="06E119D4" w14:textId="07BFEA82" w:rsidR="003E1F85" w:rsidRPr="00847234" w:rsidRDefault="00D1201B" w:rsidP="008D342D">
      <w:pPr>
        <w:spacing w:line="360" w:lineRule="auto"/>
        <w:jc w:val="both"/>
        <w:rPr>
          <w:rFonts w:ascii="Arial" w:hAnsi="Arial" w:cs="Arial"/>
          <w:bCs/>
        </w:rPr>
      </w:pPr>
      <w:r w:rsidRPr="00847234">
        <w:rPr>
          <w:rFonts w:ascii="Arial" w:hAnsi="Arial" w:cs="Arial"/>
          <w:bCs/>
        </w:rPr>
        <w:t>Así, la respuesta de este Pleno no debió</w:t>
      </w:r>
      <w:r w:rsidR="008E2705" w:rsidRPr="00847234">
        <w:rPr>
          <w:rFonts w:ascii="Arial" w:hAnsi="Arial" w:cs="Arial"/>
          <w:bCs/>
        </w:rPr>
        <w:t xml:space="preserve"> </w:t>
      </w:r>
      <w:r w:rsidR="009A6DC2" w:rsidRPr="00847234">
        <w:rPr>
          <w:rFonts w:ascii="Arial" w:hAnsi="Arial" w:cs="Arial"/>
          <w:bCs/>
        </w:rPr>
        <w:t xml:space="preserve">constreñirse </w:t>
      </w:r>
      <w:r w:rsidR="008E2705" w:rsidRPr="00847234">
        <w:rPr>
          <w:rFonts w:ascii="Arial" w:hAnsi="Arial" w:cs="Arial"/>
          <w:bCs/>
        </w:rPr>
        <w:t>-tal como lo hace la sentencia-</w:t>
      </w:r>
      <w:r w:rsidR="009A6DC2" w:rsidRPr="00847234">
        <w:rPr>
          <w:rFonts w:ascii="Arial" w:hAnsi="Arial" w:cs="Arial"/>
          <w:bCs/>
        </w:rPr>
        <w:t xml:space="preserve"> a verificar</w:t>
      </w:r>
      <w:r w:rsidR="003C26CE" w:rsidRPr="00847234">
        <w:rPr>
          <w:rFonts w:ascii="Arial" w:hAnsi="Arial" w:cs="Arial"/>
          <w:bCs/>
        </w:rPr>
        <w:t xml:space="preserve"> la </w:t>
      </w:r>
      <w:r w:rsidR="00301B7F" w:rsidRPr="00847234">
        <w:rPr>
          <w:rFonts w:ascii="Arial" w:hAnsi="Arial" w:cs="Arial"/>
          <w:bCs/>
        </w:rPr>
        <w:t>invasión de competencias en perjuicio de la Comisión Reguladora de Energía</w:t>
      </w:r>
      <w:r w:rsidR="004030EE" w:rsidRPr="00847234">
        <w:rPr>
          <w:rFonts w:ascii="Arial" w:hAnsi="Arial" w:cs="Arial"/>
          <w:bCs/>
        </w:rPr>
        <w:t xml:space="preserve">. </w:t>
      </w:r>
      <w:r w:rsidR="009D1842" w:rsidRPr="00847234">
        <w:rPr>
          <w:rFonts w:ascii="Arial" w:hAnsi="Arial" w:cs="Arial"/>
          <w:bCs/>
        </w:rPr>
        <w:t>E</w:t>
      </w:r>
      <w:r w:rsidR="00301B7F" w:rsidRPr="00847234">
        <w:rPr>
          <w:rFonts w:ascii="Arial" w:hAnsi="Arial" w:cs="Arial"/>
          <w:bCs/>
        </w:rPr>
        <w:t xml:space="preserve">ste Pleno debió aprovechar la oportunidad </w:t>
      </w:r>
      <w:r w:rsidR="0082247E" w:rsidRPr="00847234">
        <w:rPr>
          <w:rFonts w:ascii="Arial" w:hAnsi="Arial" w:cs="Arial"/>
          <w:bCs/>
        </w:rPr>
        <w:t xml:space="preserve">para </w:t>
      </w:r>
      <w:r w:rsidR="00C3027A" w:rsidRPr="00847234">
        <w:rPr>
          <w:rFonts w:ascii="Arial" w:hAnsi="Arial" w:cs="Arial"/>
          <w:bCs/>
        </w:rPr>
        <w:t xml:space="preserve">ahondar en las </w:t>
      </w:r>
      <w:r w:rsidR="00301B7F" w:rsidRPr="00847234">
        <w:rPr>
          <w:rFonts w:ascii="Arial" w:hAnsi="Arial" w:cs="Arial"/>
          <w:bCs/>
        </w:rPr>
        <w:t>condici</w:t>
      </w:r>
      <w:r w:rsidR="009C6FE7" w:rsidRPr="00847234">
        <w:rPr>
          <w:rFonts w:ascii="Arial" w:hAnsi="Arial" w:cs="Arial"/>
          <w:bCs/>
        </w:rPr>
        <w:t xml:space="preserve">ones </w:t>
      </w:r>
      <w:r w:rsidR="00301B7F" w:rsidRPr="00847234">
        <w:rPr>
          <w:rFonts w:ascii="Arial" w:hAnsi="Arial" w:cs="Arial"/>
          <w:bCs/>
        </w:rPr>
        <w:t>de aplicación del modelo de Estado Regulador en el nuevo diseño legislativo</w:t>
      </w:r>
      <w:r w:rsidR="003B6A41" w:rsidRPr="00847234">
        <w:rPr>
          <w:rFonts w:ascii="Arial" w:hAnsi="Arial" w:cs="Arial"/>
          <w:bCs/>
        </w:rPr>
        <w:t xml:space="preserve"> para </w:t>
      </w:r>
      <w:r w:rsidR="0082247E" w:rsidRPr="00847234">
        <w:rPr>
          <w:rFonts w:ascii="Arial" w:hAnsi="Arial" w:cs="Arial"/>
          <w:bCs/>
        </w:rPr>
        <w:t xml:space="preserve">asegurar que éste no afectase </w:t>
      </w:r>
      <w:r w:rsidR="007670AD" w:rsidRPr="00847234">
        <w:rPr>
          <w:rFonts w:ascii="Arial" w:hAnsi="Arial" w:cs="Arial"/>
          <w:bCs/>
        </w:rPr>
        <w:t>las condiciones constitucionales de garantía de la independencia de este órgano</w:t>
      </w:r>
      <w:r w:rsidR="00D67F08" w:rsidRPr="00847234">
        <w:rPr>
          <w:rFonts w:ascii="Arial" w:hAnsi="Arial" w:cs="Arial"/>
          <w:bCs/>
        </w:rPr>
        <w:t xml:space="preserve">. </w:t>
      </w:r>
    </w:p>
    <w:p w14:paraId="4E79B397" w14:textId="77777777" w:rsidR="00A34463" w:rsidRPr="00847234" w:rsidRDefault="00A34463" w:rsidP="008D342D">
      <w:pPr>
        <w:spacing w:line="360" w:lineRule="auto"/>
        <w:jc w:val="both"/>
        <w:rPr>
          <w:rFonts w:ascii="Arial" w:hAnsi="Arial" w:cs="Arial"/>
          <w:bCs/>
        </w:rPr>
      </w:pPr>
    </w:p>
    <w:p w14:paraId="77586A93" w14:textId="65B639E1" w:rsidR="00301B7F" w:rsidRPr="00847234" w:rsidRDefault="00FE35CA" w:rsidP="008D342D">
      <w:pPr>
        <w:spacing w:line="360" w:lineRule="auto"/>
        <w:jc w:val="both"/>
        <w:rPr>
          <w:rFonts w:ascii="Arial" w:hAnsi="Arial" w:cs="Arial"/>
          <w:bCs/>
        </w:rPr>
      </w:pPr>
      <w:r w:rsidRPr="00847234">
        <w:rPr>
          <w:rFonts w:ascii="Arial" w:hAnsi="Arial" w:cs="Arial"/>
          <w:bCs/>
        </w:rPr>
        <w:t xml:space="preserve">Ahora </w:t>
      </w:r>
      <w:r w:rsidR="00A34463" w:rsidRPr="00847234">
        <w:rPr>
          <w:rFonts w:ascii="Arial" w:hAnsi="Arial" w:cs="Arial"/>
          <w:bCs/>
        </w:rPr>
        <w:t>detallaré las razones que -a mi parecer</w:t>
      </w:r>
      <w:r w:rsidR="00763100" w:rsidRPr="00847234">
        <w:rPr>
          <w:rFonts w:ascii="Arial" w:hAnsi="Arial" w:cs="Arial"/>
          <w:bCs/>
        </w:rPr>
        <w:t xml:space="preserve">- </w:t>
      </w:r>
      <w:r w:rsidR="00301B7F" w:rsidRPr="00847234">
        <w:rPr>
          <w:rFonts w:ascii="Arial" w:hAnsi="Arial" w:cs="Arial"/>
          <w:bCs/>
        </w:rPr>
        <w:t>debieron añadirse a la sentencia, las cuales divido, a su vez, en dos subapartados: 1) autonomía de la Comisión Reguladora de Energía en el artículo 12, fracción I</w:t>
      </w:r>
      <w:r w:rsidR="003E1F85" w:rsidRPr="00847234">
        <w:rPr>
          <w:rFonts w:ascii="Arial" w:hAnsi="Arial" w:cs="Arial"/>
          <w:bCs/>
        </w:rPr>
        <w:t>,</w:t>
      </w:r>
      <w:r w:rsidR="00301B7F" w:rsidRPr="00847234">
        <w:rPr>
          <w:rFonts w:ascii="Arial" w:hAnsi="Arial" w:cs="Arial"/>
          <w:bCs/>
        </w:rPr>
        <w:t xml:space="preserve"> de la Ley de la Industria Eléctrica</w:t>
      </w:r>
      <w:r w:rsidR="00275A6D" w:rsidRPr="00847234">
        <w:rPr>
          <w:rFonts w:ascii="Arial" w:hAnsi="Arial" w:cs="Arial"/>
          <w:bCs/>
        </w:rPr>
        <w:t>,</w:t>
      </w:r>
      <w:r w:rsidR="00301B7F" w:rsidRPr="00847234">
        <w:rPr>
          <w:rFonts w:ascii="Arial" w:hAnsi="Arial" w:cs="Arial"/>
          <w:bCs/>
        </w:rPr>
        <w:t xml:space="preserve"> y 2) el modelo de Estado Regulador en la Ley de la </w:t>
      </w:r>
      <w:r w:rsidR="0067596B" w:rsidRPr="00847234">
        <w:rPr>
          <w:rFonts w:ascii="Arial" w:hAnsi="Arial" w:cs="Arial"/>
          <w:bCs/>
        </w:rPr>
        <w:t>Industria</w:t>
      </w:r>
      <w:r w:rsidR="00301B7F" w:rsidRPr="00847234">
        <w:rPr>
          <w:rFonts w:ascii="Arial" w:hAnsi="Arial" w:cs="Arial"/>
          <w:bCs/>
        </w:rPr>
        <w:t xml:space="preserve"> Eléctrica.</w:t>
      </w:r>
    </w:p>
    <w:p w14:paraId="27DD8F5F" w14:textId="77777777" w:rsidR="00763100" w:rsidRPr="00847234" w:rsidRDefault="00763100" w:rsidP="00301B7F">
      <w:pPr>
        <w:spacing w:line="360" w:lineRule="auto"/>
        <w:jc w:val="center"/>
        <w:rPr>
          <w:rFonts w:ascii="Arial" w:hAnsi="Arial" w:cs="Arial"/>
          <w:bCs/>
        </w:rPr>
      </w:pPr>
    </w:p>
    <w:p w14:paraId="34BB2506" w14:textId="053A075C" w:rsidR="008D342D" w:rsidRPr="00A9402C" w:rsidRDefault="00763100" w:rsidP="00301B7F">
      <w:pPr>
        <w:spacing w:line="360" w:lineRule="auto"/>
        <w:jc w:val="center"/>
        <w:rPr>
          <w:rFonts w:ascii="Arial" w:hAnsi="Arial" w:cs="Arial"/>
          <w:b/>
          <w:lang w:val="es-ES"/>
        </w:rPr>
      </w:pPr>
      <w:r w:rsidRPr="00A9402C">
        <w:rPr>
          <w:rFonts w:ascii="Arial" w:hAnsi="Arial" w:cs="Arial"/>
          <w:b/>
        </w:rPr>
        <w:lastRenderedPageBreak/>
        <w:t>A</w:t>
      </w:r>
      <w:r w:rsidR="00301B7F" w:rsidRPr="00A9402C">
        <w:rPr>
          <w:rFonts w:ascii="Arial" w:hAnsi="Arial" w:cs="Arial"/>
          <w:b/>
        </w:rPr>
        <w:t>utonomía de la Comisión Reguladora de Energía en el artículo 12, fracción I de la Ley de la Industria Eléctrica</w:t>
      </w:r>
    </w:p>
    <w:p w14:paraId="48706611" w14:textId="77777777" w:rsidR="009D680C" w:rsidRPr="00847234" w:rsidRDefault="009D680C" w:rsidP="008D342D">
      <w:pPr>
        <w:spacing w:line="360" w:lineRule="auto"/>
        <w:jc w:val="both"/>
        <w:rPr>
          <w:rFonts w:ascii="Arial" w:hAnsi="Arial" w:cs="Arial"/>
          <w:bCs/>
          <w:lang w:val="es-ES"/>
        </w:rPr>
      </w:pPr>
    </w:p>
    <w:p w14:paraId="0A881A8B" w14:textId="1AD76500" w:rsidR="008D342D" w:rsidRPr="00847234" w:rsidRDefault="00C9207D" w:rsidP="008D342D">
      <w:pPr>
        <w:spacing w:line="360" w:lineRule="auto"/>
        <w:jc w:val="both"/>
        <w:rPr>
          <w:rFonts w:ascii="Arial" w:hAnsi="Arial" w:cs="Arial"/>
          <w:bCs/>
          <w:lang w:val="es-ES"/>
        </w:rPr>
      </w:pPr>
      <w:r w:rsidRPr="00847234">
        <w:rPr>
          <w:rFonts w:ascii="Arial" w:hAnsi="Arial" w:cs="Arial"/>
          <w:bCs/>
          <w:lang w:val="es-ES"/>
        </w:rPr>
        <w:t xml:space="preserve">Comparto que </w:t>
      </w:r>
      <w:r w:rsidR="00301B7F" w:rsidRPr="00847234">
        <w:rPr>
          <w:rFonts w:ascii="Arial" w:hAnsi="Arial" w:cs="Arial"/>
          <w:bCs/>
          <w:lang w:val="es-ES"/>
        </w:rPr>
        <w:t xml:space="preserve">el artículo impugnado no genera una invasión de competencias en perjuicio de la Comisión Reguladora de Energía; sin embargo, la respuesta </w:t>
      </w:r>
      <w:r w:rsidR="00EF7DEE" w:rsidRPr="00847234">
        <w:rPr>
          <w:rFonts w:ascii="Arial" w:hAnsi="Arial" w:cs="Arial"/>
          <w:bCs/>
          <w:lang w:val="es-ES"/>
        </w:rPr>
        <w:t>de la ejecutoria</w:t>
      </w:r>
      <w:r w:rsidR="00301B7F" w:rsidRPr="00847234">
        <w:rPr>
          <w:rFonts w:ascii="Arial" w:hAnsi="Arial" w:cs="Arial"/>
          <w:bCs/>
          <w:lang w:val="es-ES"/>
        </w:rPr>
        <w:t xml:space="preserve"> es insuficiente</w:t>
      </w:r>
      <w:r w:rsidR="00274D76" w:rsidRPr="00847234">
        <w:rPr>
          <w:rFonts w:ascii="Arial" w:hAnsi="Arial" w:cs="Arial"/>
          <w:bCs/>
          <w:lang w:val="es-ES"/>
        </w:rPr>
        <w:t>. Me parece</w:t>
      </w:r>
      <w:r w:rsidR="006B0ADF" w:rsidRPr="00847234">
        <w:rPr>
          <w:rFonts w:ascii="Arial" w:hAnsi="Arial" w:cs="Arial"/>
          <w:bCs/>
          <w:lang w:val="es-ES"/>
        </w:rPr>
        <w:t xml:space="preserve"> </w:t>
      </w:r>
      <w:r w:rsidR="008561F0" w:rsidRPr="00847234">
        <w:rPr>
          <w:rFonts w:ascii="Arial" w:hAnsi="Arial" w:cs="Arial"/>
          <w:bCs/>
          <w:lang w:val="es-ES"/>
        </w:rPr>
        <w:t>que</w:t>
      </w:r>
      <w:r w:rsidR="00301B7F" w:rsidRPr="00847234">
        <w:rPr>
          <w:rFonts w:ascii="Arial" w:hAnsi="Arial" w:cs="Arial"/>
          <w:bCs/>
          <w:lang w:val="es-ES"/>
        </w:rPr>
        <w:t xml:space="preserve"> la mayoría se </w:t>
      </w:r>
      <w:r w:rsidR="00EF7DEE" w:rsidRPr="00847234">
        <w:rPr>
          <w:rFonts w:ascii="Arial" w:hAnsi="Arial" w:cs="Arial"/>
          <w:bCs/>
          <w:lang w:val="es-ES"/>
        </w:rPr>
        <w:t xml:space="preserve">conforma </w:t>
      </w:r>
      <w:r w:rsidR="00301B7F" w:rsidRPr="00847234">
        <w:rPr>
          <w:rFonts w:ascii="Arial" w:hAnsi="Arial" w:cs="Arial"/>
          <w:bCs/>
          <w:lang w:val="es-ES"/>
        </w:rPr>
        <w:t xml:space="preserve">con </w:t>
      </w:r>
      <w:r w:rsidR="008D342D" w:rsidRPr="00847234">
        <w:rPr>
          <w:rFonts w:ascii="Arial" w:hAnsi="Arial" w:cs="Arial"/>
          <w:bCs/>
          <w:lang w:val="es-ES"/>
        </w:rPr>
        <w:t>las premisas de que la referida Comisió</w:t>
      </w:r>
      <w:r w:rsidR="00003A83" w:rsidRPr="00847234">
        <w:rPr>
          <w:rFonts w:ascii="Arial" w:hAnsi="Arial" w:cs="Arial"/>
          <w:bCs/>
          <w:lang w:val="es-ES"/>
        </w:rPr>
        <w:t>n</w:t>
      </w:r>
      <w:r w:rsidR="008D342D" w:rsidRPr="00847234">
        <w:rPr>
          <w:rFonts w:ascii="Arial" w:hAnsi="Arial" w:cs="Arial"/>
          <w:bCs/>
          <w:lang w:val="es-ES"/>
        </w:rPr>
        <w:t xml:space="preserve"> no tiene la jerarquía de un órgano constitucional autónomo, y que, al formar parte del Poder Ejecutivo, tiene la obligación de coordinarse y sujetarse al control y planeación del Sistema Eléctrico Nacional.</w:t>
      </w:r>
      <w:r w:rsidR="009C69F7" w:rsidRPr="00847234">
        <w:rPr>
          <w:rFonts w:ascii="Arial" w:hAnsi="Arial" w:cs="Arial"/>
          <w:bCs/>
          <w:lang w:val="es-ES"/>
        </w:rPr>
        <w:t xml:space="preserve"> </w:t>
      </w:r>
      <w:r w:rsidR="007B5805" w:rsidRPr="00847234">
        <w:rPr>
          <w:rFonts w:ascii="Arial" w:hAnsi="Arial" w:cs="Arial"/>
          <w:bCs/>
          <w:lang w:val="es-ES"/>
        </w:rPr>
        <w:t xml:space="preserve">En otras palabras, para la mayoría, no existe una invasión de competencias </w:t>
      </w:r>
      <w:r w:rsidR="009C69F7" w:rsidRPr="00847234">
        <w:rPr>
          <w:rFonts w:ascii="Arial" w:hAnsi="Arial" w:cs="Arial"/>
          <w:bCs/>
          <w:lang w:val="es-ES"/>
        </w:rPr>
        <w:t xml:space="preserve">pues, aunque </w:t>
      </w:r>
      <w:r w:rsidR="007B5805" w:rsidRPr="00847234">
        <w:rPr>
          <w:rFonts w:ascii="Arial" w:hAnsi="Arial" w:cs="Arial"/>
          <w:bCs/>
          <w:lang w:val="es-ES"/>
        </w:rPr>
        <w:t xml:space="preserve">la Comisión Reguladora de Energía mantiene el poder decisión final, </w:t>
      </w:r>
      <w:r w:rsidR="001F314A" w:rsidRPr="00847234">
        <w:rPr>
          <w:rFonts w:ascii="Arial" w:hAnsi="Arial" w:cs="Arial"/>
          <w:bCs/>
          <w:lang w:val="es-ES"/>
        </w:rPr>
        <w:t xml:space="preserve">es dependiente del </w:t>
      </w:r>
      <w:r w:rsidR="007B5805" w:rsidRPr="00847234">
        <w:rPr>
          <w:rFonts w:ascii="Arial" w:hAnsi="Arial" w:cs="Arial"/>
          <w:bCs/>
          <w:lang w:val="es-ES"/>
        </w:rPr>
        <w:t>Poder Ejecutivo</w:t>
      </w:r>
      <w:r w:rsidR="001F314A" w:rsidRPr="00847234">
        <w:rPr>
          <w:rFonts w:ascii="Arial" w:hAnsi="Arial" w:cs="Arial"/>
          <w:bCs/>
          <w:lang w:val="es-ES"/>
        </w:rPr>
        <w:t xml:space="preserve"> y, como tal, </w:t>
      </w:r>
      <w:r w:rsidR="00052E4C" w:rsidRPr="00847234">
        <w:rPr>
          <w:rFonts w:ascii="Arial" w:hAnsi="Arial" w:cs="Arial"/>
          <w:bCs/>
          <w:lang w:val="es-ES"/>
        </w:rPr>
        <w:t xml:space="preserve">acatará sus </w:t>
      </w:r>
      <w:r w:rsidR="001F314A" w:rsidRPr="00847234">
        <w:rPr>
          <w:rFonts w:ascii="Arial" w:hAnsi="Arial" w:cs="Arial"/>
          <w:bCs/>
          <w:lang w:val="es-ES"/>
        </w:rPr>
        <w:t xml:space="preserve">directrices y criterios. </w:t>
      </w:r>
    </w:p>
    <w:p w14:paraId="36D31BDE" w14:textId="77777777" w:rsidR="008D342D" w:rsidRPr="00847234" w:rsidRDefault="008D342D" w:rsidP="008D342D">
      <w:pPr>
        <w:spacing w:line="360" w:lineRule="auto"/>
        <w:jc w:val="both"/>
        <w:rPr>
          <w:rFonts w:ascii="Arial" w:hAnsi="Arial" w:cs="Arial"/>
          <w:bCs/>
          <w:lang w:val="es-ES"/>
        </w:rPr>
      </w:pPr>
    </w:p>
    <w:p w14:paraId="1D57B4C0" w14:textId="77777777" w:rsidR="004104DC" w:rsidRPr="00847234" w:rsidRDefault="009D680C" w:rsidP="008D342D">
      <w:pPr>
        <w:spacing w:line="360" w:lineRule="auto"/>
        <w:jc w:val="both"/>
        <w:rPr>
          <w:rFonts w:ascii="Arial" w:hAnsi="Arial" w:cs="Arial"/>
          <w:bCs/>
          <w:lang w:val="es-ES"/>
        </w:rPr>
      </w:pPr>
      <w:r w:rsidRPr="00847234">
        <w:rPr>
          <w:rFonts w:ascii="Arial" w:hAnsi="Arial" w:cs="Arial"/>
          <w:bCs/>
          <w:lang w:val="es-ES"/>
        </w:rPr>
        <w:t>A</w:t>
      </w:r>
      <w:r w:rsidR="00283748" w:rsidRPr="00847234">
        <w:rPr>
          <w:rFonts w:ascii="Arial" w:hAnsi="Arial" w:cs="Arial"/>
          <w:bCs/>
          <w:lang w:val="es-ES"/>
        </w:rPr>
        <w:t>unque</w:t>
      </w:r>
      <w:r w:rsidR="001D25B4" w:rsidRPr="00847234">
        <w:rPr>
          <w:rFonts w:ascii="Arial" w:hAnsi="Arial" w:cs="Arial"/>
          <w:bCs/>
          <w:lang w:val="es-ES"/>
        </w:rPr>
        <w:t xml:space="preserve"> </w:t>
      </w:r>
      <w:r w:rsidR="008D342D" w:rsidRPr="00847234">
        <w:rPr>
          <w:rFonts w:ascii="Arial" w:hAnsi="Arial" w:cs="Arial"/>
          <w:bCs/>
          <w:lang w:val="es-ES"/>
        </w:rPr>
        <w:t>la Comisión Reguladora de Energía</w:t>
      </w:r>
      <w:r w:rsidR="00003A83" w:rsidRPr="00847234">
        <w:rPr>
          <w:rFonts w:ascii="Arial" w:hAnsi="Arial" w:cs="Arial"/>
          <w:bCs/>
          <w:lang w:val="es-ES"/>
        </w:rPr>
        <w:t xml:space="preserve"> no sea un órgano constitucional autónomo en sentido estricto, sí</w:t>
      </w:r>
      <w:r w:rsidR="008D342D" w:rsidRPr="00847234">
        <w:rPr>
          <w:rFonts w:ascii="Arial" w:hAnsi="Arial" w:cs="Arial"/>
          <w:bCs/>
          <w:lang w:val="es-ES"/>
        </w:rPr>
        <w:t xml:space="preserve"> es un órgano previsto en la Constitución</w:t>
      </w:r>
      <w:r w:rsidR="00063174" w:rsidRPr="00847234">
        <w:rPr>
          <w:rFonts w:ascii="Arial" w:hAnsi="Arial" w:cs="Arial"/>
          <w:bCs/>
          <w:lang w:val="es-ES"/>
        </w:rPr>
        <w:t xml:space="preserve">, quien la dota de facultades propias y garantías de autonomía. </w:t>
      </w:r>
      <w:r w:rsidR="00657A8E" w:rsidRPr="00847234">
        <w:rPr>
          <w:rFonts w:ascii="Arial" w:hAnsi="Arial" w:cs="Arial"/>
          <w:bCs/>
          <w:lang w:val="es-ES"/>
        </w:rPr>
        <w:t>Est</w:t>
      </w:r>
      <w:r w:rsidR="00CB4421" w:rsidRPr="00847234">
        <w:rPr>
          <w:rFonts w:ascii="Arial" w:hAnsi="Arial" w:cs="Arial"/>
          <w:bCs/>
          <w:lang w:val="es-ES"/>
        </w:rPr>
        <w:t>a</w:t>
      </w:r>
      <w:r w:rsidR="00657A8E" w:rsidRPr="00847234">
        <w:rPr>
          <w:rFonts w:ascii="Arial" w:hAnsi="Arial" w:cs="Arial"/>
          <w:bCs/>
          <w:lang w:val="es-ES"/>
        </w:rPr>
        <w:t xml:space="preserve"> car</w:t>
      </w:r>
      <w:r w:rsidR="00CB4421" w:rsidRPr="00847234">
        <w:rPr>
          <w:rFonts w:ascii="Arial" w:hAnsi="Arial" w:cs="Arial"/>
          <w:bCs/>
          <w:lang w:val="es-ES"/>
        </w:rPr>
        <w:t>a</w:t>
      </w:r>
      <w:r w:rsidR="00657A8E" w:rsidRPr="00847234">
        <w:rPr>
          <w:rFonts w:ascii="Arial" w:hAnsi="Arial" w:cs="Arial"/>
          <w:bCs/>
          <w:lang w:val="es-ES"/>
        </w:rPr>
        <w:t>cter</w:t>
      </w:r>
      <w:r w:rsidR="00CB4421" w:rsidRPr="00847234">
        <w:rPr>
          <w:rFonts w:ascii="Arial" w:hAnsi="Arial" w:cs="Arial"/>
          <w:bCs/>
          <w:lang w:val="es-ES"/>
        </w:rPr>
        <w:t>ización</w:t>
      </w:r>
      <w:r w:rsidR="00657A8E" w:rsidRPr="00847234">
        <w:rPr>
          <w:rFonts w:ascii="Arial" w:hAnsi="Arial" w:cs="Arial"/>
          <w:bCs/>
          <w:lang w:val="es-ES"/>
        </w:rPr>
        <w:t xml:space="preserve"> surge de la interpretación conjunta de </w:t>
      </w:r>
      <w:r w:rsidR="00876093" w:rsidRPr="00847234">
        <w:rPr>
          <w:rFonts w:ascii="Arial" w:hAnsi="Arial" w:cs="Arial"/>
          <w:bCs/>
          <w:lang w:val="es-ES"/>
        </w:rPr>
        <w:t xml:space="preserve">dos disposiciones constitucionales. Por </w:t>
      </w:r>
      <w:r w:rsidR="001F1555" w:rsidRPr="00847234">
        <w:rPr>
          <w:rFonts w:ascii="Arial" w:hAnsi="Arial" w:cs="Arial"/>
          <w:bCs/>
          <w:lang w:val="es-ES"/>
        </w:rPr>
        <w:t>u</w:t>
      </w:r>
      <w:r w:rsidR="00876093" w:rsidRPr="00847234">
        <w:rPr>
          <w:rFonts w:ascii="Arial" w:hAnsi="Arial" w:cs="Arial"/>
          <w:bCs/>
          <w:lang w:val="es-ES"/>
        </w:rPr>
        <w:t xml:space="preserve">na parte, el artículo 28 constitucional </w:t>
      </w:r>
      <w:r w:rsidR="004C2D76" w:rsidRPr="00847234">
        <w:rPr>
          <w:rFonts w:ascii="Arial" w:hAnsi="Arial" w:cs="Arial"/>
          <w:bCs/>
          <w:lang w:val="es-ES"/>
        </w:rPr>
        <w:t xml:space="preserve">dispone </w:t>
      </w:r>
      <w:r w:rsidR="00876093" w:rsidRPr="00847234">
        <w:rPr>
          <w:rFonts w:ascii="Arial" w:hAnsi="Arial" w:cs="Arial"/>
          <w:bCs/>
          <w:lang w:val="es-ES"/>
        </w:rPr>
        <w:t>que “[e]l Poder Ejecutivo contará con los órg</w:t>
      </w:r>
      <w:r w:rsidR="001F1555" w:rsidRPr="00847234">
        <w:rPr>
          <w:rFonts w:ascii="Arial" w:hAnsi="Arial" w:cs="Arial"/>
          <w:bCs/>
          <w:lang w:val="es-ES"/>
        </w:rPr>
        <w:t>anos reguladores coordinados en materia energética, denominados Comisión Nacional de Hidrocarburos y Comisión Reguladora de Energía, en los términos que determine la ley</w:t>
      </w:r>
      <w:r w:rsidR="00DA445B" w:rsidRPr="00847234">
        <w:rPr>
          <w:rFonts w:ascii="Arial" w:hAnsi="Arial" w:cs="Arial"/>
          <w:bCs/>
          <w:lang w:val="es-ES"/>
        </w:rPr>
        <w:t>”</w:t>
      </w:r>
      <w:r w:rsidR="001F1555" w:rsidRPr="00847234">
        <w:rPr>
          <w:rFonts w:ascii="Arial" w:hAnsi="Arial" w:cs="Arial"/>
          <w:bCs/>
          <w:lang w:val="es-ES"/>
        </w:rPr>
        <w:t>.</w:t>
      </w:r>
      <w:r w:rsidR="0026562D" w:rsidRPr="00847234">
        <w:rPr>
          <w:rFonts w:ascii="Arial" w:hAnsi="Arial" w:cs="Arial"/>
          <w:bCs/>
          <w:lang w:val="es-ES"/>
        </w:rPr>
        <w:t xml:space="preserve"> </w:t>
      </w:r>
      <w:r w:rsidR="0053663E" w:rsidRPr="00847234">
        <w:rPr>
          <w:rFonts w:ascii="Arial" w:hAnsi="Arial" w:cs="Arial"/>
          <w:bCs/>
          <w:lang w:val="es-ES"/>
        </w:rPr>
        <w:t>Por otra parte, el artículo décimo transitorio, inciso c)</w:t>
      </w:r>
      <w:r w:rsidR="00DA445B" w:rsidRPr="00847234">
        <w:rPr>
          <w:rFonts w:ascii="Arial" w:hAnsi="Arial" w:cs="Arial"/>
          <w:bCs/>
          <w:lang w:val="es-ES"/>
        </w:rPr>
        <w:t>,</w:t>
      </w:r>
      <w:r w:rsidR="0053663E" w:rsidRPr="00847234">
        <w:rPr>
          <w:rFonts w:ascii="Arial" w:hAnsi="Arial" w:cs="Arial"/>
          <w:bCs/>
          <w:lang w:val="es-ES"/>
        </w:rPr>
        <w:t xml:space="preserve"> del decreto de reforma constitucional establece que corresponde a la Comisión Reguladora de Energía “en materia de electricidad, la regulación y el otorgamiento de permisos para la generación, así como las tarifas de porteo para transmisión y distribución.”</w:t>
      </w:r>
      <w:r w:rsidR="00A3096A" w:rsidRPr="00847234">
        <w:rPr>
          <w:rFonts w:ascii="Arial" w:hAnsi="Arial" w:cs="Arial"/>
          <w:bCs/>
          <w:lang w:val="es-ES"/>
        </w:rPr>
        <w:t xml:space="preserve"> </w:t>
      </w:r>
    </w:p>
    <w:p w14:paraId="377DC480" w14:textId="77777777" w:rsidR="004104DC" w:rsidRPr="00847234" w:rsidRDefault="004104DC" w:rsidP="008D342D">
      <w:pPr>
        <w:spacing w:line="360" w:lineRule="auto"/>
        <w:jc w:val="both"/>
        <w:rPr>
          <w:rFonts w:ascii="Arial" w:hAnsi="Arial" w:cs="Arial"/>
          <w:bCs/>
          <w:lang w:val="es-ES"/>
        </w:rPr>
      </w:pPr>
    </w:p>
    <w:p w14:paraId="5BE0F414" w14:textId="4C0A27E5" w:rsidR="008D342D" w:rsidRPr="00847234" w:rsidRDefault="0053663E" w:rsidP="008D342D">
      <w:pPr>
        <w:spacing w:line="360" w:lineRule="auto"/>
        <w:jc w:val="both"/>
        <w:rPr>
          <w:rFonts w:ascii="Arial" w:hAnsi="Arial" w:cs="Arial"/>
          <w:bCs/>
          <w:lang w:val="es-ES"/>
        </w:rPr>
      </w:pPr>
      <w:r w:rsidRPr="00847234">
        <w:rPr>
          <w:rFonts w:ascii="Arial" w:hAnsi="Arial" w:cs="Arial"/>
          <w:bCs/>
          <w:lang w:val="es-ES"/>
        </w:rPr>
        <w:t>La existencia de estas previsiones constitucionales</w:t>
      </w:r>
      <w:r w:rsidR="00003A83" w:rsidRPr="00847234">
        <w:rPr>
          <w:rFonts w:ascii="Arial" w:hAnsi="Arial" w:cs="Arial"/>
          <w:bCs/>
          <w:lang w:val="es-ES"/>
        </w:rPr>
        <w:t xml:space="preserve"> </w:t>
      </w:r>
      <w:r w:rsidR="00A3096A" w:rsidRPr="00847234">
        <w:rPr>
          <w:rFonts w:ascii="Arial" w:hAnsi="Arial" w:cs="Arial"/>
          <w:bCs/>
          <w:lang w:val="es-ES"/>
        </w:rPr>
        <w:t>implica que</w:t>
      </w:r>
      <w:r w:rsidRPr="00847234">
        <w:rPr>
          <w:rFonts w:ascii="Arial" w:hAnsi="Arial" w:cs="Arial"/>
          <w:bCs/>
          <w:lang w:val="es-ES"/>
        </w:rPr>
        <w:t xml:space="preserve"> la Comisión Reguladora de Energía</w:t>
      </w:r>
      <w:r w:rsidR="00003A83" w:rsidRPr="00847234">
        <w:rPr>
          <w:rFonts w:ascii="Arial" w:hAnsi="Arial" w:cs="Arial"/>
          <w:bCs/>
          <w:lang w:val="es-ES"/>
        </w:rPr>
        <w:t xml:space="preserve"> tiene un ámbito de facultades propias y exclusivas que debe ejercer con independencia de la voluntad de</w:t>
      </w:r>
      <w:r w:rsidR="00A3096A" w:rsidRPr="00847234">
        <w:rPr>
          <w:rFonts w:ascii="Arial" w:hAnsi="Arial" w:cs="Arial"/>
          <w:bCs/>
          <w:lang w:val="es-ES"/>
        </w:rPr>
        <w:t xml:space="preserve"> los </w:t>
      </w:r>
      <w:r w:rsidR="001212EB" w:rsidRPr="00847234">
        <w:rPr>
          <w:rFonts w:ascii="Arial" w:hAnsi="Arial" w:cs="Arial"/>
          <w:bCs/>
          <w:lang w:val="es-ES"/>
        </w:rPr>
        <w:t xml:space="preserve">Poderes Ejecutivo </w:t>
      </w:r>
      <w:r w:rsidR="007B5805" w:rsidRPr="00847234">
        <w:rPr>
          <w:rFonts w:ascii="Arial" w:hAnsi="Arial" w:cs="Arial"/>
          <w:bCs/>
          <w:lang w:val="es-ES"/>
        </w:rPr>
        <w:t xml:space="preserve">y </w:t>
      </w:r>
      <w:r w:rsidR="001212EB" w:rsidRPr="00847234">
        <w:rPr>
          <w:rFonts w:ascii="Arial" w:hAnsi="Arial" w:cs="Arial"/>
          <w:bCs/>
          <w:lang w:val="es-ES"/>
        </w:rPr>
        <w:t>Legislativo</w:t>
      </w:r>
      <w:r w:rsidR="0088138A" w:rsidRPr="00847234">
        <w:rPr>
          <w:rFonts w:ascii="Arial" w:hAnsi="Arial" w:cs="Arial"/>
          <w:bCs/>
          <w:lang w:val="es-ES"/>
        </w:rPr>
        <w:t>; sus atrib</w:t>
      </w:r>
      <w:r w:rsidR="00245E77" w:rsidRPr="00847234">
        <w:rPr>
          <w:rFonts w:ascii="Arial" w:hAnsi="Arial" w:cs="Arial"/>
          <w:bCs/>
          <w:lang w:val="es-ES"/>
        </w:rPr>
        <w:t xml:space="preserve">uciones y facultades </w:t>
      </w:r>
      <w:r w:rsidR="00BC10A9" w:rsidRPr="00847234">
        <w:rPr>
          <w:rFonts w:ascii="Arial" w:hAnsi="Arial" w:cs="Arial"/>
          <w:bCs/>
          <w:lang w:val="es-ES"/>
        </w:rPr>
        <w:t xml:space="preserve">provienen </w:t>
      </w:r>
      <w:r w:rsidR="00245E77" w:rsidRPr="00847234">
        <w:rPr>
          <w:rFonts w:ascii="Arial" w:hAnsi="Arial" w:cs="Arial"/>
          <w:bCs/>
          <w:lang w:val="es-ES"/>
        </w:rPr>
        <w:t xml:space="preserve">directamente de la Constitución </w:t>
      </w:r>
      <w:r w:rsidR="00BC10A9" w:rsidRPr="00847234">
        <w:rPr>
          <w:rFonts w:ascii="Arial" w:hAnsi="Arial" w:cs="Arial"/>
          <w:bCs/>
          <w:lang w:val="es-ES"/>
        </w:rPr>
        <w:t xml:space="preserve">y </w:t>
      </w:r>
      <w:r w:rsidR="00006E60" w:rsidRPr="00847234">
        <w:rPr>
          <w:rFonts w:ascii="Arial" w:hAnsi="Arial" w:cs="Arial"/>
          <w:bCs/>
          <w:lang w:val="es-ES"/>
        </w:rPr>
        <w:t xml:space="preserve">no de leyes </w:t>
      </w:r>
      <w:r w:rsidR="00033305" w:rsidRPr="00847234">
        <w:rPr>
          <w:rFonts w:ascii="Arial" w:hAnsi="Arial" w:cs="Arial"/>
          <w:bCs/>
          <w:lang w:val="es-ES"/>
        </w:rPr>
        <w:t xml:space="preserve">ni de decretos </w:t>
      </w:r>
      <w:r w:rsidR="007B5805" w:rsidRPr="00847234">
        <w:rPr>
          <w:rFonts w:ascii="Arial" w:hAnsi="Arial" w:cs="Arial"/>
          <w:bCs/>
          <w:lang w:val="es-ES"/>
        </w:rPr>
        <w:t xml:space="preserve">o reglamentos </w:t>
      </w:r>
      <w:r w:rsidR="00006E60" w:rsidRPr="00847234">
        <w:rPr>
          <w:rFonts w:ascii="Arial" w:hAnsi="Arial" w:cs="Arial"/>
          <w:bCs/>
          <w:lang w:val="es-ES"/>
        </w:rPr>
        <w:t xml:space="preserve">del </w:t>
      </w:r>
      <w:r w:rsidR="007B5805" w:rsidRPr="00847234">
        <w:rPr>
          <w:rFonts w:ascii="Arial" w:hAnsi="Arial" w:cs="Arial"/>
          <w:bCs/>
          <w:lang w:val="es-ES"/>
        </w:rPr>
        <w:t>ejecutivo</w:t>
      </w:r>
      <w:r w:rsidR="00006E60" w:rsidRPr="00847234">
        <w:rPr>
          <w:rFonts w:ascii="Arial" w:hAnsi="Arial" w:cs="Arial"/>
          <w:bCs/>
          <w:lang w:val="es-ES"/>
        </w:rPr>
        <w:t>.</w:t>
      </w:r>
      <w:r w:rsidR="00685B4D" w:rsidRPr="00847234">
        <w:rPr>
          <w:rFonts w:ascii="Arial" w:hAnsi="Arial" w:cs="Arial"/>
          <w:bCs/>
          <w:lang w:val="es-ES"/>
        </w:rPr>
        <w:t xml:space="preserve"> </w:t>
      </w:r>
      <w:r w:rsidR="00006E60" w:rsidRPr="00847234">
        <w:rPr>
          <w:rFonts w:ascii="Arial" w:hAnsi="Arial" w:cs="Arial"/>
          <w:bCs/>
          <w:lang w:val="es-ES"/>
        </w:rPr>
        <w:t>La sentencia se equivo</w:t>
      </w:r>
      <w:r w:rsidR="000A4697" w:rsidRPr="00847234">
        <w:rPr>
          <w:rFonts w:ascii="Arial" w:hAnsi="Arial" w:cs="Arial"/>
          <w:bCs/>
          <w:lang w:val="es-ES"/>
        </w:rPr>
        <w:t xml:space="preserve">ca cuando </w:t>
      </w:r>
      <w:r w:rsidR="00955150" w:rsidRPr="00847234">
        <w:rPr>
          <w:rFonts w:ascii="Arial" w:hAnsi="Arial" w:cs="Arial"/>
          <w:bCs/>
          <w:lang w:val="es-ES"/>
        </w:rPr>
        <w:t>elude</w:t>
      </w:r>
      <w:r w:rsidR="00BC10A9" w:rsidRPr="00847234">
        <w:rPr>
          <w:rFonts w:ascii="Arial" w:hAnsi="Arial" w:cs="Arial"/>
          <w:bCs/>
          <w:lang w:val="es-ES"/>
        </w:rPr>
        <w:t xml:space="preserve"> el </w:t>
      </w:r>
      <w:r w:rsidR="000D4744" w:rsidRPr="00847234">
        <w:rPr>
          <w:rFonts w:ascii="Arial" w:hAnsi="Arial" w:cs="Arial"/>
          <w:bCs/>
          <w:lang w:val="es-ES"/>
        </w:rPr>
        <w:t xml:space="preserve">desarrollo de </w:t>
      </w:r>
      <w:r w:rsidR="008D342D" w:rsidRPr="00847234">
        <w:rPr>
          <w:rFonts w:ascii="Arial" w:hAnsi="Arial" w:cs="Arial"/>
          <w:bCs/>
          <w:lang w:val="es-ES"/>
        </w:rPr>
        <w:t>criterios para garantizar a este órgano condiciones de autonomía técnica para ejercer sus facultades</w:t>
      </w:r>
      <w:r w:rsidR="00FD377F" w:rsidRPr="00847234">
        <w:rPr>
          <w:rFonts w:ascii="Arial" w:hAnsi="Arial" w:cs="Arial"/>
          <w:bCs/>
          <w:lang w:val="es-ES"/>
        </w:rPr>
        <w:t>;</w:t>
      </w:r>
      <w:r w:rsidR="004179BF" w:rsidRPr="00847234">
        <w:rPr>
          <w:rFonts w:ascii="Arial" w:hAnsi="Arial" w:cs="Arial"/>
          <w:bCs/>
          <w:lang w:val="es-ES"/>
        </w:rPr>
        <w:t xml:space="preserve"> </w:t>
      </w:r>
      <w:r w:rsidR="008D342D" w:rsidRPr="00847234">
        <w:rPr>
          <w:rFonts w:ascii="Arial" w:hAnsi="Arial" w:cs="Arial"/>
          <w:bCs/>
          <w:lang w:val="es-ES"/>
        </w:rPr>
        <w:t>la más relevante</w:t>
      </w:r>
      <w:r w:rsidR="004179BF" w:rsidRPr="00847234">
        <w:rPr>
          <w:rFonts w:ascii="Arial" w:hAnsi="Arial" w:cs="Arial"/>
          <w:bCs/>
          <w:lang w:val="es-ES"/>
        </w:rPr>
        <w:t>,</w:t>
      </w:r>
      <w:r w:rsidR="008D342D" w:rsidRPr="00847234">
        <w:rPr>
          <w:rFonts w:ascii="Arial" w:hAnsi="Arial" w:cs="Arial"/>
          <w:bCs/>
          <w:lang w:val="es-ES"/>
        </w:rPr>
        <w:t xml:space="preserve"> la emisión de los permisos de generación de electricidad</w:t>
      </w:r>
      <w:r w:rsidR="00B30944" w:rsidRPr="00847234">
        <w:rPr>
          <w:rFonts w:ascii="Arial" w:hAnsi="Arial" w:cs="Arial"/>
          <w:bCs/>
          <w:lang w:val="es-ES"/>
        </w:rPr>
        <w:t xml:space="preserve"> que le fue otorgada por la Constitución. </w:t>
      </w:r>
    </w:p>
    <w:p w14:paraId="18562A5F" w14:textId="77777777" w:rsidR="004179BF" w:rsidRPr="00847234" w:rsidRDefault="004179BF" w:rsidP="008D342D">
      <w:pPr>
        <w:spacing w:line="360" w:lineRule="auto"/>
        <w:jc w:val="both"/>
        <w:rPr>
          <w:rFonts w:ascii="Arial" w:hAnsi="Arial" w:cs="Arial"/>
          <w:bCs/>
          <w:lang w:val="es-ES"/>
        </w:rPr>
      </w:pPr>
    </w:p>
    <w:p w14:paraId="175E18E3" w14:textId="358ED4C9" w:rsidR="008D342D" w:rsidRPr="00847234" w:rsidRDefault="008D342D" w:rsidP="008D342D">
      <w:pPr>
        <w:spacing w:line="360" w:lineRule="auto"/>
        <w:jc w:val="both"/>
        <w:rPr>
          <w:rFonts w:ascii="Arial" w:hAnsi="Arial" w:cs="Arial"/>
          <w:bCs/>
          <w:lang w:val="es-ES"/>
        </w:rPr>
      </w:pPr>
      <w:r w:rsidRPr="00847234">
        <w:rPr>
          <w:rFonts w:ascii="Arial" w:hAnsi="Arial" w:cs="Arial"/>
          <w:bCs/>
          <w:lang w:val="es-ES"/>
        </w:rPr>
        <w:t>E</w:t>
      </w:r>
      <w:r w:rsidR="00003A83" w:rsidRPr="00847234">
        <w:rPr>
          <w:rFonts w:ascii="Arial" w:hAnsi="Arial" w:cs="Arial"/>
          <w:bCs/>
          <w:lang w:val="es-ES"/>
        </w:rPr>
        <w:t>n efecto, la sentencia</w:t>
      </w:r>
      <w:r w:rsidRPr="00847234">
        <w:rPr>
          <w:rFonts w:ascii="Arial" w:hAnsi="Arial" w:cs="Arial"/>
          <w:bCs/>
          <w:lang w:val="es-ES"/>
        </w:rPr>
        <w:t xml:space="preserve"> no responde a la pregunta </w:t>
      </w:r>
      <w:r w:rsidR="00DA66A0" w:rsidRPr="00847234">
        <w:rPr>
          <w:rFonts w:ascii="Arial" w:hAnsi="Arial" w:cs="Arial"/>
          <w:bCs/>
          <w:lang w:val="es-ES"/>
        </w:rPr>
        <w:t xml:space="preserve">propuesta por los promoventes: </w:t>
      </w:r>
      <w:r w:rsidRPr="00847234">
        <w:rPr>
          <w:rFonts w:ascii="Arial" w:hAnsi="Arial" w:cs="Arial"/>
          <w:bCs/>
          <w:lang w:val="es-ES"/>
        </w:rPr>
        <w:t>¿</w:t>
      </w:r>
      <w:r w:rsidR="00EA2B1C" w:rsidRPr="00847234">
        <w:rPr>
          <w:rFonts w:ascii="Arial" w:hAnsi="Arial" w:cs="Arial"/>
          <w:bCs/>
          <w:lang w:val="es-ES"/>
        </w:rPr>
        <w:t>L</w:t>
      </w:r>
      <w:r w:rsidRPr="00847234">
        <w:rPr>
          <w:rFonts w:ascii="Arial" w:hAnsi="Arial" w:cs="Arial"/>
          <w:bCs/>
          <w:lang w:val="es-ES"/>
        </w:rPr>
        <w:t xml:space="preserve">a Secretaría de Energía podría imponer cualquier plan a la Comisión señalada y condicionar el ejercicio de sus facultades en cualquier sentido? </w:t>
      </w:r>
      <w:r w:rsidR="00232D68" w:rsidRPr="00847234">
        <w:rPr>
          <w:rFonts w:ascii="Arial" w:hAnsi="Arial" w:cs="Arial"/>
          <w:bCs/>
          <w:lang w:val="es-ES"/>
        </w:rPr>
        <w:t xml:space="preserve">Desde mi </w:t>
      </w:r>
      <w:r w:rsidR="00232D68" w:rsidRPr="00847234">
        <w:rPr>
          <w:rFonts w:ascii="Arial" w:hAnsi="Arial" w:cs="Arial"/>
          <w:bCs/>
          <w:lang w:val="es-ES"/>
        </w:rPr>
        <w:lastRenderedPageBreak/>
        <w:t xml:space="preserve">perspectiva, la respuesta a </w:t>
      </w:r>
      <w:r w:rsidR="00DC5B5D" w:rsidRPr="00847234">
        <w:rPr>
          <w:rFonts w:ascii="Arial" w:hAnsi="Arial" w:cs="Arial"/>
          <w:bCs/>
          <w:lang w:val="es-ES"/>
        </w:rPr>
        <w:t>esta pregunta</w:t>
      </w:r>
      <w:r w:rsidR="00232D68" w:rsidRPr="00847234">
        <w:rPr>
          <w:rFonts w:ascii="Arial" w:hAnsi="Arial" w:cs="Arial"/>
          <w:bCs/>
          <w:lang w:val="es-ES"/>
        </w:rPr>
        <w:t xml:space="preserve"> es negativa; la </w:t>
      </w:r>
      <w:r w:rsidR="00003A83" w:rsidRPr="00847234">
        <w:rPr>
          <w:rFonts w:ascii="Arial" w:hAnsi="Arial" w:cs="Arial"/>
          <w:bCs/>
          <w:lang w:val="es-ES"/>
        </w:rPr>
        <w:t>Secretaría de Energía sólo diseñar</w:t>
      </w:r>
      <w:r w:rsidR="009D4B23" w:rsidRPr="00847234">
        <w:rPr>
          <w:rFonts w:ascii="Arial" w:hAnsi="Arial" w:cs="Arial"/>
          <w:bCs/>
          <w:lang w:val="es-ES"/>
        </w:rPr>
        <w:t>á</w:t>
      </w:r>
      <w:r w:rsidR="00003A83" w:rsidRPr="00847234">
        <w:rPr>
          <w:rFonts w:ascii="Arial" w:hAnsi="Arial" w:cs="Arial"/>
          <w:bCs/>
          <w:lang w:val="es-ES"/>
        </w:rPr>
        <w:t xml:space="preserve"> directivas relacionadas con su ámbito de aplicación, sin </w:t>
      </w:r>
      <w:r w:rsidR="00575931" w:rsidRPr="00847234">
        <w:rPr>
          <w:rFonts w:ascii="Arial" w:hAnsi="Arial" w:cs="Arial"/>
          <w:bCs/>
          <w:lang w:val="es-ES"/>
        </w:rPr>
        <w:t xml:space="preserve">afectar  </w:t>
      </w:r>
      <w:r w:rsidR="00003A83" w:rsidRPr="00847234">
        <w:rPr>
          <w:rFonts w:ascii="Arial" w:hAnsi="Arial" w:cs="Arial"/>
          <w:bCs/>
          <w:lang w:val="es-ES"/>
        </w:rPr>
        <w:t xml:space="preserve"> cuestiones que son competencia exclusiva de ese órgano.</w:t>
      </w:r>
      <w:r w:rsidR="0053663E" w:rsidRPr="00847234">
        <w:rPr>
          <w:rFonts w:ascii="Arial" w:hAnsi="Arial" w:cs="Arial"/>
          <w:bCs/>
          <w:lang w:val="es-ES"/>
        </w:rPr>
        <w:t xml:space="preserve"> En otras palabras, los planes </w:t>
      </w:r>
      <w:r w:rsidR="00C353E8" w:rsidRPr="00847234">
        <w:rPr>
          <w:rFonts w:ascii="Arial" w:hAnsi="Arial" w:cs="Arial"/>
          <w:bCs/>
          <w:lang w:val="es-ES"/>
        </w:rPr>
        <w:t xml:space="preserve">adoptados por </w:t>
      </w:r>
      <w:r w:rsidR="0053663E" w:rsidRPr="00847234">
        <w:rPr>
          <w:rFonts w:ascii="Arial" w:hAnsi="Arial" w:cs="Arial"/>
          <w:bCs/>
          <w:lang w:val="es-ES"/>
        </w:rPr>
        <w:t>el artículo impugnado no subordinar</w:t>
      </w:r>
      <w:r w:rsidR="009D4B23" w:rsidRPr="00847234">
        <w:rPr>
          <w:rFonts w:ascii="Arial" w:hAnsi="Arial" w:cs="Arial"/>
          <w:bCs/>
          <w:lang w:val="es-ES"/>
        </w:rPr>
        <w:t>ían</w:t>
      </w:r>
      <w:r w:rsidR="0053663E" w:rsidRPr="00847234">
        <w:rPr>
          <w:rFonts w:ascii="Arial" w:hAnsi="Arial" w:cs="Arial"/>
          <w:bCs/>
          <w:lang w:val="es-ES"/>
        </w:rPr>
        <w:t xml:space="preserve"> ni condicionar</w:t>
      </w:r>
      <w:r w:rsidR="009D4B23" w:rsidRPr="00847234">
        <w:rPr>
          <w:rFonts w:ascii="Arial" w:hAnsi="Arial" w:cs="Arial"/>
          <w:bCs/>
          <w:lang w:val="es-ES"/>
        </w:rPr>
        <w:t>ían</w:t>
      </w:r>
      <w:r w:rsidR="0053663E" w:rsidRPr="00847234">
        <w:rPr>
          <w:rFonts w:ascii="Arial" w:hAnsi="Arial" w:cs="Arial"/>
          <w:bCs/>
          <w:lang w:val="es-ES"/>
        </w:rPr>
        <w:t xml:space="preserve"> las facultades propias y exclusivas de la Comisión Reguladora de Energía. </w:t>
      </w:r>
    </w:p>
    <w:p w14:paraId="086DCFAD" w14:textId="77777777" w:rsidR="009823E6" w:rsidRPr="00847234" w:rsidRDefault="009823E6" w:rsidP="008D342D">
      <w:pPr>
        <w:spacing w:line="360" w:lineRule="auto"/>
        <w:jc w:val="both"/>
        <w:rPr>
          <w:rFonts w:ascii="Arial" w:hAnsi="Arial" w:cs="Arial"/>
          <w:bCs/>
          <w:lang w:val="es-ES"/>
        </w:rPr>
      </w:pPr>
    </w:p>
    <w:p w14:paraId="0FED8539" w14:textId="292C7033" w:rsidR="008D342D" w:rsidRPr="00847234" w:rsidRDefault="008D342D" w:rsidP="008D342D">
      <w:pPr>
        <w:spacing w:line="360" w:lineRule="auto"/>
        <w:jc w:val="both"/>
        <w:rPr>
          <w:rFonts w:ascii="Arial" w:hAnsi="Arial" w:cs="Arial"/>
          <w:bCs/>
          <w:lang w:val="es-ES"/>
        </w:rPr>
      </w:pPr>
      <w:r w:rsidRPr="00847234">
        <w:rPr>
          <w:rFonts w:ascii="Arial" w:hAnsi="Arial" w:cs="Arial"/>
          <w:bCs/>
          <w:lang w:val="es-ES"/>
        </w:rPr>
        <w:t>Así, se debe reconocer la validez de la norma impugnada, pero dicho reconocimiento debe basar</w:t>
      </w:r>
      <w:r w:rsidR="009823E6" w:rsidRPr="00847234">
        <w:rPr>
          <w:rFonts w:ascii="Arial" w:hAnsi="Arial" w:cs="Arial"/>
          <w:bCs/>
          <w:lang w:val="es-ES"/>
        </w:rPr>
        <w:t>se</w:t>
      </w:r>
      <w:r w:rsidRPr="00847234">
        <w:rPr>
          <w:rFonts w:ascii="Arial" w:hAnsi="Arial" w:cs="Arial"/>
          <w:bCs/>
          <w:lang w:val="es-ES"/>
        </w:rPr>
        <w:t xml:space="preserve"> en la única interpretación constitucionalmente admisible</w:t>
      </w:r>
      <w:r w:rsidR="0025362A" w:rsidRPr="00847234">
        <w:rPr>
          <w:rFonts w:ascii="Arial" w:hAnsi="Arial" w:cs="Arial"/>
          <w:bCs/>
          <w:lang w:val="es-ES"/>
        </w:rPr>
        <w:t xml:space="preserve">; es decir, </w:t>
      </w:r>
      <w:r w:rsidRPr="00847234">
        <w:rPr>
          <w:rFonts w:ascii="Arial" w:hAnsi="Arial" w:cs="Arial"/>
          <w:bCs/>
          <w:lang w:val="es-ES"/>
        </w:rPr>
        <w:t xml:space="preserve">una interpretación conforme con el artículo 28 constitucional </w:t>
      </w:r>
      <w:r w:rsidR="0036720A" w:rsidRPr="00847234">
        <w:rPr>
          <w:rFonts w:ascii="Arial" w:hAnsi="Arial" w:cs="Arial"/>
          <w:bCs/>
          <w:lang w:val="es-ES"/>
        </w:rPr>
        <w:t xml:space="preserve">para </w:t>
      </w:r>
      <w:r w:rsidRPr="00847234">
        <w:rPr>
          <w:rFonts w:ascii="Arial" w:hAnsi="Arial" w:cs="Arial"/>
          <w:bCs/>
          <w:lang w:val="es-ES"/>
        </w:rPr>
        <w:t xml:space="preserve">concluir que los planes de la Secretaría de Energía sólo </w:t>
      </w:r>
      <w:r w:rsidR="00547060" w:rsidRPr="00847234">
        <w:rPr>
          <w:rFonts w:ascii="Arial" w:hAnsi="Arial" w:cs="Arial"/>
          <w:bCs/>
          <w:lang w:val="es-ES"/>
        </w:rPr>
        <w:t xml:space="preserve">son </w:t>
      </w:r>
      <w:r w:rsidR="00477C00" w:rsidRPr="00847234">
        <w:rPr>
          <w:rFonts w:ascii="Arial" w:hAnsi="Arial" w:cs="Arial"/>
          <w:bCs/>
          <w:lang w:val="es-ES"/>
        </w:rPr>
        <w:t xml:space="preserve">aceptables </w:t>
      </w:r>
      <w:r w:rsidR="00547060" w:rsidRPr="00847234">
        <w:rPr>
          <w:rFonts w:ascii="Arial" w:hAnsi="Arial" w:cs="Arial"/>
          <w:bCs/>
          <w:lang w:val="es-ES"/>
        </w:rPr>
        <w:t xml:space="preserve">si no </w:t>
      </w:r>
      <w:r w:rsidR="00D47917" w:rsidRPr="00847234">
        <w:rPr>
          <w:rFonts w:ascii="Arial" w:hAnsi="Arial" w:cs="Arial"/>
          <w:bCs/>
          <w:lang w:val="es-ES"/>
        </w:rPr>
        <w:t>lidi</w:t>
      </w:r>
      <w:r w:rsidR="00547060" w:rsidRPr="00847234">
        <w:rPr>
          <w:rFonts w:ascii="Arial" w:hAnsi="Arial" w:cs="Arial"/>
          <w:bCs/>
          <w:lang w:val="es-ES"/>
        </w:rPr>
        <w:t>an</w:t>
      </w:r>
      <w:r w:rsidR="00D47917" w:rsidRPr="00847234">
        <w:rPr>
          <w:rFonts w:ascii="Arial" w:hAnsi="Arial" w:cs="Arial"/>
          <w:bCs/>
          <w:lang w:val="es-ES"/>
        </w:rPr>
        <w:t xml:space="preserve"> </w:t>
      </w:r>
      <w:r w:rsidR="00BE08B7" w:rsidRPr="00847234">
        <w:rPr>
          <w:rFonts w:ascii="Arial" w:hAnsi="Arial" w:cs="Arial"/>
          <w:bCs/>
          <w:lang w:val="es-ES"/>
        </w:rPr>
        <w:t>con</w:t>
      </w:r>
      <w:r w:rsidR="00547060" w:rsidRPr="00847234">
        <w:rPr>
          <w:rFonts w:ascii="Arial" w:hAnsi="Arial" w:cs="Arial"/>
          <w:bCs/>
          <w:lang w:val="es-ES"/>
        </w:rPr>
        <w:t xml:space="preserve"> </w:t>
      </w:r>
      <w:r w:rsidRPr="00847234">
        <w:rPr>
          <w:rFonts w:ascii="Arial" w:hAnsi="Arial" w:cs="Arial"/>
          <w:bCs/>
          <w:lang w:val="es-ES"/>
        </w:rPr>
        <w:t>cuestiones estrictamente técnicas y no despla</w:t>
      </w:r>
      <w:r w:rsidR="00547060" w:rsidRPr="00847234">
        <w:rPr>
          <w:rFonts w:ascii="Arial" w:hAnsi="Arial" w:cs="Arial"/>
          <w:bCs/>
          <w:lang w:val="es-ES"/>
        </w:rPr>
        <w:t xml:space="preserve">zan </w:t>
      </w:r>
      <w:r w:rsidRPr="00847234">
        <w:rPr>
          <w:rFonts w:ascii="Arial" w:hAnsi="Arial" w:cs="Arial"/>
          <w:bCs/>
          <w:lang w:val="es-ES"/>
        </w:rPr>
        <w:t>a la Comisión Reguladora de Energía en el ejercicio de su autonomía técnica.</w:t>
      </w:r>
      <w:r w:rsidR="00CC37C7" w:rsidRPr="00847234">
        <w:rPr>
          <w:rFonts w:ascii="Arial" w:hAnsi="Arial" w:cs="Arial"/>
          <w:bCs/>
          <w:lang w:val="es-ES"/>
        </w:rPr>
        <w:t xml:space="preserve"> </w:t>
      </w:r>
      <w:r w:rsidR="00CB64BB" w:rsidRPr="00847234">
        <w:rPr>
          <w:rFonts w:ascii="Arial" w:hAnsi="Arial" w:cs="Arial"/>
          <w:bCs/>
          <w:lang w:val="es-ES"/>
        </w:rPr>
        <w:t xml:space="preserve">Si eso no fuera así, la </w:t>
      </w:r>
      <w:r w:rsidR="00CC37C7" w:rsidRPr="00847234">
        <w:rPr>
          <w:rFonts w:ascii="Arial" w:hAnsi="Arial" w:cs="Arial"/>
          <w:bCs/>
          <w:lang w:val="es-ES"/>
        </w:rPr>
        <w:t xml:space="preserve">Comisión quedaría en libertad de </w:t>
      </w:r>
      <w:r w:rsidR="00B827B5" w:rsidRPr="00847234">
        <w:rPr>
          <w:rFonts w:ascii="Arial" w:hAnsi="Arial" w:cs="Arial"/>
          <w:bCs/>
          <w:lang w:val="es-ES"/>
        </w:rPr>
        <w:t>delimitar el alcance de esos planes</w:t>
      </w:r>
      <w:r w:rsidR="00CC37C7" w:rsidRPr="00847234">
        <w:rPr>
          <w:rFonts w:ascii="Arial" w:hAnsi="Arial" w:cs="Arial"/>
          <w:bCs/>
          <w:lang w:val="es-ES"/>
        </w:rPr>
        <w:t xml:space="preserve"> </w:t>
      </w:r>
      <w:r w:rsidR="00B827B5" w:rsidRPr="00847234">
        <w:rPr>
          <w:rFonts w:ascii="Arial" w:hAnsi="Arial" w:cs="Arial"/>
          <w:bCs/>
          <w:lang w:val="es-ES"/>
        </w:rPr>
        <w:t>con el fin de resguardar su autonomía técnica</w:t>
      </w:r>
      <w:r w:rsidR="004D3CA9" w:rsidRPr="00847234">
        <w:rPr>
          <w:rFonts w:ascii="Arial" w:hAnsi="Arial" w:cs="Arial"/>
          <w:bCs/>
          <w:lang w:val="es-ES"/>
        </w:rPr>
        <w:t xml:space="preserve">. Su </w:t>
      </w:r>
      <w:r w:rsidR="00D42C95" w:rsidRPr="00847234">
        <w:rPr>
          <w:rFonts w:ascii="Arial" w:hAnsi="Arial" w:cs="Arial"/>
          <w:bCs/>
          <w:lang w:val="es-ES"/>
        </w:rPr>
        <w:t xml:space="preserve">posición constitucional única </w:t>
      </w:r>
      <w:r w:rsidR="00A07D84" w:rsidRPr="00847234">
        <w:rPr>
          <w:rFonts w:ascii="Arial" w:hAnsi="Arial" w:cs="Arial"/>
          <w:bCs/>
          <w:lang w:val="es-ES"/>
        </w:rPr>
        <w:t>impide que se</w:t>
      </w:r>
      <w:r w:rsidR="00581278" w:rsidRPr="00847234">
        <w:rPr>
          <w:rFonts w:ascii="Arial" w:hAnsi="Arial" w:cs="Arial"/>
          <w:bCs/>
          <w:lang w:val="es-ES"/>
        </w:rPr>
        <w:t xml:space="preserve"> le</w:t>
      </w:r>
      <w:r w:rsidR="00A07D84" w:rsidRPr="00847234">
        <w:rPr>
          <w:rFonts w:ascii="Arial" w:hAnsi="Arial" w:cs="Arial"/>
          <w:bCs/>
          <w:lang w:val="es-ES"/>
        </w:rPr>
        <w:t xml:space="preserve"> trate como</w:t>
      </w:r>
      <w:r w:rsidR="00D42C95" w:rsidRPr="00847234">
        <w:rPr>
          <w:rFonts w:ascii="Arial" w:hAnsi="Arial" w:cs="Arial"/>
          <w:bCs/>
          <w:lang w:val="es-ES"/>
        </w:rPr>
        <w:t xml:space="preserve"> un órgano subordinado </w:t>
      </w:r>
      <w:r w:rsidR="00477C00" w:rsidRPr="00847234">
        <w:rPr>
          <w:rFonts w:ascii="Arial" w:hAnsi="Arial" w:cs="Arial"/>
          <w:bCs/>
          <w:lang w:val="es-ES"/>
        </w:rPr>
        <w:t xml:space="preserve">a </w:t>
      </w:r>
      <w:r w:rsidR="00D42C95" w:rsidRPr="00847234">
        <w:rPr>
          <w:rFonts w:ascii="Arial" w:hAnsi="Arial" w:cs="Arial"/>
          <w:bCs/>
          <w:lang w:val="es-ES"/>
        </w:rPr>
        <w:t>alguna Secretaría de Estado</w:t>
      </w:r>
      <w:r w:rsidR="009F3D87" w:rsidRPr="00847234">
        <w:rPr>
          <w:rFonts w:ascii="Arial" w:hAnsi="Arial" w:cs="Arial"/>
          <w:bCs/>
          <w:lang w:val="es-ES"/>
        </w:rPr>
        <w:t xml:space="preserve">. </w:t>
      </w:r>
      <w:r w:rsidR="00AA0AED" w:rsidRPr="00847234">
        <w:rPr>
          <w:rFonts w:ascii="Arial" w:hAnsi="Arial" w:cs="Arial"/>
          <w:bCs/>
          <w:lang w:val="es-ES"/>
        </w:rPr>
        <w:t>L</w:t>
      </w:r>
      <w:r w:rsidR="006B4A14" w:rsidRPr="00847234">
        <w:rPr>
          <w:rFonts w:ascii="Arial" w:hAnsi="Arial" w:cs="Arial"/>
          <w:bCs/>
          <w:lang w:val="es-ES"/>
        </w:rPr>
        <w:t xml:space="preserve">a sentencia debió incorporar </w:t>
      </w:r>
      <w:r w:rsidR="009F3D87" w:rsidRPr="00847234">
        <w:rPr>
          <w:rFonts w:ascii="Arial" w:hAnsi="Arial" w:cs="Arial"/>
          <w:bCs/>
          <w:lang w:val="es-ES"/>
        </w:rPr>
        <w:t xml:space="preserve">una consideración </w:t>
      </w:r>
      <w:r w:rsidR="0046687A" w:rsidRPr="00847234">
        <w:rPr>
          <w:rFonts w:ascii="Arial" w:hAnsi="Arial" w:cs="Arial"/>
          <w:bCs/>
          <w:lang w:val="es-ES"/>
        </w:rPr>
        <w:t xml:space="preserve">que </w:t>
      </w:r>
      <w:r w:rsidR="00B964EC" w:rsidRPr="00847234">
        <w:rPr>
          <w:rFonts w:ascii="Arial" w:hAnsi="Arial" w:cs="Arial"/>
          <w:bCs/>
          <w:lang w:val="es-ES"/>
        </w:rPr>
        <w:t>afirmará</w:t>
      </w:r>
      <w:r w:rsidR="0046687A" w:rsidRPr="00847234">
        <w:rPr>
          <w:rFonts w:ascii="Arial" w:hAnsi="Arial" w:cs="Arial"/>
          <w:bCs/>
          <w:lang w:val="es-ES"/>
        </w:rPr>
        <w:t xml:space="preserve"> que la </w:t>
      </w:r>
      <w:r w:rsidR="00733EB1" w:rsidRPr="00847234">
        <w:rPr>
          <w:rFonts w:ascii="Arial" w:hAnsi="Arial" w:cs="Arial"/>
          <w:bCs/>
          <w:lang w:val="es-ES"/>
        </w:rPr>
        <w:t>s</w:t>
      </w:r>
      <w:r w:rsidR="0046687A" w:rsidRPr="00847234">
        <w:rPr>
          <w:rFonts w:ascii="Arial" w:hAnsi="Arial" w:cs="Arial"/>
          <w:bCs/>
          <w:lang w:val="es-ES"/>
        </w:rPr>
        <w:t>ec</w:t>
      </w:r>
      <w:r w:rsidR="00733EB1" w:rsidRPr="00847234">
        <w:rPr>
          <w:rFonts w:ascii="Arial" w:hAnsi="Arial" w:cs="Arial"/>
          <w:bCs/>
          <w:lang w:val="es-ES"/>
        </w:rPr>
        <w:t>retaría del ramo no</w:t>
      </w:r>
      <w:r w:rsidR="004C7479" w:rsidRPr="00847234">
        <w:rPr>
          <w:rFonts w:ascii="Arial" w:hAnsi="Arial" w:cs="Arial"/>
          <w:bCs/>
          <w:lang w:val="es-ES"/>
        </w:rPr>
        <w:t xml:space="preserve"> </w:t>
      </w:r>
      <w:r w:rsidR="00EC0294" w:rsidRPr="00847234">
        <w:rPr>
          <w:rFonts w:ascii="Arial" w:hAnsi="Arial" w:cs="Arial"/>
          <w:bCs/>
          <w:lang w:val="es-ES"/>
        </w:rPr>
        <w:t xml:space="preserve">impondrá </w:t>
      </w:r>
      <w:r w:rsidR="00733EB1" w:rsidRPr="00847234">
        <w:rPr>
          <w:rFonts w:ascii="Arial" w:hAnsi="Arial" w:cs="Arial"/>
          <w:bCs/>
          <w:lang w:val="es-ES"/>
        </w:rPr>
        <w:t xml:space="preserve">requisitos técnicos para la emisión de permisos, </w:t>
      </w:r>
      <w:r w:rsidR="006B4A14" w:rsidRPr="00847234">
        <w:rPr>
          <w:rFonts w:ascii="Arial" w:hAnsi="Arial" w:cs="Arial"/>
          <w:bCs/>
          <w:lang w:val="es-ES"/>
        </w:rPr>
        <w:t>lo cual es acorde con l</w:t>
      </w:r>
      <w:r w:rsidR="00733EB1" w:rsidRPr="00847234">
        <w:rPr>
          <w:rFonts w:ascii="Arial" w:hAnsi="Arial" w:cs="Arial"/>
          <w:bCs/>
          <w:lang w:val="es-ES"/>
        </w:rPr>
        <w:t xml:space="preserve">a función técnica de </w:t>
      </w:r>
      <w:r w:rsidR="006C6698" w:rsidRPr="00847234">
        <w:rPr>
          <w:rFonts w:ascii="Arial" w:hAnsi="Arial" w:cs="Arial"/>
          <w:bCs/>
          <w:lang w:val="es-ES"/>
        </w:rPr>
        <w:t>l</w:t>
      </w:r>
      <w:r w:rsidR="00733EB1" w:rsidRPr="00847234">
        <w:rPr>
          <w:rFonts w:ascii="Arial" w:hAnsi="Arial" w:cs="Arial"/>
          <w:bCs/>
          <w:lang w:val="es-ES"/>
        </w:rPr>
        <w:t xml:space="preserve">a Comisión Reguladora </w:t>
      </w:r>
      <w:r w:rsidR="006C6698" w:rsidRPr="00847234">
        <w:rPr>
          <w:rFonts w:ascii="Arial" w:hAnsi="Arial" w:cs="Arial"/>
          <w:bCs/>
          <w:lang w:val="es-ES"/>
        </w:rPr>
        <w:t xml:space="preserve">de Energía. </w:t>
      </w:r>
      <w:r w:rsidR="006B4A14" w:rsidRPr="00847234">
        <w:rPr>
          <w:rFonts w:ascii="Arial" w:hAnsi="Arial" w:cs="Arial"/>
          <w:bCs/>
          <w:lang w:val="es-ES"/>
        </w:rPr>
        <w:t>Lo contrario -una participación o supervisión de la secretar</w:t>
      </w:r>
      <w:r w:rsidR="00503081" w:rsidRPr="00847234">
        <w:rPr>
          <w:rFonts w:ascii="Arial" w:hAnsi="Arial" w:cs="Arial"/>
          <w:bCs/>
          <w:lang w:val="es-ES"/>
        </w:rPr>
        <w:t xml:space="preserve">ía del ramo- supondría una invasión indeseable de las competencias y facultades de dicha comisión. </w:t>
      </w:r>
    </w:p>
    <w:p w14:paraId="10289C4B" w14:textId="6E8077CD" w:rsidR="007B5805" w:rsidRPr="00847234" w:rsidRDefault="007B5805" w:rsidP="008D342D">
      <w:pPr>
        <w:spacing w:line="360" w:lineRule="auto"/>
        <w:jc w:val="both"/>
        <w:rPr>
          <w:rFonts w:ascii="Arial" w:hAnsi="Arial" w:cs="Arial"/>
          <w:bCs/>
          <w:lang w:val="es-ES"/>
        </w:rPr>
      </w:pPr>
    </w:p>
    <w:p w14:paraId="3FBB118C" w14:textId="72FFA771" w:rsidR="0044004D" w:rsidRPr="00847234" w:rsidRDefault="006364DD" w:rsidP="008D342D">
      <w:pPr>
        <w:spacing w:line="360" w:lineRule="auto"/>
        <w:jc w:val="both"/>
        <w:rPr>
          <w:rFonts w:ascii="Arial" w:hAnsi="Arial" w:cs="Arial"/>
          <w:bCs/>
          <w:lang w:val="es-ES"/>
        </w:rPr>
      </w:pPr>
      <w:r w:rsidRPr="00847234">
        <w:rPr>
          <w:rFonts w:ascii="Arial" w:hAnsi="Arial" w:cs="Arial"/>
          <w:bCs/>
          <w:lang w:val="es-ES"/>
        </w:rPr>
        <w:t>Esas considera</w:t>
      </w:r>
      <w:r w:rsidR="00133B22" w:rsidRPr="00847234">
        <w:rPr>
          <w:rFonts w:ascii="Arial" w:hAnsi="Arial" w:cs="Arial"/>
          <w:bCs/>
          <w:lang w:val="es-ES"/>
        </w:rPr>
        <w:t xml:space="preserve">ciones </w:t>
      </w:r>
      <w:r w:rsidR="00A767C3" w:rsidRPr="00847234">
        <w:rPr>
          <w:rFonts w:ascii="Arial" w:hAnsi="Arial" w:cs="Arial"/>
          <w:bCs/>
          <w:lang w:val="es-ES"/>
        </w:rPr>
        <w:t>hab</w:t>
      </w:r>
      <w:r w:rsidR="00992F6A" w:rsidRPr="00847234">
        <w:rPr>
          <w:rFonts w:ascii="Arial" w:hAnsi="Arial" w:cs="Arial"/>
          <w:bCs/>
          <w:lang w:val="es-ES"/>
        </w:rPr>
        <w:t xml:space="preserve">rían </w:t>
      </w:r>
      <w:r w:rsidR="00133B22" w:rsidRPr="00847234">
        <w:rPr>
          <w:rFonts w:ascii="Arial" w:hAnsi="Arial" w:cs="Arial"/>
          <w:bCs/>
          <w:lang w:val="es-ES"/>
        </w:rPr>
        <w:t>perm</w:t>
      </w:r>
      <w:r w:rsidR="00615EBE" w:rsidRPr="00847234">
        <w:rPr>
          <w:rFonts w:ascii="Arial" w:hAnsi="Arial" w:cs="Arial"/>
          <w:bCs/>
          <w:lang w:val="es-ES"/>
        </w:rPr>
        <w:t>i</w:t>
      </w:r>
      <w:r w:rsidR="00992F6A" w:rsidRPr="00847234">
        <w:rPr>
          <w:rFonts w:ascii="Arial" w:hAnsi="Arial" w:cs="Arial"/>
          <w:bCs/>
          <w:lang w:val="es-ES"/>
        </w:rPr>
        <w:t xml:space="preserve">tido </w:t>
      </w:r>
      <w:r w:rsidR="00615EBE" w:rsidRPr="00847234">
        <w:rPr>
          <w:rFonts w:ascii="Arial" w:hAnsi="Arial" w:cs="Arial"/>
          <w:bCs/>
          <w:lang w:val="es-ES"/>
        </w:rPr>
        <w:t xml:space="preserve">a los </w:t>
      </w:r>
      <w:r w:rsidR="007B5805" w:rsidRPr="00847234">
        <w:rPr>
          <w:rFonts w:ascii="Arial" w:hAnsi="Arial" w:cs="Arial"/>
          <w:bCs/>
          <w:lang w:val="es-ES"/>
        </w:rPr>
        <w:t>agentes del mercado de generación de energía cuidar la aplicación de la norma impugnada y dar seguimiento al contenido de los planes de la Secretaría de Energía</w:t>
      </w:r>
      <w:r w:rsidR="008276CD" w:rsidRPr="00847234">
        <w:rPr>
          <w:rFonts w:ascii="Arial" w:hAnsi="Arial" w:cs="Arial"/>
          <w:bCs/>
          <w:lang w:val="es-ES"/>
        </w:rPr>
        <w:t>.</w:t>
      </w:r>
      <w:r w:rsidR="00F21C0A" w:rsidRPr="00847234">
        <w:rPr>
          <w:rFonts w:ascii="Arial" w:hAnsi="Arial" w:cs="Arial"/>
          <w:bCs/>
          <w:lang w:val="es-ES"/>
        </w:rPr>
        <w:t xml:space="preserve"> </w:t>
      </w:r>
      <w:r w:rsidR="00D20B1D" w:rsidRPr="00847234">
        <w:rPr>
          <w:rFonts w:ascii="Arial" w:hAnsi="Arial" w:cs="Arial"/>
          <w:bCs/>
          <w:lang w:val="es-ES"/>
        </w:rPr>
        <w:t>Sabrían</w:t>
      </w:r>
      <w:r w:rsidR="008276CD" w:rsidRPr="00847234">
        <w:rPr>
          <w:rFonts w:ascii="Arial" w:hAnsi="Arial" w:cs="Arial"/>
          <w:bCs/>
          <w:lang w:val="es-ES"/>
        </w:rPr>
        <w:t xml:space="preserve"> que la constitucionalidad en abstracto</w:t>
      </w:r>
      <w:r w:rsidR="001E748E" w:rsidRPr="00847234">
        <w:rPr>
          <w:rFonts w:ascii="Arial" w:hAnsi="Arial" w:cs="Arial"/>
          <w:bCs/>
          <w:lang w:val="es-ES"/>
        </w:rPr>
        <w:t xml:space="preserve"> no es </w:t>
      </w:r>
      <w:r w:rsidR="00D20B1D" w:rsidRPr="00847234">
        <w:rPr>
          <w:rFonts w:ascii="Arial" w:hAnsi="Arial" w:cs="Arial"/>
          <w:bCs/>
          <w:lang w:val="es-ES"/>
        </w:rPr>
        <w:t>una constitucionalidad absoluta</w:t>
      </w:r>
      <w:r w:rsidR="001E748E" w:rsidRPr="00847234">
        <w:rPr>
          <w:rFonts w:ascii="Arial" w:hAnsi="Arial" w:cs="Arial"/>
          <w:bCs/>
          <w:lang w:val="es-ES"/>
        </w:rPr>
        <w:t xml:space="preserve"> que </w:t>
      </w:r>
      <w:r w:rsidR="00D20B1D" w:rsidRPr="00847234">
        <w:rPr>
          <w:rFonts w:ascii="Arial" w:hAnsi="Arial" w:cs="Arial"/>
          <w:bCs/>
          <w:lang w:val="es-ES"/>
        </w:rPr>
        <w:t>abarca de una vez y para siempre</w:t>
      </w:r>
      <w:r w:rsidR="001E748E" w:rsidRPr="00847234">
        <w:rPr>
          <w:rFonts w:ascii="Arial" w:hAnsi="Arial" w:cs="Arial"/>
          <w:bCs/>
          <w:lang w:val="es-ES"/>
        </w:rPr>
        <w:t xml:space="preserve"> todos los actos secundarios de aplicación. La interpretación conforme es justo eso: la constitucionalidad de la norma queda condicionada a que sus actos de aplicación se dirijan en determinado sentido</w:t>
      </w:r>
      <w:r w:rsidR="00624CCD" w:rsidRPr="00847234">
        <w:rPr>
          <w:rStyle w:val="Refdenotaalpie"/>
          <w:rFonts w:ascii="Arial" w:hAnsi="Arial" w:cs="Arial"/>
          <w:bCs/>
          <w:lang w:val="es-ES"/>
        </w:rPr>
        <w:footnoteReference w:id="47"/>
      </w:r>
      <w:r w:rsidR="001E748E" w:rsidRPr="00847234">
        <w:rPr>
          <w:rFonts w:ascii="Arial" w:hAnsi="Arial" w:cs="Arial"/>
          <w:bCs/>
          <w:lang w:val="es-ES"/>
        </w:rPr>
        <w:t xml:space="preserve">. En el caso, es claro que los planes previstos por la norma no deben invadir o afectar el ámbito de atribuciones de la Comisión Reguladora de Energía. Esta </w:t>
      </w:r>
      <w:r w:rsidR="00F21C0A" w:rsidRPr="00847234">
        <w:rPr>
          <w:rFonts w:ascii="Arial" w:hAnsi="Arial" w:cs="Arial"/>
          <w:bCs/>
          <w:lang w:val="es-ES"/>
        </w:rPr>
        <w:t xml:space="preserve">construcción argumentativa </w:t>
      </w:r>
      <w:r w:rsidR="001E748E" w:rsidRPr="00847234">
        <w:rPr>
          <w:rFonts w:ascii="Arial" w:hAnsi="Arial" w:cs="Arial"/>
          <w:bCs/>
          <w:lang w:val="es-ES"/>
        </w:rPr>
        <w:t>era fundamental e informa</w:t>
      </w:r>
      <w:r w:rsidR="004104DC" w:rsidRPr="00847234">
        <w:rPr>
          <w:rFonts w:ascii="Arial" w:hAnsi="Arial" w:cs="Arial"/>
          <w:bCs/>
          <w:lang w:val="es-ES"/>
        </w:rPr>
        <w:t>ría</w:t>
      </w:r>
      <w:r w:rsidR="001E748E" w:rsidRPr="00847234">
        <w:rPr>
          <w:rFonts w:ascii="Arial" w:hAnsi="Arial" w:cs="Arial"/>
          <w:bCs/>
          <w:lang w:val="es-ES"/>
        </w:rPr>
        <w:t xml:space="preserve"> adecua</w:t>
      </w:r>
      <w:r w:rsidR="00D20B1D" w:rsidRPr="00847234">
        <w:rPr>
          <w:rFonts w:ascii="Arial" w:hAnsi="Arial" w:cs="Arial"/>
          <w:bCs/>
          <w:lang w:val="es-ES"/>
        </w:rPr>
        <w:t>damente a los agentes d</w:t>
      </w:r>
      <w:r w:rsidR="00162F13" w:rsidRPr="00847234">
        <w:rPr>
          <w:rFonts w:ascii="Arial" w:hAnsi="Arial" w:cs="Arial"/>
          <w:bCs/>
          <w:lang w:val="es-ES"/>
        </w:rPr>
        <w:t xml:space="preserve">el mercado de generación de energía </w:t>
      </w:r>
      <w:r w:rsidR="00790F3A" w:rsidRPr="00847234">
        <w:rPr>
          <w:rFonts w:ascii="Arial" w:hAnsi="Arial" w:cs="Arial"/>
          <w:bCs/>
          <w:lang w:val="es-ES"/>
        </w:rPr>
        <w:t xml:space="preserve">sobre estos </w:t>
      </w:r>
      <w:r w:rsidR="00162F13" w:rsidRPr="00847234">
        <w:rPr>
          <w:rFonts w:ascii="Arial" w:hAnsi="Arial" w:cs="Arial"/>
          <w:bCs/>
          <w:lang w:val="es-ES"/>
        </w:rPr>
        <w:t>márgenes</w:t>
      </w:r>
      <w:r w:rsidR="00790F3A" w:rsidRPr="00847234">
        <w:rPr>
          <w:rFonts w:ascii="Arial" w:hAnsi="Arial" w:cs="Arial"/>
          <w:bCs/>
          <w:lang w:val="es-ES"/>
        </w:rPr>
        <w:t xml:space="preserve"> </w:t>
      </w:r>
      <w:r w:rsidR="00D42727" w:rsidRPr="00847234">
        <w:rPr>
          <w:rFonts w:ascii="Arial" w:hAnsi="Arial" w:cs="Arial"/>
          <w:bCs/>
          <w:lang w:val="es-ES"/>
        </w:rPr>
        <w:t>y límites</w:t>
      </w:r>
      <w:r w:rsidR="00162F13" w:rsidRPr="00847234">
        <w:rPr>
          <w:rFonts w:ascii="Arial" w:hAnsi="Arial" w:cs="Arial"/>
          <w:bCs/>
          <w:lang w:val="es-ES"/>
        </w:rPr>
        <w:t xml:space="preserve"> </w:t>
      </w:r>
      <w:r w:rsidR="00790F3A" w:rsidRPr="00847234">
        <w:rPr>
          <w:rFonts w:ascii="Arial" w:hAnsi="Arial" w:cs="Arial"/>
          <w:bCs/>
          <w:lang w:val="es-ES"/>
        </w:rPr>
        <w:t xml:space="preserve">de la manera más precisa posible. </w:t>
      </w:r>
      <w:r w:rsidR="00D42727" w:rsidRPr="00847234">
        <w:rPr>
          <w:rFonts w:ascii="Arial" w:hAnsi="Arial" w:cs="Arial"/>
          <w:bCs/>
          <w:lang w:val="es-ES"/>
        </w:rPr>
        <w:t xml:space="preserve"> </w:t>
      </w:r>
      <w:r w:rsidR="00245DFB" w:rsidRPr="00847234">
        <w:rPr>
          <w:rFonts w:ascii="Arial" w:hAnsi="Arial" w:cs="Arial"/>
          <w:bCs/>
          <w:lang w:val="es-ES"/>
        </w:rPr>
        <w:t>En conclusión, la norma es válida pero su interpretación debe</w:t>
      </w:r>
      <w:r w:rsidR="00472408" w:rsidRPr="00847234">
        <w:rPr>
          <w:rFonts w:ascii="Arial" w:hAnsi="Arial" w:cs="Arial"/>
          <w:bCs/>
          <w:lang w:val="es-ES"/>
        </w:rPr>
        <w:t xml:space="preserve"> adecuarse para impedir </w:t>
      </w:r>
      <w:r w:rsidR="00245DFB" w:rsidRPr="00847234">
        <w:rPr>
          <w:rFonts w:ascii="Arial" w:hAnsi="Arial" w:cs="Arial"/>
          <w:bCs/>
          <w:lang w:val="es-ES"/>
        </w:rPr>
        <w:t xml:space="preserve">distorsiones. </w:t>
      </w:r>
      <w:r w:rsidR="00AB0955" w:rsidRPr="00847234">
        <w:rPr>
          <w:rFonts w:ascii="Arial" w:hAnsi="Arial" w:cs="Arial"/>
          <w:bCs/>
          <w:lang w:val="es-ES"/>
        </w:rPr>
        <w:t xml:space="preserve">Dado que estoy de acuerdo con la </w:t>
      </w:r>
      <w:r w:rsidR="00177AB6" w:rsidRPr="00847234">
        <w:rPr>
          <w:rFonts w:ascii="Arial" w:hAnsi="Arial" w:cs="Arial"/>
          <w:bCs/>
          <w:lang w:val="es-ES"/>
        </w:rPr>
        <w:t>validez,</w:t>
      </w:r>
      <w:r w:rsidR="00AB0955" w:rsidRPr="00847234">
        <w:rPr>
          <w:rFonts w:ascii="Arial" w:hAnsi="Arial" w:cs="Arial"/>
          <w:bCs/>
          <w:lang w:val="es-ES"/>
        </w:rPr>
        <w:t xml:space="preserve"> </w:t>
      </w:r>
      <w:r w:rsidR="00AB0955" w:rsidRPr="00847234">
        <w:rPr>
          <w:rFonts w:ascii="Arial" w:hAnsi="Arial" w:cs="Arial"/>
          <w:bCs/>
          <w:lang w:val="es-ES"/>
        </w:rPr>
        <w:lastRenderedPageBreak/>
        <w:t xml:space="preserve">pero mis razones son diversas y adicionales </w:t>
      </w:r>
      <w:r w:rsidR="00245DFB" w:rsidRPr="00847234">
        <w:rPr>
          <w:rFonts w:ascii="Arial" w:hAnsi="Arial" w:cs="Arial"/>
          <w:bCs/>
          <w:lang w:val="es-ES"/>
        </w:rPr>
        <w:t xml:space="preserve">-en estricta disciplina constitucional- </w:t>
      </w:r>
      <w:r w:rsidR="00AB0955" w:rsidRPr="00847234">
        <w:rPr>
          <w:rFonts w:ascii="Arial" w:hAnsi="Arial" w:cs="Arial"/>
          <w:bCs/>
          <w:lang w:val="es-ES"/>
        </w:rPr>
        <w:t xml:space="preserve">asumiré una concurrencia. </w:t>
      </w:r>
    </w:p>
    <w:p w14:paraId="1172362A" w14:textId="6594AAF8" w:rsidR="00CC37C7" w:rsidRPr="00847234" w:rsidRDefault="00CC37C7" w:rsidP="008D342D">
      <w:pPr>
        <w:spacing w:line="360" w:lineRule="auto"/>
        <w:jc w:val="both"/>
        <w:rPr>
          <w:rFonts w:ascii="Arial" w:hAnsi="Arial" w:cs="Arial"/>
          <w:bCs/>
          <w:lang w:val="es-ES"/>
        </w:rPr>
      </w:pPr>
    </w:p>
    <w:p w14:paraId="5A284799" w14:textId="273DC368" w:rsidR="00CC37C7" w:rsidRPr="00A9402C" w:rsidRDefault="00CC37C7" w:rsidP="00CC37C7">
      <w:pPr>
        <w:spacing w:line="360" w:lineRule="auto"/>
        <w:jc w:val="center"/>
        <w:rPr>
          <w:rFonts w:ascii="Arial" w:hAnsi="Arial" w:cs="Arial"/>
          <w:b/>
        </w:rPr>
      </w:pPr>
      <w:r w:rsidRPr="00A9402C">
        <w:rPr>
          <w:rFonts w:ascii="Arial" w:hAnsi="Arial" w:cs="Arial"/>
          <w:b/>
        </w:rPr>
        <w:t xml:space="preserve">El modelo de Estado Regulador en la Ley de la </w:t>
      </w:r>
      <w:r w:rsidR="004D46AB" w:rsidRPr="00A9402C">
        <w:rPr>
          <w:rFonts w:ascii="Arial" w:hAnsi="Arial" w:cs="Arial"/>
          <w:b/>
        </w:rPr>
        <w:t>Industria</w:t>
      </w:r>
      <w:r w:rsidRPr="00A9402C">
        <w:rPr>
          <w:rFonts w:ascii="Arial" w:hAnsi="Arial" w:cs="Arial"/>
          <w:b/>
        </w:rPr>
        <w:t xml:space="preserve"> Eléctrica.</w:t>
      </w:r>
    </w:p>
    <w:p w14:paraId="6D0EA859" w14:textId="77777777" w:rsidR="00FC6CA3" w:rsidRPr="00847234" w:rsidRDefault="00FC6CA3" w:rsidP="008D342D">
      <w:pPr>
        <w:spacing w:line="360" w:lineRule="auto"/>
        <w:jc w:val="both"/>
        <w:rPr>
          <w:rFonts w:ascii="Arial" w:hAnsi="Arial" w:cs="Arial"/>
          <w:bCs/>
          <w:lang w:val="es-ES" w:eastAsia="es-ES"/>
        </w:rPr>
      </w:pPr>
    </w:p>
    <w:p w14:paraId="5B419876" w14:textId="749B3968" w:rsidR="00ED3236" w:rsidRPr="00847234" w:rsidRDefault="0039466D" w:rsidP="006A7909">
      <w:pPr>
        <w:spacing w:line="360" w:lineRule="auto"/>
        <w:jc w:val="both"/>
        <w:rPr>
          <w:rFonts w:ascii="Arial" w:hAnsi="Arial" w:cs="Arial"/>
          <w:bCs/>
          <w:lang w:val="es-ES" w:eastAsia="es-ES"/>
        </w:rPr>
      </w:pPr>
      <w:r w:rsidRPr="00847234">
        <w:rPr>
          <w:rFonts w:ascii="Arial" w:hAnsi="Arial" w:cs="Arial"/>
          <w:bCs/>
          <w:lang w:val="es-ES" w:eastAsia="es-ES"/>
        </w:rPr>
        <w:t xml:space="preserve">El Pleno </w:t>
      </w:r>
      <w:r w:rsidR="00D63EB1" w:rsidRPr="00847234">
        <w:rPr>
          <w:rFonts w:ascii="Arial" w:hAnsi="Arial" w:cs="Arial"/>
          <w:bCs/>
          <w:lang w:val="es-ES" w:eastAsia="es-ES"/>
        </w:rPr>
        <w:t xml:space="preserve">no ofrece criterios sobre el alcance </w:t>
      </w:r>
      <w:r w:rsidR="00880CDB" w:rsidRPr="00847234">
        <w:rPr>
          <w:rFonts w:ascii="Arial" w:hAnsi="Arial" w:cs="Arial"/>
          <w:bCs/>
          <w:lang w:val="es-ES" w:eastAsia="es-ES"/>
        </w:rPr>
        <w:t xml:space="preserve">del diseño de Estado </w:t>
      </w:r>
      <w:r w:rsidR="00BB4563" w:rsidRPr="006D5C56">
        <w:rPr>
          <w:rFonts w:ascii="Arial" w:hAnsi="Arial" w:cs="Arial"/>
          <w:bCs/>
          <w:lang w:val="es-ES" w:eastAsia="es-ES"/>
        </w:rPr>
        <w:t>R</w:t>
      </w:r>
      <w:r w:rsidR="00880CDB" w:rsidRPr="006D5C56">
        <w:rPr>
          <w:rFonts w:ascii="Arial" w:hAnsi="Arial" w:cs="Arial"/>
          <w:bCs/>
          <w:lang w:val="es-ES" w:eastAsia="es-ES"/>
        </w:rPr>
        <w:t>egulador</w:t>
      </w:r>
      <w:r w:rsidR="00BB4563" w:rsidRPr="006D5C56">
        <w:rPr>
          <w:rStyle w:val="Refdenotaalpie"/>
          <w:rFonts w:ascii="Arial" w:hAnsi="Arial" w:cs="Arial"/>
          <w:bCs/>
          <w:lang w:val="es-ES" w:eastAsia="es-ES"/>
        </w:rPr>
        <w:footnoteReference w:id="48"/>
      </w:r>
      <w:r w:rsidR="00880CDB" w:rsidRPr="00847234">
        <w:rPr>
          <w:rFonts w:ascii="Arial" w:hAnsi="Arial" w:cs="Arial"/>
          <w:bCs/>
          <w:lang w:val="es-ES" w:eastAsia="es-ES"/>
        </w:rPr>
        <w:t xml:space="preserve"> </w:t>
      </w:r>
      <w:r w:rsidR="006055FB" w:rsidRPr="00847234">
        <w:rPr>
          <w:rFonts w:ascii="Arial" w:hAnsi="Arial" w:cs="Arial"/>
          <w:bCs/>
          <w:lang w:val="es-ES" w:eastAsia="es-ES"/>
        </w:rPr>
        <w:t xml:space="preserve">relacionado con el mercado </w:t>
      </w:r>
      <w:r w:rsidR="00365CCF" w:rsidRPr="00847234">
        <w:rPr>
          <w:rFonts w:ascii="Arial" w:hAnsi="Arial" w:cs="Arial"/>
          <w:bCs/>
          <w:lang w:val="es-ES" w:eastAsia="es-ES"/>
        </w:rPr>
        <w:t>de generación</w:t>
      </w:r>
      <w:r w:rsidR="006055FB" w:rsidRPr="00847234">
        <w:rPr>
          <w:rFonts w:ascii="Arial" w:hAnsi="Arial" w:cs="Arial"/>
          <w:bCs/>
          <w:lang w:val="es-ES" w:eastAsia="es-ES"/>
        </w:rPr>
        <w:t xml:space="preserve"> de energía eléctrica</w:t>
      </w:r>
      <w:r w:rsidR="007D3CFD" w:rsidRPr="00847234">
        <w:rPr>
          <w:rFonts w:ascii="Arial" w:hAnsi="Arial" w:cs="Arial"/>
          <w:bCs/>
          <w:lang w:val="es-ES" w:eastAsia="es-ES"/>
        </w:rPr>
        <w:t xml:space="preserve">. </w:t>
      </w:r>
      <w:r w:rsidR="00064CE4" w:rsidRPr="00847234">
        <w:rPr>
          <w:rFonts w:ascii="Arial" w:hAnsi="Arial" w:cs="Arial"/>
          <w:bCs/>
          <w:lang w:val="es-ES" w:eastAsia="es-ES"/>
        </w:rPr>
        <w:t xml:space="preserve">Fue incorrecto que estos criterios se limitaran </w:t>
      </w:r>
      <w:r w:rsidR="0093196E" w:rsidRPr="00847234">
        <w:rPr>
          <w:rFonts w:ascii="Arial" w:hAnsi="Arial" w:cs="Arial"/>
          <w:bCs/>
          <w:lang w:val="es-ES" w:eastAsia="es-ES"/>
        </w:rPr>
        <w:t xml:space="preserve">al </w:t>
      </w:r>
      <w:r w:rsidR="00185859" w:rsidRPr="00847234">
        <w:rPr>
          <w:rFonts w:ascii="Arial" w:hAnsi="Arial" w:cs="Arial"/>
          <w:bCs/>
          <w:lang w:val="es-ES" w:eastAsia="es-ES"/>
        </w:rPr>
        <w:t xml:space="preserve">análisis del artículo 21, </w:t>
      </w:r>
      <w:r w:rsidR="005470A7" w:rsidRPr="00847234">
        <w:rPr>
          <w:rFonts w:ascii="Arial" w:hAnsi="Arial" w:cs="Arial"/>
          <w:bCs/>
          <w:lang w:val="es-ES" w:eastAsia="es-ES"/>
        </w:rPr>
        <w:t>fracción I, de la Ley General de Industria Eléctrica</w:t>
      </w:r>
      <w:r w:rsidR="00B413D1" w:rsidRPr="00847234">
        <w:rPr>
          <w:rFonts w:ascii="Arial" w:hAnsi="Arial" w:cs="Arial"/>
          <w:bCs/>
          <w:lang w:val="es-ES" w:eastAsia="es-ES"/>
        </w:rPr>
        <w:t xml:space="preserve"> y no</w:t>
      </w:r>
      <w:r w:rsidR="0063119B" w:rsidRPr="00847234">
        <w:rPr>
          <w:rFonts w:ascii="Arial" w:hAnsi="Arial" w:cs="Arial"/>
          <w:bCs/>
          <w:lang w:val="es-ES" w:eastAsia="es-ES"/>
        </w:rPr>
        <w:t xml:space="preserve"> a </w:t>
      </w:r>
      <w:r w:rsidR="005470A7" w:rsidRPr="00847234">
        <w:rPr>
          <w:rFonts w:ascii="Arial" w:hAnsi="Arial" w:cs="Arial"/>
          <w:bCs/>
          <w:lang w:val="es-ES" w:eastAsia="es-ES"/>
        </w:rPr>
        <w:t>todo el conjunto de normas combatidas</w:t>
      </w:r>
      <w:r w:rsidR="00945213" w:rsidRPr="00847234">
        <w:rPr>
          <w:rFonts w:ascii="Arial" w:hAnsi="Arial" w:cs="Arial"/>
          <w:bCs/>
          <w:lang w:val="es-ES" w:eastAsia="es-ES"/>
        </w:rPr>
        <w:t>, como hubiera sido</w:t>
      </w:r>
      <w:r w:rsidR="00624CCD" w:rsidRPr="00847234">
        <w:rPr>
          <w:rFonts w:ascii="Arial" w:hAnsi="Arial" w:cs="Arial"/>
          <w:bCs/>
          <w:lang w:val="es-ES" w:eastAsia="es-ES"/>
        </w:rPr>
        <w:t xml:space="preserve"> técnicamente</w:t>
      </w:r>
      <w:r w:rsidR="00945213" w:rsidRPr="00847234">
        <w:rPr>
          <w:rFonts w:ascii="Arial" w:hAnsi="Arial" w:cs="Arial"/>
          <w:bCs/>
          <w:lang w:val="es-ES" w:eastAsia="es-ES"/>
        </w:rPr>
        <w:t xml:space="preserve"> posible en un medio de control abstracto como es la acción de inconstitucionalidad, en el que además </w:t>
      </w:r>
      <w:r w:rsidR="00D85F90" w:rsidRPr="00847234">
        <w:rPr>
          <w:rFonts w:ascii="Arial" w:hAnsi="Arial" w:cs="Arial"/>
          <w:bCs/>
          <w:lang w:val="es-ES" w:eastAsia="es-ES"/>
        </w:rPr>
        <w:t xml:space="preserve">se </w:t>
      </w:r>
      <w:r w:rsidR="00945213" w:rsidRPr="00847234">
        <w:rPr>
          <w:rFonts w:ascii="Arial" w:hAnsi="Arial" w:cs="Arial"/>
          <w:bCs/>
          <w:lang w:val="es-ES" w:eastAsia="es-ES"/>
        </w:rPr>
        <w:t>impugnó la totalidad del circuito legislativo</w:t>
      </w:r>
      <w:r w:rsidR="005470A7" w:rsidRPr="00847234">
        <w:rPr>
          <w:rFonts w:ascii="Arial" w:hAnsi="Arial" w:cs="Arial"/>
          <w:bCs/>
          <w:lang w:val="es-ES" w:eastAsia="es-ES"/>
        </w:rPr>
        <w:t xml:space="preserve">. </w:t>
      </w:r>
      <w:r w:rsidR="00F24779" w:rsidRPr="00847234">
        <w:rPr>
          <w:rFonts w:ascii="Arial" w:hAnsi="Arial" w:cs="Arial"/>
          <w:bCs/>
          <w:lang w:val="es-ES" w:eastAsia="es-ES"/>
        </w:rPr>
        <w:t>En este apartado me gustaría</w:t>
      </w:r>
      <w:r w:rsidR="00247D74" w:rsidRPr="00847234">
        <w:rPr>
          <w:rFonts w:ascii="Arial" w:hAnsi="Arial" w:cs="Arial"/>
          <w:bCs/>
          <w:lang w:val="es-ES" w:eastAsia="es-ES"/>
        </w:rPr>
        <w:t xml:space="preserve"> </w:t>
      </w:r>
      <w:r w:rsidR="000F76FC" w:rsidRPr="00847234">
        <w:rPr>
          <w:rFonts w:ascii="Arial" w:hAnsi="Arial" w:cs="Arial"/>
          <w:bCs/>
          <w:lang w:val="es-ES" w:eastAsia="es-ES"/>
        </w:rPr>
        <w:t xml:space="preserve">abordar </w:t>
      </w:r>
      <w:r w:rsidR="00247D74" w:rsidRPr="00847234">
        <w:rPr>
          <w:rFonts w:ascii="Arial" w:hAnsi="Arial" w:cs="Arial"/>
          <w:bCs/>
          <w:lang w:val="es-ES" w:eastAsia="es-ES"/>
        </w:rPr>
        <w:t xml:space="preserve">la independencia </w:t>
      </w:r>
      <w:r w:rsidR="003D76EF" w:rsidRPr="00847234">
        <w:rPr>
          <w:rFonts w:ascii="Arial" w:hAnsi="Arial" w:cs="Arial"/>
          <w:bCs/>
          <w:lang w:val="es-ES" w:eastAsia="es-ES"/>
        </w:rPr>
        <w:t>o</w:t>
      </w:r>
      <w:r w:rsidR="00247D74" w:rsidRPr="00847234">
        <w:rPr>
          <w:rFonts w:ascii="Arial" w:hAnsi="Arial" w:cs="Arial"/>
          <w:bCs/>
          <w:lang w:val="es-ES" w:eastAsia="es-ES"/>
        </w:rPr>
        <w:t xml:space="preserve"> autonomía de </w:t>
      </w:r>
      <w:r w:rsidR="004104DC" w:rsidRPr="00847234">
        <w:rPr>
          <w:rFonts w:ascii="Arial" w:hAnsi="Arial" w:cs="Arial"/>
          <w:bCs/>
          <w:lang w:val="es-ES" w:eastAsia="es-ES"/>
        </w:rPr>
        <w:t>los</w:t>
      </w:r>
      <w:r w:rsidR="00247D74" w:rsidRPr="00847234">
        <w:rPr>
          <w:rFonts w:ascii="Arial" w:hAnsi="Arial" w:cs="Arial"/>
          <w:bCs/>
          <w:lang w:val="es-ES" w:eastAsia="es-ES"/>
        </w:rPr>
        <w:t xml:space="preserve"> órganos</w:t>
      </w:r>
      <w:r w:rsidR="004104DC" w:rsidRPr="00847234">
        <w:rPr>
          <w:rFonts w:ascii="Arial" w:hAnsi="Arial" w:cs="Arial"/>
          <w:bCs/>
          <w:lang w:val="es-ES" w:eastAsia="es-ES"/>
        </w:rPr>
        <w:t xml:space="preserve"> constitucionales autónomos, con facultades relevantes</w:t>
      </w:r>
      <w:r w:rsidR="00247D74" w:rsidRPr="00847234">
        <w:rPr>
          <w:rFonts w:ascii="Arial" w:hAnsi="Arial" w:cs="Arial"/>
          <w:bCs/>
          <w:lang w:val="es-ES" w:eastAsia="es-ES"/>
        </w:rPr>
        <w:t xml:space="preserve"> en materia de energía, </w:t>
      </w:r>
      <w:r w:rsidR="005470A7" w:rsidRPr="00847234">
        <w:rPr>
          <w:rFonts w:ascii="Arial" w:hAnsi="Arial" w:cs="Arial"/>
          <w:bCs/>
          <w:lang w:val="es-ES" w:eastAsia="es-ES"/>
        </w:rPr>
        <w:t xml:space="preserve">de acuerdo con el parámetro de control del </w:t>
      </w:r>
      <w:r w:rsidR="002445F3" w:rsidRPr="00847234">
        <w:rPr>
          <w:rFonts w:ascii="Arial" w:hAnsi="Arial" w:cs="Arial"/>
          <w:bCs/>
          <w:lang w:val="es-ES" w:eastAsia="es-ES"/>
        </w:rPr>
        <w:t>E</w:t>
      </w:r>
      <w:r w:rsidR="005470A7" w:rsidRPr="00847234">
        <w:rPr>
          <w:rFonts w:ascii="Arial" w:hAnsi="Arial" w:cs="Arial"/>
          <w:bCs/>
          <w:lang w:val="es-ES" w:eastAsia="es-ES"/>
        </w:rPr>
        <w:t xml:space="preserve">stado </w:t>
      </w:r>
      <w:r w:rsidR="002445F3" w:rsidRPr="00847234">
        <w:rPr>
          <w:rFonts w:ascii="Arial" w:hAnsi="Arial" w:cs="Arial"/>
          <w:bCs/>
          <w:lang w:val="es-ES" w:eastAsia="es-ES"/>
        </w:rPr>
        <w:t>R</w:t>
      </w:r>
      <w:r w:rsidR="005470A7" w:rsidRPr="00847234">
        <w:rPr>
          <w:rFonts w:ascii="Arial" w:hAnsi="Arial" w:cs="Arial"/>
          <w:bCs/>
          <w:lang w:val="es-ES" w:eastAsia="es-ES"/>
        </w:rPr>
        <w:t>egulador</w:t>
      </w:r>
      <w:r w:rsidR="004104DC" w:rsidRPr="00847234">
        <w:rPr>
          <w:rFonts w:ascii="Arial" w:hAnsi="Arial" w:cs="Arial"/>
          <w:bCs/>
          <w:lang w:val="es-ES" w:eastAsia="es-ES"/>
        </w:rPr>
        <w:t>, especialmente, la Comisión Federal de Competencia</w:t>
      </w:r>
      <w:r w:rsidR="00BF3F84">
        <w:rPr>
          <w:rFonts w:ascii="Arial" w:hAnsi="Arial" w:cs="Arial"/>
          <w:bCs/>
          <w:lang w:val="es-ES" w:eastAsia="es-ES"/>
        </w:rPr>
        <w:t xml:space="preserve"> Económica</w:t>
      </w:r>
      <w:r w:rsidR="006C06C3" w:rsidRPr="00847234">
        <w:rPr>
          <w:rFonts w:ascii="Arial" w:hAnsi="Arial" w:cs="Arial"/>
          <w:bCs/>
          <w:lang w:val="es-ES" w:eastAsia="es-ES"/>
        </w:rPr>
        <w:t xml:space="preserve">. </w:t>
      </w:r>
      <w:r w:rsidR="00E37930" w:rsidRPr="00847234">
        <w:rPr>
          <w:rFonts w:ascii="Arial" w:hAnsi="Arial" w:cs="Arial"/>
          <w:bCs/>
          <w:lang w:val="es-ES" w:eastAsia="es-ES"/>
        </w:rPr>
        <w:t>Los demandantes reprochan constantemente que l</w:t>
      </w:r>
      <w:r w:rsidR="000F35E3" w:rsidRPr="00847234">
        <w:rPr>
          <w:rFonts w:ascii="Arial" w:hAnsi="Arial" w:cs="Arial"/>
          <w:bCs/>
          <w:lang w:val="es-ES" w:eastAsia="es-ES"/>
        </w:rPr>
        <w:t xml:space="preserve">a nueva </w:t>
      </w:r>
      <w:r w:rsidR="00791FFD" w:rsidRPr="00847234">
        <w:rPr>
          <w:rFonts w:ascii="Arial" w:hAnsi="Arial" w:cs="Arial"/>
          <w:bCs/>
          <w:lang w:val="es-ES" w:eastAsia="es-ES"/>
        </w:rPr>
        <w:t xml:space="preserve">reglamentación del legislativo altera el equilibrio de facultades de distintos órganos que antes garantizaban una regulación técnica de ese mercado. </w:t>
      </w:r>
      <w:r w:rsidR="00127C38" w:rsidRPr="00847234">
        <w:rPr>
          <w:rFonts w:ascii="Arial" w:hAnsi="Arial" w:cs="Arial"/>
          <w:bCs/>
          <w:lang w:val="es-ES" w:eastAsia="es-ES"/>
        </w:rPr>
        <w:t xml:space="preserve">La </w:t>
      </w:r>
      <w:r w:rsidR="00791FFD" w:rsidRPr="00847234">
        <w:rPr>
          <w:rFonts w:ascii="Arial" w:hAnsi="Arial" w:cs="Arial"/>
          <w:bCs/>
          <w:lang w:val="es-ES" w:eastAsia="es-ES"/>
        </w:rPr>
        <w:t xml:space="preserve">contestación a </w:t>
      </w:r>
      <w:r w:rsidR="006C06C3" w:rsidRPr="00847234">
        <w:rPr>
          <w:rFonts w:ascii="Arial" w:hAnsi="Arial" w:cs="Arial"/>
          <w:bCs/>
          <w:lang w:val="es-ES" w:eastAsia="es-ES"/>
        </w:rPr>
        <w:t>ese reproche</w:t>
      </w:r>
      <w:r w:rsidR="00791FFD" w:rsidRPr="00847234">
        <w:rPr>
          <w:rFonts w:ascii="Arial" w:hAnsi="Arial" w:cs="Arial"/>
          <w:bCs/>
          <w:lang w:val="es-ES" w:eastAsia="es-ES"/>
        </w:rPr>
        <w:t xml:space="preserve"> debió ser una interpretación conforme</w:t>
      </w:r>
      <w:r w:rsidR="006A7909" w:rsidRPr="00847234">
        <w:rPr>
          <w:rFonts w:ascii="Arial" w:hAnsi="Arial" w:cs="Arial"/>
          <w:bCs/>
          <w:lang w:val="es-ES" w:eastAsia="es-ES"/>
        </w:rPr>
        <w:t xml:space="preserve">. </w:t>
      </w:r>
      <w:r w:rsidR="00791FFD" w:rsidRPr="00847234">
        <w:rPr>
          <w:rFonts w:ascii="Arial" w:hAnsi="Arial" w:cs="Arial"/>
          <w:bCs/>
          <w:lang w:val="es-ES" w:eastAsia="es-ES"/>
        </w:rPr>
        <w:t xml:space="preserve"> </w:t>
      </w:r>
      <w:r w:rsidR="006A7909" w:rsidRPr="00847234">
        <w:rPr>
          <w:rFonts w:ascii="Arial" w:hAnsi="Arial" w:cs="Arial"/>
          <w:bCs/>
          <w:lang w:val="es-ES" w:eastAsia="es-ES"/>
        </w:rPr>
        <w:t xml:space="preserve">Es decir, la Corte </w:t>
      </w:r>
      <w:r w:rsidR="00791FFD" w:rsidRPr="00847234">
        <w:rPr>
          <w:rFonts w:ascii="Arial" w:hAnsi="Arial" w:cs="Arial"/>
          <w:bCs/>
          <w:lang w:val="es-ES" w:eastAsia="es-ES"/>
        </w:rPr>
        <w:t xml:space="preserve">debió </w:t>
      </w:r>
      <w:r w:rsidR="00161495" w:rsidRPr="00847234">
        <w:rPr>
          <w:rFonts w:ascii="Arial" w:hAnsi="Arial" w:cs="Arial"/>
          <w:bCs/>
          <w:lang w:val="es-ES" w:eastAsia="es-ES"/>
        </w:rPr>
        <w:t xml:space="preserve">señalar </w:t>
      </w:r>
      <w:r w:rsidR="00791FFD" w:rsidRPr="00847234">
        <w:rPr>
          <w:rFonts w:ascii="Arial" w:hAnsi="Arial" w:cs="Arial"/>
          <w:bCs/>
          <w:lang w:val="es-ES" w:eastAsia="es-ES"/>
        </w:rPr>
        <w:t xml:space="preserve">que todas las normas impugnadas </w:t>
      </w:r>
      <w:r w:rsidR="00161495" w:rsidRPr="00847234">
        <w:rPr>
          <w:rFonts w:ascii="Arial" w:hAnsi="Arial" w:cs="Arial"/>
          <w:bCs/>
          <w:lang w:val="es-ES" w:eastAsia="es-ES"/>
        </w:rPr>
        <w:t>se entenderían</w:t>
      </w:r>
      <w:r w:rsidR="00791FFD" w:rsidRPr="00847234">
        <w:rPr>
          <w:rFonts w:ascii="Arial" w:hAnsi="Arial" w:cs="Arial"/>
          <w:bCs/>
          <w:lang w:val="es-ES" w:eastAsia="es-ES"/>
        </w:rPr>
        <w:t xml:space="preserve"> en el marco de una </w:t>
      </w:r>
      <w:r w:rsidR="00ED3236" w:rsidRPr="00847234">
        <w:rPr>
          <w:rFonts w:ascii="Arial" w:hAnsi="Arial" w:cs="Arial"/>
          <w:bCs/>
          <w:lang w:val="es-ES_tradnl" w:eastAsia="es-ES"/>
        </w:rPr>
        <w:t xml:space="preserve">interpretación sistemática y armónica </w:t>
      </w:r>
      <w:r w:rsidR="00161495" w:rsidRPr="00847234">
        <w:rPr>
          <w:rFonts w:ascii="Arial" w:hAnsi="Arial" w:cs="Arial"/>
          <w:bCs/>
          <w:lang w:val="es-ES_tradnl" w:eastAsia="es-ES"/>
        </w:rPr>
        <w:t>del</w:t>
      </w:r>
      <w:r w:rsidR="00ED3236" w:rsidRPr="00847234">
        <w:rPr>
          <w:rFonts w:ascii="Arial" w:hAnsi="Arial" w:cs="Arial"/>
          <w:bCs/>
          <w:lang w:val="es-ES_tradnl" w:eastAsia="es-ES"/>
        </w:rPr>
        <w:t xml:space="preserve"> artículo 28 constitucional y el modelo de Estado Regulador</w:t>
      </w:r>
      <w:r w:rsidR="00791FFD" w:rsidRPr="00847234">
        <w:rPr>
          <w:rFonts w:ascii="Arial" w:hAnsi="Arial" w:cs="Arial"/>
          <w:bCs/>
          <w:lang w:val="es-ES_tradnl" w:eastAsia="es-ES"/>
        </w:rPr>
        <w:t>, a las cuales les aplica de manera transversa</w:t>
      </w:r>
      <w:r w:rsidR="00DE40A9" w:rsidRPr="00847234">
        <w:rPr>
          <w:rFonts w:ascii="Arial" w:hAnsi="Arial" w:cs="Arial"/>
          <w:bCs/>
          <w:lang w:val="es-ES_tradnl" w:eastAsia="es-ES"/>
        </w:rPr>
        <w:t>l</w:t>
      </w:r>
      <w:r w:rsidR="00ED3236" w:rsidRPr="00847234">
        <w:rPr>
          <w:rFonts w:ascii="Arial" w:hAnsi="Arial" w:cs="Arial"/>
          <w:bCs/>
          <w:lang w:val="es-ES_tradnl" w:eastAsia="es-ES"/>
        </w:rPr>
        <w:t>.</w:t>
      </w:r>
      <w:r w:rsidR="00DE40A9" w:rsidRPr="00847234">
        <w:rPr>
          <w:rFonts w:ascii="Arial" w:hAnsi="Arial" w:cs="Arial"/>
          <w:bCs/>
          <w:lang w:val="es-ES_tradnl" w:eastAsia="es-ES"/>
        </w:rPr>
        <w:t xml:space="preserve"> Se explic</w:t>
      </w:r>
      <w:r w:rsidR="00161495" w:rsidRPr="00847234">
        <w:rPr>
          <w:rFonts w:ascii="Arial" w:hAnsi="Arial" w:cs="Arial"/>
          <w:bCs/>
          <w:lang w:val="es-ES_tradnl" w:eastAsia="es-ES"/>
        </w:rPr>
        <w:t xml:space="preserve">a. </w:t>
      </w:r>
      <w:r w:rsidR="00DE40A9" w:rsidRPr="00847234">
        <w:rPr>
          <w:rFonts w:ascii="Arial" w:hAnsi="Arial" w:cs="Arial"/>
          <w:bCs/>
          <w:lang w:val="es-ES_tradnl" w:eastAsia="es-ES"/>
        </w:rPr>
        <w:t xml:space="preserve"> </w:t>
      </w:r>
    </w:p>
    <w:p w14:paraId="7E82CD84" w14:textId="77777777" w:rsidR="00ED3236" w:rsidRPr="00847234" w:rsidRDefault="00ED3236" w:rsidP="00ED3236">
      <w:pPr>
        <w:spacing w:line="360" w:lineRule="auto"/>
        <w:jc w:val="both"/>
        <w:rPr>
          <w:rFonts w:ascii="Arial" w:hAnsi="Arial" w:cs="Arial"/>
          <w:bCs/>
          <w:lang w:val="es-ES_tradnl" w:eastAsia="es-ES"/>
        </w:rPr>
      </w:pPr>
    </w:p>
    <w:p w14:paraId="7B133B4F" w14:textId="22E9D347" w:rsidR="00ED3236" w:rsidRPr="00847234" w:rsidRDefault="00ED3236" w:rsidP="00ED3236">
      <w:pPr>
        <w:spacing w:line="360" w:lineRule="auto"/>
        <w:jc w:val="both"/>
        <w:rPr>
          <w:rFonts w:ascii="Arial" w:hAnsi="Arial" w:cs="Arial"/>
          <w:bCs/>
          <w:lang w:val="es-ES_tradnl" w:eastAsia="es-ES"/>
        </w:rPr>
      </w:pPr>
      <w:r w:rsidRPr="00847234">
        <w:rPr>
          <w:rFonts w:ascii="Arial" w:hAnsi="Arial" w:cs="Arial"/>
          <w:bCs/>
          <w:lang w:val="es-ES_tradnl" w:eastAsia="es-ES"/>
        </w:rPr>
        <w:t xml:space="preserve">El artículo 28 constitucional </w:t>
      </w:r>
      <w:r w:rsidR="00161495" w:rsidRPr="00847234">
        <w:rPr>
          <w:rFonts w:ascii="Arial" w:hAnsi="Arial" w:cs="Arial"/>
          <w:bCs/>
          <w:lang w:val="es-ES_tradnl" w:eastAsia="es-ES"/>
        </w:rPr>
        <w:t xml:space="preserve">prescribe </w:t>
      </w:r>
      <w:r w:rsidRPr="00847234">
        <w:rPr>
          <w:rFonts w:ascii="Arial" w:hAnsi="Arial" w:cs="Arial"/>
          <w:bCs/>
          <w:lang w:val="es-ES_tradnl" w:eastAsia="es-ES"/>
        </w:rPr>
        <w:t>dos cosas: 1) la prohibición de los monopolios</w:t>
      </w:r>
      <w:r w:rsidR="00D47097" w:rsidRPr="00847234">
        <w:rPr>
          <w:rFonts w:ascii="Arial" w:hAnsi="Arial" w:cs="Arial"/>
          <w:bCs/>
          <w:lang w:val="es-ES_tradnl" w:eastAsia="es-ES"/>
        </w:rPr>
        <w:t xml:space="preserve">, </w:t>
      </w:r>
      <w:r w:rsidRPr="00847234">
        <w:rPr>
          <w:rFonts w:ascii="Arial" w:hAnsi="Arial" w:cs="Arial"/>
          <w:bCs/>
          <w:lang w:val="es-ES_tradnl" w:eastAsia="es-ES"/>
        </w:rPr>
        <w:t>y 2) la prohibición de las prácticas monopólicas. Dentro de estas últimas se incluyen las concentraciones, así como “todo acuerdo, procedimiento o combinación de los productores, industriales, comerciantes o empresarios de servicios, que de cualquier manera hagan para evitar la libre concurrencia o la competencia entre sí o para obligar a los consumidores a pagar precios exagerados y, en general, todo lo que constituya una ventaja exclusiva indebida a favor de una o varias personas determinadas y con perjuicio del público en general o de alguna clase social”.</w:t>
      </w:r>
    </w:p>
    <w:p w14:paraId="2BD7375E" w14:textId="77777777" w:rsidR="00ED3236" w:rsidRPr="00847234" w:rsidRDefault="00ED3236" w:rsidP="00ED3236">
      <w:pPr>
        <w:spacing w:line="360" w:lineRule="auto"/>
        <w:jc w:val="both"/>
        <w:rPr>
          <w:rFonts w:ascii="Arial" w:hAnsi="Arial" w:cs="Arial"/>
          <w:bCs/>
          <w:lang w:val="es-ES_tradnl" w:eastAsia="es-ES"/>
        </w:rPr>
      </w:pPr>
    </w:p>
    <w:p w14:paraId="7A73D9C0" w14:textId="5ADECE3B" w:rsidR="00ED3236" w:rsidRPr="00847234" w:rsidRDefault="00ED3236" w:rsidP="00ED3236">
      <w:pPr>
        <w:spacing w:line="360" w:lineRule="auto"/>
        <w:jc w:val="both"/>
        <w:rPr>
          <w:rFonts w:ascii="Arial" w:hAnsi="Arial" w:cs="Arial"/>
          <w:bCs/>
          <w:lang w:val="es-ES_tradnl" w:eastAsia="es-ES"/>
        </w:rPr>
      </w:pPr>
      <w:r w:rsidRPr="00847234">
        <w:rPr>
          <w:rFonts w:ascii="Arial" w:hAnsi="Arial" w:cs="Arial"/>
          <w:bCs/>
          <w:lang w:val="es-ES_tradnl" w:eastAsia="es-ES"/>
        </w:rPr>
        <w:t xml:space="preserve">En mi opinión, </w:t>
      </w:r>
      <w:r w:rsidR="00FF00A2" w:rsidRPr="00847234">
        <w:rPr>
          <w:rFonts w:ascii="Arial" w:hAnsi="Arial" w:cs="Arial"/>
          <w:bCs/>
          <w:lang w:val="es-ES_tradnl" w:eastAsia="es-ES"/>
        </w:rPr>
        <w:t>la sentencia</w:t>
      </w:r>
      <w:r w:rsidRPr="00847234">
        <w:rPr>
          <w:rFonts w:ascii="Arial" w:hAnsi="Arial" w:cs="Arial"/>
          <w:bCs/>
          <w:lang w:val="es-ES_tradnl" w:eastAsia="es-ES"/>
        </w:rPr>
        <w:t xml:space="preserve"> no logra captar el parámetro de control</w:t>
      </w:r>
      <w:r w:rsidR="00BD6DFA" w:rsidRPr="00847234">
        <w:rPr>
          <w:rFonts w:ascii="Arial" w:hAnsi="Arial" w:cs="Arial"/>
          <w:bCs/>
          <w:lang w:val="es-ES_tradnl" w:eastAsia="es-ES"/>
        </w:rPr>
        <w:t xml:space="preserve"> totalmente</w:t>
      </w:r>
      <w:r w:rsidR="002020BE" w:rsidRPr="00847234">
        <w:rPr>
          <w:rFonts w:ascii="Arial" w:hAnsi="Arial" w:cs="Arial"/>
          <w:bCs/>
          <w:lang w:val="es-ES_tradnl" w:eastAsia="es-ES"/>
        </w:rPr>
        <w:t xml:space="preserve">. </w:t>
      </w:r>
      <w:r w:rsidR="00A706E3" w:rsidRPr="00847234">
        <w:rPr>
          <w:rFonts w:ascii="Arial" w:hAnsi="Arial" w:cs="Arial"/>
          <w:bCs/>
          <w:lang w:val="es-ES_tradnl" w:eastAsia="es-ES"/>
        </w:rPr>
        <w:t xml:space="preserve"> Cuando </w:t>
      </w:r>
      <w:r w:rsidR="00BD6DFA" w:rsidRPr="00847234">
        <w:rPr>
          <w:rFonts w:ascii="Arial" w:hAnsi="Arial" w:cs="Arial"/>
          <w:bCs/>
          <w:lang w:val="es-ES_tradnl" w:eastAsia="es-ES"/>
        </w:rPr>
        <w:t xml:space="preserve">dice solamente </w:t>
      </w:r>
      <w:r w:rsidR="00A706E3" w:rsidRPr="00847234">
        <w:rPr>
          <w:rFonts w:ascii="Arial" w:hAnsi="Arial" w:cs="Arial"/>
          <w:bCs/>
          <w:lang w:val="es-ES_tradnl" w:eastAsia="es-ES"/>
        </w:rPr>
        <w:t xml:space="preserve">que </w:t>
      </w:r>
      <w:r w:rsidRPr="00847234">
        <w:rPr>
          <w:rFonts w:ascii="Arial" w:hAnsi="Arial" w:cs="Arial"/>
          <w:bCs/>
          <w:lang w:val="es-ES_tradnl" w:eastAsia="es-ES"/>
        </w:rPr>
        <w:t>los preceptos impugnados</w:t>
      </w:r>
      <w:r w:rsidR="00FF00A2" w:rsidRPr="00847234">
        <w:rPr>
          <w:rFonts w:ascii="Arial" w:hAnsi="Arial" w:cs="Arial"/>
          <w:bCs/>
          <w:lang w:val="es-ES_tradnl" w:eastAsia="es-ES"/>
        </w:rPr>
        <w:t xml:space="preserve"> </w:t>
      </w:r>
      <w:r w:rsidR="002020BE" w:rsidRPr="00847234">
        <w:rPr>
          <w:rFonts w:ascii="Arial" w:hAnsi="Arial" w:cs="Arial"/>
          <w:bCs/>
          <w:lang w:val="es-ES_tradnl" w:eastAsia="es-ES"/>
        </w:rPr>
        <w:t xml:space="preserve">no </w:t>
      </w:r>
      <w:r w:rsidR="005A6FC8" w:rsidRPr="00847234">
        <w:rPr>
          <w:rFonts w:ascii="Arial" w:hAnsi="Arial" w:cs="Arial"/>
          <w:bCs/>
          <w:lang w:val="es-ES_tradnl" w:eastAsia="es-ES"/>
        </w:rPr>
        <w:t xml:space="preserve">invalidados </w:t>
      </w:r>
      <w:r w:rsidR="00DD5A0A" w:rsidRPr="00847234">
        <w:rPr>
          <w:rFonts w:ascii="Arial" w:hAnsi="Arial" w:cs="Arial"/>
          <w:bCs/>
          <w:lang w:val="es-ES_tradnl" w:eastAsia="es-ES"/>
        </w:rPr>
        <w:t xml:space="preserve">son </w:t>
      </w:r>
      <w:r w:rsidRPr="00847234">
        <w:rPr>
          <w:rFonts w:ascii="Arial" w:hAnsi="Arial" w:cs="Arial"/>
          <w:bCs/>
          <w:lang w:val="es-ES_tradnl" w:eastAsia="es-ES"/>
        </w:rPr>
        <w:t>neutros respecto de los agentes económicos y no asignan alguna ventaja legal a CFE,</w:t>
      </w:r>
      <w:r w:rsidR="00DD5A0A" w:rsidRPr="00847234">
        <w:rPr>
          <w:rFonts w:ascii="Arial" w:hAnsi="Arial" w:cs="Arial"/>
          <w:bCs/>
          <w:lang w:val="es-ES_tradnl" w:eastAsia="es-ES"/>
        </w:rPr>
        <w:t xml:space="preserve"> sólo </w:t>
      </w:r>
      <w:r w:rsidR="00546AC4" w:rsidRPr="00847234">
        <w:rPr>
          <w:rFonts w:ascii="Arial" w:hAnsi="Arial" w:cs="Arial"/>
          <w:bCs/>
          <w:lang w:val="es-ES_tradnl" w:eastAsia="es-ES"/>
        </w:rPr>
        <w:t>examina</w:t>
      </w:r>
      <w:r w:rsidRPr="00847234">
        <w:rPr>
          <w:rFonts w:ascii="Arial" w:hAnsi="Arial" w:cs="Arial"/>
          <w:bCs/>
          <w:lang w:val="es-ES_tradnl" w:eastAsia="es-ES"/>
        </w:rPr>
        <w:t xml:space="preserve"> que el legislador no haya violado la primera de las prohibiciones</w:t>
      </w:r>
      <w:r w:rsidR="00546AC4" w:rsidRPr="00847234">
        <w:rPr>
          <w:rFonts w:ascii="Arial" w:hAnsi="Arial" w:cs="Arial"/>
          <w:bCs/>
          <w:lang w:val="es-ES_tradnl" w:eastAsia="es-ES"/>
        </w:rPr>
        <w:t xml:space="preserve">. Sin </w:t>
      </w:r>
      <w:r w:rsidR="00546AC4" w:rsidRPr="00847234">
        <w:rPr>
          <w:rFonts w:ascii="Arial" w:hAnsi="Arial" w:cs="Arial"/>
          <w:bCs/>
          <w:lang w:val="es-ES_tradnl" w:eastAsia="es-ES"/>
        </w:rPr>
        <w:lastRenderedPageBreak/>
        <w:t xml:space="preserve">embargo, no </w:t>
      </w:r>
      <w:r w:rsidR="00A706E3" w:rsidRPr="00847234">
        <w:rPr>
          <w:rFonts w:ascii="Arial" w:hAnsi="Arial" w:cs="Arial"/>
          <w:bCs/>
          <w:lang w:val="es-ES_tradnl" w:eastAsia="es-ES"/>
        </w:rPr>
        <w:t xml:space="preserve">revisa </w:t>
      </w:r>
      <w:r w:rsidRPr="00847234">
        <w:rPr>
          <w:rFonts w:ascii="Arial" w:hAnsi="Arial" w:cs="Arial"/>
          <w:bCs/>
          <w:lang w:val="es-ES_tradnl" w:eastAsia="es-ES"/>
        </w:rPr>
        <w:t xml:space="preserve">si </w:t>
      </w:r>
      <w:r w:rsidR="009E2868" w:rsidRPr="00847234">
        <w:rPr>
          <w:rFonts w:ascii="Arial" w:hAnsi="Arial" w:cs="Arial"/>
          <w:bCs/>
          <w:lang w:val="es-ES_tradnl" w:eastAsia="es-ES"/>
        </w:rPr>
        <w:t xml:space="preserve">los preceptos </w:t>
      </w:r>
      <w:r w:rsidRPr="00847234">
        <w:rPr>
          <w:rFonts w:ascii="Arial" w:hAnsi="Arial" w:cs="Arial"/>
          <w:bCs/>
          <w:lang w:val="es-ES_tradnl" w:eastAsia="es-ES"/>
        </w:rPr>
        <w:t xml:space="preserve">chocan con la segunda prohibición </w:t>
      </w:r>
      <w:r w:rsidR="00AC1249" w:rsidRPr="00847234">
        <w:rPr>
          <w:rFonts w:ascii="Arial" w:hAnsi="Arial" w:cs="Arial"/>
          <w:bCs/>
          <w:lang w:val="es-ES_tradnl" w:eastAsia="es-ES"/>
        </w:rPr>
        <w:t xml:space="preserve">justo </w:t>
      </w:r>
      <w:r w:rsidRPr="00847234">
        <w:rPr>
          <w:rFonts w:ascii="Arial" w:hAnsi="Arial" w:cs="Arial"/>
          <w:bCs/>
          <w:lang w:val="es-ES_tradnl" w:eastAsia="es-ES"/>
        </w:rPr>
        <w:t>por propiciar prácticas monopólicas, aunque no diseñen un monopolio formalmente hablando.</w:t>
      </w:r>
    </w:p>
    <w:p w14:paraId="49759B54" w14:textId="77777777" w:rsidR="00ED3236" w:rsidRPr="00847234" w:rsidRDefault="00ED3236" w:rsidP="00ED3236">
      <w:pPr>
        <w:spacing w:line="360" w:lineRule="auto"/>
        <w:jc w:val="both"/>
        <w:rPr>
          <w:rFonts w:ascii="Arial" w:hAnsi="Arial" w:cs="Arial"/>
          <w:bCs/>
          <w:lang w:val="es-ES_tradnl" w:eastAsia="es-ES"/>
        </w:rPr>
      </w:pPr>
    </w:p>
    <w:p w14:paraId="6CDEE76D" w14:textId="00E2123A" w:rsidR="00ED3236" w:rsidRPr="00847234" w:rsidRDefault="00ED3236" w:rsidP="00ED3236">
      <w:pPr>
        <w:spacing w:line="360" w:lineRule="auto"/>
        <w:jc w:val="both"/>
        <w:rPr>
          <w:rFonts w:ascii="Arial" w:hAnsi="Arial" w:cs="Arial"/>
          <w:bCs/>
          <w:lang w:val="es-ES_tradnl" w:eastAsia="es-ES"/>
        </w:rPr>
      </w:pPr>
      <w:r w:rsidRPr="00847234">
        <w:rPr>
          <w:rFonts w:ascii="Arial" w:hAnsi="Arial" w:cs="Arial"/>
          <w:bCs/>
          <w:lang w:val="es-ES_tradnl" w:eastAsia="es-ES"/>
        </w:rPr>
        <w:t xml:space="preserve">¿Cómo </w:t>
      </w:r>
      <w:r w:rsidR="00B71D3E" w:rsidRPr="00847234">
        <w:rPr>
          <w:rFonts w:ascii="Arial" w:hAnsi="Arial" w:cs="Arial"/>
          <w:bCs/>
          <w:lang w:val="es-ES_tradnl" w:eastAsia="es-ES"/>
        </w:rPr>
        <w:t xml:space="preserve">saber </w:t>
      </w:r>
      <w:r w:rsidRPr="00847234">
        <w:rPr>
          <w:rFonts w:ascii="Arial" w:hAnsi="Arial" w:cs="Arial"/>
          <w:bCs/>
          <w:lang w:val="es-ES_tradnl" w:eastAsia="es-ES"/>
        </w:rPr>
        <w:t xml:space="preserve">si una ley neutra propicia o genera condiciones para prácticas monopólicas? </w:t>
      </w:r>
      <w:r w:rsidR="004B700C" w:rsidRPr="00847234">
        <w:rPr>
          <w:rFonts w:ascii="Arial" w:hAnsi="Arial" w:cs="Arial"/>
          <w:bCs/>
          <w:lang w:val="es-ES_tradnl" w:eastAsia="es-ES"/>
        </w:rPr>
        <w:t>L</w:t>
      </w:r>
      <w:r w:rsidRPr="00847234">
        <w:rPr>
          <w:rFonts w:ascii="Arial" w:hAnsi="Arial" w:cs="Arial"/>
          <w:bCs/>
          <w:lang w:val="es-ES_tradnl" w:eastAsia="es-ES"/>
        </w:rPr>
        <w:t xml:space="preserve">a respuesta pasa por lo que este Pleno ha denominado el parámetro de control del Estado Regulador, </w:t>
      </w:r>
      <w:r w:rsidR="000B4F76" w:rsidRPr="00847234">
        <w:rPr>
          <w:rFonts w:ascii="Arial" w:hAnsi="Arial" w:cs="Arial"/>
          <w:bCs/>
          <w:lang w:val="es-ES_tradnl" w:eastAsia="es-ES"/>
        </w:rPr>
        <w:t xml:space="preserve">tal </w:t>
      </w:r>
      <w:r w:rsidRPr="00847234">
        <w:rPr>
          <w:rFonts w:ascii="Arial" w:hAnsi="Arial" w:cs="Arial"/>
          <w:bCs/>
          <w:lang w:val="es-ES_tradnl" w:eastAsia="es-ES"/>
        </w:rPr>
        <w:t>como lo definimos al resolver la controversia constitucional 117/2014</w:t>
      </w:r>
      <w:r w:rsidR="00AA6CE6" w:rsidRPr="00847234">
        <w:rPr>
          <w:rFonts w:ascii="Arial" w:hAnsi="Arial" w:cs="Arial"/>
          <w:bCs/>
          <w:lang w:val="es-ES_tradnl" w:eastAsia="es-ES"/>
        </w:rPr>
        <w:t xml:space="preserve">. </w:t>
      </w:r>
      <w:r w:rsidRPr="00847234">
        <w:rPr>
          <w:rFonts w:ascii="Arial" w:hAnsi="Arial" w:cs="Arial"/>
          <w:bCs/>
          <w:lang w:val="es-ES_tradnl" w:eastAsia="es-ES"/>
        </w:rPr>
        <w:t xml:space="preserve">La Constitución ha confiado la calificación de estas prácticas a la Comisión Federal de Competencia Económica, quien tiene facultades propias y oponibles a los otros poderes. </w:t>
      </w:r>
      <w:r w:rsidR="00726DC8" w:rsidRPr="00847234">
        <w:rPr>
          <w:rFonts w:ascii="Arial" w:hAnsi="Arial" w:cs="Arial"/>
          <w:bCs/>
          <w:lang w:val="es-ES_tradnl" w:eastAsia="es-ES"/>
        </w:rPr>
        <w:t>Es importante</w:t>
      </w:r>
      <w:r w:rsidR="00F7301A" w:rsidRPr="00847234">
        <w:rPr>
          <w:rFonts w:ascii="Arial" w:hAnsi="Arial" w:cs="Arial"/>
          <w:bCs/>
          <w:lang w:val="es-ES_tradnl" w:eastAsia="es-ES"/>
        </w:rPr>
        <w:t xml:space="preserve"> recodar que para d</w:t>
      </w:r>
      <w:r w:rsidR="000B4F76" w:rsidRPr="00847234">
        <w:rPr>
          <w:rFonts w:ascii="Arial" w:hAnsi="Arial" w:cs="Arial"/>
          <w:bCs/>
          <w:lang w:val="es-ES_tradnl" w:eastAsia="es-ES"/>
        </w:rPr>
        <w:t xml:space="preserve">ecidir </w:t>
      </w:r>
      <w:r w:rsidRPr="00847234">
        <w:rPr>
          <w:rFonts w:ascii="Arial" w:hAnsi="Arial" w:cs="Arial"/>
          <w:bCs/>
          <w:lang w:val="es-ES_tradnl" w:eastAsia="es-ES"/>
        </w:rPr>
        <w:t xml:space="preserve">si una práctica </w:t>
      </w:r>
      <w:r w:rsidR="000B4F76" w:rsidRPr="00847234">
        <w:rPr>
          <w:rFonts w:ascii="Arial" w:hAnsi="Arial" w:cs="Arial"/>
          <w:bCs/>
          <w:lang w:val="es-ES_tradnl" w:eastAsia="es-ES"/>
        </w:rPr>
        <w:t xml:space="preserve">es </w:t>
      </w:r>
      <w:r w:rsidR="00C37B27" w:rsidRPr="00847234">
        <w:rPr>
          <w:rFonts w:ascii="Arial" w:hAnsi="Arial" w:cs="Arial"/>
          <w:bCs/>
          <w:lang w:val="es-ES_tradnl" w:eastAsia="es-ES"/>
        </w:rPr>
        <w:t>monopólica</w:t>
      </w:r>
      <w:r w:rsidRPr="00847234">
        <w:rPr>
          <w:rFonts w:ascii="Arial" w:hAnsi="Arial" w:cs="Arial"/>
          <w:bCs/>
          <w:lang w:val="es-ES_tradnl" w:eastAsia="es-ES"/>
        </w:rPr>
        <w:t xml:space="preserve">, </w:t>
      </w:r>
      <w:r w:rsidR="00AF21ED" w:rsidRPr="00847234">
        <w:rPr>
          <w:rFonts w:ascii="Arial" w:hAnsi="Arial" w:cs="Arial"/>
          <w:bCs/>
          <w:lang w:val="es-ES_tradnl" w:eastAsia="es-ES"/>
        </w:rPr>
        <w:t>debe observarse,</w:t>
      </w:r>
      <w:r w:rsidR="0035281A" w:rsidRPr="00847234">
        <w:rPr>
          <w:rFonts w:ascii="Arial" w:hAnsi="Arial" w:cs="Arial"/>
          <w:bCs/>
          <w:lang w:val="es-ES_tradnl" w:eastAsia="es-ES"/>
        </w:rPr>
        <w:t xml:space="preserve"> en primer lugar,</w:t>
      </w:r>
      <w:r w:rsidRPr="00847234">
        <w:rPr>
          <w:rFonts w:ascii="Arial" w:hAnsi="Arial" w:cs="Arial"/>
          <w:bCs/>
          <w:lang w:val="es-ES_tradnl" w:eastAsia="es-ES"/>
        </w:rPr>
        <w:t xml:space="preserve"> la existencia de un mercado relevante</w:t>
      </w:r>
      <w:r w:rsidR="0035281A" w:rsidRPr="00847234">
        <w:rPr>
          <w:rFonts w:ascii="Arial" w:hAnsi="Arial" w:cs="Arial"/>
          <w:bCs/>
          <w:lang w:val="es-ES_tradnl" w:eastAsia="es-ES"/>
        </w:rPr>
        <w:t xml:space="preserve"> y</w:t>
      </w:r>
      <w:r w:rsidRPr="00847234">
        <w:rPr>
          <w:rFonts w:ascii="Arial" w:hAnsi="Arial" w:cs="Arial"/>
          <w:bCs/>
          <w:lang w:val="es-ES_tradnl" w:eastAsia="es-ES"/>
        </w:rPr>
        <w:t xml:space="preserve"> la identificación de un agente con poder sustancial de mercado</w:t>
      </w:r>
      <w:r w:rsidR="0035281A" w:rsidRPr="00847234">
        <w:rPr>
          <w:rFonts w:ascii="Arial" w:hAnsi="Arial" w:cs="Arial"/>
          <w:bCs/>
          <w:lang w:val="es-ES_tradnl" w:eastAsia="es-ES"/>
        </w:rPr>
        <w:t>; en segundo lugar,</w:t>
      </w:r>
      <w:r w:rsidRPr="00847234">
        <w:rPr>
          <w:rFonts w:ascii="Arial" w:hAnsi="Arial" w:cs="Arial"/>
          <w:bCs/>
          <w:lang w:val="es-ES_tradnl" w:eastAsia="es-ES"/>
        </w:rPr>
        <w:t xml:space="preserve"> la existencia de una conducta que genere un desplazamiento de la competencia</w:t>
      </w:r>
      <w:r w:rsidR="00336F98" w:rsidRPr="00847234">
        <w:rPr>
          <w:rFonts w:ascii="Arial" w:hAnsi="Arial" w:cs="Arial"/>
          <w:bCs/>
          <w:lang w:val="es-ES_tradnl" w:eastAsia="es-ES"/>
        </w:rPr>
        <w:t xml:space="preserve">. </w:t>
      </w:r>
      <w:r w:rsidR="00771280" w:rsidRPr="00847234">
        <w:rPr>
          <w:rFonts w:ascii="Arial" w:hAnsi="Arial" w:cs="Arial"/>
          <w:bCs/>
          <w:lang w:val="es-ES_tradnl" w:eastAsia="es-ES"/>
        </w:rPr>
        <w:t xml:space="preserve">O, en </w:t>
      </w:r>
      <w:r w:rsidR="00CC4895" w:rsidRPr="00847234">
        <w:rPr>
          <w:rFonts w:ascii="Arial" w:hAnsi="Arial" w:cs="Arial"/>
          <w:bCs/>
          <w:lang w:val="es-ES_tradnl" w:eastAsia="es-ES"/>
        </w:rPr>
        <w:t>otro supuesto,</w:t>
      </w:r>
      <w:r w:rsidR="0072300D" w:rsidRPr="00847234">
        <w:rPr>
          <w:rFonts w:ascii="Arial" w:hAnsi="Arial" w:cs="Arial"/>
          <w:bCs/>
          <w:lang w:val="es-ES_tradnl" w:eastAsia="es-ES"/>
        </w:rPr>
        <w:t xml:space="preserve"> </w:t>
      </w:r>
      <w:r w:rsidRPr="00847234">
        <w:rPr>
          <w:rFonts w:ascii="Arial" w:hAnsi="Arial" w:cs="Arial"/>
          <w:bCs/>
          <w:lang w:val="es-ES_tradnl" w:eastAsia="es-ES"/>
        </w:rPr>
        <w:t xml:space="preserve">debe </w:t>
      </w:r>
      <w:r w:rsidR="00004211" w:rsidRPr="00847234">
        <w:rPr>
          <w:rFonts w:ascii="Arial" w:hAnsi="Arial" w:cs="Arial"/>
          <w:bCs/>
          <w:lang w:val="es-ES_tradnl" w:eastAsia="es-ES"/>
        </w:rPr>
        <w:t xml:space="preserve">indicarse </w:t>
      </w:r>
      <w:r w:rsidRPr="00847234">
        <w:rPr>
          <w:rFonts w:ascii="Arial" w:hAnsi="Arial" w:cs="Arial"/>
          <w:bCs/>
          <w:lang w:val="es-ES_tradnl" w:eastAsia="es-ES"/>
        </w:rPr>
        <w:t xml:space="preserve">la existencia de un acuerdo o coordinación entre agentes cuyo propósito o efecto sea el desplazamiento de competidores dentro de un mercado relevante. A las primeras </w:t>
      </w:r>
      <w:r w:rsidR="00CC4895" w:rsidRPr="00847234">
        <w:rPr>
          <w:rFonts w:ascii="Arial" w:hAnsi="Arial" w:cs="Arial"/>
          <w:bCs/>
          <w:lang w:val="es-ES_tradnl" w:eastAsia="es-ES"/>
        </w:rPr>
        <w:t xml:space="preserve">prácticas </w:t>
      </w:r>
      <w:r w:rsidRPr="00847234">
        <w:rPr>
          <w:rFonts w:ascii="Arial" w:hAnsi="Arial" w:cs="Arial"/>
          <w:bCs/>
          <w:lang w:val="es-ES_tradnl" w:eastAsia="es-ES"/>
        </w:rPr>
        <w:t>se les denomina relativas y a las segundas absolutas.</w:t>
      </w:r>
    </w:p>
    <w:p w14:paraId="3E612AD9" w14:textId="77777777" w:rsidR="00ED3236" w:rsidRPr="00847234" w:rsidRDefault="00ED3236" w:rsidP="00ED3236">
      <w:pPr>
        <w:spacing w:line="360" w:lineRule="auto"/>
        <w:jc w:val="both"/>
        <w:rPr>
          <w:rFonts w:ascii="Arial" w:hAnsi="Arial" w:cs="Arial"/>
          <w:bCs/>
          <w:lang w:val="es-ES_tradnl" w:eastAsia="es-ES"/>
        </w:rPr>
      </w:pPr>
    </w:p>
    <w:p w14:paraId="30B59030" w14:textId="60FA3ED6" w:rsidR="00ED3236" w:rsidRPr="00847234" w:rsidRDefault="00ED3236" w:rsidP="00ED3236">
      <w:pPr>
        <w:spacing w:line="360" w:lineRule="auto"/>
        <w:jc w:val="both"/>
        <w:rPr>
          <w:rFonts w:ascii="Arial" w:hAnsi="Arial" w:cs="Arial"/>
          <w:bCs/>
          <w:lang w:val="es-ES_tradnl" w:eastAsia="es-ES"/>
        </w:rPr>
      </w:pPr>
      <w:r w:rsidRPr="00847234">
        <w:rPr>
          <w:rFonts w:ascii="Arial" w:hAnsi="Arial" w:cs="Arial"/>
          <w:bCs/>
          <w:lang w:val="es-ES_tradnl" w:eastAsia="es-ES"/>
        </w:rPr>
        <w:t>En mi opinión, los integrantes de este Pleno no tenemos los elementos ni las herramientas jurídicas para determinar si las normas impugnadas violan esta parte del parámetro de control constitucional</w:t>
      </w:r>
      <w:r w:rsidR="00A2343B" w:rsidRPr="00847234">
        <w:rPr>
          <w:rFonts w:ascii="Arial" w:hAnsi="Arial" w:cs="Arial"/>
          <w:bCs/>
          <w:lang w:val="es-ES_tradnl" w:eastAsia="es-ES"/>
        </w:rPr>
        <w:t xml:space="preserve"> en un control abstracto.</w:t>
      </w:r>
      <w:r w:rsidR="004104DC" w:rsidRPr="00847234">
        <w:rPr>
          <w:rFonts w:ascii="Arial" w:hAnsi="Arial" w:cs="Arial"/>
          <w:bCs/>
          <w:lang w:val="es-ES_tradnl" w:eastAsia="es-ES"/>
        </w:rPr>
        <w:t xml:space="preserve"> Sin </w:t>
      </w:r>
      <w:r w:rsidR="000D169D" w:rsidRPr="00847234">
        <w:rPr>
          <w:rFonts w:ascii="Arial" w:hAnsi="Arial" w:cs="Arial"/>
          <w:bCs/>
          <w:lang w:val="es-ES_tradnl" w:eastAsia="es-ES"/>
        </w:rPr>
        <w:t>embargo,</w:t>
      </w:r>
      <w:r w:rsidR="004104DC" w:rsidRPr="00847234">
        <w:rPr>
          <w:rFonts w:ascii="Arial" w:hAnsi="Arial" w:cs="Arial"/>
          <w:bCs/>
          <w:lang w:val="es-ES_tradnl" w:eastAsia="es-ES"/>
        </w:rPr>
        <w:t xml:space="preserve"> sí podemos realizar una interpretación conforme de </w:t>
      </w:r>
      <w:r w:rsidR="00331B79" w:rsidRPr="00847234">
        <w:rPr>
          <w:rFonts w:ascii="Arial" w:hAnsi="Arial" w:cs="Arial"/>
          <w:bCs/>
          <w:lang w:val="es-ES_tradnl" w:eastAsia="es-ES"/>
        </w:rPr>
        <w:t xml:space="preserve">aquellas </w:t>
      </w:r>
      <w:r w:rsidR="004104DC" w:rsidRPr="00847234">
        <w:rPr>
          <w:rFonts w:ascii="Arial" w:hAnsi="Arial" w:cs="Arial"/>
          <w:bCs/>
          <w:lang w:val="es-ES_tradnl" w:eastAsia="es-ES"/>
        </w:rPr>
        <w:t xml:space="preserve">para permitir que el órgano constitucional autónomo que sí puede </w:t>
      </w:r>
      <w:r w:rsidR="00140BEB" w:rsidRPr="00847234">
        <w:rPr>
          <w:rFonts w:ascii="Arial" w:hAnsi="Arial" w:cs="Arial"/>
          <w:bCs/>
          <w:lang w:val="es-ES_tradnl" w:eastAsia="es-ES"/>
        </w:rPr>
        <w:t xml:space="preserve">identificar, </w:t>
      </w:r>
      <w:r w:rsidR="004104DC" w:rsidRPr="00847234">
        <w:rPr>
          <w:rFonts w:ascii="Arial" w:hAnsi="Arial" w:cs="Arial"/>
          <w:bCs/>
          <w:lang w:val="es-ES_tradnl" w:eastAsia="es-ES"/>
        </w:rPr>
        <w:t xml:space="preserve">analizar y corregir las prácticas monopólicas ejerza sus potestades para evitar que </w:t>
      </w:r>
      <w:r w:rsidR="00F53A8B" w:rsidRPr="00847234">
        <w:rPr>
          <w:rFonts w:ascii="Arial" w:hAnsi="Arial" w:cs="Arial"/>
          <w:bCs/>
          <w:lang w:val="es-ES_tradnl" w:eastAsia="es-ES"/>
        </w:rPr>
        <w:t xml:space="preserve">esas </w:t>
      </w:r>
      <w:r w:rsidR="004104DC" w:rsidRPr="00847234">
        <w:rPr>
          <w:rFonts w:ascii="Arial" w:hAnsi="Arial" w:cs="Arial"/>
          <w:bCs/>
          <w:lang w:val="es-ES_tradnl" w:eastAsia="es-ES"/>
        </w:rPr>
        <w:t>normas violen esa parte del parámetro de control.</w:t>
      </w:r>
    </w:p>
    <w:p w14:paraId="4069549C" w14:textId="77777777" w:rsidR="00ED3236" w:rsidRPr="00847234" w:rsidRDefault="00ED3236" w:rsidP="00ED3236">
      <w:pPr>
        <w:spacing w:line="360" w:lineRule="auto"/>
        <w:jc w:val="both"/>
        <w:rPr>
          <w:rFonts w:ascii="Arial" w:hAnsi="Arial" w:cs="Arial"/>
          <w:bCs/>
          <w:lang w:val="es-ES_tradnl" w:eastAsia="es-ES"/>
        </w:rPr>
      </w:pPr>
    </w:p>
    <w:p w14:paraId="518899F1" w14:textId="5B8B722C" w:rsidR="00ED3236" w:rsidRPr="00847234" w:rsidRDefault="00ED3236" w:rsidP="00ED3236">
      <w:pPr>
        <w:spacing w:line="360" w:lineRule="auto"/>
        <w:jc w:val="both"/>
        <w:rPr>
          <w:rFonts w:ascii="Arial" w:hAnsi="Arial" w:cs="Arial"/>
          <w:bCs/>
          <w:lang w:val="es-ES_tradnl" w:eastAsia="es-ES"/>
        </w:rPr>
      </w:pPr>
      <w:r w:rsidRPr="00847234">
        <w:rPr>
          <w:rFonts w:ascii="Arial" w:hAnsi="Arial" w:cs="Arial"/>
          <w:bCs/>
          <w:lang w:val="es-ES_tradnl" w:eastAsia="es-ES"/>
        </w:rPr>
        <w:t xml:space="preserve">La única respuesta correcta a este problema </w:t>
      </w:r>
      <w:r w:rsidR="00AF6E0C" w:rsidRPr="00847234">
        <w:rPr>
          <w:rFonts w:ascii="Arial" w:hAnsi="Arial" w:cs="Arial"/>
          <w:bCs/>
          <w:lang w:val="es-ES_tradnl" w:eastAsia="es-ES"/>
        </w:rPr>
        <w:t xml:space="preserve">es </w:t>
      </w:r>
      <w:r w:rsidRPr="00847234">
        <w:rPr>
          <w:rFonts w:ascii="Arial" w:hAnsi="Arial" w:cs="Arial"/>
          <w:bCs/>
          <w:lang w:val="es-ES_tradnl" w:eastAsia="es-ES"/>
        </w:rPr>
        <w:t>una interpretación sistemática de la Constitución</w:t>
      </w:r>
      <w:r w:rsidR="00DF0E6F" w:rsidRPr="00847234">
        <w:rPr>
          <w:rFonts w:ascii="Arial" w:hAnsi="Arial" w:cs="Arial"/>
          <w:bCs/>
          <w:lang w:val="es-ES_tradnl" w:eastAsia="es-ES"/>
        </w:rPr>
        <w:t xml:space="preserve">. Por </w:t>
      </w:r>
      <w:r w:rsidR="004104DC" w:rsidRPr="00847234">
        <w:rPr>
          <w:rFonts w:ascii="Arial" w:hAnsi="Arial" w:cs="Arial"/>
          <w:bCs/>
          <w:lang w:val="es-ES_tradnl" w:eastAsia="es-ES"/>
        </w:rPr>
        <w:t>ello, mi</w:t>
      </w:r>
      <w:r w:rsidR="00AF6E0C" w:rsidRPr="00847234">
        <w:rPr>
          <w:rFonts w:ascii="Arial" w:hAnsi="Arial" w:cs="Arial"/>
          <w:bCs/>
          <w:lang w:val="es-ES_tradnl" w:eastAsia="es-ES"/>
        </w:rPr>
        <w:t xml:space="preserve"> conclusión</w:t>
      </w:r>
      <w:r w:rsidR="004104DC" w:rsidRPr="00847234">
        <w:rPr>
          <w:rFonts w:ascii="Arial" w:hAnsi="Arial" w:cs="Arial"/>
          <w:bCs/>
          <w:lang w:val="es-ES_tradnl" w:eastAsia="es-ES"/>
        </w:rPr>
        <w:t xml:space="preserve"> es</w:t>
      </w:r>
      <w:r w:rsidRPr="00847234">
        <w:rPr>
          <w:rFonts w:ascii="Arial" w:hAnsi="Arial" w:cs="Arial"/>
          <w:bCs/>
          <w:lang w:val="es-ES_tradnl" w:eastAsia="es-ES"/>
        </w:rPr>
        <w:t xml:space="preserve"> que la Comisión Federal de Competencia Económica tiene expeditas sus facultades para evitar que </w:t>
      </w:r>
      <w:r w:rsidR="00D75830" w:rsidRPr="00847234">
        <w:rPr>
          <w:rFonts w:ascii="Arial" w:hAnsi="Arial" w:cs="Arial"/>
          <w:bCs/>
          <w:lang w:val="es-ES_tradnl" w:eastAsia="es-ES"/>
        </w:rPr>
        <w:t xml:space="preserve">la </w:t>
      </w:r>
      <w:r w:rsidRPr="00847234">
        <w:rPr>
          <w:rFonts w:ascii="Arial" w:hAnsi="Arial" w:cs="Arial"/>
          <w:bCs/>
          <w:lang w:val="es-ES_tradnl" w:eastAsia="es-ES"/>
        </w:rPr>
        <w:t xml:space="preserve">legislación </w:t>
      </w:r>
      <w:r w:rsidR="009C785E" w:rsidRPr="00847234">
        <w:rPr>
          <w:rFonts w:ascii="Arial" w:hAnsi="Arial" w:cs="Arial"/>
          <w:bCs/>
          <w:lang w:val="es-ES_tradnl" w:eastAsia="es-ES"/>
        </w:rPr>
        <w:t>viole</w:t>
      </w:r>
      <w:r w:rsidR="00D75830" w:rsidRPr="00847234">
        <w:rPr>
          <w:rFonts w:ascii="Arial" w:hAnsi="Arial" w:cs="Arial"/>
          <w:bCs/>
          <w:lang w:val="es-ES_tradnl" w:eastAsia="es-ES"/>
        </w:rPr>
        <w:t>, en su aplicaci</w:t>
      </w:r>
      <w:r w:rsidR="00733110" w:rsidRPr="00847234">
        <w:rPr>
          <w:rFonts w:ascii="Arial" w:hAnsi="Arial" w:cs="Arial"/>
          <w:bCs/>
          <w:lang w:val="es-ES_tradnl" w:eastAsia="es-ES"/>
        </w:rPr>
        <w:t>ón,</w:t>
      </w:r>
      <w:r w:rsidRPr="00847234">
        <w:rPr>
          <w:rFonts w:ascii="Arial" w:hAnsi="Arial" w:cs="Arial"/>
          <w:bCs/>
          <w:lang w:val="es-ES_tradnl" w:eastAsia="es-ES"/>
        </w:rPr>
        <w:t xml:space="preserve"> el parámetro de control constitucional.</w:t>
      </w:r>
      <w:r w:rsidR="00733110" w:rsidRPr="00847234">
        <w:rPr>
          <w:rFonts w:ascii="Arial" w:hAnsi="Arial" w:cs="Arial"/>
          <w:bCs/>
          <w:lang w:val="es-ES_tradnl" w:eastAsia="es-ES"/>
        </w:rPr>
        <w:t xml:space="preserve"> </w:t>
      </w:r>
      <w:r w:rsidRPr="00847234">
        <w:rPr>
          <w:rFonts w:ascii="Arial" w:hAnsi="Arial" w:cs="Arial"/>
          <w:bCs/>
          <w:lang w:val="es-ES_tradnl" w:eastAsia="es-ES"/>
        </w:rPr>
        <w:t xml:space="preserve">En varias ocasiones hemos </w:t>
      </w:r>
      <w:r w:rsidR="00230866" w:rsidRPr="00847234">
        <w:rPr>
          <w:rFonts w:ascii="Arial" w:hAnsi="Arial" w:cs="Arial"/>
          <w:bCs/>
          <w:lang w:val="es-ES_tradnl" w:eastAsia="es-ES"/>
        </w:rPr>
        <w:t>d</w:t>
      </w:r>
      <w:r w:rsidR="00003AE8" w:rsidRPr="00847234">
        <w:rPr>
          <w:rFonts w:ascii="Arial" w:hAnsi="Arial" w:cs="Arial"/>
          <w:bCs/>
          <w:lang w:val="es-ES_tradnl" w:eastAsia="es-ES"/>
        </w:rPr>
        <w:t xml:space="preserve">istinguido </w:t>
      </w:r>
      <w:r w:rsidRPr="00847234">
        <w:rPr>
          <w:rFonts w:ascii="Arial" w:hAnsi="Arial" w:cs="Arial"/>
          <w:bCs/>
          <w:lang w:val="es-ES_tradnl" w:eastAsia="es-ES"/>
        </w:rPr>
        <w:t xml:space="preserve">entre los vicios de invalidez en el contenido de las normas legales en oposición a los vicios en </w:t>
      </w:r>
      <w:r w:rsidR="00FF00A2" w:rsidRPr="00847234">
        <w:rPr>
          <w:rFonts w:ascii="Arial" w:hAnsi="Arial" w:cs="Arial"/>
          <w:bCs/>
          <w:lang w:val="es-ES_tradnl" w:eastAsia="es-ES"/>
        </w:rPr>
        <w:t>su</w:t>
      </w:r>
      <w:r w:rsidRPr="00847234">
        <w:rPr>
          <w:rFonts w:ascii="Arial" w:hAnsi="Arial" w:cs="Arial"/>
          <w:bCs/>
          <w:lang w:val="es-ES_tradnl" w:eastAsia="es-ES"/>
        </w:rPr>
        <w:t xml:space="preserve"> aplicación. En otras palabras, las leyes</w:t>
      </w:r>
      <w:r w:rsidR="00D41C9E" w:rsidRPr="00847234">
        <w:rPr>
          <w:rFonts w:ascii="Arial" w:hAnsi="Arial" w:cs="Arial"/>
          <w:bCs/>
          <w:lang w:val="es-ES_tradnl" w:eastAsia="es-ES"/>
        </w:rPr>
        <w:t xml:space="preserve"> s</w:t>
      </w:r>
      <w:r w:rsidR="00E41897" w:rsidRPr="00847234">
        <w:rPr>
          <w:rFonts w:ascii="Arial" w:hAnsi="Arial" w:cs="Arial"/>
          <w:bCs/>
          <w:lang w:val="es-ES_tradnl" w:eastAsia="es-ES"/>
        </w:rPr>
        <w:t xml:space="preserve">erán </w:t>
      </w:r>
      <w:r w:rsidR="00D41C9E" w:rsidRPr="00847234">
        <w:rPr>
          <w:rFonts w:ascii="Arial" w:hAnsi="Arial" w:cs="Arial"/>
          <w:bCs/>
          <w:lang w:val="es-ES_tradnl" w:eastAsia="es-ES"/>
        </w:rPr>
        <w:t xml:space="preserve">inconstitucionales </w:t>
      </w:r>
      <w:r w:rsidR="008A50CD" w:rsidRPr="00847234">
        <w:rPr>
          <w:rFonts w:ascii="Arial" w:hAnsi="Arial" w:cs="Arial"/>
          <w:bCs/>
          <w:lang w:val="es-ES_tradnl" w:eastAsia="es-ES"/>
        </w:rPr>
        <w:t xml:space="preserve">por su promulgación o </w:t>
      </w:r>
      <w:r w:rsidR="007623F3" w:rsidRPr="00847234">
        <w:rPr>
          <w:rFonts w:ascii="Arial" w:hAnsi="Arial" w:cs="Arial"/>
          <w:bCs/>
          <w:lang w:val="es-ES_tradnl" w:eastAsia="es-ES"/>
        </w:rPr>
        <w:t xml:space="preserve">por su aplicación concreta. </w:t>
      </w:r>
      <w:r w:rsidRPr="00847234">
        <w:rPr>
          <w:rFonts w:ascii="Arial" w:hAnsi="Arial" w:cs="Arial"/>
          <w:bCs/>
          <w:lang w:val="es-ES_tradnl" w:eastAsia="es-ES"/>
        </w:rPr>
        <w:t xml:space="preserve"> En mi opinión, </w:t>
      </w:r>
      <w:r w:rsidR="00FF00A2" w:rsidRPr="00847234">
        <w:rPr>
          <w:rFonts w:ascii="Arial" w:hAnsi="Arial" w:cs="Arial"/>
          <w:bCs/>
          <w:lang w:val="es-ES_tradnl" w:eastAsia="es-ES"/>
        </w:rPr>
        <w:t xml:space="preserve">la </w:t>
      </w:r>
      <w:r w:rsidR="00D03094" w:rsidRPr="00847234">
        <w:rPr>
          <w:rFonts w:ascii="Arial" w:hAnsi="Arial" w:cs="Arial"/>
          <w:bCs/>
          <w:lang w:val="es-ES_tradnl" w:eastAsia="es-ES"/>
        </w:rPr>
        <w:t xml:space="preserve">sentencia </w:t>
      </w:r>
      <w:r w:rsidR="00EE0ACA" w:rsidRPr="00847234">
        <w:rPr>
          <w:rFonts w:ascii="Arial" w:hAnsi="Arial" w:cs="Arial"/>
          <w:bCs/>
          <w:lang w:val="es-ES_tradnl" w:eastAsia="es-ES"/>
        </w:rPr>
        <w:t xml:space="preserve">debió </w:t>
      </w:r>
      <w:r w:rsidR="00D1397F" w:rsidRPr="00847234">
        <w:rPr>
          <w:rFonts w:ascii="Arial" w:hAnsi="Arial" w:cs="Arial"/>
          <w:bCs/>
          <w:lang w:val="es-ES_tradnl" w:eastAsia="es-ES"/>
        </w:rPr>
        <w:t xml:space="preserve">comprender </w:t>
      </w:r>
      <w:r w:rsidRPr="00847234">
        <w:rPr>
          <w:rFonts w:ascii="Arial" w:hAnsi="Arial" w:cs="Arial"/>
          <w:bCs/>
          <w:lang w:val="es-ES_tradnl" w:eastAsia="es-ES"/>
        </w:rPr>
        <w:t xml:space="preserve">la integridad del parámetro de control constitucional </w:t>
      </w:r>
      <w:r w:rsidR="00EE0ACA" w:rsidRPr="00847234">
        <w:rPr>
          <w:rFonts w:ascii="Arial" w:hAnsi="Arial" w:cs="Arial"/>
          <w:bCs/>
          <w:lang w:val="es-ES_tradnl" w:eastAsia="es-ES"/>
        </w:rPr>
        <w:t xml:space="preserve">y no </w:t>
      </w:r>
      <w:r w:rsidR="00C9664A" w:rsidRPr="00847234">
        <w:rPr>
          <w:rFonts w:ascii="Arial" w:hAnsi="Arial" w:cs="Arial"/>
          <w:bCs/>
          <w:lang w:val="es-ES_tradnl" w:eastAsia="es-ES"/>
        </w:rPr>
        <w:t>sólo</w:t>
      </w:r>
      <w:r w:rsidR="00D1397F" w:rsidRPr="00847234">
        <w:rPr>
          <w:rFonts w:ascii="Arial" w:hAnsi="Arial" w:cs="Arial"/>
          <w:bCs/>
          <w:lang w:val="es-ES_tradnl" w:eastAsia="es-ES"/>
        </w:rPr>
        <w:t xml:space="preserve"> </w:t>
      </w:r>
      <w:r w:rsidR="008B5491" w:rsidRPr="00847234">
        <w:rPr>
          <w:rFonts w:ascii="Arial" w:hAnsi="Arial" w:cs="Arial"/>
          <w:bCs/>
          <w:lang w:val="es-ES_tradnl" w:eastAsia="es-ES"/>
        </w:rPr>
        <w:t xml:space="preserve">decidir que </w:t>
      </w:r>
      <w:r w:rsidRPr="00847234">
        <w:rPr>
          <w:rFonts w:ascii="Arial" w:hAnsi="Arial" w:cs="Arial"/>
          <w:bCs/>
          <w:lang w:val="es-ES_tradnl" w:eastAsia="es-ES"/>
        </w:rPr>
        <w:t>el contenido de las normas impugnadas es neutro respecto de los competidores</w:t>
      </w:r>
      <w:r w:rsidR="00CC1D36" w:rsidRPr="00847234">
        <w:rPr>
          <w:rFonts w:ascii="Arial" w:hAnsi="Arial" w:cs="Arial"/>
          <w:bCs/>
          <w:lang w:val="es-ES_tradnl" w:eastAsia="es-ES"/>
        </w:rPr>
        <w:t xml:space="preserve">. El Pleno debió entender </w:t>
      </w:r>
      <w:r w:rsidR="00780E53" w:rsidRPr="00847234">
        <w:rPr>
          <w:rFonts w:ascii="Arial" w:hAnsi="Arial" w:cs="Arial"/>
          <w:bCs/>
          <w:lang w:val="es-ES_tradnl" w:eastAsia="es-ES"/>
        </w:rPr>
        <w:t xml:space="preserve">que las normas impugnadas </w:t>
      </w:r>
      <w:r w:rsidR="00C9664A" w:rsidRPr="00847234">
        <w:rPr>
          <w:rFonts w:ascii="Arial" w:hAnsi="Arial" w:cs="Arial"/>
          <w:bCs/>
          <w:lang w:val="es-ES_tradnl" w:eastAsia="es-ES"/>
        </w:rPr>
        <w:t xml:space="preserve">inciden en </w:t>
      </w:r>
      <w:r w:rsidR="00780E53" w:rsidRPr="00847234">
        <w:rPr>
          <w:rFonts w:ascii="Arial" w:hAnsi="Arial" w:cs="Arial"/>
          <w:bCs/>
          <w:lang w:val="es-ES_tradnl" w:eastAsia="es-ES"/>
        </w:rPr>
        <w:t xml:space="preserve">el alcance </w:t>
      </w:r>
      <w:r w:rsidRPr="00847234">
        <w:rPr>
          <w:rFonts w:ascii="Arial" w:hAnsi="Arial" w:cs="Arial"/>
          <w:bCs/>
          <w:lang w:val="es-ES_tradnl" w:eastAsia="es-ES"/>
        </w:rPr>
        <w:t>de las facultades de la Comisión Federal de Competencia Económica</w:t>
      </w:r>
      <w:r w:rsidR="00C55A5E" w:rsidRPr="00847234">
        <w:rPr>
          <w:rFonts w:ascii="Arial" w:hAnsi="Arial" w:cs="Arial"/>
          <w:bCs/>
          <w:lang w:val="es-ES_tradnl" w:eastAsia="es-ES"/>
        </w:rPr>
        <w:t xml:space="preserve">. </w:t>
      </w:r>
      <w:r w:rsidR="00073BF3" w:rsidRPr="00847234">
        <w:rPr>
          <w:rFonts w:ascii="Arial" w:hAnsi="Arial" w:cs="Arial"/>
          <w:bCs/>
          <w:lang w:val="es-ES_tradnl" w:eastAsia="es-ES"/>
        </w:rPr>
        <w:lastRenderedPageBreak/>
        <w:t>Esa premisa</w:t>
      </w:r>
      <w:r w:rsidR="00A0006C" w:rsidRPr="00847234">
        <w:rPr>
          <w:rFonts w:ascii="Arial" w:hAnsi="Arial" w:cs="Arial"/>
          <w:bCs/>
          <w:lang w:val="es-ES_tradnl" w:eastAsia="es-ES"/>
        </w:rPr>
        <w:t xml:space="preserve"> les</w:t>
      </w:r>
      <w:r w:rsidR="00073BF3" w:rsidRPr="00847234">
        <w:rPr>
          <w:rFonts w:ascii="Arial" w:hAnsi="Arial" w:cs="Arial"/>
          <w:bCs/>
          <w:lang w:val="es-ES_tradnl" w:eastAsia="es-ES"/>
        </w:rPr>
        <w:t xml:space="preserve"> </w:t>
      </w:r>
      <w:r w:rsidR="004F17FB" w:rsidRPr="00847234">
        <w:rPr>
          <w:rFonts w:ascii="Arial" w:hAnsi="Arial" w:cs="Arial"/>
          <w:bCs/>
          <w:lang w:val="es-ES_tradnl" w:eastAsia="es-ES"/>
        </w:rPr>
        <w:t xml:space="preserve">habría </w:t>
      </w:r>
      <w:r w:rsidR="008C49D2" w:rsidRPr="00847234">
        <w:rPr>
          <w:rFonts w:ascii="Arial" w:hAnsi="Arial" w:cs="Arial"/>
          <w:bCs/>
          <w:lang w:val="es-ES_tradnl" w:eastAsia="es-ES"/>
        </w:rPr>
        <w:t>obligado a condicionar las sucesivas interpretaciones de las normas impugnadas</w:t>
      </w:r>
      <w:r w:rsidR="00EE5DD0" w:rsidRPr="00847234">
        <w:rPr>
          <w:rFonts w:ascii="Arial" w:hAnsi="Arial" w:cs="Arial"/>
          <w:bCs/>
          <w:lang w:val="es-ES_tradnl" w:eastAsia="es-ES"/>
        </w:rPr>
        <w:t xml:space="preserve"> para cerciorarse de que </w:t>
      </w:r>
      <w:r w:rsidRPr="00847234">
        <w:rPr>
          <w:rFonts w:ascii="Arial" w:hAnsi="Arial" w:cs="Arial"/>
          <w:bCs/>
          <w:lang w:val="es-ES_tradnl" w:eastAsia="es-ES"/>
        </w:rPr>
        <w:t>el legislador no vulnera</w:t>
      </w:r>
      <w:r w:rsidR="00B555E7" w:rsidRPr="00847234">
        <w:rPr>
          <w:rFonts w:ascii="Arial" w:hAnsi="Arial" w:cs="Arial"/>
          <w:bCs/>
          <w:lang w:val="es-ES_tradnl" w:eastAsia="es-ES"/>
        </w:rPr>
        <w:t xml:space="preserve">ra </w:t>
      </w:r>
      <w:r w:rsidRPr="00847234">
        <w:rPr>
          <w:rFonts w:ascii="Arial" w:hAnsi="Arial" w:cs="Arial"/>
          <w:bCs/>
          <w:lang w:val="es-ES_tradnl" w:eastAsia="es-ES"/>
        </w:rPr>
        <w:t>la prohibición de propiciar prácticas monopólicas.</w:t>
      </w:r>
    </w:p>
    <w:p w14:paraId="008684D4" w14:textId="77777777" w:rsidR="00ED3236" w:rsidRPr="00847234" w:rsidRDefault="00ED3236" w:rsidP="00ED3236">
      <w:pPr>
        <w:spacing w:line="360" w:lineRule="auto"/>
        <w:jc w:val="both"/>
        <w:rPr>
          <w:rFonts w:ascii="Arial" w:hAnsi="Arial" w:cs="Arial"/>
          <w:bCs/>
          <w:lang w:val="es-ES_tradnl" w:eastAsia="es-ES"/>
        </w:rPr>
      </w:pPr>
    </w:p>
    <w:p w14:paraId="43A25710" w14:textId="494F1166" w:rsidR="00ED3236" w:rsidRPr="00847234" w:rsidRDefault="00ED3236" w:rsidP="00ED3236">
      <w:pPr>
        <w:spacing w:line="360" w:lineRule="auto"/>
        <w:jc w:val="both"/>
        <w:rPr>
          <w:rFonts w:ascii="Arial" w:hAnsi="Arial" w:cs="Arial"/>
          <w:bCs/>
          <w:lang w:val="es-ES_tradnl" w:eastAsia="es-ES"/>
        </w:rPr>
      </w:pPr>
      <w:r w:rsidRPr="00847234">
        <w:rPr>
          <w:rFonts w:ascii="Arial" w:hAnsi="Arial" w:cs="Arial"/>
          <w:bCs/>
          <w:lang w:val="es-ES_tradnl" w:eastAsia="es-ES"/>
        </w:rPr>
        <w:t xml:space="preserve">No paso por alto </w:t>
      </w:r>
      <w:r w:rsidR="00C07BE8" w:rsidRPr="00847234">
        <w:rPr>
          <w:rFonts w:ascii="Arial" w:hAnsi="Arial" w:cs="Arial"/>
          <w:bCs/>
          <w:lang w:val="es-ES_tradnl" w:eastAsia="es-ES"/>
        </w:rPr>
        <w:t xml:space="preserve">la existencia de </w:t>
      </w:r>
      <w:r w:rsidRPr="00847234">
        <w:rPr>
          <w:rFonts w:ascii="Arial" w:hAnsi="Arial" w:cs="Arial"/>
          <w:bCs/>
          <w:lang w:val="es-ES_tradnl" w:eastAsia="es-ES"/>
        </w:rPr>
        <w:t xml:space="preserve">algunos precedentes que </w:t>
      </w:r>
      <w:r w:rsidR="00C07BE8" w:rsidRPr="00847234">
        <w:rPr>
          <w:rFonts w:ascii="Arial" w:hAnsi="Arial" w:cs="Arial"/>
          <w:bCs/>
          <w:lang w:val="es-ES_tradnl" w:eastAsia="es-ES"/>
        </w:rPr>
        <w:t xml:space="preserve">sugerirían </w:t>
      </w:r>
      <w:r w:rsidRPr="00847234">
        <w:rPr>
          <w:rFonts w:ascii="Arial" w:hAnsi="Arial" w:cs="Arial"/>
          <w:bCs/>
          <w:lang w:val="es-ES_tradnl" w:eastAsia="es-ES"/>
        </w:rPr>
        <w:t>lo contrario. Por ejemplo, la Primera Sala</w:t>
      </w:r>
      <w:r w:rsidR="008B5491" w:rsidRPr="00847234">
        <w:rPr>
          <w:rFonts w:ascii="Arial" w:hAnsi="Arial" w:cs="Arial"/>
          <w:bCs/>
          <w:lang w:val="es-ES_tradnl" w:eastAsia="es-ES"/>
        </w:rPr>
        <w:t xml:space="preserve"> </w:t>
      </w:r>
      <w:r w:rsidR="00A67988" w:rsidRPr="00847234">
        <w:rPr>
          <w:rFonts w:ascii="Arial" w:hAnsi="Arial" w:cs="Arial"/>
          <w:bCs/>
          <w:lang w:val="es-ES_tradnl" w:eastAsia="es-ES"/>
        </w:rPr>
        <w:t>resolvió</w:t>
      </w:r>
      <w:r w:rsidR="008B5491" w:rsidRPr="00847234">
        <w:rPr>
          <w:rFonts w:ascii="Arial" w:hAnsi="Arial" w:cs="Arial"/>
          <w:bCs/>
          <w:lang w:val="es-ES_tradnl" w:eastAsia="es-ES"/>
        </w:rPr>
        <w:t>, en el amparo en revisión 761/99,</w:t>
      </w:r>
      <w:r w:rsidR="00A67988" w:rsidRPr="00847234">
        <w:rPr>
          <w:rFonts w:ascii="Arial" w:hAnsi="Arial" w:cs="Arial"/>
          <w:bCs/>
          <w:lang w:val="es-ES_tradnl" w:eastAsia="es-ES"/>
        </w:rPr>
        <w:t xml:space="preserve"> </w:t>
      </w:r>
      <w:r w:rsidRPr="00847234">
        <w:rPr>
          <w:rFonts w:ascii="Arial" w:hAnsi="Arial" w:cs="Arial"/>
          <w:bCs/>
          <w:lang w:val="es-ES_tradnl" w:eastAsia="es-ES"/>
        </w:rPr>
        <w:t xml:space="preserve">que los notarios no </w:t>
      </w:r>
      <w:r w:rsidR="008F75EE" w:rsidRPr="00847234">
        <w:rPr>
          <w:rFonts w:ascii="Arial" w:hAnsi="Arial" w:cs="Arial"/>
          <w:bCs/>
          <w:lang w:val="es-ES_tradnl" w:eastAsia="es-ES"/>
        </w:rPr>
        <w:t>estarían sujetos</w:t>
      </w:r>
      <w:r w:rsidRPr="00847234">
        <w:rPr>
          <w:rFonts w:ascii="Arial" w:hAnsi="Arial" w:cs="Arial"/>
          <w:bCs/>
          <w:lang w:val="es-ES_tradnl" w:eastAsia="es-ES"/>
        </w:rPr>
        <w:t xml:space="preserve"> a las facultades </w:t>
      </w:r>
      <w:r w:rsidR="004608D7" w:rsidRPr="00847234">
        <w:rPr>
          <w:rFonts w:ascii="Arial" w:hAnsi="Arial" w:cs="Arial"/>
          <w:bCs/>
          <w:lang w:val="es-ES_tradnl" w:eastAsia="es-ES"/>
        </w:rPr>
        <w:t xml:space="preserve">de la Comisión Federal de Competencia </w:t>
      </w:r>
      <w:r w:rsidR="00C64763" w:rsidRPr="00847234">
        <w:rPr>
          <w:rFonts w:ascii="Arial" w:hAnsi="Arial" w:cs="Arial"/>
          <w:bCs/>
          <w:lang w:val="es-ES_tradnl" w:eastAsia="es-ES"/>
        </w:rPr>
        <w:t xml:space="preserve">Económica </w:t>
      </w:r>
      <w:r w:rsidR="00BF19DD" w:rsidRPr="00847234">
        <w:rPr>
          <w:rFonts w:ascii="Arial" w:hAnsi="Arial" w:cs="Arial"/>
          <w:bCs/>
          <w:lang w:val="es-ES_tradnl" w:eastAsia="es-ES"/>
        </w:rPr>
        <w:t>pues ejercían la función estatal de la fe pública. Por su parte, l</w:t>
      </w:r>
      <w:r w:rsidRPr="00847234">
        <w:rPr>
          <w:rFonts w:ascii="Arial" w:hAnsi="Arial" w:cs="Arial"/>
          <w:bCs/>
          <w:lang w:val="es-ES_tradnl" w:eastAsia="es-ES"/>
        </w:rPr>
        <w:t>a Segunda Sala, al resolver el amparo en revisión 415/2015, sostuvo</w:t>
      </w:r>
      <w:r w:rsidR="00BF19DD" w:rsidRPr="00847234">
        <w:rPr>
          <w:rFonts w:ascii="Arial" w:hAnsi="Arial" w:cs="Arial"/>
          <w:bCs/>
          <w:lang w:val="es-ES_tradnl" w:eastAsia="es-ES"/>
        </w:rPr>
        <w:t>, respecto de Pemex</w:t>
      </w:r>
      <w:r w:rsidR="008F75EE" w:rsidRPr="00847234">
        <w:rPr>
          <w:rFonts w:ascii="Arial" w:hAnsi="Arial" w:cs="Arial"/>
          <w:bCs/>
          <w:lang w:val="es-ES_tradnl" w:eastAsia="es-ES"/>
        </w:rPr>
        <w:t>,</w:t>
      </w:r>
      <w:r w:rsidRPr="00847234">
        <w:rPr>
          <w:rFonts w:ascii="Arial" w:hAnsi="Arial" w:cs="Arial"/>
          <w:bCs/>
          <w:lang w:val="es-ES_tradnl" w:eastAsia="es-ES"/>
        </w:rPr>
        <w:t xml:space="preserve"> un criterio similar</w:t>
      </w:r>
      <w:r w:rsidR="008F75EE" w:rsidRPr="00847234">
        <w:rPr>
          <w:rFonts w:ascii="Arial" w:hAnsi="Arial" w:cs="Arial"/>
          <w:bCs/>
          <w:lang w:val="es-ES_tradnl" w:eastAsia="es-ES"/>
        </w:rPr>
        <w:t>:</w:t>
      </w:r>
      <w:r w:rsidRPr="00847234">
        <w:rPr>
          <w:rFonts w:ascii="Arial" w:hAnsi="Arial" w:cs="Arial"/>
          <w:bCs/>
          <w:lang w:val="es-ES_tradnl" w:eastAsia="es-ES"/>
        </w:rPr>
        <w:t xml:space="preserve"> su función pública</w:t>
      </w:r>
      <w:r w:rsidR="008F75EE" w:rsidRPr="00847234">
        <w:rPr>
          <w:rFonts w:ascii="Arial" w:hAnsi="Arial" w:cs="Arial"/>
          <w:bCs/>
          <w:lang w:val="es-ES_tradnl" w:eastAsia="es-ES"/>
        </w:rPr>
        <w:t xml:space="preserve"> impedía </w:t>
      </w:r>
      <w:r w:rsidR="00C5639E" w:rsidRPr="00847234">
        <w:rPr>
          <w:rFonts w:ascii="Arial" w:hAnsi="Arial" w:cs="Arial"/>
          <w:bCs/>
          <w:lang w:val="es-ES_tradnl" w:eastAsia="es-ES"/>
        </w:rPr>
        <w:t>quedaran sujetos</w:t>
      </w:r>
      <w:r w:rsidRPr="00847234">
        <w:rPr>
          <w:rFonts w:ascii="Arial" w:hAnsi="Arial" w:cs="Arial"/>
          <w:bCs/>
          <w:lang w:val="es-ES_tradnl" w:eastAsia="es-ES"/>
        </w:rPr>
        <w:t xml:space="preserve"> a las facultades de dicho órgano constitucional autónomo.</w:t>
      </w:r>
    </w:p>
    <w:p w14:paraId="45F2D46F" w14:textId="77777777" w:rsidR="00ED3236" w:rsidRPr="00847234" w:rsidRDefault="00ED3236" w:rsidP="00ED3236">
      <w:pPr>
        <w:spacing w:line="360" w:lineRule="auto"/>
        <w:jc w:val="both"/>
        <w:rPr>
          <w:rFonts w:ascii="Arial" w:hAnsi="Arial" w:cs="Arial"/>
          <w:bCs/>
          <w:lang w:val="es-ES_tradnl" w:eastAsia="es-ES"/>
        </w:rPr>
      </w:pPr>
    </w:p>
    <w:p w14:paraId="0FCC808B" w14:textId="4FB897F0" w:rsidR="00ED3236" w:rsidRPr="00847234" w:rsidRDefault="003C42D0" w:rsidP="00ED3236">
      <w:pPr>
        <w:spacing w:line="360" w:lineRule="auto"/>
        <w:jc w:val="both"/>
        <w:rPr>
          <w:rFonts w:ascii="Arial" w:hAnsi="Arial" w:cs="Arial"/>
          <w:bCs/>
          <w:lang w:val="es-ES_tradnl" w:eastAsia="es-ES"/>
        </w:rPr>
      </w:pPr>
      <w:r w:rsidRPr="00847234">
        <w:rPr>
          <w:rFonts w:ascii="Arial" w:hAnsi="Arial" w:cs="Arial"/>
          <w:bCs/>
          <w:lang w:val="es-ES_tradnl" w:eastAsia="es-ES"/>
        </w:rPr>
        <w:t xml:space="preserve">Ahora bien, </w:t>
      </w:r>
      <w:r w:rsidR="00ED3236" w:rsidRPr="00847234">
        <w:rPr>
          <w:rFonts w:ascii="Arial" w:hAnsi="Arial" w:cs="Arial"/>
          <w:bCs/>
          <w:lang w:val="es-ES_tradnl" w:eastAsia="es-ES"/>
        </w:rPr>
        <w:t xml:space="preserve">este Pleno no había tenido la oportunidad de </w:t>
      </w:r>
      <w:r w:rsidR="00642146" w:rsidRPr="00847234">
        <w:rPr>
          <w:rFonts w:ascii="Arial" w:hAnsi="Arial" w:cs="Arial"/>
          <w:bCs/>
          <w:lang w:val="es-ES_tradnl" w:eastAsia="es-ES"/>
        </w:rPr>
        <w:t xml:space="preserve">dilucidar </w:t>
      </w:r>
      <w:r w:rsidR="00ED3236" w:rsidRPr="00847234">
        <w:rPr>
          <w:rFonts w:ascii="Arial" w:hAnsi="Arial" w:cs="Arial"/>
          <w:bCs/>
          <w:lang w:val="es-ES_tradnl" w:eastAsia="es-ES"/>
        </w:rPr>
        <w:t>si</w:t>
      </w:r>
      <w:r w:rsidR="00D70003" w:rsidRPr="00847234">
        <w:rPr>
          <w:rFonts w:ascii="Arial" w:hAnsi="Arial" w:cs="Arial"/>
          <w:bCs/>
          <w:lang w:val="es-ES_tradnl" w:eastAsia="es-ES"/>
        </w:rPr>
        <w:t xml:space="preserve"> el mercado de generación de energía eléctrica y, en consecuencia,</w:t>
      </w:r>
      <w:r w:rsidR="00ED3236" w:rsidRPr="00847234">
        <w:rPr>
          <w:rFonts w:ascii="Arial" w:hAnsi="Arial" w:cs="Arial"/>
          <w:bCs/>
          <w:lang w:val="es-ES_tradnl" w:eastAsia="es-ES"/>
        </w:rPr>
        <w:t xml:space="preserve"> las empresas productivas del estado también </w:t>
      </w:r>
      <w:r w:rsidR="00821D6B" w:rsidRPr="00847234">
        <w:rPr>
          <w:rFonts w:ascii="Arial" w:hAnsi="Arial" w:cs="Arial"/>
          <w:bCs/>
          <w:lang w:val="es-ES_tradnl" w:eastAsia="es-ES"/>
        </w:rPr>
        <w:t xml:space="preserve">quedan </w:t>
      </w:r>
      <w:r w:rsidR="00ED3236" w:rsidRPr="00847234">
        <w:rPr>
          <w:rFonts w:ascii="Arial" w:hAnsi="Arial" w:cs="Arial"/>
          <w:bCs/>
          <w:lang w:val="es-ES_tradnl" w:eastAsia="es-ES"/>
        </w:rPr>
        <w:t xml:space="preserve">exentas del control de la Comisión Federal de Competencia. </w:t>
      </w:r>
      <w:r w:rsidR="00321BC2">
        <w:rPr>
          <w:rFonts w:ascii="Arial" w:hAnsi="Arial" w:cs="Arial"/>
          <w:bCs/>
          <w:lang w:val="es-ES_tradnl" w:eastAsia="es-ES"/>
        </w:rPr>
        <w:t>E</w:t>
      </w:r>
      <w:r w:rsidR="00ED3236" w:rsidRPr="00847234">
        <w:rPr>
          <w:rFonts w:ascii="Arial" w:hAnsi="Arial" w:cs="Arial"/>
          <w:bCs/>
          <w:lang w:val="es-ES_tradnl" w:eastAsia="es-ES"/>
        </w:rPr>
        <w:t xml:space="preserve">ste </w:t>
      </w:r>
      <w:r w:rsidR="00321BC2">
        <w:rPr>
          <w:rFonts w:ascii="Arial" w:hAnsi="Arial" w:cs="Arial"/>
          <w:bCs/>
          <w:lang w:val="es-ES_tradnl" w:eastAsia="es-ES"/>
        </w:rPr>
        <w:t>asunto n</w:t>
      </w:r>
      <w:r w:rsidR="00ED3236" w:rsidRPr="00847234">
        <w:rPr>
          <w:rFonts w:ascii="Arial" w:hAnsi="Arial" w:cs="Arial"/>
          <w:bCs/>
          <w:lang w:val="es-ES_tradnl" w:eastAsia="es-ES"/>
        </w:rPr>
        <w:t>os ofrec</w:t>
      </w:r>
      <w:r w:rsidR="00AB704D" w:rsidRPr="00847234">
        <w:rPr>
          <w:rFonts w:ascii="Arial" w:hAnsi="Arial" w:cs="Arial"/>
          <w:bCs/>
          <w:lang w:val="es-ES_tradnl" w:eastAsia="es-ES"/>
        </w:rPr>
        <w:t xml:space="preserve">ía </w:t>
      </w:r>
      <w:r w:rsidR="00ED3236" w:rsidRPr="00847234">
        <w:rPr>
          <w:rFonts w:ascii="Arial" w:hAnsi="Arial" w:cs="Arial"/>
          <w:bCs/>
          <w:lang w:val="es-ES_tradnl" w:eastAsia="es-ES"/>
        </w:rPr>
        <w:t xml:space="preserve">la oportunidad </w:t>
      </w:r>
      <w:r w:rsidR="00AB704D" w:rsidRPr="00847234">
        <w:rPr>
          <w:rFonts w:ascii="Arial" w:hAnsi="Arial" w:cs="Arial"/>
          <w:bCs/>
          <w:lang w:val="es-ES_tradnl" w:eastAsia="es-ES"/>
        </w:rPr>
        <w:t xml:space="preserve">de afirmar indubitablemente </w:t>
      </w:r>
      <w:r w:rsidR="00ED3236" w:rsidRPr="00847234">
        <w:rPr>
          <w:rFonts w:ascii="Arial" w:hAnsi="Arial" w:cs="Arial"/>
          <w:bCs/>
          <w:lang w:val="es-ES_tradnl" w:eastAsia="es-ES"/>
        </w:rPr>
        <w:t>que la C</w:t>
      </w:r>
      <w:r w:rsidR="00D70003" w:rsidRPr="00847234">
        <w:rPr>
          <w:rFonts w:ascii="Arial" w:hAnsi="Arial" w:cs="Arial"/>
          <w:bCs/>
          <w:lang w:val="es-ES_tradnl" w:eastAsia="es-ES"/>
        </w:rPr>
        <w:t>omisión Federal de Electricidad</w:t>
      </w:r>
      <w:r w:rsidR="00D90C85" w:rsidRPr="00847234">
        <w:rPr>
          <w:rFonts w:ascii="Arial" w:hAnsi="Arial" w:cs="Arial"/>
          <w:bCs/>
          <w:lang w:val="es-ES_tradnl" w:eastAsia="es-ES"/>
        </w:rPr>
        <w:t xml:space="preserve"> está </w:t>
      </w:r>
      <w:r w:rsidR="0004095B" w:rsidRPr="00847234">
        <w:rPr>
          <w:rFonts w:ascii="Arial" w:hAnsi="Arial" w:cs="Arial"/>
          <w:bCs/>
          <w:lang w:val="es-ES_tradnl" w:eastAsia="es-ES"/>
        </w:rPr>
        <w:t xml:space="preserve">supeditada a las </w:t>
      </w:r>
      <w:r w:rsidR="00D90C85" w:rsidRPr="00847234">
        <w:rPr>
          <w:rFonts w:ascii="Arial" w:hAnsi="Arial" w:cs="Arial"/>
          <w:bCs/>
          <w:lang w:val="es-ES_tradnl" w:eastAsia="es-ES"/>
        </w:rPr>
        <w:t xml:space="preserve">facultades de supervisión del </w:t>
      </w:r>
      <w:r w:rsidR="00ED3236" w:rsidRPr="00847234">
        <w:rPr>
          <w:rFonts w:ascii="Arial" w:hAnsi="Arial" w:cs="Arial"/>
          <w:bCs/>
          <w:lang w:val="es-ES_tradnl" w:eastAsia="es-ES"/>
        </w:rPr>
        <w:t>órgano constitucional autónomo</w:t>
      </w:r>
      <w:r w:rsidR="00D90C85" w:rsidRPr="00847234">
        <w:rPr>
          <w:rFonts w:ascii="Arial" w:hAnsi="Arial" w:cs="Arial"/>
          <w:bCs/>
          <w:lang w:val="es-ES_tradnl" w:eastAsia="es-ES"/>
        </w:rPr>
        <w:t xml:space="preserve"> antes aludido. </w:t>
      </w:r>
    </w:p>
    <w:p w14:paraId="6124A7A7" w14:textId="37145870" w:rsidR="005E2ADC" w:rsidRPr="00847234" w:rsidRDefault="005E2ADC" w:rsidP="00ED3236">
      <w:pPr>
        <w:spacing w:line="360" w:lineRule="auto"/>
        <w:jc w:val="both"/>
        <w:rPr>
          <w:rFonts w:ascii="Arial" w:hAnsi="Arial" w:cs="Arial"/>
          <w:bCs/>
          <w:lang w:val="es-ES_tradnl" w:eastAsia="es-ES"/>
        </w:rPr>
      </w:pPr>
    </w:p>
    <w:p w14:paraId="0788594F" w14:textId="695BB638" w:rsidR="0030583A" w:rsidRPr="00847234" w:rsidRDefault="00C50796" w:rsidP="00ED3236">
      <w:pPr>
        <w:spacing w:line="360" w:lineRule="auto"/>
        <w:jc w:val="both"/>
        <w:rPr>
          <w:rFonts w:ascii="Arial" w:hAnsi="Arial" w:cs="Arial"/>
          <w:bCs/>
          <w:lang w:val="es-ES_tradnl" w:eastAsia="es-ES"/>
        </w:rPr>
      </w:pPr>
      <w:r w:rsidRPr="00847234">
        <w:rPr>
          <w:rFonts w:ascii="Arial" w:hAnsi="Arial" w:cs="Arial"/>
          <w:bCs/>
          <w:lang w:val="es-ES_tradnl" w:eastAsia="es-ES"/>
        </w:rPr>
        <w:t xml:space="preserve">Es cierto </w:t>
      </w:r>
      <w:r w:rsidR="006F3BAD" w:rsidRPr="00847234">
        <w:rPr>
          <w:rFonts w:ascii="Arial" w:hAnsi="Arial" w:cs="Arial"/>
          <w:bCs/>
          <w:lang w:val="es-ES_tradnl" w:eastAsia="es-ES"/>
        </w:rPr>
        <w:t xml:space="preserve">que habría una objeción </w:t>
      </w:r>
      <w:r w:rsidRPr="00847234">
        <w:rPr>
          <w:rFonts w:ascii="Arial" w:hAnsi="Arial" w:cs="Arial"/>
          <w:bCs/>
          <w:lang w:val="es-ES_tradnl" w:eastAsia="es-ES"/>
        </w:rPr>
        <w:t>frente a este argumento</w:t>
      </w:r>
      <w:r w:rsidR="004A2CF4" w:rsidRPr="00847234">
        <w:rPr>
          <w:rFonts w:ascii="Arial" w:hAnsi="Arial" w:cs="Arial"/>
          <w:bCs/>
          <w:lang w:val="es-ES_tradnl" w:eastAsia="es-ES"/>
        </w:rPr>
        <w:t xml:space="preserve">. </w:t>
      </w:r>
      <w:r w:rsidR="009F22C9" w:rsidRPr="00847234">
        <w:rPr>
          <w:rFonts w:ascii="Arial" w:hAnsi="Arial" w:cs="Arial"/>
          <w:bCs/>
          <w:lang w:val="es-ES_tradnl" w:eastAsia="es-ES"/>
        </w:rPr>
        <w:t>P</w:t>
      </w:r>
      <w:r w:rsidR="005E2ADC" w:rsidRPr="00847234">
        <w:rPr>
          <w:rFonts w:ascii="Arial" w:hAnsi="Arial" w:cs="Arial"/>
          <w:bCs/>
          <w:lang w:val="es-ES_tradnl" w:eastAsia="es-ES"/>
        </w:rPr>
        <w:t xml:space="preserve">uede aducirse que la </w:t>
      </w:r>
      <w:r w:rsidR="00ED3236" w:rsidRPr="00847234">
        <w:rPr>
          <w:rFonts w:ascii="Arial" w:hAnsi="Arial" w:cs="Arial"/>
          <w:bCs/>
          <w:lang w:val="es-ES_tradnl" w:eastAsia="es-ES"/>
        </w:rPr>
        <w:t xml:space="preserve">Comisión Federal de Competencia Económica no tiene facultades legales </w:t>
      </w:r>
      <w:r w:rsidR="005E2ADC" w:rsidRPr="00847234">
        <w:rPr>
          <w:rFonts w:ascii="Arial" w:hAnsi="Arial" w:cs="Arial"/>
          <w:bCs/>
          <w:lang w:val="es-ES_tradnl" w:eastAsia="es-ES"/>
        </w:rPr>
        <w:t xml:space="preserve">explícitas </w:t>
      </w:r>
      <w:r w:rsidR="00ED3236" w:rsidRPr="00847234">
        <w:rPr>
          <w:rFonts w:ascii="Arial" w:hAnsi="Arial" w:cs="Arial"/>
          <w:bCs/>
          <w:lang w:val="es-ES_tradnl" w:eastAsia="es-ES"/>
        </w:rPr>
        <w:t>para intervenir en el mercado de generación de energía y como la autoridad sólo puede hacer aquello que expresamente tiene permitido, debería descartarse esta posibilidad</w:t>
      </w:r>
      <w:r w:rsidR="00DD1999" w:rsidRPr="00847234">
        <w:rPr>
          <w:rFonts w:ascii="Arial" w:hAnsi="Arial" w:cs="Arial"/>
          <w:bCs/>
          <w:lang w:val="es-ES_tradnl" w:eastAsia="es-ES"/>
        </w:rPr>
        <w:t xml:space="preserve"> de supervisión.</w:t>
      </w:r>
      <w:r w:rsidR="00040620" w:rsidRPr="00847234">
        <w:rPr>
          <w:rFonts w:ascii="Arial" w:hAnsi="Arial" w:cs="Arial"/>
          <w:bCs/>
          <w:lang w:val="es-ES_tradnl" w:eastAsia="es-ES"/>
        </w:rPr>
        <w:t xml:space="preserve"> Es imaginable que no comparto esa objeción </w:t>
      </w:r>
      <w:r w:rsidR="00ED3236" w:rsidRPr="00847234">
        <w:rPr>
          <w:rFonts w:ascii="Arial" w:hAnsi="Arial" w:cs="Arial"/>
          <w:bCs/>
          <w:lang w:val="es-ES_tradnl" w:eastAsia="es-ES"/>
        </w:rPr>
        <w:t>por dos razones.</w:t>
      </w:r>
      <w:r w:rsidR="00676C86" w:rsidRPr="00847234">
        <w:rPr>
          <w:rFonts w:ascii="Arial" w:hAnsi="Arial" w:cs="Arial"/>
          <w:bCs/>
          <w:lang w:val="es-ES_tradnl" w:eastAsia="es-ES"/>
        </w:rPr>
        <w:t xml:space="preserve"> </w:t>
      </w:r>
    </w:p>
    <w:p w14:paraId="138FC3C3" w14:textId="77777777" w:rsidR="0030583A" w:rsidRPr="00847234" w:rsidRDefault="0030583A" w:rsidP="00ED3236">
      <w:pPr>
        <w:spacing w:line="360" w:lineRule="auto"/>
        <w:jc w:val="both"/>
        <w:rPr>
          <w:rFonts w:ascii="Arial" w:hAnsi="Arial" w:cs="Arial"/>
          <w:bCs/>
          <w:lang w:val="es-ES_tradnl" w:eastAsia="es-ES"/>
        </w:rPr>
      </w:pPr>
    </w:p>
    <w:p w14:paraId="54276D32" w14:textId="1600DC27" w:rsidR="00ED3236" w:rsidRPr="00847234" w:rsidRDefault="00ED3236" w:rsidP="00ED3236">
      <w:pPr>
        <w:spacing w:line="360" w:lineRule="auto"/>
        <w:jc w:val="both"/>
        <w:rPr>
          <w:rFonts w:ascii="Arial" w:hAnsi="Arial" w:cs="Arial"/>
          <w:bCs/>
          <w:lang w:val="es-ES_tradnl" w:eastAsia="es-ES"/>
        </w:rPr>
      </w:pPr>
      <w:r w:rsidRPr="00847234">
        <w:rPr>
          <w:rFonts w:ascii="Arial" w:hAnsi="Arial" w:cs="Arial"/>
          <w:bCs/>
          <w:lang w:val="es-ES_tradnl" w:eastAsia="es-ES"/>
        </w:rPr>
        <w:t>La primera</w:t>
      </w:r>
      <w:r w:rsidR="00676C86" w:rsidRPr="00847234">
        <w:rPr>
          <w:rFonts w:ascii="Arial" w:hAnsi="Arial" w:cs="Arial"/>
          <w:bCs/>
          <w:lang w:val="es-ES_tradnl" w:eastAsia="es-ES"/>
        </w:rPr>
        <w:t>, est</w:t>
      </w:r>
      <w:r w:rsidR="0030583A" w:rsidRPr="00847234">
        <w:rPr>
          <w:rFonts w:ascii="Arial" w:hAnsi="Arial" w:cs="Arial"/>
          <w:bCs/>
          <w:lang w:val="es-ES_tradnl" w:eastAsia="es-ES"/>
        </w:rPr>
        <w:t xml:space="preserve">e </w:t>
      </w:r>
      <w:r w:rsidR="00676C86" w:rsidRPr="00847234">
        <w:rPr>
          <w:rFonts w:ascii="Arial" w:hAnsi="Arial" w:cs="Arial"/>
          <w:bCs/>
          <w:lang w:val="es-ES_tradnl" w:eastAsia="es-ES"/>
        </w:rPr>
        <w:t xml:space="preserve">Pleno ya había rechazado </w:t>
      </w:r>
      <w:r w:rsidRPr="00847234">
        <w:rPr>
          <w:rFonts w:ascii="Arial" w:hAnsi="Arial" w:cs="Arial"/>
          <w:bCs/>
          <w:lang w:val="es-ES_tradnl" w:eastAsia="es-ES"/>
        </w:rPr>
        <w:t>esta posición</w:t>
      </w:r>
      <w:r w:rsidR="001B1A00" w:rsidRPr="00847234">
        <w:rPr>
          <w:rFonts w:ascii="Arial" w:hAnsi="Arial" w:cs="Arial"/>
          <w:bCs/>
          <w:lang w:val="es-ES_tradnl" w:eastAsia="es-ES"/>
        </w:rPr>
        <w:t>,</w:t>
      </w:r>
      <w:r w:rsidRPr="00847234">
        <w:rPr>
          <w:rFonts w:ascii="Arial" w:hAnsi="Arial" w:cs="Arial"/>
          <w:bCs/>
          <w:lang w:val="es-ES_tradnl" w:eastAsia="es-ES"/>
        </w:rPr>
        <w:t xml:space="preserve"> al resolver la controversia constitucional 117/2014</w:t>
      </w:r>
      <w:r w:rsidR="001B1A00" w:rsidRPr="00847234">
        <w:rPr>
          <w:rFonts w:ascii="Arial" w:hAnsi="Arial" w:cs="Arial"/>
          <w:bCs/>
          <w:lang w:val="es-ES_tradnl" w:eastAsia="es-ES"/>
        </w:rPr>
        <w:t xml:space="preserve">: </w:t>
      </w:r>
      <w:r w:rsidRPr="00847234">
        <w:rPr>
          <w:rFonts w:ascii="Arial" w:hAnsi="Arial" w:cs="Arial"/>
          <w:bCs/>
          <w:i/>
          <w:iCs/>
          <w:lang w:val="es-ES_tradnl" w:eastAsia="es-ES"/>
        </w:rPr>
        <w:t>“no existe razón para afirmar que ante la ausencia de una ley no sea dable constitucionalmente que el órgano constitucional autónomo emita regulación autónoma de carácter general, siempre y cuando sea exclusivamente para cumplir su función reguladora en el sector de su competencia.”</w:t>
      </w:r>
      <w:r w:rsidR="006D60AE" w:rsidRPr="00847234">
        <w:rPr>
          <w:rFonts w:ascii="Arial" w:hAnsi="Arial" w:cs="Arial"/>
          <w:bCs/>
          <w:lang w:val="es-ES_tradnl" w:eastAsia="es-ES"/>
        </w:rPr>
        <w:t xml:space="preserve"> </w:t>
      </w:r>
      <w:r w:rsidRPr="00847234">
        <w:rPr>
          <w:rFonts w:ascii="Arial" w:hAnsi="Arial" w:cs="Arial"/>
          <w:bCs/>
          <w:lang w:val="es-ES_tradnl" w:eastAsia="es-ES"/>
        </w:rPr>
        <w:t xml:space="preserve">En aquella ocasión dijimos que los órganos constitucionales autónomos, como la Comisión Federal de Competencia Económica, </w:t>
      </w:r>
      <w:r w:rsidR="006D60AE" w:rsidRPr="00847234">
        <w:rPr>
          <w:rFonts w:ascii="Arial" w:hAnsi="Arial" w:cs="Arial"/>
          <w:bCs/>
          <w:lang w:val="es-ES_tradnl" w:eastAsia="es-ES"/>
        </w:rPr>
        <w:t xml:space="preserve">cuentan con </w:t>
      </w:r>
      <w:r w:rsidR="007D741E" w:rsidRPr="00847234">
        <w:rPr>
          <w:rFonts w:ascii="Arial" w:hAnsi="Arial" w:cs="Arial"/>
          <w:bCs/>
          <w:lang w:val="es-ES_tradnl" w:eastAsia="es-ES"/>
        </w:rPr>
        <w:t>un conjunto de competencias</w:t>
      </w:r>
      <w:r w:rsidR="00CD1BBD" w:rsidRPr="00847234">
        <w:rPr>
          <w:rFonts w:ascii="Arial" w:hAnsi="Arial" w:cs="Arial"/>
          <w:bCs/>
          <w:lang w:val="es-ES_tradnl" w:eastAsia="es-ES"/>
        </w:rPr>
        <w:t xml:space="preserve"> </w:t>
      </w:r>
      <w:r w:rsidRPr="00847234">
        <w:rPr>
          <w:rFonts w:ascii="Arial" w:hAnsi="Arial" w:cs="Arial"/>
          <w:bCs/>
          <w:lang w:val="es-ES_tradnl" w:eastAsia="es-ES"/>
        </w:rPr>
        <w:t>propia</w:t>
      </w:r>
      <w:r w:rsidR="00882F35" w:rsidRPr="00847234">
        <w:rPr>
          <w:rFonts w:ascii="Arial" w:hAnsi="Arial" w:cs="Arial"/>
          <w:bCs/>
          <w:lang w:val="es-ES_tradnl" w:eastAsia="es-ES"/>
        </w:rPr>
        <w:t>s</w:t>
      </w:r>
      <w:r w:rsidRPr="00847234">
        <w:rPr>
          <w:rFonts w:ascii="Arial" w:hAnsi="Arial" w:cs="Arial"/>
          <w:bCs/>
          <w:lang w:val="es-ES_tradnl" w:eastAsia="es-ES"/>
        </w:rPr>
        <w:t xml:space="preserve"> que </w:t>
      </w:r>
      <w:r w:rsidR="00FE767B" w:rsidRPr="00847234">
        <w:rPr>
          <w:rFonts w:ascii="Arial" w:hAnsi="Arial" w:cs="Arial"/>
          <w:bCs/>
          <w:lang w:val="es-ES_tradnl" w:eastAsia="es-ES"/>
        </w:rPr>
        <w:t xml:space="preserve">usarían </w:t>
      </w:r>
      <w:r w:rsidRPr="00847234">
        <w:rPr>
          <w:rFonts w:ascii="Arial" w:hAnsi="Arial" w:cs="Arial"/>
          <w:bCs/>
          <w:lang w:val="es-ES_tradnl" w:eastAsia="es-ES"/>
        </w:rPr>
        <w:t>y opon</w:t>
      </w:r>
      <w:r w:rsidR="00FE767B" w:rsidRPr="00847234">
        <w:rPr>
          <w:rFonts w:ascii="Arial" w:hAnsi="Arial" w:cs="Arial"/>
          <w:bCs/>
          <w:lang w:val="es-ES_tradnl" w:eastAsia="es-ES"/>
        </w:rPr>
        <w:t xml:space="preserve">drían </w:t>
      </w:r>
      <w:r w:rsidRPr="00847234">
        <w:rPr>
          <w:rFonts w:ascii="Arial" w:hAnsi="Arial" w:cs="Arial"/>
          <w:bCs/>
          <w:lang w:val="es-ES_tradnl" w:eastAsia="es-ES"/>
        </w:rPr>
        <w:t xml:space="preserve">a los demás poderes, con independencia de lo que éstos hagan. Dijimos que esos órganos </w:t>
      </w:r>
      <w:r w:rsidR="00882F35" w:rsidRPr="00847234">
        <w:rPr>
          <w:rFonts w:ascii="Arial" w:hAnsi="Arial" w:cs="Arial"/>
          <w:bCs/>
          <w:lang w:val="es-ES_tradnl" w:eastAsia="es-ES"/>
        </w:rPr>
        <w:t>emanaban</w:t>
      </w:r>
      <w:r w:rsidRPr="00847234">
        <w:rPr>
          <w:rFonts w:ascii="Arial" w:hAnsi="Arial" w:cs="Arial"/>
          <w:bCs/>
          <w:lang w:val="es-ES_tradnl" w:eastAsia="es-ES"/>
        </w:rPr>
        <w:t xml:space="preserve"> de la Constitución y no del </w:t>
      </w:r>
      <w:r w:rsidR="00882F35" w:rsidRPr="00847234">
        <w:rPr>
          <w:rFonts w:ascii="Arial" w:hAnsi="Arial" w:cs="Arial"/>
          <w:bCs/>
          <w:lang w:val="es-ES_tradnl" w:eastAsia="es-ES"/>
        </w:rPr>
        <w:t>quehacer legislativ</w:t>
      </w:r>
      <w:r w:rsidR="000A43CB" w:rsidRPr="00847234">
        <w:rPr>
          <w:rFonts w:ascii="Arial" w:hAnsi="Arial" w:cs="Arial"/>
          <w:bCs/>
          <w:lang w:val="es-ES_tradnl" w:eastAsia="es-ES"/>
        </w:rPr>
        <w:t xml:space="preserve">o: </w:t>
      </w:r>
      <w:r w:rsidRPr="00847234">
        <w:rPr>
          <w:rFonts w:ascii="Arial" w:hAnsi="Arial" w:cs="Arial"/>
          <w:bCs/>
          <w:lang w:val="es-ES_tradnl" w:eastAsia="es-ES"/>
        </w:rPr>
        <w:t>la ley</w:t>
      </w:r>
      <w:r w:rsidR="000A43CB" w:rsidRPr="00847234">
        <w:rPr>
          <w:rFonts w:ascii="Arial" w:hAnsi="Arial" w:cs="Arial"/>
          <w:bCs/>
          <w:lang w:val="es-ES_tradnl" w:eastAsia="es-ES"/>
        </w:rPr>
        <w:t xml:space="preserve"> no </w:t>
      </w:r>
      <w:r w:rsidR="00371C6E" w:rsidRPr="00847234">
        <w:rPr>
          <w:rFonts w:ascii="Arial" w:hAnsi="Arial" w:cs="Arial"/>
          <w:bCs/>
          <w:lang w:val="es-ES_tradnl" w:eastAsia="es-ES"/>
        </w:rPr>
        <w:t xml:space="preserve">es la </w:t>
      </w:r>
      <w:r w:rsidRPr="00847234">
        <w:rPr>
          <w:rFonts w:ascii="Arial" w:hAnsi="Arial" w:cs="Arial"/>
          <w:bCs/>
          <w:lang w:val="es-ES_tradnl" w:eastAsia="es-ES"/>
        </w:rPr>
        <w:t>medida de su margen de actuación.</w:t>
      </w:r>
    </w:p>
    <w:p w14:paraId="3A0A8F52" w14:textId="77777777" w:rsidR="004104DC" w:rsidRPr="00847234" w:rsidRDefault="004104DC" w:rsidP="00ED3236">
      <w:pPr>
        <w:spacing w:line="360" w:lineRule="auto"/>
        <w:jc w:val="both"/>
        <w:rPr>
          <w:rFonts w:ascii="Arial" w:hAnsi="Arial" w:cs="Arial"/>
          <w:bCs/>
          <w:lang w:val="es-ES_tradnl" w:eastAsia="es-ES"/>
        </w:rPr>
      </w:pPr>
    </w:p>
    <w:p w14:paraId="5EBD4E76" w14:textId="1A79ACBF" w:rsidR="00ED3236" w:rsidRPr="00847234" w:rsidRDefault="00ED3236" w:rsidP="00ED3236">
      <w:pPr>
        <w:spacing w:line="360" w:lineRule="auto"/>
        <w:jc w:val="both"/>
        <w:rPr>
          <w:rFonts w:ascii="Arial" w:hAnsi="Arial" w:cs="Arial"/>
          <w:bCs/>
          <w:lang w:val="es-ES_tradnl" w:eastAsia="es-ES"/>
        </w:rPr>
      </w:pPr>
      <w:r w:rsidRPr="00847234">
        <w:rPr>
          <w:rFonts w:ascii="Arial" w:hAnsi="Arial" w:cs="Arial"/>
          <w:bCs/>
          <w:lang w:val="es-ES_tradnl" w:eastAsia="es-ES"/>
        </w:rPr>
        <w:lastRenderedPageBreak/>
        <w:t xml:space="preserve">En segundo lugar, </w:t>
      </w:r>
      <w:r w:rsidR="008D7802" w:rsidRPr="00847234">
        <w:rPr>
          <w:rFonts w:ascii="Arial" w:hAnsi="Arial" w:cs="Arial"/>
          <w:bCs/>
          <w:lang w:val="es-ES_tradnl" w:eastAsia="es-ES"/>
        </w:rPr>
        <w:t>n</w:t>
      </w:r>
      <w:r w:rsidR="00371C6E" w:rsidRPr="00847234">
        <w:rPr>
          <w:rFonts w:ascii="Arial" w:hAnsi="Arial" w:cs="Arial"/>
          <w:bCs/>
          <w:lang w:val="es-ES_tradnl" w:eastAsia="es-ES"/>
        </w:rPr>
        <w:t>o dedu</w:t>
      </w:r>
      <w:r w:rsidR="000A6A8B" w:rsidRPr="00847234">
        <w:rPr>
          <w:rFonts w:ascii="Arial" w:hAnsi="Arial" w:cs="Arial"/>
          <w:bCs/>
          <w:lang w:val="es-ES_tradnl" w:eastAsia="es-ES"/>
        </w:rPr>
        <w:t xml:space="preserve">zco un límite a las </w:t>
      </w:r>
      <w:r w:rsidR="008D7802" w:rsidRPr="00847234">
        <w:rPr>
          <w:rFonts w:ascii="Arial" w:hAnsi="Arial" w:cs="Arial"/>
          <w:bCs/>
          <w:lang w:val="es-ES_tradnl" w:eastAsia="es-ES"/>
        </w:rPr>
        <w:t xml:space="preserve">facultades de la Comisión Federal de </w:t>
      </w:r>
      <w:r w:rsidR="00141610" w:rsidRPr="00847234">
        <w:rPr>
          <w:rFonts w:ascii="Arial" w:hAnsi="Arial" w:cs="Arial"/>
          <w:bCs/>
          <w:lang w:val="es-ES_tradnl" w:eastAsia="es-ES"/>
        </w:rPr>
        <w:t>Competencia desde</w:t>
      </w:r>
      <w:r w:rsidR="0012691E" w:rsidRPr="00847234">
        <w:rPr>
          <w:rFonts w:ascii="Arial" w:hAnsi="Arial" w:cs="Arial"/>
          <w:bCs/>
          <w:lang w:val="es-ES_tradnl" w:eastAsia="es-ES"/>
        </w:rPr>
        <w:t xml:space="preserve"> </w:t>
      </w:r>
      <w:r w:rsidRPr="00847234">
        <w:rPr>
          <w:rFonts w:ascii="Arial" w:hAnsi="Arial" w:cs="Arial"/>
          <w:bCs/>
          <w:lang w:val="es-ES_tradnl" w:eastAsia="es-ES"/>
        </w:rPr>
        <w:t>las leyes reglamentarias</w:t>
      </w:r>
      <w:r w:rsidR="003612C8" w:rsidRPr="00847234">
        <w:rPr>
          <w:rFonts w:ascii="Arial" w:hAnsi="Arial" w:cs="Arial"/>
          <w:bCs/>
          <w:lang w:val="es-ES_tradnl" w:eastAsia="es-ES"/>
        </w:rPr>
        <w:t xml:space="preserve">. </w:t>
      </w:r>
      <w:r w:rsidRPr="00847234">
        <w:rPr>
          <w:rFonts w:ascii="Arial" w:hAnsi="Arial" w:cs="Arial"/>
          <w:bCs/>
          <w:lang w:val="es-ES_tradnl" w:eastAsia="es-ES"/>
        </w:rPr>
        <w:t xml:space="preserve"> Por el contrario, el hecho de que la generación de energía sea un ámbito abierto a los particulares </w:t>
      </w:r>
      <w:r w:rsidR="00F04020" w:rsidRPr="00847234">
        <w:rPr>
          <w:rFonts w:ascii="Arial" w:hAnsi="Arial" w:cs="Arial"/>
          <w:bCs/>
          <w:lang w:val="es-ES_tradnl" w:eastAsia="es-ES"/>
        </w:rPr>
        <w:t xml:space="preserve">me convence de que todas las facultades </w:t>
      </w:r>
      <w:r w:rsidRPr="00847234">
        <w:rPr>
          <w:rFonts w:ascii="Arial" w:hAnsi="Arial" w:cs="Arial"/>
          <w:bCs/>
          <w:lang w:val="es-ES_tradnl" w:eastAsia="es-ES"/>
        </w:rPr>
        <w:t>de ese órgano</w:t>
      </w:r>
      <w:r w:rsidR="00194CD6" w:rsidRPr="00847234">
        <w:rPr>
          <w:rFonts w:ascii="Arial" w:hAnsi="Arial" w:cs="Arial"/>
          <w:bCs/>
          <w:lang w:val="es-ES_tradnl" w:eastAsia="es-ES"/>
        </w:rPr>
        <w:t xml:space="preserve"> </w:t>
      </w:r>
      <w:r w:rsidR="00EE5C8B" w:rsidRPr="00847234">
        <w:rPr>
          <w:rFonts w:ascii="Arial" w:hAnsi="Arial" w:cs="Arial"/>
          <w:bCs/>
          <w:lang w:val="es-ES_tradnl" w:eastAsia="es-ES"/>
        </w:rPr>
        <w:t xml:space="preserve">son aplicables a </w:t>
      </w:r>
      <w:r w:rsidR="00194CD6" w:rsidRPr="00847234">
        <w:rPr>
          <w:rFonts w:ascii="Arial" w:hAnsi="Arial" w:cs="Arial"/>
          <w:bCs/>
          <w:lang w:val="es-ES_tradnl" w:eastAsia="es-ES"/>
        </w:rPr>
        <w:t>ese mercado.</w:t>
      </w:r>
      <w:r w:rsidR="00701300" w:rsidRPr="00847234">
        <w:rPr>
          <w:rFonts w:ascii="Arial" w:hAnsi="Arial" w:cs="Arial"/>
          <w:bCs/>
          <w:lang w:val="es-ES_tradnl" w:eastAsia="es-ES"/>
        </w:rPr>
        <w:t xml:space="preserve"> </w:t>
      </w:r>
      <w:r w:rsidRPr="00847234">
        <w:rPr>
          <w:rFonts w:ascii="Arial" w:hAnsi="Arial" w:cs="Arial"/>
          <w:bCs/>
          <w:lang w:val="es-ES_tradnl" w:eastAsia="es-ES"/>
        </w:rPr>
        <w:t xml:space="preserve">Al resolver la citada controversia constitucional, este Pleno </w:t>
      </w:r>
      <w:r w:rsidR="00DD745D" w:rsidRPr="00847234">
        <w:rPr>
          <w:rFonts w:ascii="Arial" w:hAnsi="Arial" w:cs="Arial"/>
          <w:bCs/>
          <w:lang w:val="es-ES_tradnl" w:eastAsia="es-ES"/>
        </w:rPr>
        <w:t xml:space="preserve">afirmó. </w:t>
      </w:r>
      <w:r w:rsidRPr="00847234">
        <w:rPr>
          <w:rFonts w:ascii="Arial" w:hAnsi="Arial" w:cs="Arial"/>
          <w:bCs/>
          <w:i/>
          <w:iCs/>
          <w:lang w:val="es-ES_tradnl" w:eastAsia="es-ES"/>
        </w:rPr>
        <w:t>“la idea básica del Estado Regulador busca preservar el principio de división de poderes y la cláusula democrática e innovar en la ingeniería constitucional para insertar en órganos autónomos competencias cuasi legislativas, cuasi jurisdiccionales y cuasi ejecutivas suficientes para regular ciertos sectores especializados de interés nacional; de ahí que a estos órganos se les otorguen funciones regulatorias diferenciadas de las legislativas, propias del Congreso de la Unión, y de las reglamentarias, concedidas al Ejecutivo”.</w:t>
      </w:r>
      <w:r w:rsidRPr="00847234">
        <w:rPr>
          <w:rFonts w:ascii="Arial" w:hAnsi="Arial" w:cs="Arial"/>
          <w:bCs/>
          <w:lang w:val="es-ES_tradnl" w:eastAsia="es-ES"/>
        </w:rPr>
        <w:t xml:space="preserve"> </w:t>
      </w:r>
    </w:p>
    <w:p w14:paraId="1F77F0EB" w14:textId="77777777" w:rsidR="00ED3236" w:rsidRPr="00847234" w:rsidRDefault="00ED3236" w:rsidP="00ED3236">
      <w:pPr>
        <w:spacing w:line="360" w:lineRule="auto"/>
        <w:jc w:val="both"/>
        <w:rPr>
          <w:rFonts w:ascii="Arial" w:hAnsi="Arial" w:cs="Arial"/>
          <w:bCs/>
          <w:lang w:val="es-ES_tradnl" w:eastAsia="es-ES"/>
        </w:rPr>
      </w:pPr>
    </w:p>
    <w:p w14:paraId="07A8368E" w14:textId="1D909B4E" w:rsidR="00ED3236" w:rsidRPr="00847234" w:rsidRDefault="00075A12" w:rsidP="008D342D">
      <w:pPr>
        <w:spacing w:line="360" w:lineRule="auto"/>
        <w:jc w:val="both"/>
        <w:rPr>
          <w:rFonts w:ascii="Arial" w:hAnsi="Arial" w:cs="Arial"/>
          <w:bCs/>
          <w:lang w:val="es-ES_tradnl" w:eastAsia="es-ES"/>
        </w:rPr>
      </w:pPr>
      <w:r w:rsidRPr="00847234">
        <w:rPr>
          <w:rFonts w:ascii="Arial" w:hAnsi="Arial" w:cs="Arial"/>
          <w:bCs/>
          <w:lang w:val="es-ES_tradnl" w:eastAsia="es-ES"/>
        </w:rPr>
        <w:t xml:space="preserve">¿Qué veo yo en el presente </w:t>
      </w:r>
      <w:r w:rsidR="00AF0C73">
        <w:rPr>
          <w:rFonts w:ascii="Arial" w:hAnsi="Arial" w:cs="Arial"/>
          <w:bCs/>
          <w:lang w:val="es-ES_tradnl" w:eastAsia="es-ES"/>
        </w:rPr>
        <w:t>asunto</w:t>
      </w:r>
      <w:r w:rsidRPr="00847234">
        <w:rPr>
          <w:rFonts w:ascii="Arial" w:hAnsi="Arial" w:cs="Arial"/>
          <w:bCs/>
          <w:lang w:val="es-ES_tradnl" w:eastAsia="es-ES"/>
        </w:rPr>
        <w:t xml:space="preserve">? </w:t>
      </w:r>
      <w:r w:rsidR="007E088C" w:rsidRPr="00847234">
        <w:rPr>
          <w:rFonts w:ascii="Arial" w:hAnsi="Arial" w:cs="Arial"/>
          <w:bCs/>
          <w:lang w:val="es-ES_tradnl" w:eastAsia="es-ES"/>
        </w:rPr>
        <w:t>L</w:t>
      </w:r>
      <w:r w:rsidR="00ED3236" w:rsidRPr="00847234">
        <w:rPr>
          <w:rFonts w:ascii="Arial" w:hAnsi="Arial" w:cs="Arial"/>
          <w:bCs/>
          <w:lang w:val="es-ES_tradnl" w:eastAsia="es-ES"/>
        </w:rPr>
        <w:t xml:space="preserve">a Comisión Federal de Competencia podría regular a la Red Eléctrica Nacional desde la perspectiva de un insumo esencial; podría </w:t>
      </w:r>
      <w:r w:rsidR="009A1E3D" w:rsidRPr="00847234">
        <w:rPr>
          <w:rFonts w:ascii="Arial" w:hAnsi="Arial" w:cs="Arial"/>
          <w:bCs/>
          <w:lang w:val="es-ES_tradnl" w:eastAsia="es-ES"/>
        </w:rPr>
        <w:t xml:space="preserve">identificar </w:t>
      </w:r>
      <w:r w:rsidR="00ED3236" w:rsidRPr="00847234">
        <w:rPr>
          <w:rFonts w:ascii="Arial" w:hAnsi="Arial" w:cs="Arial"/>
          <w:bCs/>
          <w:lang w:val="es-ES_tradnl" w:eastAsia="es-ES"/>
        </w:rPr>
        <w:t>los agentes económicos</w:t>
      </w:r>
      <w:r w:rsidR="00D70003" w:rsidRPr="00847234">
        <w:rPr>
          <w:rFonts w:ascii="Arial" w:hAnsi="Arial" w:cs="Arial"/>
          <w:bCs/>
          <w:lang w:val="es-ES_tradnl" w:eastAsia="es-ES"/>
        </w:rPr>
        <w:t xml:space="preserve"> con poder substancial</w:t>
      </w:r>
      <w:r w:rsidR="00934A69" w:rsidRPr="00847234">
        <w:rPr>
          <w:rFonts w:ascii="Arial" w:hAnsi="Arial" w:cs="Arial"/>
          <w:bCs/>
          <w:lang w:val="es-ES_tradnl" w:eastAsia="es-ES"/>
        </w:rPr>
        <w:t xml:space="preserve">, e </w:t>
      </w:r>
      <w:r w:rsidR="00ED3236" w:rsidRPr="00847234">
        <w:rPr>
          <w:rFonts w:ascii="Arial" w:hAnsi="Arial" w:cs="Arial"/>
          <w:bCs/>
          <w:lang w:val="es-ES_tradnl" w:eastAsia="es-ES"/>
        </w:rPr>
        <w:t>investigar la realización de prácticas monopólicas relativas o absolutas, sancionarlas y corregirlas.</w:t>
      </w:r>
      <w:r w:rsidR="00934A69" w:rsidRPr="00847234">
        <w:rPr>
          <w:rFonts w:ascii="Arial" w:hAnsi="Arial" w:cs="Arial"/>
          <w:bCs/>
          <w:lang w:val="es-ES_tradnl" w:eastAsia="es-ES"/>
        </w:rPr>
        <w:t xml:space="preserve"> </w:t>
      </w:r>
      <w:r w:rsidR="00ED3236" w:rsidRPr="00847234">
        <w:rPr>
          <w:rFonts w:ascii="Arial" w:hAnsi="Arial" w:cs="Arial"/>
          <w:bCs/>
          <w:lang w:val="es-ES_tradnl" w:eastAsia="es-ES"/>
        </w:rPr>
        <w:t xml:space="preserve">Por estas razones, </w:t>
      </w:r>
      <w:r w:rsidR="00D70003" w:rsidRPr="00847234">
        <w:rPr>
          <w:rFonts w:ascii="Arial" w:hAnsi="Arial" w:cs="Arial"/>
          <w:bCs/>
          <w:lang w:val="es-ES_tradnl" w:eastAsia="es-ES"/>
        </w:rPr>
        <w:t>me separo de las consideraciones de</w:t>
      </w:r>
      <w:r w:rsidR="00F03A81" w:rsidRPr="00847234">
        <w:rPr>
          <w:rFonts w:ascii="Arial" w:hAnsi="Arial" w:cs="Arial"/>
          <w:bCs/>
          <w:lang w:val="es-ES_tradnl" w:eastAsia="es-ES"/>
        </w:rPr>
        <w:t xml:space="preserve"> la ejecutoria</w:t>
      </w:r>
      <w:r w:rsidR="00D70003" w:rsidRPr="00847234">
        <w:rPr>
          <w:rFonts w:ascii="Arial" w:hAnsi="Arial" w:cs="Arial"/>
          <w:bCs/>
          <w:lang w:val="es-ES_tradnl" w:eastAsia="es-ES"/>
        </w:rPr>
        <w:t xml:space="preserve"> en esta parte</w:t>
      </w:r>
      <w:r w:rsidR="00D24206" w:rsidRPr="00847234">
        <w:rPr>
          <w:rFonts w:ascii="Arial" w:hAnsi="Arial" w:cs="Arial"/>
          <w:bCs/>
          <w:lang w:val="es-ES_tradnl" w:eastAsia="es-ES"/>
        </w:rPr>
        <w:t>. Estoy convencido que m</w:t>
      </w:r>
      <w:r w:rsidR="00996239" w:rsidRPr="00847234">
        <w:rPr>
          <w:rFonts w:ascii="Arial" w:hAnsi="Arial" w:cs="Arial"/>
          <w:bCs/>
          <w:lang w:val="es-ES_tradnl" w:eastAsia="es-ES"/>
        </w:rPr>
        <w:t xml:space="preserve">is argumentos y entendimientos </w:t>
      </w:r>
      <w:r w:rsidR="00D70003" w:rsidRPr="00847234">
        <w:rPr>
          <w:rFonts w:ascii="Arial" w:hAnsi="Arial" w:cs="Arial"/>
          <w:bCs/>
          <w:lang w:val="es-ES_tradnl" w:eastAsia="es-ES"/>
        </w:rPr>
        <w:t xml:space="preserve">debieron incorporarse </w:t>
      </w:r>
      <w:r w:rsidR="00996239" w:rsidRPr="00847234">
        <w:rPr>
          <w:rFonts w:ascii="Arial" w:hAnsi="Arial" w:cs="Arial"/>
          <w:bCs/>
          <w:lang w:val="es-ES_tradnl" w:eastAsia="es-ES"/>
        </w:rPr>
        <w:t xml:space="preserve">a </w:t>
      </w:r>
      <w:r w:rsidR="00D70003" w:rsidRPr="00847234">
        <w:rPr>
          <w:rFonts w:ascii="Arial" w:hAnsi="Arial" w:cs="Arial"/>
          <w:bCs/>
          <w:lang w:val="es-ES_tradnl" w:eastAsia="es-ES"/>
        </w:rPr>
        <w:t>la sentencia</w:t>
      </w:r>
      <w:r w:rsidR="00D24206" w:rsidRPr="00847234">
        <w:rPr>
          <w:rFonts w:ascii="Arial" w:hAnsi="Arial" w:cs="Arial"/>
          <w:bCs/>
          <w:lang w:val="es-ES_tradnl" w:eastAsia="es-ES"/>
        </w:rPr>
        <w:t xml:space="preserve">. No tengo duda acerca de que era necesario que </w:t>
      </w:r>
      <w:r w:rsidR="00D70003" w:rsidRPr="00847234">
        <w:rPr>
          <w:rFonts w:ascii="Arial" w:hAnsi="Arial" w:cs="Arial"/>
          <w:bCs/>
          <w:lang w:val="es-ES_tradnl" w:eastAsia="es-ES"/>
        </w:rPr>
        <w:t>este Pleno imp</w:t>
      </w:r>
      <w:r w:rsidR="00D24206" w:rsidRPr="00847234">
        <w:rPr>
          <w:rFonts w:ascii="Arial" w:hAnsi="Arial" w:cs="Arial"/>
          <w:bCs/>
          <w:lang w:val="es-ES_tradnl" w:eastAsia="es-ES"/>
        </w:rPr>
        <w:t xml:space="preserve">usiera </w:t>
      </w:r>
      <w:r w:rsidR="00D70003" w:rsidRPr="00847234">
        <w:rPr>
          <w:rFonts w:ascii="Arial" w:hAnsi="Arial" w:cs="Arial"/>
          <w:bCs/>
          <w:lang w:val="es-ES_tradnl" w:eastAsia="es-ES"/>
        </w:rPr>
        <w:t xml:space="preserve">una interpretación conforme de todas las normas impugnadas </w:t>
      </w:r>
      <w:r w:rsidR="000700F3" w:rsidRPr="00847234">
        <w:rPr>
          <w:rFonts w:ascii="Arial" w:hAnsi="Arial" w:cs="Arial"/>
          <w:bCs/>
          <w:lang w:val="es-ES_tradnl" w:eastAsia="es-ES"/>
        </w:rPr>
        <w:t>a la luz del</w:t>
      </w:r>
      <w:r w:rsidR="0013209E" w:rsidRPr="00847234">
        <w:rPr>
          <w:rFonts w:ascii="Arial" w:hAnsi="Arial" w:cs="Arial"/>
          <w:bCs/>
          <w:lang w:val="es-ES_tradnl" w:eastAsia="es-ES"/>
        </w:rPr>
        <w:t xml:space="preserve"> paradigma de E</w:t>
      </w:r>
      <w:r w:rsidR="000700F3" w:rsidRPr="00847234">
        <w:rPr>
          <w:rFonts w:ascii="Arial" w:hAnsi="Arial" w:cs="Arial"/>
          <w:bCs/>
          <w:lang w:val="es-ES_tradnl" w:eastAsia="es-ES"/>
        </w:rPr>
        <w:t xml:space="preserve">stado </w:t>
      </w:r>
      <w:r w:rsidR="0013209E" w:rsidRPr="00847234">
        <w:rPr>
          <w:rFonts w:ascii="Arial" w:hAnsi="Arial" w:cs="Arial"/>
          <w:bCs/>
          <w:lang w:val="es-ES_tradnl" w:eastAsia="es-ES"/>
        </w:rPr>
        <w:t>R</w:t>
      </w:r>
      <w:r w:rsidR="000700F3" w:rsidRPr="00847234">
        <w:rPr>
          <w:rFonts w:ascii="Arial" w:hAnsi="Arial" w:cs="Arial"/>
          <w:bCs/>
          <w:lang w:val="es-ES_tradnl" w:eastAsia="es-ES"/>
        </w:rPr>
        <w:t>egulador.</w:t>
      </w:r>
    </w:p>
    <w:p w14:paraId="2256449E" w14:textId="6293165F" w:rsidR="004814DC" w:rsidRPr="00847234" w:rsidRDefault="004814DC" w:rsidP="008D342D">
      <w:pPr>
        <w:spacing w:line="360" w:lineRule="auto"/>
        <w:jc w:val="both"/>
        <w:rPr>
          <w:rFonts w:ascii="Arial" w:hAnsi="Arial" w:cs="Arial"/>
          <w:bCs/>
          <w:lang w:val="es-ES_tradnl"/>
        </w:rPr>
      </w:pPr>
    </w:p>
    <w:p w14:paraId="3FCE2476" w14:textId="63540F2E" w:rsidR="004814DC" w:rsidRPr="00A9402C" w:rsidRDefault="004814DC" w:rsidP="00BA1CDF">
      <w:pPr>
        <w:spacing w:line="360" w:lineRule="auto"/>
        <w:jc w:val="center"/>
        <w:rPr>
          <w:rFonts w:ascii="Arial" w:hAnsi="Arial" w:cs="Arial"/>
          <w:b/>
        </w:rPr>
      </w:pPr>
      <w:r w:rsidRPr="00A9402C">
        <w:rPr>
          <w:rFonts w:ascii="Arial" w:hAnsi="Arial" w:cs="Arial"/>
          <w:b/>
        </w:rPr>
        <w:t>Apartado F. Tema relacionado con las tarifas para los usuarios finales del servicio de energía eléctrica.</w:t>
      </w:r>
    </w:p>
    <w:p w14:paraId="2AD73154" w14:textId="77777777" w:rsidR="000700F3" w:rsidRPr="00847234" w:rsidRDefault="000700F3" w:rsidP="00BA1CDF">
      <w:pPr>
        <w:spacing w:line="360" w:lineRule="auto"/>
        <w:jc w:val="center"/>
        <w:rPr>
          <w:rFonts w:ascii="Arial" w:hAnsi="Arial" w:cs="Arial"/>
          <w:bCs/>
        </w:rPr>
      </w:pPr>
    </w:p>
    <w:p w14:paraId="2C778283" w14:textId="4FD57180" w:rsidR="008D342D" w:rsidRPr="00847234" w:rsidRDefault="008D342D" w:rsidP="008D342D">
      <w:pPr>
        <w:spacing w:line="360" w:lineRule="auto"/>
        <w:jc w:val="both"/>
        <w:rPr>
          <w:rFonts w:ascii="Arial" w:hAnsi="Arial" w:cs="Arial"/>
          <w:bCs/>
          <w:lang w:val="es-ES"/>
        </w:rPr>
      </w:pPr>
      <w:r w:rsidRPr="00847234">
        <w:rPr>
          <w:rFonts w:ascii="Arial" w:hAnsi="Arial" w:cs="Arial"/>
          <w:bCs/>
          <w:lang w:val="es-ES"/>
        </w:rPr>
        <w:t xml:space="preserve">En este punto se analiza la integridad de las normas impugnadas </w:t>
      </w:r>
      <w:r w:rsidR="00F03A81" w:rsidRPr="00847234">
        <w:rPr>
          <w:rFonts w:ascii="Arial" w:hAnsi="Arial" w:cs="Arial"/>
          <w:bCs/>
          <w:lang w:val="es-ES"/>
        </w:rPr>
        <w:t xml:space="preserve">para contestar </w:t>
      </w:r>
      <w:r w:rsidRPr="00847234">
        <w:rPr>
          <w:rFonts w:ascii="Arial" w:hAnsi="Arial" w:cs="Arial"/>
          <w:bCs/>
          <w:lang w:val="es-ES"/>
        </w:rPr>
        <w:t>el reclamo de los promoventes en el sentido de que con dichas normas es posible que las tarifas sean más altas para los consumidores</w:t>
      </w:r>
      <w:r w:rsidR="00F03A81" w:rsidRPr="00847234">
        <w:rPr>
          <w:rFonts w:ascii="Arial" w:hAnsi="Arial" w:cs="Arial"/>
          <w:bCs/>
          <w:lang w:val="es-ES"/>
        </w:rPr>
        <w:t>, lo cual sería inconstitucional desde su perspectiva</w:t>
      </w:r>
      <w:r w:rsidRPr="00847234">
        <w:rPr>
          <w:rFonts w:ascii="Arial" w:hAnsi="Arial" w:cs="Arial"/>
          <w:bCs/>
          <w:lang w:val="es-ES"/>
        </w:rPr>
        <w:t>.</w:t>
      </w:r>
    </w:p>
    <w:p w14:paraId="22D8D919" w14:textId="740D69B9" w:rsidR="001B4032" w:rsidRPr="00847234" w:rsidRDefault="001B4032" w:rsidP="008D342D">
      <w:pPr>
        <w:spacing w:line="360" w:lineRule="auto"/>
        <w:jc w:val="both"/>
        <w:rPr>
          <w:rFonts w:ascii="Arial" w:hAnsi="Arial" w:cs="Arial"/>
          <w:bCs/>
          <w:lang w:val="es-ES"/>
        </w:rPr>
      </w:pPr>
    </w:p>
    <w:p w14:paraId="0444060A" w14:textId="581EA78E" w:rsidR="00D22398" w:rsidRPr="00847234" w:rsidRDefault="00D7354D" w:rsidP="008D342D">
      <w:pPr>
        <w:spacing w:line="360" w:lineRule="auto"/>
        <w:jc w:val="both"/>
        <w:rPr>
          <w:rFonts w:ascii="Arial" w:hAnsi="Arial" w:cs="Arial"/>
          <w:bCs/>
          <w:lang w:val="es-ES"/>
        </w:rPr>
      </w:pPr>
      <w:r w:rsidRPr="00847234">
        <w:rPr>
          <w:rFonts w:ascii="Arial" w:hAnsi="Arial" w:cs="Arial"/>
          <w:bCs/>
          <w:lang w:val="es-ES"/>
        </w:rPr>
        <w:t>En este apartado, recordemos – como punto de partida</w:t>
      </w:r>
      <w:r w:rsidR="00FE59B7" w:rsidRPr="00847234">
        <w:rPr>
          <w:rFonts w:ascii="Arial" w:hAnsi="Arial" w:cs="Arial"/>
          <w:bCs/>
          <w:lang w:val="es-ES"/>
        </w:rPr>
        <w:t>-</w:t>
      </w:r>
      <w:r w:rsidRPr="00847234">
        <w:rPr>
          <w:rFonts w:ascii="Arial" w:hAnsi="Arial" w:cs="Arial"/>
          <w:bCs/>
          <w:lang w:val="es-ES"/>
        </w:rPr>
        <w:t xml:space="preserve"> que me pronuncié por la </w:t>
      </w:r>
      <w:r w:rsidR="001B4032" w:rsidRPr="00847234">
        <w:rPr>
          <w:rFonts w:ascii="Arial" w:hAnsi="Arial" w:cs="Arial"/>
          <w:bCs/>
        </w:rPr>
        <w:t>por la invalidez de</w:t>
      </w:r>
      <w:r w:rsidR="001B4032" w:rsidRPr="00847234">
        <w:rPr>
          <w:rFonts w:ascii="Arial" w:hAnsi="Arial" w:cs="Arial"/>
          <w:bCs/>
          <w:lang w:val="es-ES"/>
        </w:rPr>
        <w:t xml:space="preserve"> los artículos 4, fracción VI, 26, y 126, fracción II</w:t>
      </w:r>
      <w:r w:rsidR="00A46BC4" w:rsidRPr="00847234">
        <w:rPr>
          <w:rFonts w:ascii="Arial" w:hAnsi="Arial" w:cs="Arial"/>
          <w:bCs/>
          <w:lang w:val="es-ES"/>
        </w:rPr>
        <w:t>,</w:t>
      </w:r>
      <w:r w:rsidR="001B4032" w:rsidRPr="00847234">
        <w:rPr>
          <w:rFonts w:ascii="Arial" w:hAnsi="Arial" w:cs="Arial"/>
          <w:bCs/>
          <w:lang w:val="es-ES"/>
        </w:rPr>
        <w:t xml:space="preserve"> de la Ley de Industria Eléctrica</w:t>
      </w:r>
      <w:r w:rsidR="00A46BC4" w:rsidRPr="00847234">
        <w:rPr>
          <w:rFonts w:ascii="Arial" w:hAnsi="Arial" w:cs="Arial"/>
          <w:bCs/>
          <w:lang w:val="es-ES"/>
        </w:rPr>
        <w:t xml:space="preserve">; la razón: </w:t>
      </w:r>
      <w:r w:rsidR="001B4032" w:rsidRPr="00847234">
        <w:rPr>
          <w:rFonts w:ascii="Arial" w:hAnsi="Arial" w:cs="Arial"/>
          <w:bCs/>
          <w:lang w:val="es-ES"/>
        </w:rPr>
        <w:t xml:space="preserve"> vulneración al derecho humano al medio ambiente</w:t>
      </w:r>
      <w:r w:rsidR="00C05FAC" w:rsidRPr="00847234">
        <w:rPr>
          <w:rFonts w:ascii="Arial" w:hAnsi="Arial" w:cs="Arial"/>
          <w:bCs/>
          <w:lang w:val="es-ES"/>
        </w:rPr>
        <w:t xml:space="preserve">. </w:t>
      </w:r>
      <w:r w:rsidR="00167251" w:rsidRPr="00847234">
        <w:rPr>
          <w:rFonts w:ascii="Arial" w:hAnsi="Arial" w:cs="Arial"/>
          <w:bCs/>
          <w:lang w:val="es-ES"/>
        </w:rPr>
        <w:t xml:space="preserve">Ahora bien, este punto exigía al Pleno </w:t>
      </w:r>
      <w:r w:rsidR="00C13F69" w:rsidRPr="00847234">
        <w:rPr>
          <w:rFonts w:ascii="Arial" w:hAnsi="Arial" w:cs="Arial"/>
          <w:bCs/>
          <w:lang w:val="es-ES"/>
        </w:rPr>
        <w:t>de</w:t>
      </w:r>
      <w:r w:rsidR="00680856" w:rsidRPr="00847234">
        <w:rPr>
          <w:rFonts w:ascii="Arial" w:hAnsi="Arial" w:cs="Arial"/>
          <w:bCs/>
          <w:lang w:val="es-ES"/>
        </w:rPr>
        <w:t>tectar la invalidez de las normas con un par</w:t>
      </w:r>
      <w:r w:rsidR="00713BCE" w:rsidRPr="00847234">
        <w:rPr>
          <w:rFonts w:ascii="Arial" w:hAnsi="Arial" w:cs="Arial"/>
          <w:bCs/>
          <w:lang w:val="es-ES"/>
        </w:rPr>
        <w:t xml:space="preserve">ámetro de control distinto. </w:t>
      </w:r>
      <w:r w:rsidR="00744909" w:rsidRPr="00847234">
        <w:rPr>
          <w:rFonts w:ascii="Arial" w:hAnsi="Arial" w:cs="Arial"/>
          <w:bCs/>
          <w:lang w:val="es-ES"/>
        </w:rPr>
        <w:t xml:space="preserve">En mi opinión, </w:t>
      </w:r>
      <w:r w:rsidR="00CA426D" w:rsidRPr="00847234">
        <w:rPr>
          <w:rFonts w:ascii="Arial" w:hAnsi="Arial" w:cs="Arial"/>
          <w:bCs/>
          <w:lang w:val="es-ES"/>
        </w:rPr>
        <w:t xml:space="preserve">la invalidez de las normas no se produce </w:t>
      </w:r>
      <w:r w:rsidR="00B96C03" w:rsidRPr="00847234">
        <w:rPr>
          <w:rFonts w:ascii="Arial" w:hAnsi="Arial" w:cs="Arial"/>
          <w:bCs/>
          <w:lang w:val="es-ES"/>
        </w:rPr>
        <w:t xml:space="preserve">por incompatibilidad con el parámetro utilizado por la sentencia. El </w:t>
      </w:r>
      <w:r w:rsidR="00B96C03" w:rsidRPr="00847234">
        <w:rPr>
          <w:rFonts w:ascii="Arial" w:hAnsi="Arial" w:cs="Arial"/>
          <w:bCs/>
          <w:lang w:val="es-ES"/>
        </w:rPr>
        <w:lastRenderedPageBreak/>
        <w:t xml:space="preserve">argumento de la actora es, entonces, infundado. </w:t>
      </w:r>
      <w:r w:rsidR="00D22398" w:rsidRPr="00847234">
        <w:rPr>
          <w:rFonts w:ascii="Arial" w:hAnsi="Arial" w:cs="Arial"/>
          <w:bCs/>
          <w:lang w:val="es-ES"/>
        </w:rPr>
        <w:t xml:space="preserve"> Dado que las razones para la invalidez son otras, debo separarme de todas las consideraciones de la ejecutoria. </w:t>
      </w:r>
      <w:r w:rsidR="00D66D34" w:rsidRPr="00847234">
        <w:rPr>
          <w:rFonts w:ascii="Arial" w:hAnsi="Arial" w:cs="Arial"/>
          <w:bCs/>
          <w:lang w:val="es-ES"/>
        </w:rPr>
        <w:t xml:space="preserve"> </w:t>
      </w:r>
    </w:p>
    <w:p w14:paraId="475B7429" w14:textId="77777777" w:rsidR="00D66D34" w:rsidRPr="00847234" w:rsidRDefault="00D66D34" w:rsidP="008D342D">
      <w:pPr>
        <w:spacing w:line="360" w:lineRule="auto"/>
        <w:jc w:val="both"/>
        <w:rPr>
          <w:rFonts w:ascii="Arial" w:hAnsi="Arial" w:cs="Arial"/>
          <w:bCs/>
          <w:lang w:val="es-ES"/>
        </w:rPr>
      </w:pPr>
    </w:p>
    <w:p w14:paraId="2384AE03" w14:textId="17991A71" w:rsidR="008D342D" w:rsidRPr="00847234" w:rsidRDefault="00D66D34" w:rsidP="008D342D">
      <w:pPr>
        <w:spacing w:line="360" w:lineRule="auto"/>
        <w:jc w:val="both"/>
        <w:rPr>
          <w:rFonts w:ascii="Arial" w:hAnsi="Arial" w:cs="Arial"/>
          <w:bCs/>
          <w:lang w:val="es-ES"/>
        </w:rPr>
      </w:pPr>
      <w:r w:rsidRPr="00847234">
        <w:rPr>
          <w:rFonts w:ascii="Arial" w:hAnsi="Arial" w:cs="Arial"/>
          <w:bCs/>
          <w:lang w:val="es-ES"/>
        </w:rPr>
        <w:t xml:space="preserve">Creo que en este apartado la pregunta </w:t>
      </w:r>
      <w:r w:rsidR="00D500A5" w:rsidRPr="00847234">
        <w:rPr>
          <w:rFonts w:ascii="Arial" w:hAnsi="Arial" w:cs="Arial"/>
          <w:bCs/>
          <w:lang w:val="es-ES"/>
        </w:rPr>
        <w:t xml:space="preserve">debió ser: </w:t>
      </w:r>
      <w:r w:rsidR="00371F57" w:rsidRPr="00847234">
        <w:rPr>
          <w:rFonts w:ascii="Arial" w:hAnsi="Arial" w:cs="Arial"/>
          <w:bCs/>
          <w:lang w:val="es-ES"/>
        </w:rPr>
        <w:t xml:space="preserve">¿La posibilidad de incremento de las tarifas viola algún derecho humano de los consumidores? Puesta así la </w:t>
      </w:r>
      <w:proofErr w:type="gramStart"/>
      <w:r w:rsidR="00371F57" w:rsidRPr="00847234">
        <w:rPr>
          <w:rFonts w:ascii="Arial" w:hAnsi="Arial" w:cs="Arial"/>
          <w:bCs/>
          <w:lang w:val="es-ES"/>
        </w:rPr>
        <w:t>pregunta</w:t>
      </w:r>
      <w:r w:rsidR="00D86E76">
        <w:rPr>
          <w:rFonts w:ascii="Arial" w:hAnsi="Arial" w:cs="Arial"/>
          <w:bCs/>
          <w:lang w:val="es-ES"/>
        </w:rPr>
        <w:t xml:space="preserve"> </w:t>
      </w:r>
      <w:r w:rsidR="00371F57" w:rsidRPr="00847234">
        <w:rPr>
          <w:rFonts w:ascii="Arial" w:hAnsi="Arial" w:cs="Arial"/>
          <w:bCs/>
          <w:lang w:val="es-ES"/>
        </w:rPr>
        <w:t xml:space="preserve"> </w:t>
      </w:r>
      <w:r w:rsidR="008D342D" w:rsidRPr="00847234">
        <w:rPr>
          <w:rFonts w:ascii="Arial" w:hAnsi="Arial" w:cs="Arial"/>
          <w:bCs/>
          <w:lang w:val="es-ES"/>
        </w:rPr>
        <w:t>no</w:t>
      </w:r>
      <w:proofErr w:type="gramEnd"/>
      <w:r w:rsidR="008D342D" w:rsidRPr="00847234">
        <w:rPr>
          <w:rFonts w:ascii="Arial" w:hAnsi="Arial" w:cs="Arial"/>
          <w:bCs/>
          <w:lang w:val="es-ES"/>
        </w:rPr>
        <w:t xml:space="preserve"> existe la violación constitucional </w:t>
      </w:r>
      <w:r w:rsidR="00364E30" w:rsidRPr="00847234">
        <w:rPr>
          <w:rFonts w:ascii="Arial" w:hAnsi="Arial" w:cs="Arial"/>
          <w:bCs/>
          <w:lang w:val="es-ES"/>
        </w:rPr>
        <w:t xml:space="preserve">en los términos argumentados por la ejecutoria </w:t>
      </w:r>
      <w:r w:rsidR="008D342D" w:rsidRPr="00847234">
        <w:rPr>
          <w:rFonts w:ascii="Arial" w:hAnsi="Arial" w:cs="Arial"/>
          <w:bCs/>
          <w:lang w:val="es-ES"/>
        </w:rPr>
        <w:t>por dos razones: 1) el acceso a la electricidad no es un derecho humano autónomo</w:t>
      </w:r>
      <w:r w:rsidR="008065D1" w:rsidRPr="00847234">
        <w:rPr>
          <w:rFonts w:ascii="Arial" w:hAnsi="Arial" w:cs="Arial"/>
          <w:bCs/>
          <w:lang w:val="es-ES"/>
        </w:rPr>
        <w:t>,</w:t>
      </w:r>
      <w:r w:rsidR="008D342D" w:rsidRPr="00847234">
        <w:rPr>
          <w:rFonts w:ascii="Arial" w:hAnsi="Arial" w:cs="Arial"/>
          <w:bCs/>
          <w:lang w:val="es-ES"/>
        </w:rPr>
        <w:t xml:space="preserve"> y 2) la regulación de las tarifas es un ámbito reservado a los órganos políticos, respecto del cual no existe un parámetro de control en abstracto.</w:t>
      </w:r>
    </w:p>
    <w:p w14:paraId="2D05A6B3" w14:textId="77777777" w:rsidR="003D4446" w:rsidRPr="00847234" w:rsidRDefault="003D4446" w:rsidP="008D342D">
      <w:pPr>
        <w:spacing w:line="360" w:lineRule="auto"/>
        <w:jc w:val="both"/>
        <w:rPr>
          <w:rFonts w:ascii="Arial" w:hAnsi="Arial" w:cs="Arial"/>
          <w:bCs/>
          <w:lang w:val="es-ES"/>
        </w:rPr>
      </w:pPr>
    </w:p>
    <w:p w14:paraId="27371D23" w14:textId="62D55408" w:rsidR="00FC6CA3" w:rsidRPr="00847234" w:rsidRDefault="00367DBA" w:rsidP="008D342D">
      <w:pPr>
        <w:spacing w:line="360" w:lineRule="auto"/>
        <w:jc w:val="both"/>
        <w:rPr>
          <w:rFonts w:ascii="Arial" w:hAnsi="Arial" w:cs="Arial"/>
          <w:bCs/>
          <w:lang w:val="es-ES"/>
        </w:rPr>
      </w:pPr>
      <w:r w:rsidRPr="00847234">
        <w:rPr>
          <w:rFonts w:ascii="Arial" w:hAnsi="Arial" w:cs="Arial"/>
          <w:bCs/>
          <w:lang w:val="es-ES"/>
        </w:rPr>
        <w:t xml:space="preserve">Como lo expresé en apartados precedentes, el método mediante el cual se arriba a una cierta conclusión y al hallazgo de cierta invalidez es crucial y es, sin duda, la aportación principal de la decisión de un tribunal constitucional: argumentos y razones forman doctrina constitucional; doctrina constitucional proporciona certidumbre jurídica. </w:t>
      </w:r>
    </w:p>
    <w:p w14:paraId="52558A9F" w14:textId="36B3E315" w:rsidR="004814DC" w:rsidRPr="00847234" w:rsidRDefault="004814DC" w:rsidP="00BA1CDF">
      <w:pPr>
        <w:spacing w:line="360" w:lineRule="auto"/>
        <w:jc w:val="center"/>
        <w:rPr>
          <w:rFonts w:ascii="Arial" w:hAnsi="Arial" w:cs="Arial"/>
          <w:bCs/>
        </w:rPr>
      </w:pPr>
    </w:p>
    <w:p w14:paraId="2E1B76FE" w14:textId="383BBD17" w:rsidR="004814DC" w:rsidRPr="00A9402C" w:rsidRDefault="004814DC" w:rsidP="00BA1CDF">
      <w:pPr>
        <w:spacing w:line="360" w:lineRule="auto"/>
        <w:jc w:val="center"/>
        <w:rPr>
          <w:rFonts w:ascii="Arial" w:hAnsi="Arial" w:cs="Arial"/>
          <w:b/>
        </w:rPr>
      </w:pPr>
      <w:r w:rsidRPr="00A9402C">
        <w:rPr>
          <w:rFonts w:ascii="Arial" w:hAnsi="Arial" w:cs="Arial"/>
          <w:b/>
        </w:rPr>
        <w:t>Voto particular respecto a la declaratoria de validez de los artículos cuarto y quinto transitorios del Decreto que contiene las reformas y adiciones a la Ley de la Industria Eléctrica (apartado D)</w:t>
      </w:r>
    </w:p>
    <w:p w14:paraId="7EF8CB62" w14:textId="77777777" w:rsidR="00310A48" w:rsidRPr="00A9402C" w:rsidRDefault="00310A48" w:rsidP="008D342D">
      <w:pPr>
        <w:spacing w:line="360" w:lineRule="auto"/>
        <w:jc w:val="both"/>
        <w:rPr>
          <w:rFonts w:ascii="Arial" w:hAnsi="Arial" w:cs="Arial"/>
          <w:b/>
        </w:rPr>
      </w:pPr>
    </w:p>
    <w:p w14:paraId="3E6703E0" w14:textId="67E01279" w:rsidR="004104DC" w:rsidRPr="00847234" w:rsidRDefault="00310A48" w:rsidP="008D342D">
      <w:pPr>
        <w:spacing w:line="360" w:lineRule="auto"/>
        <w:jc w:val="both"/>
        <w:rPr>
          <w:rFonts w:ascii="Arial" w:hAnsi="Arial" w:cs="Arial"/>
          <w:bCs/>
        </w:rPr>
      </w:pPr>
      <w:r w:rsidRPr="00847234">
        <w:rPr>
          <w:rFonts w:ascii="Arial" w:hAnsi="Arial" w:cs="Arial"/>
          <w:bCs/>
        </w:rPr>
        <w:t>En este apartado, mi voto</w:t>
      </w:r>
      <w:r w:rsidR="00367DBA" w:rsidRPr="00847234">
        <w:rPr>
          <w:rFonts w:ascii="Arial" w:hAnsi="Arial" w:cs="Arial"/>
          <w:bCs/>
        </w:rPr>
        <w:t xml:space="preserve"> se distanció en definitiva de la mayoría cuando reconoce la validez de los dos artículos transitorios que acompañaron a la reforma. </w:t>
      </w:r>
      <w:r w:rsidR="007E4289">
        <w:rPr>
          <w:rFonts w:ascii="Arial" w:hAnsi="Arial" w:cs="Arial"/>
          <w:bCs/>
        </w:rPr>
        <w:t>Lo</w:t>
      </w:r>
      <w:r w:rsidR="008D342D" w:rsidRPr="00847234">
        <w:rPr>
          <w:rFonts w:ascii="Arial" w:hAnsi="Arial" w:cs="Arial"/>
          <w:bCs/>
        </w:rPr>
        <w:t xml:space="preserve">s artículos cuarto y quinto transitorios de la Ley de la Industria Eléctrica </w:t>
      </w:r>
      <w:r w:rsidR="000D5648" w:rsidRPr="00847234">
        <w:rPr>
          <w:rFonts w:ascii="Arial" w:hAnsi="Arial" w:cs="Arial"/>
          <w:bCs/>
        </w:rPr>
        <w:t xml:space="preserve">desoyen </w:t>
      </w:r>
      <w:r w:rsidR="008D342D" w:rsidRPr="00847234">
        <w:rPr>
          <w:rFonts w:ascii="Arial" w:hAnsi="Arial" w:cs="Arial"/>
          <w:bCs/>
        </w:rPr>
        <w:t>los principios de no retroactividad y seguridad jurídica.</w:t>
      </w:r>
      <w:r w:rsidR="00760B30" w:rsidRPr="00847234">
        <w:rPr>
          <w:rFonts w:ascii="Arial" w:hAnsi="Arial" w:cs="Arial"/>
          <w:bCs/>
        </w:rPr>
        <w:t xml:space="preserve"> </w:t>
      </w:r>
    </w:p>
    <w:p w14:paraId="26AD3802" w14:textId="77777777" w:rsidR="004104DC" w:rsidRPr="00847234" w:rsidRDefault="004104DC" w:rsidP="008D342D">
      <w:pPr>
        <w:spacing w:line="360" w:lineRule="auto"/>
        <w:jc w:val="both"/>
        <w:rPr>
          <w:rFonts w:ascii="Arial" w:hAnsi="Arial" w:cs="Arial"/>
          <w:bCs/>
        </w:rPr>
      </w:pPr>
    </w:p>
    <w:p w14:paraId="41138475" w14:textId="110C79E6" w:rsidR="008D342D" w:rsidRPr="00847234" w:rsidRDefault="000D5648" w:rsidP="008D342D">
      <w:pPr>
        <w:spacing w:line="360" w:lineRule="auto"/>
        <w:jc w:val="both"/>
        <w:rPr>
          <w:rFonts w:ascii="Arial" w:hAnsi="Arial" w:cs="Arial"/>
          <w:bCs/>
        </w:rPr>
      </w:pPr>
      <w:r w:rsidRPr="00847234">
        <w:rPr>
          <w:rFonts w:ascii="Arial" w:hAnsi="Arial" w:cs="Arial"/>
          <w:bCs/>
        </w:rPr>
        <w:t>E</w:t>
      </w:r>
      <w:r w:rsidR="008D342D" w:rsidRPr="00847234">
        <w:rPr>
          <w:rFonts w:ascii="Arial" w:hAnsi="Arial" w:cs="Arial"/>
          <w:bCs/>
        </w:rPr>
        <w:t xml:space="preserve">l cuarto transitorio </w:t>
      </w:r>
      <w:r w:rsidR="00760B30" w:rsidRPr="00847234">
        <w:rPr>
          <w:rFonts w:ascii="Arial" w:hAnsi="Arial" w:cs="Arial"/>
          <w:bCs/>
        </w:rPr>
        <w:t xml:space="preserve">dispone </w:t>
      </w:r>
      <w:r w:rsidR="008D342D" w:rsidRPr="00847234">
        <w:rPr>
          <w:rFonts w:ascii="Arial" w:hAnsi="Arial" w:cs="Arial"/>
          <w:bCs/>
        </w:rPr>
        <w:t>que los permisos de autoabastecimiento otorgados o tramitados a partir de la Ley del Servicio de Energía Eléctrica, que continúen surtiendo sus efectos jurídicos, obtenidos en fraude a la ley, serán revocados por la Comisión Reguladora de Energía.</w:t>
      </w:r>
      <w:r w:rsidR="00AE6902" w:rsidRPr="00847234">
        <w:rPr>
          <w:rFonts w:ascii="Arial" w:hAnsi="Arial" w:cs="Arial"/>
          <w:bCs/>
        </w:rPr>
        <w:t xml:space="preserve"> </w:t>
      </w:r>
      <w:r w:rsidR="008D342D" w:rsidRPr="00847234">
        <w:rPr>
          <w:rFonts w:ascii="Arial" w:hAnsi="Arial" w:cs="Arial"/>
          <w:bCs/>
        </w:rPr>
        <w:t>Mientras el quinto transitorio</w:t>
      </w:r>
      <w:r w:rsidR="00E52CF8" w:rsidRPr="00847234">
        <w:rPr>
          <w:rFonts w:ascii="Arial" w:hAnsi="Arial" w:cs="Arial"/>
          <w:bCs/>
        </w:rPr>
        <w:t xml:space="preserve"> señala </w:t>
      </w:r>
      <w:r w:rsidR="008D342D" w:rsidRPr="00847234">
        <w:rPr>
          <w:rFonts w:ascii="Arial" w:hAnsi="Arial" w:cs="Arial"/>
          <w:bCs/>
        </w:rPr>
        <w:t>que los contratos de compromiso de capacidad de generación de energía eléctrica y compraventa de energía eléctrica</w:t>
      </w:r>
      <w:r w:rsidR="007F2249" w:rsidRPr="00847234">
        <w:rPr>
          <w:rFonts w:ascii="Arial" w:hAnsi="Arial" w:cs="Arial"/>
          <w:bCs/>
        </w:rPr>
        <w:t>,</w:t>
      </w:r>
      <w:r w:rsidR="008D342D" w:rsidRPr="00847234">
        <w:rPr>
          <w:rFonts w:ascii="Arial" w:hAnsi="Arial" w:cs="Arial"/>
          <w:bCs/>
        </w:rPr>
        <w:t xml:space="preserve"> suscritos a partir de la Ley del Servicio Público de Energía Eléctrica, </w:t>
      </w:r>
      <w:r w:rsidR="000712AB" w:rsidRPr="00847234">
        <w:rPr>
          <w:rFonts w:ascii="Arial" w:hAnsi="Arial" w:cs="Arial"/>
          <w:bCs/>
        </w:rPr>
        <w:t xml:space="preserve">serán revisados para verificar </w:t>
      </w:r>
      <w:r w:rsidR="008D342D" w:rsidRPr="00847234">
        <w:rPr>
          <w:rFonts w:ascii="Arial" w:hAnsi="Arial" w:cs="Arial"/>
          <w:bCs/>
        </w:rPr>
        <w:t>su legalidad y el cumplimiento del requisito de rentabilidad para el Gobierno Federal conforme a la ley</w:t>
      </w:r>
      <w:r w:rsidR="007F2249" w:rsidRPr="00847234">
        <w:rPr>
          <w:rFonts w:ascii="Arial" w:hAnsi="Arial" w:cs="Arial"/>
          <w:bCs/>
        </w:rPr>
        <w:t>. Dichos contratos ser</w:t>
      </w:r>
      <w:r w:rsidR="000C0B4E" w:rsidRPr="00847234">
        <w:rPr>
          <w:rFonts w:ascii="Arial" w:hAnsi="Arial" w:cs="Arial"/>
          <w:bCs/>
        </w:rPr>
        <w:t>án</w:t>
      </w:r>
      <w:r w:rsidR="007F2249" w:rsidRPr="00847234">
        <w:rPr>
          <w:rFonts w:ascii="Arial" w:hAnsi="Arial" w:cs="Arial"/>
          <w:bCs/>
        </w:rPr>
        <w:t xml:space="preserve">, en su caso, </w:t>
      </w:r>
      <w:r w:rsidR="008D342D" w:rsidRPr="00847234">
        <w:rPr>
          <w:rFonts w:ascii="Arial" w:hAnsi="Arial" w:cs="Arial"/>
          <w:bCs/>
        </w:rPr>
        <w:t xml:space="preserve">renegociados o terminados </w:t>
      </w:r>
      <w:r w:rsidR="00DA6694" w:rsidRPr="00847234">
        <w:rPr>
          <w:rFonts w:ascii="Arial" w:hAnsi="Arial" w:cs="Arial"/>
          <w:bCs/>
        </w:rPr>
        <w:t>anticipadamente</w:t>
      </w:r>
      <w:r w:rsidR="007F2249" w:rsidRPr="00847234">
        <w:rPr>
          <w:rFonts w:ascii="Arial" w:hAnsi="Arial" w:cs="Arial"/>
          <w:bCs/>
        </w:rPr>
        <w:t xml:space="preserve">. </w:t>
      </w:r>
    </w:p>
    <w:p w14:paraId="24CD5F7C" w14:textId="77777777" w:rsidR="008D342D" w:rsidRPr="00847234" w:rsidRDefault="008D342D" w:rsidP="008D342D">
      <w:pPr>
        <w:spacing w:line="360" w:lineRule="auto"/>
        <w:jc w:val="both"/>
        <w:rPr>
          <w:rFonts w:ascii="Arial" w:hAnsi="Arial" w:cs="Arial"/>
          <w:bCs/>
        </w:rPr>
      </w:pPr>
    </w:p>
    <w:p w14:paraId="568AE421" w14:textId="575D11D9" w:rsidR="008D342D" w:rsidRPr="00847234" w:rsidRDefault="007F007F" w:rsidP="008D342D">
      <w:pPr>
        <w:spacing w:line="360" w:lineRule="auto"/>
        <w:jc w:val="both"/>
        <w:rPr>
          <w:rFonts w:ascii="Arial" w:hAnsi="Arial" w:cs="Arial"/>
          <w:bCs/>
        </w:rPr>
      </w:pPr>
      <w:r w:rsidRPr="00847234">
        <w:rPr>
          <w:rFonts w:ascii="Arial" w:hAnsi="Arial" w:cs="Arial"/>
          <w:bCs/>
        </w:rPr>
        <w:t>Evidentemente, el tema constitucional a d</w:t>
      </w:r>
      <w:r w:rsidR="000C0B4E" w:rsidRPr="00847234">
        <w:rPr>
          <w:rFonts w:ascii="Arial" w:hAnsi="Arial" w:cs="Arial"/>
          <w:bCs/>
        </w:rPr>
        <w:t xml:space="preserve">esentrañar </w:t>
      </w:r>
      <w:r w:rsidR="008D342D" w:rsidRPr="00847234">
        <w:rPr>
          <w:rFonts w:ascii="Arial" w:hAnsi="Arial" w:cs="Arial"/>
          <w:bCs/>
        </w:rPr>
        <w:t xml:space="preserve">no es si el legislador puede reglamentar causales de nulidad o de revocación de contratos administrativos. Si </w:t>
      </w:r>
      <w:r w:rsidR="008D342D" w:rsidRPr="00847234">
        <w:rPr>
          <w:rFonts w:ascii="Arial" w:hAnsi="Arial" w:cs="Arial"/>
          <w:bCs/>
        </w:rPr>
        <w:lastRenderedPageBreak/>
        <w:t>esta fuera la pregunta</w:t>
      </w:r>
      <w:r w:rsidR="00C6518A" w:rsidRPr="00847234">
        <w:rPr>
          <w:rFonts w:ascii="Arial" w:hAnsi="Arial" w:cs="Arial"/>
          <w:bCs/>
        </w:rPr>
        <w:t>,</w:t>
      </w:r>
      <w:r w:rsidR="008D342D" w:rsidRPr="00847234">
        <w:rPr>
          <w:rFonts w:ascii="Arial" w:hAnsi="Arial" w:cs="Arial"/>
          <w:bCs/>
        </w:rPr>
        <w:t xml:space="preserve"> mi respuesta sería positiva en términos lisos y llano</w:t>
      </w:r>
      <w:r w:rsidR="00DA6694" w:rsidRPr="00847234">
        <w:rPr>
          <w:rFonts w:ascii="Arial" w:hAnsi="Arial" w:cs="Arial"/>
          <w:bCs/>
        </w:rPr>
        <w:t>s</w:t>
      </w:r>
      <w:r w:rsidR="008D342D" w:rsidRPr="00847234">
        <w:rPr>
          <w:rFonts w:ascii="Arial" w:hAnsi="Arial" w:cs="Arial"/>
          <w:bCs/>
        </w:rPr>
        <w:t>.</w:t>
      </w:r>
      <w:r w:rsidR="00C6518A" w:rsidRPr="00847234">
        <w:rPr>
          <w:rFonts w:ascii="Arial" w:hAnsi="Arial" w:cs="Arial"/>
          <w:bCs/>
        </w:rPr>
        <w:t xml:space="preserve"> La interrogante es otra: ¿Es constitucional </w:t>
      </w:r>
      <w:r w:rsidR="008D342D" w:rsidRPr="00847234">
        <w:rPr>
          <w:rFonts w:ascii="Arial" w:hAnsi="Arial" w:cs="Arial"/>
          <w:bCs/>
        </w:rPr>
        <w:t>que, existiendo ya un sistema reglado de nulidad, revocación y revisión de contratos públicos, el legislador establezca un sistema paralelo para que las autoridades revisen discrecionalmente y sin parámetro reglado alguno contratos administrativos</w:t>
      </w:r>
      <w:r w:rsidR="000A3515" w:rsidRPr="00847234">
        <w:rPr>
          <w:rFonts w:ascii="Arial" w:hAnsi="Arial" w:cs="Arial"/>
          <w:bCs/>
        </w:rPr>
        <w:t>,</w:t>
      </w:r>
      <w:r w:rsidR="008D342D" w:rsidRPr="00847234">
        <w:rPr>
          <w:rFonts w:ascii="Arial" w:hAnsi="Arial" w:cs="Arial"/>
          <w:bCs/>
        </w:rPr>
        <w:t xml:space="preserve"> y, en su caso</w:t>
      </w:r>
      <w:r w:rsidR="000A3515" w:rsidRPr="00847234">
        <w:rPr>
          <w:rFonts w:ascii="Arial" w:hAnsi="Arial" w:cs="Arial"/>
          <w:bCs/>
        </w:rPr>
        <w:t>,</w:t>
      </w:r>
      <w:r w:rsidR="008D342D" w:rsidRPr="00847234">
        <w:rPr>
          <w:rFonts w:ascii="Arial" w:hAnsi="Arial" w:cs="Arial"/>
          <w:bCs/>
        </w:rPr>
        <w:t xml:space="preserve"> los anule</w:t>
      </w:r>
      <w:r w:rsidR="00E41650" w:rsidRPr="00847234">
        <w:rPr>
          <w:rFonts w:ascii="Arial" w:hAnsi="Arial" w:cs="Arial"/>
          <w:bCs/>
        </w:rPr>
        <w:t>n</w:t>
      </w:r>
      <w:r w:rsidR="008D342D" w:rsidRPr="00847234">
        <w:rPr>
          <w:rFonts w:ascii="Arial" w:hAnsi="Arial" w:cs="Arial"/>
          <w:bCs/>
        </w:rPr>
        <w:t xml:space="preserve"> o revoque</w:t>
      </w:r>
      <w:r w:rsidR="00E41650" w:rsidRPr="00847234">
        <w:rPr>
          <w:rFonts w:ascii="Arial" w:hAnsi="Arial" w:cs="Arial"/>
          <w:bCs/>
        </w:rPr>
        <w:t>n</w:t>
      </w:r>
      <w:r w:rsidR="008D342D" w:rsidRPr="00847234">
        <w:rPr>
          <w:rFonts w:ascii="Arial" w:hAnsi="Arial" w:cs="Arial"/>
          <w:bCs/>
        </w:rPr>
        <w:t xml:space="preserve"> mediante la utilización de un concepto vago y ambiguo como es “fraude a la ley” o bien, por un mero concepto de “rentabilidad”?</w:t>
      </w:r>
    </w:p>
    <w:p w14:paraId="295EB76E" w14:textId="77777777" w:rsidR="008D342D" w:rsidRPr="00847234" w:rsidRDefault="008D342D" w:rsidP="008D342D">
      <w:pPr>
        <w:spacing w:line="360" w:lineRule="auto"/>
        <w:jc w:val="both"/>
        <w:rPr>
          <w:rFonts w:ascii="Arial" w:hAnsi="Arial" w:cs="Arial"/>
          <w:bCs/>
        </w:rPr>
      </w:pPr>
    </w:p>
    <w:p w14:paraId="2C4F7C93" w14:textId="69103F92" w:rsidR="008D342D" w:rsidRPr="00847234" w:rsidRDefault="00DA5465" w:rsidP="008D342D">
      <w:pPr>
        <w:spacing w:line="360" w:lineRule="auto"/>
        <w:jc w:val="both"/>
        <w:rPr>
          <w:rFonts w:ascii="Arial" w:hAnsi="Arial" w:cs="Arial"/>
          <w:bCs/>
        </w:rPr>
      </w:pPr>
      <w:r w:rsidRPr="00847234">
        <w:rPr>
          <w:rFonts w:ascii="Arial" w:hAnsi="Arial" w:cs="Arial"/>
          <w:bCs/>
        </w:rPr>
        <w:t>D</w:t>
      </w:r>
      <w:r w:rsidR="00491432" w:rsidRPr="00847234">
        <w:rPr>
          <w:rFonts w:ascii="Arial" w:hAnsi="Arial" w:cs="Arial"/>
          <w:bCs/>
        </w:rPr>
        <w:t xml:space="preserve">ebe rechazarse la constitucionalidad </w:t>
      </w:r>
      <w:r w:rsidR="008D342D" w:rsidRPr="00847234">
        <w:rPr>
          <w:rFonts w:ascii="Arial" w:hAnsi="Arial" w:cs="Arial"/>
          <w:bCs/>
        </w:rPr>
        <w:t>de este mecanismo</w:t>
      </w:r>
      <w:r w:rsidR="00F637A5" w:rsidRPr="00847234">
        <w:rPr>
          <w:rFonts w:ascii="Arial" w:hAnsi="Arial" w:cs="Arial"/>
          <w:bCs/>
        </w:rPr>
        <w:t xml:space="preserve">. </w:t>
      </w:r>
      <w:r w:rsidR="003103E8" w:rsidRPr="00847234">
        <w:rPr>
          <w:rFonts w:ascii="Arial" w:hAnsi="Arial" w:cs="Arial"/>
          <w:bCs/>
        </w:rPr>
        <w:t>L</w:t>
      </w:r>
      <w:r w:rsidR="00561C13" w:rsidRPr="00847234">
        <w:rPr>
          <w:rFonts w:ascii="Arial" w:hAnsi="Arial" w:cs="Arial"/>
          <w:bCs/>
        </w:rPr>
        <w:t xml:space="preserve">as normas impugnadas introducen una facultad discrecional </w:t>
      </w:r>
      <w:r w:rsidR="00FB12A2" w:rsidRPr="00847234">
        <w:rPr>
          <w:rFonts w:ascii="Arial" w:hAnsi="Arial" w:cs="Arial"/>
          <w:bCs/>
        </w:rPr>
        <w:t>en favor</w:t>
      </w:r>
      <w:r w:rsidR="00561C13" w:rsidRPr="00847234">
        <w:rPr>
          <w:rFonts w:ascii="Arial" w:hAnsi="Arial" w:cs="Arial"/>
          <w:bCs/>
        </w:rPr>
        <w:t xml:space="preserve"> de la autoridad para afectar retroactivamente contratos celebrados con arreglo a leyes abrogadas</w:t>
      </w:r>
      <w:r w:rsidR="00FB12A2" w:rsidRPr="00847234">
        <w:rPr>
          <w:rFonts w:ascii="Arial" w:hAnsi="Arial" w:cs="Arial"/>
          <w:bCs/>
        </w:rPr>
        <w:t xml:space="preserve">. Esta decisión </w:t>
      </w:r>
      <w:r w:rsidR="00BD4C89" w:rsidRPr="00847234">
        <w:rPr>
          <w:rFonts w:ascii="Arial" w:hAnsi="Arial" w:cs="Arial"/>
          <w:bCs/>
        </w:rPr>
        <w:t xml:space="preserve">ignora </w:t>
      </w:r>
      <w:r w:rsidR="00FB12A2" w:rsidRPr="00847234">
        <w:rPr>
          <w:rFonts w:ascii="Arial" w:hAnsi="Arial" w:cs="Arial"/>
          <w:bCs/>
        </w:rPr>
        <w:t xml:space="preserve">el </w:t>
      </w:r>
      <w:r w:rsidR="008D342D" w:rsidRPr="00847234">
        <w:rPr>
          <w:rFonts w:ascii="Arial" w:hAnsi="Arial" w:cs="Arial"/>
          <w:bCs/>
        </w:rPr>
        <w:t xml:space="preserve">sistema reglado de nulidades de los contratos administrativos </w:t>
      </w:r>
      <w:r w:rsidR="00BD4C89" w:rsidRPr="00847234">
        <w:rPr>
          <w:rFonts w:ascii="Arial" w:hAnsi="Arial" w:cs="Arial"/>
          <w:bCs/>
        </w:rPr>
        <w:t xml:space="preserve">ya existente. </w:t>
      </w:r>
      <w:r w:rsidR="0028038B" w:rsidRPr="00847234">
        <w:rPr>
          <w:rFonts w:ascii="Arial" w:hAnsi="Arial" w:cs="Arial"/>
          <w:bCs/>
        </w:rPr>
        <w:t>L</w:t>
      </w:r>
      <w:r w:rsidR="008D342D" w:rsidRPr="00847234">
        <w:rPr>
          <w:rFonts w:ascii="Arial" w:hAnsi="Arial" w:cs="Arial"/>
          <w:bCs/>
        </w:rPr>
        <w:t>a pregunta constitucional no es si los contratos administrativos ser</w:t>
      </w:r>
      <w:r w:rsidR="00357C8E" w:rsidRPr="00847234">
        <w:rPr>
          <w:rFonts w:ascii="Arial" w:hAnsi="Arial" w:cs="Arial"/>
          <w:bCs/>
        </w:rPr>
        <w:t>án</w:t>
      </w:r>
      <w:r w:rsidR="008D342D" w:rsidRPr="00847234">
        <w:rPr>
          <w:rFonts w:ascii="Arial" w:hAnsi="Arial" w:cs="Arial"/>
          <w:bCs/>
        </w:rPr>
        <w:t xml:space="preserve"> revisados, anulados, revocados o </w:t>
      </w:r>
      <w:r w:rsidR="00222C5B" w:rsidRPr="00847234">
        <w:rPr>
          <w:rFonts w:ascii="Arial" w:hAnsi="Arial" w:cs="Arial"/>
          <w:bCs/>
        </w:rPr>
        <w:t>rescindidos; esta</w:t>
      </w:r>
      <w:r w:rsidR="008D342D" w:rsidRPr="00847234">
        <w:rPr>
          <w:rFonts w:ascii="Arial" w:hAnsi="Arial" w:cs="Arial"/>
          <w:bCs/>
        </w:rPr>
        <w:t xml:space="preserve"> respuesta ha sido explorada con suficiencia por esta Suprema Corte. </w:t>
      </w:r>
      <w:r w:rsidR="004348B6" w:rsidRPr="00847234">
        <w:rPr>
          <w:rFonts w:ascii="Arial" w:hAnsi="Arial" w:cs="Arial"/>
          <w:bCs/>
        </w:rPr>
        <w:t xml:space="preserve">De hecho, </w:t>
      </w:r>
      <w:r w:rsidR="008D342D" w:rsidRPr="00847234">
        <w:rPr>
          <w:rFonts w:ascii="Arial" w:hAnsi="Arial" w:cs="Arial"/>
          <w:bCs/>
        </w:rPr>
        <w:t xml:space="preserve">existe un derecho administrativo altamente detallado </w:t>
      </w:r>
      <w:r w:rsidR="001C1458">
        <w:rPr>
          <w:rFonts w:ascii="Arial" w:hAnsi="Arial" w:cs="Arial"/>
          <w:bCs/>
        </w:rPr>
        <w:t xml:space="preserve">acerca de </w:t>
      </w:r>
      <w:r w:rsidR="00222C5B" w:rsidRPr="00847234">
        <w:rPr>
          <w:rFonts w:ascii="Arial" w:hAnsi="Arial" w:cs="Arial"/>
          <w:bCs/>
        </w:rPr>
        <w:t>esa cuestión</w:t>
      </w:r>
      <w:r w:rsidR="004348B6" w:rsidRPr="00847234">
        <w:rPr>
          <w:rFonts w:ascii="Arial" w:hAnsi="Arial" w:cs="Arial"/>
          <w:bCs/>
        </w:rPr>
        <w:t>. Así</w:t>
      </w:r>
      <w:r w:rsidR="00B00191" w:rsidRPr="00847234">
        <w:rPr>
          <w:rFonts w:ascii="Arial" w:hAnsi="Arial" w:cs="Arial"/>
          <w:bCs/>
        </w:rPr>
        <w:t>,</w:t>
      </w:r>
      <w:r w:rsidR="004348B6" w:rsidRPr="00847234">
        <w:rPr>
          <w:rFonts w:ascii="Arial" w:hAnsi="Arial" w:cs="Arial"/>
          <w:bCs/>
        </w:rPr>
        <w:t xml:space="preserve"> no </w:t>
      </w:r>
      <w:r w:rsidR="008D342D" w:rsidRPr="00847234">
        <w:rPr>
          <w:rFonts w:ascii="Arial" w:hAnsi="Arial" w:cs="Arial"/>
          <w:bCs/>
        </w:rPr>
        <w:t>prejuzgo sobre el alcance de su aplicación a</w:t>
      </w:r>
      <w:r w:rsidR="00391A3F" w:rsidRPr="00847234">
        <w:rPr>
          <w:rFonts w:ascii="Arial" w:hAnsi="Arial" w:cs="Arial"/>
          <w:bCs/>
        </w:rPr>
        <w:t xml:space="preserve"> los</w:t>
      </w:r>
      <w:r w:rsidR="008D342D" w:rsidRPr="00847234">
        <w:rPr>
          <w:rFonts w:ascii="Arial" w:hAnsi="Arial" w:cs="Arial"/>
          <w:bCs/>
        </w:rPr>
        <w:t xml:space="preserve"> caso</w:t>
      </w:r>
      <w:r w:rsidR="00391A3F" w:rsidRPr="00847234">
        <w:rPr>
          <w:rFonts w:ascii="Arial" w:hAnsi="Arial" w:cs="Arial"/>
          <w:bCs/>
        </w:rPr>
        <w:t>s</w:t>
      </w:r>
      <w:r w:rsidR="008D342D" w:rsidRPr="00847234">
        <w:rPr>
          <w:rFonts w:ascii="Arial" w:hAnsi="Arial" w:cs="Arial"/>
          <w:bCs/>
        </w:rPr>
        <w:t xml:space="preserve"> concreto</w:t>
      </w:r>
      <w:r w:rsidR="00391A3F" w:rsidRPr="00847234">
        <w:rPr>
          <w:rFonts w:ascii="Arial" w:hAnsi="Arial" w:cs="Arial"/>
          <w:bCs/>
        </w:rPr>
        <w:t xml:space="preserve">s </w:t>
      </w:r>
      <w:r w:rsidR="004348B6" w:rsidRPr="00847234">
        <w:rPr>
          <w:rFonts w:ascii="Arial" w:hAnsi="Arial" w:cs="Arial"/>
          <w:bCs/>
        </w:rPr>
        <w:t>que se suscitasen.</w:t>
      </w:r>
      <w:r w:rsidR="00222C5B" w:rsidRPr="00847234">
        <w:rPr>
          <w:rFonts w:ascii="Arial" w:hAnsi="Arial" w:cs="Arial"/>
          <w:bCs/>
        </w:rPr>
        <w:t xml:space="preserve"> </w:t>
      </w:r>
      <w:r w:rsidR="002B3231" w:rsidRPr="00847234">
        <w:rPr>
          <w:rFonts w:ascii="Arial" w:hAnsi="Arial" w:cs="Arial"/>
          <w:bCs/>
        </w:rPr>
        <w:t xml:space="preserve">Los preceptos impugnados </w:t>
      </w:r>
      <w:r w:rsidR="003D39A8" w:rsidRPr="00847234">
        <w:rPr>
          <w:rFonts w:ascii="Arial" w:hAnsi="Arial" w:cs="Arial"/>
          <w:bCs/>
        </w:rPr>
        <w:t>son inconstit</w:t>
      </w:r>
      <w:r w:rsidR="00380C18" w:rsidRPr="00847234">
        <w:rPr>
          <w:rFonts w:ascii="Arial" w:hAnsi="Arial" w:cs="Arial"/>
          <w:bCs/>
        </w:rPr>
        <w:t xml:space="preserve">ucionales por </w:t>
      </w:r>
      <w:r w:rsidR="006142E6" w:rsidRPr="00847234">
        <w:rPr>
          <w:rFonts w:ascii="Arial" w:hAnsi="Arial" w:cs="Arial"/>
          <w:bCs/>
        </w:rPr>
        <w:t xml:space="preserve">el </w:t>
      </w:r>
      <w:r w:rsidR="00380C18" w:rsidRPr="00847234">
        <w:rPr>
          <w:rFonts w:ascii="Arial" w:hAnsi="Arial" w:cs="Arial"/>
          <w:bCs/>
        </w:rPr>
        <w:t xml:space="preserve">simple </w:t>
      </w:r>
      <w:r w:rsidR="006142E6" w:rsidRPr="00847234">
        <w:rPr>
          <w:rFonts w:ascii="Arial" w:hAnsi="Arial" w:cs="Arial"/>
          <w:bCs/>
        </w:rPr>
        <w:t xml:space="preserve">hallazgo de </w:t>
      </w:r>
      <w:r w:rsidR="00E02031" w:rsidRPr="00847234">
        <w:rPr>
          <w:rFonts w:ascii="Arial" w:hAnsi="Arial" w:cs="Arial"/>
          <w:bCs/>
        </w:rPr>
        <w:t xml:space="preserve">que el legislador introdujo una </w:t>
      </w:r>
      <w:r w:rsidR="008D342D" w:rsidRPr="00847234">
        <w:rPr>
          <w:rFonts w:ascii="Arial" w:hAnsi="Arial" w:cs="Arial"/>
          <w:bCs/>
        </w:rPr>
        <w:t>facultad discrecional sin utilizar causales regladas</w:t>
      </w:r>
      <w:r w:rsidR="0042437B" w:rsidRPr="00847234">
        <w:rPr>
          <w:rFonts w:ascii="Arial" w:hAnsi="Arial" w:cs="Arial"/>
          <w:bCs/>
        </w:rPr>
        <w:t xml:space="preserve"> y sin proponer </w:t>
      </w:r>
      <w:r w:rsidR="008D342D" w:rsidRPr="00847234">
        <w:rPr>
          <w:rFonts w:ascii="Arial" w:hAnsi="Arial" w:cs="Arial"/>
          <w:bCs/>
        </w:rPr>
        <w:t>un procedimiento específico, con indiferencia al cuerpo de normas destinadas a reglamentar esta misma cuestión</w:t>
      </w:r>
      <w:r w:rsidR="005B4D2A" w:rsidRPr="00847234">
        <w:rPr>
          <w:rFonts w:ascii="Arial" w:hAnsi="Arial" w:cs="Arial"/>
          <w:bCs/>
        </w:rPr>
        <w:t xml:space="preserve">. </w:t>
      </w:r>
    </w:p>
    <w:p w14:paraId="7CAAF42C" w14:textId="77777777" w:rsidR="00BA1CDF" w:rsidRPr="00847234" w:rsidRDefault="00BA1CDF" w:rsidP="008D342D">
      <w:pPr>
        <w:spacing w:line="360" w:lineRule="auto"/>
        <w:jc w:val="both"/>
        <w:rPr>
          <w:rFonts w:ascii="Arial" w:hAnsi="Arial" w:cs="Arial"/>
          <w:bCs/>
        </w:rPr>
      </w:pPr>
    </w:p>
    <w:p w14:paraId="799F930C" w14:textId="3154D688" w:rsidR="00C167B8" w:rsidRPr="00A9402C" w:rsidRDefault="00C167B8" w:rsidP="004F430C">
      <w:pPr>
        <w:spacing w:line="360" w:lineRule="auto"/>
        <w:jc w:val="center"/>
        <w:rPr>
          <w:rFonts w:ascii="Arial" w:hAnsi="Arial" w:cs="Arial"/>
          <w:b/>
        </w:rPr>
      </w:pPr>
      <w:r w:rsidRPr="00A9402C">
        <w:rPr>
          <w:rFonts w:ascii="Arial" w:hAnsi="Arial" w:cs="Arial"/>
          <w:b/>
        </w:rPr>
        <w:t>Conclusi</w:t>
      </w:r>
      <w:r w:rsidR="00C17F80" w:rsidRPr="00A9402C">
        <w:rPr>
          <w:rFonts w:ascii="Arial" w:hAnsi="Arial" w:cs="Arial"/>
          <w:b/>
        </w:rPr>
        <w:t>ón</w:t>
      </w:r>
    </w:p>
    <w:p w14:paraId="1A4939A6" w14:textId="77777777" w:rsidR="0036697A" w:rsidRPr="00847234" w:rsidRDefault="0036697A" w:rsidP="008D342D">
      <w:pPr>
        <w:spacing w:line="360" w:lineRule="auto"/>
        <w:jc w:val="both"/>
        <w:rPr>
          <w:rFonts w:ascii="Arial" w:hAnsi="Arial" w:cs="Arial"/>
          <w:bCs/>
          <w:highlight w:val="yellow"/>
        </w:rPr>
      </w:pPr>
    </w:p>
    <w:p w14:paraId="6571FA22" w14:textId="0D392AD6" w:rsidR="00C56F9C" w:rsidRPr="00AB63DA" w:rsidRDefault="002B2F6B" w:rsidP="008D342D">
      <w:pPr>
        <w:spacing w:line="360" w:lineRule="auto"/>
        <w:jc w:val="both"/>
        <w:rPr>
          <w:rFonts w:ascii="Arial" w:hAnsi="Arial" w:cs="Arial"/>
          <w:bCs/>
        </w:rPr>
      </w:pPr>
      <w:r w:rsidRPr="00AB63DA">
        <w:rPr>
          <w:rFonts w:ascii="Arial" w:hAnsi="Arial" w:cs="Arial"/>
          <w:bCs/>
        </w:rPr>
        <w:t>D</w:t>
      </w:r>
      <w:r w:rsidR="00A156DF" w:rsidRPr="00AB63DA">
        <w:rPr>
          <w:rFonts w:ascii="Arial" w:hAnsi="Arial" w:cs="Arial"/>
          <w:bCs/>
        </w:rPr>
        <w:t>ecidir el rumbo económico del país</w:t>
      </w:r>
      <w:r w:rsidRPr="00AB63DA">
        <w:rPr>
          <w:rFonts w:ascii="Arial" w:hAnsi="Arial" w:cs="Arial"/>
          <w:bCs/>
        </w:rPr>
        <w:t xml:space="preserve"> es una decisión de política pública</w:t>
      </w:r>
      <w:r w:rsidR="00520557" w:rsidRPr="00AB63DA">
        <w:rPr>
          <w:rFonts w:ascii="Arial" w:hAnsi="Arial" w:cs="Arial"/>
          <w:bCs/>
        </w:rPr>
        <w:t>, que incluye el a</w:t>
      </w:r>
      <w:r w:rsidR="00AB63DA" w:rsidRPr="00AB63DA">
        <w:rPr>
          <w:rFonts w:ascii="Arial" w:hAnsi="Arial" w:cs="Arial"/>
          <w:bCs/>
        </w:rPr>
        <w:t>comodo de</w:t>
      </w:r>
      <w:r w:rsidR="00520557" w:rsidRPr="00AB63DA">
        <w:rPr>
          <w:rFonts w:ascii="Arial" w:hAnsi="Arial" w:cs="Arial"/>
          <w:bCs/>
        </w:rPr>
        <w:t xml:space="preserve"> fines de política pública qué sólo pueden equilibrarse </w:t>
      </w:r>
      <w:r w:rsidR="00335BF8" w:rsidRPr="00AB63DA">
        <w:rPr>
          <w:rFonts w:ascii="Arial" w:hAnsi="Arial" w:cs="Arial"/>
          <w:bCs/>
        </w:rPr>
        <w:t xml:space="preserve">con </w:t>
      </w:r>
      <w:r w:rsidR="00520557" w:rsidRPr="00AB63DA">
        <w:rPr>
          <w:rFonts w:ascii="Arial" w:hAnsi="Arial" w:cs="Arial"/>
          <w:bCs/>
        </w:rPr>
        <w:t xml:space="preserve">decisiones que </w:t>
      </w:r>
      <w:r w:rsidR="00AB63DA" w:rsidRPr="00AB63DA">
        <w:rPr>
          <w:rFonts w:ascii="Arial" w:hAnsi="Arial" w:cs="Arial"/>
          <w:bCs/>
        </w:rPr>
        <w:t xml:space="preserve">consideren y ponderen </w:t>
      </w:r>
      <w:r w:rsidR="00520557" w:rsidRPr="00AB63DA">
        <w:rPr>
          <w:rFonts w:ascii="Arial" w:hAnsi="Arial" w:cs="Arial"/>
          <w:bCs/>
        </w:rPr>
        <w:t>las prioridades y necesidades de la población de forma que responda a las preferencias de las mayorías</w:t>
      </w:r>
      <w:r w:rsidR="00335BF8" w:rsidRPr="00AB63DA">
        <w:rPr>
          <w:rFonts w:ascii="Arial" w:hAnsi="Arial" w:cs="Arial"/>
          <w:bCs/>
        </w:rPr>
        <w:t>,</w:t>
      </w:r>
      <w:r w:rsidR="00520557" w:rsidRPr="00AB63DA">
        <w:rPr>
          <w:rFonts w:ascii="Arial" w:hAnsi="Arial" w:cs="Arial"/>
          <w:bCs/>
        </w:rPr>
        <w:t xml:space="preserve"> </w:t>
      </w:r>
      <w:r w:rsidR="009A0CCB" w:rsidRPr="00AB63DA">
        <w:rPr>
          <w:rFonts w:ascii="Arial" w:hAnsi="Arial" w:cs="Arial"/>
          <w:bCs/>
        </w:rPr>
        <w:t>y</w:t>
      </w:r>
      <w:r w:rsidR="00520557" w:rsidRPr="00AB63DA">
        <w:rPr>
          <w:rFonts w:ascii="Arial" w:hAnsi="Arial" w:cs="Arial"/>
          <w:bCs/>
        </w:rPr>
        <w:t xml:space="preserve"> en su defecto</w:t>
      </w:r>
      <w:r w:rsidR="00335BF8" w:rsidRPr="00AB63DA">
        <w:rPr>
          <w:rFonts w:ascii="Arial" w:hAnsi="Arial" w:cs="Arial"/>
          <w:bCs/>
        </w:rPr>
        <w:t>,</w:t>
      </w:r>
      <w:r w:rsidR="00520557" w:rsidRPr="00AB63DA">
        <w:rPr>
          <w:rFonts w:ascii="Arial" w:hAnsi="Arial" w:cs="Arial"/>
          <w:bCs/>
        </w:rPr>
        <w:t xml:space="preserve"> queden sujetos al sistema de rendición de cuentas electorales</w:t>
      </w:r>
      <w:r w:rsidR="004662B5" w:rsidRPr="00AB63DA">
        <w:rPr>
          <w:rFonts w:ascii="Arial" w:hAnsi="Arial" w:cs="Arial"/>
          <w:bCs/>
        </w:rPr>
        <w:t>.</w:t>
      </w:r>
      <w:r w:rsidR="00520557" w:rsidRPr="00AB63DA">
        <w:rPr>
          <w:rFonts w:ascii="Arial" w:hAnsi="Arial" w:cs="Arial"/>
          <w:bCs/>
        </w:rPr>
        <w:t xml:space="preserve"> </w:t>
      </w:r>
      <w:r w:rsidR="00315D86" w:rsidRPr="00AB63DA">
        <w:rPr>
          <w:rFonts w:ascii="Arial" w:hAnsi="Arial" w:cs="Arial"/>
          <w:bCs/>
        </w:rPr>
        <w:t xml:space="preserve">Las políticas </w:t>
      </w:r>
      <w:r w:rsidR="00E44BB8" w:rsidRPr="00AB63DA">
        <w:rPr>
          <w:rFonts w:ascii="Arial" w:hAnsi="Arial" w:cs="Arial"/>
          <w:bCs/>
        </w:rPr>
        <w:t xml:space="preserve">públicas obedecen a objetivos estratégicos: </w:t>
      </w:r>
      <w:r w:rsidR="00ED04D1" w:rsidRPr="00AB63DA">
        <w:rPr>
          <w:rFonts w:ascii="Arial" w:hAnsi="Arial" w:cs="Arial"/>
          <w:bCs/>
        </w:rPr>
        <w:t>no pueden tenerse por decidid</w:t>
      </w:r>
      <w:r w:rsidR="00E44BB8" w:rsidRPr="00AB63DA">
        <w:rPr>
          <w:rFonts w:ascii="Arial" w:hAnsi="Arial" w:cs="Arial"/>
          <w:bCs/>
        </w:rPr>
        <w:t>as</w:t>
      </w:r>
      <w:r w:rsidR="00ED04D1" w:rsidRPr="00AB63DA">
        <w:rPr>
          <w:rFonts w:ascii="Arial" w:hAnsi="Arial" w:cs="Arial"/>
          <w:bCs/>
        </w:rPr>
        <w:t xml:space="preserve"> de una vez y para siempre. </w:t>
      </w:r>
      <w:r w:rsidR="00161810" w:rsidRPr="00AB63DA">
        <w:rPr>
          <w:rFonts w:ascii="Arial" w:hAnsi="Arial" w:cs="Arial"/>
          <w:bCs/>
        </w:rPr>
        <w:t xml:space="preserve">Por ello, se </w:t>
      </w:r>
      <w:r w:rsidR="00C56F9C" w:rsidRPr="00AB63DA">
        <w:rPr>
          <w:rFonts w:ascii="Arial" w:hAnsi="Arial" w:cs="Arial"/>
          <w:bCs/>
        </w:rPr>
        <w:t>somet</w:t>
      </w:r>
      <w:r w:rsidR="00161810" w:rsidRPr="00AB63DA">
        <w:rPr>
          <w:rFonts w:ascii="Arial" w:hAnsi="Arial" w:cs="Arial"/>
          <w:bCs/>
        </w:rPr>
        <w:t>en a</w:t>
      </w:r>
      <w:r w:rsidR="00C56F9C" w:rsidRPr="00AB63DA">
        <w:rPr>
          <w:rFonts w:ascii="Arial" w:hAnsi="Arial" w:cs="Arial"/>
          <w:bCs/>
        </w:rPr>
        <w:t xml:space="preserve"> escrutinio ordinario</w:t>
      </w:r>
      <w:r w:rsidR="00161810" w:rsidRPr="00AB63DA">
        <w:rPr>
          <w:rFonts w:ascii="Arial" w:hAnsi="Arial" w:cs="Arial"/>
          <w:bCs/>
        </w:rPr>
        <w:t xml:space="preserve">, en tanto producto de una deliberación democrática a la que los tribunales constitucionales son ajenos. </w:t>
      </w:r>
      <w:r w:rsidR="009A0CCB" w:rsidRPr="00AB63DA">
        <w:rPr>
          <w:rFonts w:ascii="Arial" w:hAnsi="Arial" w:cs="Arial"/>
          <w:bCs/>
        </w:rPr>
        <w:t xml:space="preserve">El </w:t>
      </w:r>
      <w:r w:rsidR="00F544C5" w:rsidRPr="00AB63DA">
        <w:rPr>
          <w:rFonts w:ascii="Arial" w:hAnsi="Arial" w:cs="Arial"/>
          <w:bCs/>
        </w:rPr>
        <w:t>medio ambiente es un derecho humano al que le corresponde una titularidad subjetiva</w:t>
      </w:r>
      <w:r w:rsidR="007E3C65" w:rsidRPr="00AB63DA">
        <w:rPr>
          <w:rFonts w:ascii="Arial" w:hAnsi="Arial" w:cs="Arial"/>
          <w:bCs/>
        </w:rPr>
        <w:t xml:space="preserve"> y un contenido mayormente indisponible al legislador ordinario</w:t>
      </w:r>
      <w:r w:rsidR="00AD25E0" w:rsidRPr="00AB63DA">
        <w:rPr>
          <w:rFonts w:ascii="Arial" w:hAnsi="Arial" w:cs="Arial"/>
          <w:bCs/>
        </w:rPr>
        <w:t>, quien siempre procurará el bie</w:t>
      </w:r>
      <w:r w:rsidR="00DF2327" w:rsidRPr="00AB63DA">
        <w:rPr>
          <w:rFonts w:ascii="Arial" w:hAnsi="Arial" w:cs="Arial"/>
          <w:bCs/>
        </w:rPr>
        <w:t>nestar ambiental independientemente del modelo económico elegido.</w:t>
      </w:r>
      <w:r w:rsidR="00A72831" w:rsidRPr="00AB63DA">
        <w:rPr>
          <w:rFonts w:ascii="Arial" w:hAnsi="Arial" w:cs="Arial"/>
          <w:bCs/>
        </w:rPr>
        <w:t xml:space="preserve"> Así lo ordena el principio constitucional de progresividad. </w:t>
      </w:r>
      <w:r w:rsidR="00DF2327" w:rsidRPr="00AB63DA">
        <w:rPr>
          <w:rFonts w:ascii="Arial" w:hAnsi="Arial" w:cs="Arial"/>
          <w:bCs/>
        </w:rPr>
        <w:t xml:space="preserve"> </w:t>
      </w:r>
    </w:p>
    <w:p w14:paraId="46F548BD" w14:textId="77777777" w:rsidR="00AE428B" w:rsidRDefault="00AE428B" w:rsidP="00E57B66">
      <w:pPr>
        <w:spacing w:line="360" w:lineRule="auto"/>
        <w:jc w:val="both"/>
        <w:rPr>
          <w:rFonts w:ascii="Arial" w:hAnsi="Arial" w:cs="Arial"/>
          <w:bCs/>
          <w:highlight w:val="yellow"/>
        </w:rPr>
      </w:pPr>
    </w:p>
    <w:p w14:paraId="4913BB0B" w14:textId="591498AB" w:rsidR="00E57B66" w:rsidRDefault="003F4BB6" w:rsidP="00E57B66">
      <w:pPr>
        <w:spacing w:line="360" w:lineRule="auto"/>
        <w:jc w:val="both"/>
        <w:rPr>
          <w:rFonts w:ascii="Arial" w:hAnsi="Arial" w:cs="Arial"/>
          <w:bCs/>
        </w:rPr>
      </w:pPr>
      <w:r w:rsidRPr="00AB63DA">
        <w:rPr>
          <w:rFonts w:ascii="Arial" w:hAnsi="Arial" w:cs="Arial"/>
          <w:bCs/>
        </w:rPr>
        <w:lastRenderedPageBreak/>
        <w:t xml:space="preserve">Por tanto, mi </w:t>
      </w:r>
      <w:r w:rsidR="00520557" w:rsidRPr="00AB63DA">
        <w:rPr>
          <w:rFonts w:ascii="Arial" w:hAnsi="Arial" w:cs="Arial"/>
          <w:bCs/>
        </w:rPr>
        <w:t>voto es por la invalidez de los artículos 4, fracción VI, 26 y 126 de la Ley de la Industria Eléctrica</w:t>
      </w:r>
      <w:r w:rsidR="00BD0A7D" w:rsidRPr="00AB63DA">
        <w:rPr>
          <w:rFonts w:ascii="Arial" w:hAnsi="Arial" w:cs="Arial"/>
          <w:bCs/>
        </w:rPr>
        <w:t>. Su contenido es inconstitucional</w:t>
      </w:r>
      <w:r w:rsidR="005A3A3B" w:rsidRPr="00AB63DA">
        <w:rPr>
          <w:rFonts w:ascii="Arial" w:hAnsi="Arial" w:cs="Arial"/>
          <w:bCs/>
        </w:rPr>
        <w:t>,</w:t>
      </w:r>
      <w:r w:rsidR="00BD0A7D" w:rsidRPr="00AB63DA">
        <w:rPr>
          <w:rFonts w:ascii="Arial" w:hAnsi="Arial" w:cs="Arial"/>
          <w:bCs/>
        </w:rPr>
        <w:t xml:space="preserve"> pues </w:t>
      </w:r>
      <w:r w:rsidR="006D6343" w:rsidRPr="00AB63DA">
        <w:rPr>
          <w:rFonts w:ascii="Arial" w:hAnsi="Arial" w:cs="Arial"/>
          <w:bCs/>
        </w:rPr>
        <w:t xml:space="preserve">atenta </w:t>
      </w:r>
      <w:r w:rsidR="00561814" w:rsidRPr="00AB63DA">
        <w:rPr>
          <w:rFonts w:ascii="Arial" w:hAnsi="Arial" w:cs="Arial"/>
          <w:bCs/>
        </w:rPr>
        <w:t>contra la prohibición</w:t>
      </w:r>
      <w:r w:rsidR="00520557" w:rsidRPr="00AB63DA">
        <w:rPr>
          <w:rFonts w:ascii="Arial" w:hAnsi="Arial" w:cs="Arial"/>
          <w:bCs/>
        </w:rPr>
        <w:t xml:space="preserve"> de regresividad en la protección del derecho al medio ambiente </w:t>
      </w:r>
      <w:r w:rsidR="005A3A3B" w:rsidRPr="00AB63DA">
        <w:rPr>
          <w:rFonts w:ascii="Arial" w:hAnsi="Arial" w:cs="Arial"/>
          <w:bCs/>
        </w:rPr>
        <w:t xml:space="preserve">y no supera </w:t>
      </w:r>
      <w:r w:rsidR="00561814" w:rsidRPr="00AB63DA">
        <w:rPr>
          <w:rFonts w:ascii="Arial" w:hAnsi="Arial" w:cs="Arial"/>
          <w:bCs/>
        </w:rPr>
        <w:t>e</w:t>
      </w:r>
      <w:r w:rsidR="00520557" w:rsidRPr="00AB63DA">
        <w:rPr>
          <w:rFonts w:ascii="Arial" w:hAnsi="Arial" w:cs="Arial"/>
          <w:bCs/>
        </w:rPr>
        <w:t xml:space="preserve">l estándar de escrutinio estricto. </w:t>
      </w:r>
      <w:r w:rsidR="005A3A3B" w:rsidRPr="00AB63DA">
        <w:rPr>
          <w:rFonts w:ascii="Arial" w:hAnsi="Arial" w:cs="Arial"/>
          <w:bCs/>
        </w:rPr>
        <w:t>D</w:t>
      </w:r>
      <w:r w:rsidR="00520557" w:rsidRPr="00AB63DA">
        <w:rPr>
          <w:rFonts w:ascii="Arial" w:hAnsi="Arial" w:cs="Arial"/>
          <w:bCs/>
        </w:rPr>
        <w:t>e haberse lograr la mayoría calificada, el efecto de la invalidez</w:t>
      </w:r>
      <w:r w:rsidR="00B46A84" w:rsidRPr="00AB63DA">
        <w:rPr>
          <w:rFonts w:ascii="Arial" w:hAnsi="Arial" w:cs="Arial"/>
          <w:bCs/>
        </w:rPr>
        <w:t xml:space="preserve"> habría c</w:t>
      </w:r>
      <w:r w:rsidR="00520557" w:rsidRPr="00AB63DA">
        <w:rPr>
          <w:rFonts w:ascii="Arial" w:hAnsi="Arial" w:cs="Arial"/>
          <w:bCs/>
        </w:rPr>
        <w:t xml:space="preserve">onsistido en la expulsión de los preceptos legales del orden jurídico y la reviviscencia de aquellos derogados. </w:t>
      </w:r>
      <w:r w:rsidR="00E57B66" w:rsidRPr="00AB63DA">
        <w:rPr>
          <w:rFonts w:ascii="Arial" w:hAnsi="Arial" w:cs="Arial"/>
          <w:bCs/>
        </w:rPr>
        <w:t xml:space="preserve">La Constitución mandata el cumplimiento del principio de progresividad y es este principio -que no la norma anterior- lo que constituye el parámetro de control, autoriza la comparación e implica la reviviscencia, pues solo con ella traeremos de vuelta el régimen más protector para el derecho humano en cuestión; en este caso el derecho al medio ambiente. </w:t>
      </w:r>
    </w:p>
    <w:p w14:paraId="6CA086E0" w14:textId="77777777" w:rsidR="00012C98" w:rsidRDefault="00012C98" w:rsidP="00E57B66">
      <w:pPr>
        <w:spacing w:line="360" w:lineRule="auto"/>
        <w:jc w:val="both"/>
        <w:rPr>
          <w:rFonts w:ascii="Arial" w:hAnsi="Arial" w:cs="Arial"/>
          <w:bCs/>
        </w:rPr>
      </w:pPr>
    </w:p>
    <w:p w14:paraId="247CD072" w14:textId="05670921" w:rsidR="00CF6C7E" w:rsidRDefault="00520557" w:rsidP="00C2177D">
      <w:pPr>
        <w:spacing w:line="360" w:lineRule="auto"/>
        <w:jc w:val="both"/>
        <w:rPr>
          <w:rFonts w:ascii="Arial" w:hAnsi="Arial" w:cs="Arial"/>
          <w:bCs/>
        </w:rPr>
      </w:pPr>
      <w:r w:rsidRPr="00CA5CE3">
        <w:rPr>
          <w:rFonts w:ascii="Arial" w:hAnsi="Arial" w:cs="Arial"/>
          <w:bCs/>
        </w:rPr>
        <w:t xml:space="preserve">No compartí las consideraciones de la mayoría de los integrantes </w:t>
      </w:r>
      <w:r w:rsidR="004B6C3A" w:rsidRPr="00CA5CE3">
        <w:rPr>
          <w:rFonts w:ascii="Arial" w:hAnsi="Arial" w:cs="Arial"/>
          <w:bCs/>
        </w:rPr>
        <w:t xml:space="preserve">del Pleno </w:t>
      </w:r>
      <w:r w:rsidR="006A11EF" w:rsidRPr="00CA5CE3">
        <w:rPr>
          <w:rFonts w:ascii="Arial" w:hAnsi="Arial" w:cs="Arial"/>
          <w:bCs/>
        </w:rPr>
        <w:t xml:space="preserve">en las que aseguraron que </w:t>
      </w:r>
      <w:r w:rsidRPr="00CA5CE3">
        <w:rPr>
          <w:rFonts w:ascii="Arial" w:hAnsi="Arial" w:cs="Arial"/>
          <w:bCs/>
        </w:rPr>
        <w:t>los artículos combatidos violaban los principios de libre competencia y concurrencia</w:t>
      </w:r>
      <w:r w:rsidR="0057794B" w:rsidRPr="00CA5CE3">
        <w:rPr>
          <w:rFonts w:ascii="Arial" w:hAnsi="Arial" w:cs="Arial"/>
          <w:bCs/>
        </w:rPr>
        <w:t>. La invalidez por esta vía</w:t>
      </w:r>
      <w:r w:rsidR="003E39FE" w:rsidRPr="00CA5CE3">
        <w:rPr>
          <w:rFonts w:ascii="Arial" w:hAnsi="Arial" w:cs="Arial"/>
          <w:bCs/>
        </w:rPr>
        <w:t xml:space="preserve"> argumentativa</w:t>
      </w:r>
      <w:r w:rsidR="0057794B" w:rsidRPr="00CA5CE3">
        <w:rPr>
          <w:rFonts w:ascii="Arial" w:hAnsi="Arial" w:cs="Arial"/>
          <w:bCs/>
        </w:rPr>
        <w:t xml:space="preserve">, </w:t>
      </w:r>
      <w:r w:rsidRPr="00CA5CE3">
        <w:rPr>
          <w:rFonts w:ascii="Arial" w:hAnsi="Arial" w:cs="Arial"/>
          <w:bCs/>
        </w:rPr>
        <w:t xml:space="preserve">de haberse logrado la mayoría calificada, hubiera producido </w:t>
      </w:r>
      <w:r w:rsidR="004D29D9" w:rsidRPr="00CA5CE3">
        <w:rPr>
          <w:rFonts w:ascii="Arial" w:hAnsi="Arial" w:cs="Arial"/>
          <w:bCs/>
        </w:rPr>
        <w:t xml:space="preserve">paradójicamente </w:t>
      </w:r>
      <w:r w:rsidRPr="00CA5CE3">
        <w:rPr>
          <w:rFonts w:ascii="Arial" w:hAnsi="Arial" w:cs="Arial"/>
          <w:bCs/>
        </w:rPr>
        <w:t>un resultado desfavorable para el libre mercado</w:t>
      </w:r>
      <w:r w:rsidR="00ED36C4" w:rsidRPr="00CA5CE3">
        <w:rPr>
          <w:rFonts w:ascii="Arial" w:hAnsi="Arial" w:cs="Arial"/>
          <w:bCs/>
        </w:rPr>
        <w:t xml:space="preserve">. Al </w:t>
      </w:r>
      <w:r w:rsidRPr="00CA5CE3">
        <w:rPr>
          <w:rFonts w:ascii="Arial" w:hAnsi="Arial" w:cs="Arial"/>
          <w:bCs/>
        </w:rPr>
        <w:t>no aceptarse en nuestra doctrina la posibilidad de la reviviscencia en materia económica, la expulsión de los preceptos combatidos hubiera deja</w:t>
      </w:r>
      <w:r w:rsidR="00ED36C4" w:rsidRPr="00CA5CE3">
        <w:rPr>
          <w:rFonts w:ascii="Arial" w:hAnsi="Arial" w:cs="Arial"/>
          <w:bCs/>
        </w:rPr>
        <w:t xml:space="preserve">do </w:t>
      </w:r>
      <w:r w:rsidRPr="00CA5CE3">
        <w:rPr>
          <w:rFonts w:ascii="Arial" w:hAnsi="Arial" w:cs="Arial"/>
          <w:bCs/>
        </w:rPr>
        <w:t>al mercado de generación de electricidad</w:t>
      </w:r>
      <w:r w:rsidR="00AD6710" w:rsidRPr="00CA5CE3">
        <w:rPr>
          <w:rFonts w:ascii="Arial" w:hAnsi="Arial" w:cs="Arial"/>
          <w:bCs/>
        </w:rPr>
        <w:t xml:space="preserve"> </w:t>
      </w:r>
      <w:r w:rsidR="006A31AF" w:rsidRPr="00CA5CE3">
        <w:rPr>
          <w:rFonts w:ascii="Arial" w:hAnsi="Arial" w:cs="Arial"/>
          <w:bCs/>
        </w:rPr>
        <w:t xml:space="preserve">a su suerte </w:t>
      </w:r>
      <w:r w:rsidR="00AD6710" w:rsidRPr="00CA5CE3">
        <w:rPr>
          <w:rFonts w:ascii="Arial" w:hAnsi="Arial" w:cs="Arial"/>
          <w:bCs/>
        </w:rPr>
        <w:t>y habría</w:t>
      </w:r>
      <w:r w:rsidRPr="00CA5CE3">
        <w:rPr>
          <w:rFonts w:ascii="Arial" w:hAnsi="Arial" w:cs="Arial"/>
          <w:bCs/>
        </w:rPr>
        <w:t xml:space="preserve"> </w:t>
      </w:r>
      <w:r w:rsidR="00AD6710" w:rsidRPr="00CA5CE3">
        <w:rPr>
          <w:rFonts w:ascii="Arial" w:hAnsi="Arial" w:cs="Arial"/>
          <w:bCs/>
        </w:rPr>
        <w:t xml:space="preserve">permitido </w:t>
      </w:r>
      <w:r w:rsidRPr="00CA5CE3">
        <w:rPr>
          <w:rFonts w:ascii="Arial" w:hAnsi="Arial" w:cs="Arial"/>
          <w:bCs/>
        </w:rPr>
        <w:t>a la CFE aprovechar sus ventajas competitivas sin ataduras legislativas</w:t>
      </w:r>
      <w:r w:rsidR="008806A6" w:rsidRPr="00CA5CE3">
        <w:rPr>
          <w:rFonts w:ascii="Arial" w:hAnsi="Arial" w:cs="Arial"/>
          <w:bCs/>
        </w:rPr>
        <w:t xml:space="preserve">. Ahora, </w:t>
      </w:r>
      <w:r w:rsidRPr="00CA5CE3">
        <w:rPr>
          <w:rFonts w:ascii="Arial" w:hAnsi="Arial" w:cs="Arial"/>
          <w:bCs/>
        </w:rPr>
        <w:t xml:space="preserve">mi </w:t>
      </w:r>
      <w:r w:rsidR="008806A6" w:rsidRPr="00CA5CE3">
        <w:rPr>
          <w:rFonts w:ascii="Arial" w:hAnsi="Arial" w:cs="Arial"/>
          <w:bCs/>
        </w:rPr>
        <w:t>disidencia</w:t>
      </w:r>
      <w:r w:rsidRPr="00CA5CE3">
        <w:rPr>
          <w:rFonts w:ascii="Arial" w:hAnsi="Arial" w:cs="Arial"/>
          <w:bCs/>
        </w:rPr>
        <w:t xml:space="preserve"> principal con esta argumentación no </w:t>
      </w:r>
      <w:r w:rsidR="00AA1F78" w:rsidRPr="00CA5CE3">
        <w:rPr>
          <w:rFonts w:ascii="Arial" w:hAnsi="Arial" w:cs="Arial"/>
          <w:bCs/>
        </w:rPr>
        <w:t xml:space="preserve">obedece a </w:t>
      </w:r>
      <w:r w:rsidR="008806A6" w:rsidRPr="00CA5CE3">
        <w:rPr>
          <w:rFonts w:ascii="Arial" w:hAnsi="Arial" w:cs="Arial"/>
          <w:bCs/>
        </w:rPr>
        <w:t xml:space="preserve">razones de índole práctica. </w:t>
      </w:r>
      <w:r w:rsidR="00AC7310" w:rsidRPr="00CA5CE3">
        <w:rPr>
          <w:rFonts w:ascii="Arial" w:hAnsi="Arial" w:cs="Arial"/>
          <w:bCs/>
        </w:rPr>
        <w:t>La postura de la ma</w:t>
      </w:r>
      <w:r w:rsidR="00453FEB" w:rsidRPr="00CA5CE3">
        <w:rPr>
          <w:rFonts w:ascii="Arial" w:hAnsi="Arial" w:cs="Arial"/>
          <w:bCs/>
        </w:rPr>
        <w:t xml:space="preserve">yoría </w:t>
      </w:r>
      <w:r w:rsidRPr="00CA5CE3">
        <w:rPr>
          <w:rFonts w:ascii="Arial" w:hAnsi="Arial" w:cs="Arial"/>
          <w:bCs/>
        </w:rPr>
        <w:t xml:space="preserve">invierte los contenidos </w:t>
      </w:r>
      <w:r w:rsidR="00063E77" w:rsidRPr="00CA5CE3">
        <w:rPr>
          <w:rFonts w:ascii="Arial" w:hAnsi="Arial" w:cs="Arial"/>
          <w:bCs/>
        </w:rPr>
        <w:t>axiológicos</w:t>
      </w:r>
      <w:r w:rsidRPr="00CA5CE3">
        <w:rPr>
          <w:rFonts w:ascii="Arial" w:hAnsi="Arial" w:cs="Arial"/>
          <w:bCs/>
        </w:rPr>
        <w:t xml:space="preserve"> </w:t>
      </w:r>
      <w:r w:rsidR="00CA5CE3" w:rsidRPr="00CA5CE3">
        <w:rPr>
          <w:rFonts w:ascii="Arial" w:hAnsi="Arial" w:cs="Arial"/>
          <w:bCs/>
        </w:rPr>
        <w:t>de</w:t>
      </w:r>
      <w:r w:rsidRPr="00CA5CE3">
        <w:rPr>
          <w:rFonts w:ascii="Arial" w:hAnsi="Arial" w:cs="Arial"/>
          <w:bCs/>
        </w:rPr>
        <w:t xml:space="preserve"> nuestro modelo constitucional</w:t>
      </w:r>
      <w:r w:rsidR="002E510E" w:rsidRPr="00CA5CE3">
        <w:rPr>
          <w:rFonts w:ascii="Arial" w:hAnsi="Arial" w:cs="Arial"/>
          <w:bCs/>
        </w:rPr>
        <w:t xml:space="preserve">. En </w:t>
      </w:r>
      <w:r w:rsidRPr="00CA5CE3">
        <w:rPr>
          <w:rFonts w:ascii="Arial" w:hAnsi="Arial" w:cs="Arial"/>
          <w:bCs/>
        </w:rPr>
        <w:t xml:space="preserve">oposición a la mayoría de los integrantes de este Pleno, para </w:t>
      </w:r>
      <w:r w:rsidR="008D5953" w:rsidRPr="00CA5CE3">
        <w:rPr>
          <w:rFonts w:ascii="Arial" w:hAnsi="Arial" w:cs="Arial"/>
          <w:bCs/>
        </w:rPr>
        <w:t>mí los valores</w:t>
      </w:r>
      <w:r w:rsidRPr="00CA5CE3">
        <w:rPr>
          <w:rFonts w:ascii="Arial" w:hAnsi="Arial" w:cs="Arial"/>
          <w:bCs/>
        </w:rPr>
        <w:t xml:space="preserve"> de libre mercado y de libre concurrencia deben subordinarse al medio ambiente para crear nuevas modalidades de mercados cuyo centro sea la sustentabilidad y no la eficiencia. </w:t>
      </w:r>
    </w:p>
    <w:p w14:paraId="6A8C8BC7" w14:textId="77777777" w:rsidR="00012C98" w:rsidRDefault="00012C98" w:rsidP="00C2177D">
      <w:pPr>
        <w:spacing w:line="360" w:lineRule="auto"/>
        <w:jc w:val="both"/>
        <w:rPr>
          <w:rFonts w:ascii="Arial" w:hAnsi="Arial" w:cs="Arial"/>
          <w:bCs/>
        </w:rPr>
      </w:pPr>
    </w:p>
    <w:p w14:paraId="01CA5AB9" w14:textId="7277EC5F" w:rsidR="0053163B" w:rsidRPr="00921E02" w:rsidRDefault="00FB1946" w:rsidP="0053163B">
      <w:pPr>
        <w:spacing w:line="360" w:lineRule="auto"/>
        <w:jc w:val="both"/>
        <w:rPr>
          <w:rFonts w:ascii="Arial" w:hAnsi="Arial" w:cs="Arial"/>
          <w:bCs/>
          <w:lang w:val="es-ES_tradnl"/>
        </w:rPr>
      </w:pPr>
      <w:r w:rsidRPr="00636E3F">
        <w:rPr>
          <w:rFonts w:ascii="Arial" w:hAnsi="Arial" w:cs="Arial"/>
          <w:bCs/>
          <w:lang w:val="es-ES_tradnl"/>
        </w:rPr>
        <w:t>Por otra parte, l</w:t>
      </w:r>
      <w:r w:rsidR="00012C98" w:rsidRPr="00636E3F">
        <w:rPr>
          <w:rFonts w:ascii="Arial" w:hAnsi="Arial" w:cs="Arial"/>
          <w:bCs/>
          <w:lang w:val="es-ES_tradnl"/>
        </w:rPr>
        <w:t xml:space="preserve">a interpretación </w:t>
      </w:r>
      <w:r w:rsidR="006A5426" w:rsidRPr="00636E3F">
        <w:rPr>
          <w:rFonts w:ascii="Arial" w:hAnsi="Arial" w:cs="Arial"/>
          <w:bCs/>
          <w:lang w:val="es-ES_tradnl"/>
        </w:rPr>
        <w:t>conforme</w:t>
      </w:r>
      <w:r w:rsidR="00012C98" w:rsidRPr="00636E3F">
        <w:rPr>
          <w:rFonts w:ascii="Arial" w:hAnsi="Arial" w:cs="Arial"/>
          <w:bCs/>
          <w:lang w:val="es-ES_tradnl"/>
        </w:rPr>
        <w:t xml:space="preserve"> para sostener la validez de los preceptos impugnados que fue propuesta </w:t>
      </w:r>
      <w:r w:rsidR="006A5426" w:rsidRPr="00636E3F">
        <w:rPr>
          <w:rFonts w:ascii="Arial" w:hAnsi="Arial" w:cs="Arial"/>
          <w:bCs/>
          <w:lang w:val="es-ES_tradnl"/>
        </w:rPr>
        <w:t xml:space="preserve">no resulta técnicamente viable. Esa </w:t>
      </w:r>
      <w:r w:rsidR="00012C98" w:rsidRPr="00636E3F">
        <w:rPr>
          <w:rFonts w:ascii="Arial" w:hAnsi="Arial" w:cs="Arial"/>
          <w:bCs/>
          <w:lang w:val="es-ES_tradnl"/>
        </w:rPr>
        <w:t xml:space="preserve">interpretación descansa </w:t>
      </w:r>
      <w:r w:rsidR="006A5426" w:rsidRPr="00636E3F">
        <w:rPr>
          <w:rFonts w:ascii="Arial" w:hAnsi="Arial" w:cs="Arial"/>
          <w:bCs/>
          <w:lang w:val="es-ES_tradnl"/>
        </w:rPr>
        <w:t xml:space="preserve">en que se puede </w:t>
      </w:r>
      <w:r w:rsidR="00012C98" w:rsidRPr="00636E3F">
        <w:rPr>
          <w:rFonts w:ascii="Arial" w:hAnsi="Arial" w:cs="Arial"/>
          <w:bCs/>
          <w:lang w:val="es-ES_tradnl"/>
        </w:rPr>
        <w:t xml:space="preserve">condicionar la validez de las normas combatidas al hecho de que el gobierno cumpla con sus metas de emisiones de gases con efecto invernadero con otros medios. </w:t>
      </w:r>
      <w:r w:rsidR="00532E87" w:rsidRPr="00636E3F">
        <w:rPr>
          <w:rFonts w:ascii="Arial" w:hAnsi="Arial" w:cs="Arial"/>
          <w:bCs/>
          <w:lang w:val="es-ES_tradnl"/>
        </w:rPr>
        <w:t xml:space="preserve">Sin embargo, </w:t>
      </w:r>
      <w:r w:rsidR="000779B1" w:rsidRPr="00636E3F">
        <w:rPr>
          <w:rFonts w:ascii="Arial" w:hAnsi="Arial" w:cs="Arial"/>
          <w:bCs/>
          <w:lang w:val="es-ES_tradnl"/>
        </w:rPr>
        <w:t xml:space="preserve">ni nuestra Constitución ni </w:t>
      </w:r>
      <w:r w:rsidR="00532E87" w:rsidRPr="00636E3F">
        <w:rPr>
          <w:rFonts w:ascii="Arial" w:hAnsi="Arial" w:cs="Arial"/>
          <w:bCs/>
          <w:lang w:val="es-ES_tradnl"/>
        </w:rPr>
        <w:t>el Acuerdo de Par</w:t>
      </w:r>
      <w:r w:rsidR="00DF13A6">
        <w:rPr>
          <w:rFonts w:ascii="Arial" w:hAnsi="Arial" w:cs="Arial"/>
          <w:bCs/>
          <w:lang w:val="es-ES_tradnl"/>
        </w:rPr>
        <w:t>í</w:t>
      </w:r>
      <w:r w:rsidR="00532E87" w:rsidRPr="00636E3F">
        <w:rPr>
          <w:rFonts w:ascii="Arial" w:hAnsi="Arial" w:cs="Arial"/>
          <w:bCs/>
          <w:lang w:val="es-ES_tradnl"/>
        </w:rPr>
        <w:t>s autoriza</w:t>
      </w:r>
      <w:r w:rsidR="00875F1C" w:rsidRPr="00636E3F">
        <w:rPr>
          <w:rFonts w:ascii="Arial" w:hAnsi="Arial" w:cs="Arial"/>
          <w:bCs/>
          <w:lang w:val="es-ES_tradnl"/>
        </w:rPr>
        <w:t>n</w:t>
      </w:r>
      <w:r w:rsidR="00532E87" w:rsidRPr="00636E3F">
        <w:rPr>
          <w:rFonts w:ascii="Arial" w:hAnsi="Arial" w:cs="Arial"/>
          <w:bCs/>
          <w:lang w:val="es-ES_tradnl"/>
        </w:rPr>
        <w:t xml:space="preserve"> a seguir generando emisiones que causarán un daño específico porque al final creemos que las reduciremos con otros medios. Es sencillo:  siempre será mejor y obligatorio no emitirlas.</w:t>
      </w:r>
      <w:r w:rsidR="000779B1" w:rsidRPr="00636E3F">
        <w:rPr>
          <w:rFonts w:ascii="Arial" w:hAnsi="Arial" w:cs="Arial"/>
          <w:bCs/>
          <w:lang w:val="es-ES_tradnl"/>
        </w:rPr>
        <w:t xml:space="preserve"> </w:t>
      </w:r>
      <w:r w:rsidR="00875F1C" w:rsidRPr="00636E3F">
        <w:rPr>
          <w:rFonts w:ascii="Arial" w:hAnsi="Arial" w:cs="Arial"/>
          <w:bCs/>
          <w:lang w:val="es-ES_tradnl"/>
        </w:rPr>
        <w:t>Una i</w:t>
      </w:r>
      <w:r w:rsidR="0053163B" w:rsidRPr="00636E3F">
        <w:rPr>
          <w:rFonts w:ascii="Arial" w:hAnsi="Arial" w:cs="Arial"/>
          <w:bCs/>
          <w:lang w:val="es-ES_tradnl"/>
        </w:rPr>
        <w:t>nterpretación conforme permit</w:t>
      </w:r>
      <w:r w:rsidR="00875F1C" w:rsidRPr="00636E3F">
        <w:rPr>
          <w:rFonts w:ascii="Arial" w:hAnsi="Arial" w:cs="Arial"/>
          <w:bCs/>
          <w:lang w:val="es-ES_tradnl"/>
        </w:rPr>
        <w:t xml:space="preserve">iría </w:t>
      </w:r>
      <w:r w:rsidR="0053163B" w:rsidRPr="00636E3F">
        <w:rPr>
          <w:rFonts w:ascii="Arial" w:hAnsi="Arial" w:cs="Arial"/>
          <w:bCs/>
          <w:lang w:val="es-ES_tradnl"/>
        </w:rPr>
        <w:t xml:space="preserve">al legislador concentrarse en resolver nuestras necesidades económicas actuales y postergar las implicaciones ambientales. </w:t>
      </w:r>
      <w:r w:rsidR="00362C76" w:rsidRPr="00636E3F">
        <w:rPr>
          <w:rFonts w:ascii="Arial" w:hAnsi="Arial" w:cs="Arial"/>
          <w:bCs/>
          <w:lang w:val="es-ES_tradnl"/>
        </w:rPr>
        <w:t xml:space="preserve">Es evidente que en </w:t>
      </w:r>
      <w:r w:rsidR="0053163B" w:rsidRPr="00636E3F">
        <w:rPr>
          <w:rFonts w:ascii="Arial" w:hAnsi="Arial" w:cs="Arial"/>
          <w:bCs/>
          <w:lang w:val="es-ES_tradnl"/>
        </w:rPr>
        <w:t>esta materia no cabe apelar a las soluciones futuras.</w:t>
      </w:r>
    </w:p>
    <w:p w14:paraId="7F933740" w14:textId="77777777" w:rsidR="00F15FC2" w:rsidRPr="00CA5CE3" w:rsidRDefault="00F15FC2" w:rsidP="008D342D">
      <w:pPr>
        <w:spacing w:line="360" w:lineRule="auto"/>
        <w:jc w:val="both"/>
        <w:rPr>
          <w:rFonts w:ascii="Arial" w:hAnsi="Arial" w:cs="Arial"/>
          <w:bCs/>
        </w:rPr>
      </w:pPr>
    </w:p>
    <w:p w14:paraId="552EDBCB" w14:textId="5002340A" w:rsidR="00520557" w:rsidRPr="00CA5CE3" w:rsidRDefault="00C2177D" w:rsidP="008D342D">
      <w:pPr>
        <w:spacing w:line="360" w:lineRule="auto"/>
        <w:jc w:val="both"/>
        <w:rPr>
          <w:rFonts w:ascii="Arial" w:hAnsi="Arial" w:cs="Arial"/>
          <w:bCs/>
          <w:lang w:val="es-ES_tradnl"/>
        </w:rPr>
      </w:pPr>
      <w:r w:rsidRPr="00CA5CE3">
        <w:rPr>
          <w:rFonts w:ascii="Arial" w:hAnsi="Arial" w:cs="Arial"/>
          <w:bCs/>
        </w:rPr>
        <w:t>A</w:t>
      </w:r>
      <w:r w:rsidRPr="00CA5CE3">
        <w:rPr>
          <w:rFonts w:ascii="Arial" w:hAnsi="Arial" w:cs="Arial"/>
          <w:bCs/>
          <w:lang w:val="es-ES_tradnl"/>
        </w:rPr>
        <w:t xml:space="preserve">cercarse al </w:t>
      </w:r>
      <w:r w:rsidRPr="00CA5CE3">
        <w:rPr>
          <w:rFonts w:ascii="Arial" w:hAnsi="Arial" w:cs="Arial"/>
          <w:bCs/>
        </w:rPr>
        <w:t xml:space="preserve">dilema puesto a nuestra consideración desde la perspectiva de la libre competencia pareciera privilegiar -incluso simbólicamente- las ganancias a corto plazo y el crecimiento económico por encima de la devastación ambiental y el bienestar de la gente. </w:t>
      </w:r>
      <w:r w:rsidR="00520557" w:rsidRPr="00CA5CE3">
        <w:rPr>
          <w:rFonts w:ascii="Arial" w:hAnsi="Arial" w:cs="Arial"/>
          <w:bCs/>
        </w:rPr>
        <w:t>Si escogiéramos un paradigma centrado en el libre mercado, los fines extra-mercado quedan subordinados al valor de la eficiencia</w:t>
      </w:r>
      <w:r w:rsidR="00BD58B0" w:rsidRPr="00CA5CE3">
        <w:rPr>
          <w:rFonts w:ascii="Arial" w:hAnsi="Arial" w:cs="Arial"/>
          <w:bCs/>
        </w:rPr>
        <w:t xml:space="preserve"> con el consecuente</w:t>
      </w:r>
      <w:r w:rsidR="008D5953" w:rsidRPr="00CA5CE3">
        <w:rPr>
          <w:rFonts w:ascii="Arial" w:hAnsi="Arial" w:cs="Arial"/>
          <w:bCs/>
        </w:rPr>
        <w:t xml:space="preserve"> sacrificio </w:t>
      </w:r>
      <w:r w:rsidR="00BD58B0" w:rsidRPr="00CA5CE3">
        <w:rPr>
          <w:rFonts w:ascii="Arial" w:hAnsi="Arial" w:cs="Arial"/>
          <w:bCs/>
        </w:rPr>
        <w:t xml:space="preserve">del medio ambiente, cuya precarización es la plaga de nuestro tiempo. </w:t>
      </w:r>
    </w:p>
    <w:p w14:paraId="29F1D13E" w14:textId="77777777" w:rsidR="00DF2327" w:rsidRPr="00847234" w:rsidRDefault="00DF2327" w:rsidP="008D342D">
      <w:pPr>
        <w:spacing w:line="360" w:lineRule="auto"/>
        <w:jc w:val="both"/>
        <w:rPr>
          <w:rFonts w:ascii="Arial" w:hAnsi="Arial" w:cs="Arial"/>
          <w:bCs/>
        </w:rPr>
      </w:pPr>
    </w:p>
    <w:p w14:paraId="2AD19084" w14:textId="77777777" w:rsidR="00F544C5" w:rsidRPr="00847234" w:rsidRDefault="00F544C5" w:rsidP="008D342D">
      <w:pPr>
        <w:spacing w:line="360" w:lineRule="auto"/>
        <w:jc w:val="both"/>
        <w:rPr>
          <w:rFonts w:ascii="Arial" w:hAnsi="Arial" w:cs="Arial"/>
          <w:bCs/>
        </w:rPr>
      </w:pPr>
    </w:p>
    <w:p w14:paraId="1AB0E510" w14:textId="77777777" w:rsidR="00B97F62" w:rsidRPr="00A9402C" w:rsidRDefault="00B97F62" w:rsidP="00ED464B">
      <w:pPr>
        <w:tabs>
          <w:tab w:val="left" w:pos="426"/>
        </w:tabs>
        <w:spacing w:line="360" w:lineRule="auto"/>
        <w:jc w:val="center"/>
        <w:rPr>
          <w:rFonts w:ascii="Arial" w:hAnsi="Arial" w:cs="Arial"/>
          <w:b/>
        </w:rPr>
      </w:pPr>
      <w:r w:rsidRPr="00A9402C">
        <w:rPr>
          <w:rFonts w:ascii="Arial" w:hAnsi="Arial" w:cs="Arial"/>
          <w:b/>
        </w:rPr>
        <w:t>MINISTRO</w:t>
      </w:r>
    </w:p>
    <w:p w14:paraId="0F50578E" w14:textId="77777777" w:rsidR="00B97F62" w:rsidRPr="00A9402C" w:rsidRDefault="00B97F62" w:rsidP="00B97F62">
      <w:pPr>
        <w:tabs>
          <w:tab w:val="left" w:pos="426"/>
        </w:tabs>
        <w:spacing w:line="360" w:lineRule="auto"/>
        <w:jc w:val="center"/>
        <w:rPr>
          <w:rFonts w:ascii="Arial" w:hAnsi="Arial" w:cs="Arial"/>
          <w:b/>
        </w:rPr>
      </w:pPr>
    </w:p>
    <w:p w14:paraId="183B93AB" w14:textId="77777777" w:rsidR="00BB4D46" w:rsidRPr="00A9402C" w:rsidRDefault="00BB4D46" w:rsidP="00B97F62">
      <w:pPr>
        <w:tabs>
          <w:tab w:val="left" w:pos="426"/>
        </w:tabs>
        <w:spacing w:line="360" w:lineRule="auto"/>
        <w:jc w:val="center"/>
        <w:rPr>
          <w:rFonts w:ascii="Arial" w:hAnsi="Arial" w:cs="Arial"/>
          <w:b/>
        </w:rPr>
      </w:pPr>
    </w:p>
    <w:p w14:paraId="409CB9A0" w14:textId="77777777" w:rsidR="00FE7440" w:rsidRPr="00A9402C" w:rsidRDefault="00FE7440" w:rsidP="00B97F62">
      <w:pPr>
        <w:tabs>
          <w:tab w:val="left" w:pos="426"/>
        </w:tabs>
        <w:spacing w:line="360" w:lineRule="auto"/>
        <w:jc w:val="center"/>
        <w:rPr>
          <w:rFonts w:ascii="Arial" w:hAnsi="Arial" w:cs="Arial"/>
          <w:b/>
        </w:rPr>
      </w:pPr>
    </w:p>
    <w:p w14:paraId="5789F2EF" w14:textId="77777777" w:rsidR="0010761F" w:rsidRPr="00A9402C" w:rsidRDefault="00B97F62" w:rsidP="00B97F62">
      <w:pPr>
        <w:tabs>
          <w:tab w:val="left" w:pos="426"/>
        </w:tabs>
        <w:spacing w:line="360" w:lineRule="auto"/>
        <w:jc w:val="center"/>
        <w:rPr>
          <w:rFonts w:ascii="Arial" w:hAnsi="Arial" w:cs="Arial"/>
          <w:b/>
        </w:rPr>
      </w:pPr>
      <w:r w:rsidRPr="00A9402C">
        <w:rPr>
          <w:rFonts w:ascii="Arial" w:hAnsi="Arial" w:cs="Arial"/>
          <w:b/>
        </w:rPr>
        <w:t>ALFREDO GUTIÉRREZ ORTIZ MENA</w:t>
      </w:r>
    </w:p>
    <w:p w14:paraId="6239A36C" w14:textId="77777777" w:rsidR="00B97F62" w:rsidRPr="00A9402C" w:rsidRDefault="00B97F62" w:rsidP="00B97F62">
      <w:pPr>
        <w:tabs>
          <w:tab w:val="left" w:pos="426"/>
        </w:tabs>
        <w:spacing w:line="360" w:lineRule="auto"/>
        <w:jc w:val="center"/>
        <w:rPr>
          <w:rFonts w:ascii="Arial" w:hAnsi="Arial" w:cs="Arial"/>
          <w:b/>
        </w:rPr>
      </w:pPr>
    </w:p>
    <w:p w14:paraId="583F55F4" w14:textId="77777777" w:rsidR="00FE7440" w:rsidRPr="00A9402C" w:rsidRDefault="00FE7440" w:rsidP="00B97F62">
      <w:pPr>
        <w:tabs>
          <w:tab w:val="left" w:pos="426"/>
        </w:tabs>
        <w:spacing w:line="360" w:lineRule="auto"/>
        <w:jc w:val="center"/>
        <w:rPr>
          <w:rFonts w:ascii="Arial" w:hAnsi="Arial" w:cs="Arial"/>
          <w:b/>
        </w:rPr>
      </w:pPr>
    </w:p>
    <w:p w14:paraId="10D144D0" w14:textId="77777777" w:rsidR="00BB4D46" w:rsidRPr="00A9402C" w:rsidRDefault="00BB4D46" w:rsidP="00B97F62">
      <w:pPr>
        <w:tabs>
          <w:tab w:val="left" w:pos="426"/>
        </w:tabs>
        <w:spacing w:line="360" w:lineRule="auto"/>
        <w:jc w:val="center"/>
        <w:rPr>
          <w:rFonts w:ascii="Arial" w:hAnsi="Arial" w:cs="Arial"/>
          <w:b/>
        </w:rPr>
      </w:pPr>
    </w:p>
    <w:p w14:paraId="4749AADE" w14:textId="77777777" w:rsidR="00B97F62" w:rsidRPr="00A9402C" w:rsidRDefault="00B97F62" w:rsidP="00FE7440">
      <w:pPr>
        <w:tabs>
          <w:tab w:val="left" w:pos="426"/>
        </w:tabs>
        <w:jc w:val="center"/>
        <w:rPr>
          <w:rFonts w:ascii="Arial" w:hAnsi="Arial" w:cs="Arial"/>
          <w:b/>
        </w:rPr>
      </w:pPr>
      <w:r w:rsidRPr="00A9402C">
        <w:rPr>
          <w:rFonts w:ascii="Arial" w:hAnsi="Arial" w:cs="Arial"/>
          <w:b/>
        </w:rPr>
        <w:t xml:space="preserve">SECRETARIO </w:t>
      </w:r>
      <w:r w:rsidR="006F6FAD" w:rsidRPr="00A9402C">
        <w:rPr>
          <w:rFonts w:ascii="Arial" w:hAnsi="Arial" w:cs="Arial"/>
          <w:b/>
        </w:rPr>
        <w:t xml:space="preserve">GENERAL </w:t>
      </w:r>
      <w:r w:rsidRPr="00A9402C">
        <w:rPr>
          <w:rFonts w:ascii="Arial" w:hAnsi="Arial" w:cs="Arial"/>
          <w:b/>
        </w:rPr>
        <w:t>DE ACUERDOS</w:t>
      </w:r>
    </w:p>
    <w:p w14:paraId="702CCF2D" w14:textId="77777777" w:rsidR="00E179E2" w:rsidRPr="00A9402C" w:rsidRDefault="00B97F62" w:rsidP="00FE7440">
      <w:pPr>
        <w:tabs>
          <w:tab w:val="left" w:pos="426"/>
        </w:tabs>
        <w:jc w:val="center"/>
        <w:rPr>
          <w:rFonts w:ascii="Arial" w:hAnsi="Arial" w:cs="Arial"/>
          <w:b/>
        </w:rPr>
      </w:pPr>
      <w:r w:rsidRPr="00A9402C">
        <w:rPr>
          <w:rFonts w:ascii="Arial" w:hAnsi="Arial" w:cs="Arial"/>
          <w:b/>
        </w:rPr>
        <w:t xml:space="preserve">DE LA </w:t>
      </w:r>
      <w:r w:rsidR="006F6FAD" w:rsidRPr="00A9402C">
        <w:rPr>
          <w:rFonts w:ascii="Arial" w:hAnsi="Arial" w:cs="Arial"/>
          <w:b/>
        </w:rPr>
        <w:t>SUPREMA CORTE</w:t>
      </w:r>
    </w:p>
    <w:p w14:paraId="0214EAF6" w14:textId="77777777" w:rsidR="00FE7440" w:rsidRPr="00A9402C" w:rsidRDefault="00FE7440" w:rsidP="00FE7440">
      <w:pPr>
        <w:tabs>
          <w:tab w:val="left" w:pos="426"/>
        </w:tabs>
        <w:spacing w:line="360" w:lineRule="auto"/>
        <w:jc w:val="center"/>
        <w:rPr>
          <w:rFonts w:ascii="Arial" w:hAnsi="Arial" w:cs="Arial"/>
          <w:b/>
        </w:rPr>
      </w:pPr>
    </w:p>
    <w:p w14:paraId="77868B59" w14:textId="77777777" w:rsidR="00FE7440" w:rsidRPr="00A9402C" w:rsidRDefault="00FE7440" w:rsidP="00FE7440">
      <w:pPr>
        <w:tabs>
          <w:tab w:val="left" w:pos="426"/>
        </w:tabs>
        <w:spacing w:line="360" w:lineRule="auto"/>
        <w:jc w:val="center"/>
        <w:rPr>
          <w:rFonts w:ascii="Arial" w:hAnsi="Arial" w:cs="Arial"/>
          <w:b/>
        </w:rPr>
      </w:pPr>
    </w:p>
    <w:p w14:paraId="7F9CC712" w14:textId="77777777" w:rsidR="00BB4D46" w:rsidRPr="00A9402C" w:rsidRDefault="00BB4D46" w:rsidP="00FE7440">
      <w:pPr>
        <w:tabs>
          <w:tab w:val="left" w:pos="426"/>
        </w:tabs>
        <w:spacing w:line="360" w:lineRule="auto"/>
        <w:jc w:val="center"/>
        <w:rPr>
          <w:rFonts w:ascii="Arial" w:hAnsi="Arial" w:cs="Arial"/>
          <w:b/>
        </w:rPr>
      </w:pPr>
    </w:p>
    <w:p w14:paraId="3C8E0A7B" w14:textId="77777777" w:rsidR="00FE7440" w:rsidRPr="00A9402C" w:rsidRDefault="00FE7440" w:rsidP="00FE7440">
      <w:pPr>
        <w:tabs>
          <w:tab w:val="left" w:pos="426"/>
        </w:tabs>
        <w:spacing w:line="360" w:lineRule="auto"/>
        <w:jc w:val="center"/>
        <w:rPr>
          <w:rFonts w:ascii="Arial" w:hAnsi="Arial" w:cs="Arial"/>
          <w:b/>
        </w:rPr>
      </w:pPr>
      <w:r w:rsidRPr="00A9402C">
        <w:rPr>
          <w:rFonts w:ascii="Arial" w:hAnsi="Arial" w:cs="Arial"/>
          <w:b/>
        </w:rPr>
        <w:t xml:space="preserve">LICENCIADO </w:t>
      </w:r>
      <w:r w:rsidR="006F6FAD" w:rsidRPr="00A9402C">
        <w:rPr>
          <w:rFonts w:ascii="Arial" w:hAnsi="Arial" w:cs="Arial"/>
          <w:b/>
        </w:rPr>
        <w:t>RAFAEL COELLO CETINA</w:t>
      </w:r>
    </w:p>
    <w:sectPr w:rsidR="00FE7440" w:rsidRPr="00A9402C" w:rsidSect="00D35A5C">
      <w:headerReference w:type="default" r:id="rId11"/>
      <w:footerReference w:type="even" r:id="rId12"/>
      <w:footerReference w:type="default" r:id="rId13"/>
      <w:footerReference w:type="first" r:id="rId14"/>
      <w:pgSz w:w="12242" w:h="20163" w:code="5"/>
      <w:pgMar w:top="2580" w:right="1701" w:bottom="1701" w:left="1701" w:header="1135" w:footer="16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7B014" w14:textId="77777777" w:rsidR="00BC4C9B" w:rsidRDefault="00BC4C9B">
      <w:r>
        <w:separator/>
      </w:r>
    </w:p>
  </w:endnote>
  <w:endnote w:type="continuationSeparator" w:id="0">
    <w:p w14:paraId="5958E799" w14:textId="77777777" w:rsidR="00BC4C9B" w:rsidRDefault="00BC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ans-Regular">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2009" w14:textId="77777777" w:rsidR="00E167A9" w:rsidRDefault="00E167A9" w:rsidP="00427C6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C1BD55C" w14:textId="77777777" w:rsidR="00E167A9" w:rsidRDefault="00E167A9" w:rsidP="008D001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D6293" w14:textId="77777777" w:rsidR="00E167A9" w:rsidRPr="005D6968" w:rsidRDefault="00E167A9" w:rsidP="005D6968">
    <w:pPr>
      <w:pStyle w:val="Piedepgina"/>
      <w:jc w:val="center"/>
      <w:rPr>
        <w:rFonts w:ascii="Arial" w:hAnsi="Arial" w:cs="Arial"/>
      </w:rPr>
    </w:pPr>
  </w:p>
  <w:p w14:paraId="52ABA14E" w14:textId="77777777" w:rsidR="00E167A9" w:rsidRPr="005D6968" w:rsidRDefault="00E167A9" w:rsidP="005D6968">
    <w:pPr>
      <w:pStyle w:val="Piedepgina"/>
      <w:jc w:val="center"/>
      <w:rPr>
        <w:rFonts w:ascii="Arial" w:hAnsi="Arial" w:cs="Arial"/>
      </w:rPr>
    </w:pPr>
    <w:r w:rsidRPr="005D6968">
      <w:rPr>
        <w:rFonts w:ascii="Arial" w:hAnsi="Arial" w:cs="Arial"/>
      </w:rPr>
      <w:fldChar w:fldCharType="begin"/>
    </w:r>
    <w:r w:rsidRPr="005D6968">
      <w:rPr>
        <w:rFonts w:ascii="Arial" w:hAnsi="Arial" w:cs="Arial"/>
      </w:rPr>
      <w:instrText>PAGE   \* MERGEFORMAT</w:instrText>
    </w:r>
    <w:r w:rsidRPr="005D6968">
      <w:rPr>
        <w:rFonts w:ascii="Arial" w:hAnsi="Arial" w:cs="Arial"/>
      </w:rPr>
      <w:fldChar w:fldCharType="separate"/>
    </w:r>
    <w:r w:rsidR="00BE4F90" w:rsidRPr="00BE4F90">
      <w:rPr>
        <w:rFonts w:ascii="Arial" w:hAnsi="Arial" w:cs="Arial"/>
        <w:noProof/>
        <w:lang w:val="es-ES"/>
      </w:rPr>
      <w:t>2</w:t>
    </w:r>
    <w:r w:rsidRPr="005D6968">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416E1" w14:textId="77777777" w:rsidR="00E167A9" w:rsidRDefault="00E167A9" w:rsidP="005D6968">
    <w:pPr>
      <w:pStyle w:val="Piedepgina"/>
      <w:rPr>
        <w:rFonts w:ascii="Arial" w:hAnsi="Arial" w:cs="Arial"/>
      </w:rPr>
    </w:pPr>
  </w:p>
  <w:p w14:paraId="619EA4B5" w14:textId="77777777" w:rsidR="00E167A9" w:rsidRPr="005D6968" w:rsidRDefault="00E167A9" w:rsidP="005D6968">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4AB65" w14:textId="77777777" w:rsidR="00BC4C9B" w:rsidRDefault="00BC4C9B">
      <w:r>
        <w:separator/>
      </w:r>
    </w:p>
  </w:footnote>
  <w:footnote w:type="continuationSeparator" w:id="0">
    <w:p w14:paraId="0D22A29D" w14:textId="77777777" w:rsidR="00BC4C9B" w:rsidRDefault="00BC4C9B">
      <w:r>
        <w:continuationSeparator/>
      </w:r>
    </w:p>
  </w:footnote>
  <w:footnote w:id="1">
    <w:p w14:paraId="5517769D" w14:textId="62AD12ED" w:rsidR="00BB4563" w:rsidRPr="00BB4563" w:rsidRDefault="00BB4563" w:rsidP="00BB4563">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Por parámetro de control esta Suprema Corte de Justicia de la Nación ha entendido la individualización del criterio de validez u objeto de contraste para evaluar la regularidad de una norma secundaria. La fijación de ese criterio de validez requiere de una serie de operaciones interpretativas, pues supone incluir no sólo el texto constitucional, sino todas aquellas adicionales que deben incorporarse, como tratados internacionales de los que el Estado mexicano sea parte, en los que se reconozcan derechos humanos, la jurisprudencia de los tribunales internacionales que interpreten esos instrumentos, así como la jurisprudencia nacional en materia constitucional. Véase la jurisprudencia 20/2014, visible en la página 202 (abril de 2014), Tomo I de la Gaceta del Semanario Judicial de la Federación, de rubro: “DERECHOS HUMANOS CONTENIDOS EN LA CONSTITUCIÓN Y EN LOS TRATADOS INTERNACIONALES. CONSTITUYEN EL PARÁMETRO DE CONTROL DE REGULARIDAD CONSTITUCIONAL, PERO CUANDO EN LA CONSTITUCIÓN HAYA UNA RESTRICCIÓN EXPRESA AL EJERCICIO DE AQUÉLLOS, SE DEBE ESTAR A LO QUE ESTABLECE EL TEXTO CONSTITUCIONAL.”</w:t>
      </w:r>
    </w:p>
  </w:footnote>
  <w:footnote w:id="2">
    <w:p w14:paraId="551D6AB2" w14:textId="053E8AB6" w:rsidR="00A735BB" w:rsidRPr="008412B6" w:rsidRDefault="00A735BB" w:rsidP="000748D4">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En teoría económica la frase “race to the bottom”, que podría traducirse como una competencia hasta el fondo, se refiere a una competencia agresiva que</w:t>
      </w:r>
      <w:r w:rsidR="000748D4" w:rsidRPr="00F03A81">
        <w:rPr>
          <w:rFonts w:ascii="Arial" w:hAnsi="Arial" w:cs="Arial"/>
        </w:rPr>
        <w:t>, en ausencia de reglas formales que lo impidan,</w:t>
      </w:r>
      <w:r w:rsidRPr="00F03A81">
        <w:rPr>
          <w:rFonts w:ascii="Arial" w:hAnsi="Arial" w:cs="Arial"/>
        </w:rPr>
        <w:t xml:space="preserve"> incluye conductas que pued</w:t>
      </w:r>
      <w:r w:rsidR="000748D4" w:rsidRPr="00F03A81">
        <w:rPr>
          <w:rFonts w:ascii="Arial" w:hAnsi="Arial" w:cs="Arial"/>
        </w:rPr>
        <w:t>a</w:t>
      </w:r>
      <w:r w:rsidRPr="00F03A81">
        <w:rPr>
          <w:rFonts w:ascii="Arial" w:hAnsi="Arial" w:cs="Arial"/>
        </w:rPr>
        <w:t>n avanzar la posición de un agente para ser vencedor, pero con efectos perjudiciales para la colectividad.</w:t>
      </w:r>
      <w:r w:rsidR="00FF01DE" w:rsidRPr="00F03A81">
        <w:rPr>
          <w:rFonts w:ascii="Arial" w:hAnsi="Arial" w:cs="Arial"/>
        </w:rPr>
        <w:t xml:space="preserve"> </w:t>
      </w:r>
      <w:r w:rsidR="008412B6" w:rsidRPr="00F03A81">
        <w:rPr>
          <w:rFonts w:ascii="Arial" w:hAnsi="Arial" w:cs="Arial"/>
        </w:rPr>
        <w:t>Para consultar un debate sobre esta práctica y el medio ambiente ver  Richard L. Revesz, “Rehabilitating Interstate Competition: Rethinking the Race-to-the-Bottom Rationale for Enviromental Regulation (1992) 67:6 NYU L. Rev 1210.</w:t>
      </w:r>
    </w:p>
  </w:footnote>
  <w:footnote w:id="3">
    <w:p w14:paraId="6E0C984A" w14:textId="3E3420EC" w:rsidR="00C91BC5" w:rsidRPr="00C11C98" w:rsidRDefault="00C91BC5" w:rsidP="00C91BC5">
      <w:pPr>
        <w:pStyle w:val="Textonotapie"/>
        <w:jc w:val="both"/>
        <w:rPr>
          <w:rFonts w:ascii="Arial" w:hAnsi="Arial" w:cs="Arial"/>
        </w:rPr>
      </w:pPr>
      <w:r w:rsidRPr="00C11C98">
        <w:rPr>
          <w:rStyle w:val="Refdenotaalpie"/>
          <w:rFonts w:ascii="Arial" w:hAnsi="Arial" w:cs="Arial"/>
        </w:rPr>
        <w:footnoteRef/>
      </w:r>
      <w:r w:rsidRPr="00C11C98">
        <w:rPr>
          <w:rFonts w:ascii="Arial" w:hAnsi="Arial" w:cs="Arial"/>
        </w:rPr>
        <w:t xml:space="preserve"> Existen dos formas de medir los costos de producción. Uno es el costo de producción uni</w:t>
      </w:r>
      <w:r w:rsidR="004B11E9">
        <w:rPr>
          <w:rFonts w:ascii="Arial" w:hAnsi="Arial" w:cs="Arial"/>
        </w:rPr>
        <w:t>t</w:t>
      </w:r>
      <w:r w:rsidRPr="00C11C98">
        <w:rPr>
          <w:rFonts w:ascii="Arial" w:hAnsi="Arial" w:cs="Arial"/>
        </w:rPr>
        <w:t xml:space="preserve">ario y otro es el costo marginal. El primero consiste en la sumatoria del costo total entre el número de unidades producidas. En </w:t>
      </w:r>
      <w:r w:rsidR="004B11E9" w:rsidRPr="00C11C98">
        <w:rPr>
          <w:rFonts w:ascii="Arial" w:hAnsi="Arial" w:cs="Arial"/>
        </w:rPr>
        <w:t>cambio,</w:t>
      </w:r>
      <w:r w:rsidRPr="00C11C98">
        <w:rPr>
          <w:rFonts w:ascii="Arial" w:hAnsi="Arial" w:cs="Arial"/>
        </w:rPr>
        <w:t xml:space="preserve"> </w:t>
      </w:r>
      <w:r w:rsidR="004B11E9">
        <w:rPr>
          <w:rFonts w:ascii="Arial" w:hAnsi="Arial" w:cs="Arial"/>
        </w:rPr>
        <w:t>el</w:t>
      </w:r>
      <w:r w:rsidRPr="00C11C98">
        <w:rPr>
          <w:rFonts w:ascii="Arial" w:hAnsi="Arial" w:cs="Arial"/>
        </w:rPr>
        <w:t xml:space="preserve"> costo marginal es el costo de oportunidad de producir una unidad más de un bien o servicio. Ver Michael Parkin, Microeconomía, Quinta Edición, Addison Wesley.</w:t>
      </w:r>
    </w:p>
  </w:footnote>
  <w:footnote w:id="4">
    <w:p w14:paraId="7AC62139" w14:textId="7BA8EC94" w:rsidR="00BB4563" w:rsidRPr="00F03A81" w:rsidRDefault="00BB4563" w:rsidP="00F03A81">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El orden de desp</w:t>
      </w:r>
      <w:r w:rsidR="008B26D2" w:rsidRPr="00F03A81">
        <w:rPr>
          <w:rFonts w:ascii="Arial" w:hAnsi="Arial" w:cs="Arial"/>
        </w:rPr>
        <w:t>a</w:t>
      </w:r>
      <w:r w:rsidRPr="00F03A81">
        <w:rPr>
          <w:rFonts w:ascii="Arial" w:hAnsi="Arial" w:cs="Arial"/>
        </w:rPr>
        <w:t>cho se refiere a los criterios aplicables para abastecer la demanda en el mercado eléctrico. El artículo 101 de la ley de Industria Eléctrica hace referencia a este concepto en los siguientes términos: “Con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Lo anterior, considerando los Contratos de Cobertura Eléctrica con Compromiso de Entrega Física.”</w:t>
      </w:r>
    </w:p>
  </w:footnote>
  <w:footnote w:id="5">
    <w:p w14:paraId="293022C5" w14:textId="2245C0E8" w:rsidR="00BB4563" w:rsidRPr="00F03A81" w:rsidRDefault="00BB4563" w:rsidP="00F03A81">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El artículo 3, fracción XII Bis de la Ley de la Industria Eléctrica lo definde de la siguiente manera: “Acuerdo entre un Suministrador de Servicios Básicos y un Generador mediante el cual se obligan a la compraventa de energía eléctrica o Productos Asociados en una hora o fecha futura y determinada, con el compromiso de realizar la entrega física de la energía, Servicios Conexos o Potencia establecidos, y para lo cual el Generador presentará al CENACE los programas de generación de las Centrales Eléctricas que formen parte del Contrato mediante ofertas de programa fijo en el Mercado Eléctrico Mayorista, conforme a las Reglas del Mercado;”</w:t>
      </w:r>
    </w:p>
  </w:footnote>
  <w:footnote w:id="6">
    <w:p w14:paraId="78576415" w14:textId="46F93A46" w:rsidR="00BB4563" w:rsidRPr="00F03A81" w:rsidRDefault="00BB4563" w:rsidP="00F03A81">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La fracción XXII del artículo 3 de la misma legislación de la materia, las define de la siguiente manera: “Energías Limpias: Aquellas fuentes de energía y procesos de generación de electricidad cuyas emisiones o residuos, cuando los haya, no rebasen los umbrales establecidos en las disposiciones reglamentarias que para tal efecto se expidan. Entre las Energías Limpias se consideran las siguientes: a) El viento; b) La radiación solar, en todas sus formas; c) La energía oceánica en sus distintas formas: maremotriz, maremotérmica, de las olas, de las corrientes marinas y del gradiente de concentración de sal; d) El calor de los yacimientos geotérmicos; e) Los bioenergéticos que determine</w:t>
      </w:r>
      <w:r w:rsidR="00C53CD2">
        <w:rPr>
          <w:rFonts w:ascii="Arial" w:hAnsi="Arial" w:cs="Arial"/>
        </w:rPr>
        <w:t>n</w:t>
      </w:r>
      <w:r w:rsidRPr="00F03A81">
        <w:rPr>
          <w:rFonts w:ascii="Arial" w:hAnsi="Arial" w:cs="Arial"/>
        </w:rPr>
        <w:t xml:space="preserve"> la Ley de Promoción y Desarrollo de los Bioenergéticos; f) La energía generada por el aprovechamiento del poder calorífico del metano y otros gases asociados en los sitios de disposición de residuos, granjas pecuarias y en las plantas de tratamiento de aguas residuales, entre otros; g) La energía generada por el aprovechamiento del hidrógeno mediante su combustión o su uso en celdas de combustible, siempre y cuando se cumpla con la eficiencia mínima que establezca la CRE y los criterios de emisiones establecidos por la Secretaría de Medio Ambiente y Recursos Naturales en su ciclo de vida; h) La energía proveniente de centrales hidroeléctricas; i) La energía nucleoeléctrica; j) La energía generada con los productos del procesamiento de esquilmos agrícolas o residuos sólidos urbanos (como gasificación o plasma molecular), cuando dicho procesamiento no genere dioxinas y furanos u otras emisiones que puedan afectar a la salud o al medio ambiente y cumpla con las normas oficiales mexicanas que al efecto emita la Secretaría de Medio Ambiente y Recursos Naturales; k) La energía generada por centrales de cogeneración eficiente en términos de los criterios de eficiencia emitidos por la CRE y de emisiones establecidos por la Secretaría de Medio Ambiente y Recursos Naturales; l) La energía generada por ingenios azucareros que cumplan con los criterios de eficiencia que establezca la CRE y de emisiones establecidos por la Secretaría de Medio Ambiente y Recursos Naturales; m) La energía generada por centrales térmicas con procesos de captura y almacenamiento geológico o biosecuestro de bióxido de carbono que tengan una eficiencia igual o superior en términos de kWh-generado por tonelada de bióxido de carbono equivalente emitida a la atmósfera a la eficiencia mínima que establezca la CRE y los criterios de emisiones establecidos por la Secretaría de Medio Ambiente y Recursos Naturales; n) Tecnologías consideradas de bajas emisiones de carbono conforme a estándares internacionales, y o) Otras tecnologías que determinen la Secretaría y la Secretaría de Medio Ambiente y Recursos Naturales, con base en parámetros y normas de eficiencia energética e hídrica, emisiones a la atmósfera y generación de residuos, de manera directa, indirecta o en ciclo de vida;</w:t>
      </w:r>
    </w:p>
  </w:footnote>
  <w:footnote w:id="7">
    <w:p w14:paraId="65B00EB1" w14:textId="6D7169D5" w:rsidR="00BB4563" w:rsidRPr="00F03A81" w:rsidRDefault="00BB4563" w:rsidP="00F03A81">
      <w:pPr>
        <w:jc w:val="both"/>
        <w:rPr>
          <w:rFonts w:ascii="Arial" w:hAnsi="Arial" w:cs="Arial"/>
          <w:sz w:val="20"/>
          <w:szCs w:val="20"/>
        </w:rPr>
      </w:pPr>
      <w:r w:rsidRPr="00F03A81">
        <w:rPr>
          <w:rStyle w:val="Refdenotaalpie"/>
          <w:rFonts w:ascii="Arial" w:hAnsi="Arial" w:cs="Arial"/>
          <w:sz w:val="20"/>
          <w:szCs w:val="20"/>
        </w:rPr>
        <w:footnoteRef/>
      </w:r>
      <w:r w:rsidRPr="00F03A81">
        <w:rPr>
          <w:rFonts w:ascii="Arial" w:hAnsi="Arial" w:cs="Arial"/>
          <w:sz w:val="20"/>
          <w:szCs w:val="20"/>
        </w:rPr>
        <w:t xml:space="preserve"> El artículo 3, fracción V de la Ley de la Industria Eléctrica la define de la siguiente manera: Central Eléctrica Legada: Central Eléctrica que no se incluye en un permiso para generar energía eléctrica bajo la modalidad de autoabastecimiento, cogeneración, pequeña producción, producción independiente o usos propios continuos, y: a) Es propiedad de los organismos, entidades o empresas del Estado, y b) Cuya construcción y entrega sea con independencia de su modalidad de financiamiento;</w:t>
      </w:r>
    </w:p>
  </w:footnote>
  <w:footnote w:id="8">
    <w:p w14:paraId="799D2234" w14:textId="2F5F188F" w:rsidR="00BB4563" w:rsidRPr="00F03A81" w:rsidRDefault="00BB4563" w:rsidP="00F03A81">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Por su parte, la fracción VI del mismo dispositivo 3 de la legislación de la materia lo define de la siguiente manera: “Central Eléctrica que, a la entrada en vigor de la presente Ley: a) Se incluye en un permiso para generar energía eléctrica bajo la modalidad de producción independiente, o b) Cuya construcción y operación se ha incluido en el Presupuesto de Egresos de la Federación en modalidad de inversión condicionada;”</w:t>
      </w:r>
    </w:p>
  </w:footnote>
  <w:footnote w:id="9">
    <w:p w14:paraId="541FA13C" w14:textId="36D4CDC4" w:rsidR="00BB4563" w:rsidRPr="00C457A8" w:rsidRDefault="00BB4563" w:rsidP="00F03A81">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La fracción VIII del multicitado artículo 3 de la ley de la materia establece la siguiente definición: “Certificado de Energías Limpias: Título emitido por la CRE que acredita la producción de un monto determinado de energía eléctrica a partir de Energías Limpias y que sirve para cumplir los requisitos asociados al consumo de los Centros de Carga”</w:t>
      </w:r>
    </w:p>
  </w:footnote>
  <w:footnote w:id="10">
    <w:p w14:paraId="169AFC34" w14:textId="4D60BE1E" w:rsidR="00BB4563" w:rsidRPr="00863D33" w:rsidRDefault="00BB4563" w:rsidP="00863D33">
      <w:pPr>
        <w:pStyle w:val="Textonotapie"/>
        <w:jc w:val="both"/>
        <w:rPr>
          <w:rFonts w:ascii="Arial" w:hAnsi="Arial" w:cs="Arial"/>
        </w:rPr>
      </w:pPr>
      <w:r>
        <w:rPr>
          <w:rStyle w:val="Refdenotaalpie"/>
        </w:rPr>
        <w:footnoteRef/>
      </w:r>
      <w:r>
        <w:t xml:space="preserve"> </w:t>
      </w:r>
      <w:r w:rsidRPr="00863D33">
        <w:rPr>
          <w:rFonts w:ascii="Arial" w:hAnsi="Arial" w:cs="Arial"/>
        </w:rPr>
        <w:t>La fracción XLIV del artículo 3 de la ley de la materia lo define de la siguiente manera: “: El sistema integrado por: a) La Red Nacional de Transmisión; b) Las Redes Generales de Distribución; c) Las Centrales Eléctricas que entregan energía eléctrica a la Red Nacional de Transmisión o a las Redes Generales de Distribución; d) Los equipos e instalaciones del CENACE utilizados para llevar a cabo el Control Operativo del Sistema Eléctrico Nacional, y e) Los demás elementos que determine la Secretaría;”</w:t>
      </w:r>
    </w:p>
  </w:footnote>
  <w:footnote w:id="11">
    <w:p w14:paraId="6D3DAB91" w14:textId="04B3DFC2" w:rsidR="00BB4563" w:rsidRPr="00BB4563" w:rsidRDefault="00BB4563" w:rsidP="00BB4563">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En </w:t>
      </w:r>
      <w:r w:rsidR="00745C84" w:rsidRPr="00F03A81">
        <w:rPr>
          <w:rFonts w:ascii="Arial" w:hAnsi="Arial" w:cs="Arial"/>
        </w:rPr>
        <w:t>las sesiones</w:t>
      </w:r>
      <w:r w:rsidRPr="00F03A81">
        <w:rPr>
          <w:rFonts w:ascii="Arial" w:hAnsi="Arial" w:cs="Arial"/>
        </w:rPr>
        <w:t xml:space="preserve"> en las cuales se discutió el presente asunto me pronuncié en el sentido de que las normas impugnadas debían reconocerse como válidas desde la perspectiva de los principios de libre competencia y concurrencia, pero que debían declararse inválidas desde la perspectiva del derecho humano al medio ambiente. Este lenguaje es equivalente a concluir que el argumento de la parte actora es infundado en un </w:t>
      </w:r>
      <w:r w:rsidR="00745C84" w:rsidRPr="00F03A81">
        <w:rPr>
          <w:rFonts w:ascii="Arial" w:hAnsi="Arial" w:cs="Arial"/>
        </w:rPr>
        <w:t>aspecto,</w:t>
      </w:r>
      <w:r w:rsidRPr="00F03A81">
        <w:rPr>
          <w:rFonts w:ascii="Arial" w:hAnsi="Arial" w:cs="Arial"/>
        </w:rPr>
        <w:t xml:space="preserve"> pero fundado en otro. En nuestra práctica judicial, cuando un planteamiento de inconstitucionalidad se califica como infundado</w:t>
      </w:r>
      <w:r w:rsidR="00FD5B8E" w:rsidRPr="00F03A81">
        <w:rPr>
          <w:rFonts w:ascii="Arial" w:hAnsi="Arial" w:cs="Arial"/>
        </w:rPr>
        <w:t xml:space="preserve">, </w:t>
      </w:r>
      <w:r w:rsidRPr="00F03A81">
        <w:rPr>
          <w:rFonts w:ascii="Arial" w:hAnsi="Arial" w:cs="Arial"/>
        </w:rPr>
        <w:t>la norma es válida desde la perspectiva del parámetro invocado por la parte quejosa en ese pla</w:t>
      </w:r>
      <w:r w:rsidR="00D13EF5" w:rsidRPr="00F03A81">
        <w:rPr>
          <w:rFonts w:ascii="Arial" w:hAnsi="Arial" w:cs="Arial"/>
        </w:rPr>
        <w:t>n</w:t>
      </w:r>
      <w:r w:rsidRPr="00F03A81">
        <w:rPr>
          <w:rFonts w:ascii="Arial" w:hAnsi="Arial" w:cs="Arial"/>
        </w:rPr>
        <w:t>te</w:t>
      </w:r>
      <w:r w:rsidR="00D13EF5" w:rsidRPr="00F03A81">
        <w:rPr>
          <w:rFonts w:ascii="Arial" w:hAnsi="Arial" w:cs="Arial"/>
        </w:rPr>
        <w:t>a</w:t>
      </w:r>
      <w:r w:rsidRPr="00F03A81">
        <w:rPr>
          <w:rFonts w:ascii="Arial" w:hAnsi="Arial" w:cs="Arial"/>
        </w:rPr>
        <w:t>miento, lo que no signifi</w:t>
      </w:r>
      <w:r w:rsidR="00FD5B8E" w:rsidRPr="00F03A81">
        <w:rPr>
          <w:rFonts w:ascii="Arial" w:hAnsi="Arial" w:cs="Arial"/>
        </w:rPr>
        <w:t>ca</w:t>
      </w:r>
      <w:r w:rsidRPr="00F03A81">
        <w:rPr>
          <w:rFonts w:ascii="Arial" w:hAnsi="Arial" w:cs="Arial"/>
        </w:rPr>
        <w:t xml:space="preserve"> que esa norma </w:t>
      </w:r>
      <w:r w:rsidR="00FD5B8E" w:rsidRPr="00F03A81">
        <w:rPr>
          <w:rFonts w:ascii="Arial" w:hAnsi="Arial" w:cs="Arial"/>
        </w:rPr>
        <w:t xml:space="preserve">resultara </w:t>
      </w:r>
      <w:r w:rsidRPr="00F03A81">
        <w:rPr>
          <w:rFonts w:ascii="Arial" w:hAnsi="Arial" w:cs="Arial"/>
        </w:rPr>
        <w:t>inválida desde otro parámetro. En consecuencia, para homol</w:t>
      </w:r>
      <w:r w:rsidR="00554167" w:rsidRPr="00F03A81">
        <w:rPr>
          <w:rFonts w:ascii="Arial" w:hAnsi="Arial" w:cs="Arial"/>
        </w:rPr>
        <w:t xml:space="preserve">ogar </w:t>
      </w:r>
      <w:r w:rsidRPr="00F03A81">
        <w:rPr>
          <w:rFonts w:ascii="Arial" w:hAnsi="Arial" w:cs="Arial"/>
        </w:rPr>
        <w:t>los términos expositivos en adelante me referiré a los calificativos fundado/ infundado para sustentar mi argumentación</w:t>
      </w:r>
      <w:r w:rsidR="00D148A1" w:rsidRPr="00F03A81">
        <w:rPr>
          <w:rFonts w:ascii="Arial" w:hAnsi="Arial" w:cs="Arial"/>
        </w:rPr>
        <w:t xml:space="preserve">. Debe entenderse </w:t>
      </w:r>
      <w:r w:rsidRPr="00F03A81">
        <w:rPr>
          <w:rFonts w:ascii="Arial" w:hAnsi="Arial" w:cs="Arial"/>
        </w:rPr>
        <w:t xml:space="preserve">que cuando utilice </w:t>
      </w:r>
      <w:r w:rsidR="00720EAA" w:rsidRPr="00F03A81">
        <w:rPr>
          <w:rFonts w:ascii="Arial" w:hAnsi="Arial" w:cs="Arial"/>
        </w:rPr>
        <w:t>la expresión “</w:t>
      </w:r>
      <w:r w:rsidRPr="00F03A81">
        <w:rPr>
          <w:rFonts w:ascii="Arial" w:hAnsi="Arial" w:cs="Arial"/>
        </w:rPr>
        <w:t>infundado</w:t>
      </w:r>
      <w:r w:rsidR="00720EAA" w:rsidRPr="00F03A81">
        <w:rPr>
          <w:rFonts w:ascii="Arial" w:hAnsi="Arial" w:cs="Arial"/>
        </w:rPr>
        <w:t>”</w:t>
      </w:r>
      <w:r w:rsidRPr="00F03A81">
        <w:rPr>
          <w:rFonts w:ascii="Arial" w:hAnsi="Arial" w:cs="Arial"/>
        </w:rPr>
        <w:t xml:space="preserve"> me refiero a que la norma es válida desde la perspectiva del contenido constitucional invocado como parámetro</w:t>
      </w:r>
      <w:r w:rsidR="00720EAA" w:rsidRPr="00F03A81">
        <w:rPr>
          <w:rFonts w:ascii="Arial" w:hAnsi="Arial" w:cs="Arial"/>
        </w:rPr>
        <w:t xml:space="preserve">. Cuando utilice la expresión “fundado” </w:t>
      </w:r>
      <w:r w:rsidRPr="00F03A81">
        <w:rPr>
          <w:rFonts w:ascii="Arial" w:hAnsi="Arial" w:cs="Arial"/>
        </w:rPr>
        <w:t>es porque la norma es inválida desde ese otro contenido. Por razones técnicas, esta Corte ha determinado que cuando se califique como fundado un concepto de invalidez y éste sea suficiente para lograr su expulsión del ordenamiento jurídico, es innecesario agotar el estudio de los demás planteamientos. Esta regla t</w:t>
      </w:r>
      <w:r w:rsidR="00554167" w:rsidRPr="00F03A81">
        <w:rPr>
          <w:rFonts w:ascii="Arial" w:hAnsi="Arial" w:cs="Arial"/>
        </w:rPr>
        <w:t>é</w:t>
      </w:r>
      <w:r w:rsidRPr="00F03A81">
        <w:rPr>
          <w:rFonts w:ascii="Arial" w:hAnsi="Arial" w:cs="Arial"/>
        </w:rPr>
        <w:t>cnica implica que si se estudian previamente planteamientos que se califican como infundados, el juzgador debe proseguir al estudio de los demás hasta que se califique alguno como fundado. Para mayor referencia véase la tesis de jurisprudencia 42/2013 del Pleno de esta Suprema Corte, visible en la página  356 del Libro 2 (enero de 2014), Tomo I de la Gaceta del Semanario Judicial de la Federación, de rubro: “ACCIÓN DE INCONSTITUCIONALIDAD. RESULTA INNECESARIO PRONUNCIARSE SOBRE LOS CONCEPTOS DE INVALIDEZ PLANTEADOS EN LA DEMANDA CUANDO SE ADVIERTE UN VICIO DE INCONSTITUCIONALIDAD QUE PROVOCA LA NULIDAD TOTAL DEL ACTO LEGISLATIVO IMPUGNADO.”</w:t>
      </w:r>
    </w:p>
  </w:footnote>
  <w:footnote w:id="12">
    <w:p w14:paraId="40F90AC1" w14:textId="3476F72F" w:rsidR="009029F1" w:rsidRPr="00BB4563" w:rsidRDefault="009029F1" w:rsidP="00BB4563">
      <w:pPr>
        <w:pStyle w:val="Textonotapie"/>
        <w:jc w:val="both"/>
        <w:rPr>
          <w:rFonts w:ascii="Arial" w:hAnsi="Arial" w:cs="Arial"/>
          <w:lang w:val="es-ES_tradnl"/>
        </w:rPr>
      </w:pPr>
      <w:r w:rsidRPr="00BB4563">
        <w:rPr>
          <w:rStyle w:val="Refdenotaalpie"/>
          <w:rFonts w:ascii="Arial" w:hAnsi="Arial" w:cs="Arial"/>
        </w:rPr>
        <w:footnoteRef/>
      </w:r>
      <w:r w:rsidRPr="00BB4563">
        <w:rPr>
          <w:rFonts w:ascii="Arial" w:hAnsi="Arial" w:cs="Arial"/>
        </w:rPr>
        <w:t xml:space="preserve"> </w:t>
      </w:r>
      <w:r w:rsidR="00C82A0D" w:rsidRPr="00BB4563">
        <w:rPr>
          <w:rFonts w:ascii="Arial" w:hAnsi="Arial" w:cs="Arial"/>
          <w:lang w:val="es-ES_tradnl"/>
        </w:rPr>
        <w:t xml:space="preserve">Ver, por ejemplo, la tesis de jurisprudencia 42/2015 de la Primera Sala, visible en la página 563 del Libro 19 (junio de 2015), Tomo I de la </w:t>
      </w:r>
      <w:r w:rsidR="009E408F" w:rsidRPr="00BB4563">
        <w:rPr>
          <w:rFonts w:ascii="Arial" w:hAnsi="Arial" w:cs="Arial"/>
          <w:lang w:val="es-ES_tradnl"/>
        </w:rPr>
        <w:t>Gaceta del Semanario Judicial de la Federación, de rubro: “PATRIA POTESTAD. SU CONFIGURACIÓN COMO UNA INSTITUCIÓN ESTABLECIDA EN BENEFICIO DE LOS HIJOS.” Recientemente, el cambio de doctrina que ha llevado a sustituir</w:t>
      </w:r>
      <w:r w:rsidR="00D45993" w:rsidRPr="00BB4563">
        <w:rPr>
          <w:rFonts w:ascii="Arial" w:hAnsi="Arial" w:cs="Arial"/>
          <w:lang w:val="es-ES_tradnl"/>
        </w:rPr>
        <w:t xml:space="preserve"> como parámetro central a la libertad personal de los progenitores por el interés superior de los menores para evaluar las leyes que </w:t>
      </w:r>
      <w:r w:rsidR="00D95B9D" w:rsidRPr="00BB4563">
        <w:rPr>
          <w:rFonts w:ascii="Arial" w:hAnsi="Arial" w:cs="Arial"/>
          <w:lang w:val="es-ES_tradnl"/>
        </w:rPr>
        <w:t>regulan</w:t>
      </w:r>
      <w:r w:rsidR="00D45993" w:rsidRPr="00BB4563">
        <w:rPr>
          <w:rFonts w:ascii="Arial" w:hAnsi="Arial" w:cs="Arial"/>
          <w:lang w:val="es-ES_tradnl"/>
        </w:rPr>
        <w:t xml:space="preserve"> sus relaciones familiares, llevo a la Primera Sala a emitir la tesis aislada XLIX/2020 visible en la página 941 del Libro 80 (noviembre de 2020), Tomo I de la Gaceta del Semanario Judicial de la Federación, de rubro: “CASTIGO CORPORAL COMO MÉTODO DE DISCIPLINA. LOS MALTRATOS Y AGRESIONES FÍSICAS CONTRA MENORES DE EDAD, SEAN LEVES, MODERADOS O GRAVES, SON CONTRARIOS A SU DIGNIDAD HUMANA Y VULNERAN SU DERECHO A LA INTEGRIDAD PERSONAL.”</w:t>
      </w:r>
    </w:p>
  </w:footnote>
  <w:footnote w:id="13">
    <w:p w14:paraId="0CD8B2BA" w14:textId="0F98EA01" w:rsidR="00D45993" w:rsidRPr="00BB4563" w:rsidRDefault="00D45993" w:rsidP="00BB4563">
      <w:pPr>
        <w:pStyle w:val="Textonotapie"/>
        <w:jc w:val="both"/>
        <w:rPr>
          <w:rFonts w:ascii="Arial" w:hAnsi="Arial" w:cs="Arial"/>
          <w:lang w:val="es-ES_tradnl"/>
        </w:rPr>
      </w:pPr>
      <w:r w:rsidRPr="00BB4563">
        <w:rPr>
          <w:rStyle w:val="Refdenotaalpie"/>
          <w:rFonts w:ascii="Arial" w:hAnsi="Arial" w:cs="Arial"/>
        </w:rPr>
        <w:footnoteRef/>
      </w:r>
      <w:r w:rsidRPr="00BB4563">
        <w:rPr>
          <w:rFonts w:ascii="Arial" w:hAnsi="Arial" w:cs="Arial"/>
        </w:rPr>
        <w:t xml:space="preserve"> </w:t>
      </w:r>
      <w:r w:rsidR="00661801" w:rsidRPr="00BB4563">
        <w:rPr>
          <w:rFonts w:ascii="Arial" w:hAnsi="Arial" w:cs="Arial"/>
          <w:lang w:val="es-ES_tradnl"/>
        </w:rPr>
        <w:t>Ver, por ejemplo, la tesis aislada CXXIII/2019 de la Primera Sala de esta Suprema Corte, visible en la página 327 del Libro 73 (diciembre de 2019), Tomo I de la Gaceta, del Semanario Judicial de la Federación, de rubro:</w:t>
      </w:r>
      <w:r w:rsidR="00304EA9" w:rsidRPr="00BB4563">
        <w:rPr>
          <w:rFonts w:ascii="Arial" w:hAnsi="Arial" w:cs="Arial"/>
          <w:lang w:val="es-ES_tradnl"/>
        </w:rPr>
        <w:t xml:space="preserve"> “DISCURSOS DE ODIO. LOS EXPRESADOS EN ÁMBITOS PRIVADOS DE ÍNDOLE LABORAL, ANTE PERSONAS CONCRETAS DESTINATARIAS DE </w:t>
      </w:r>
      <w:proofErr w:type="gramStart"/>
      <w:r w:rsidR="00304EA9" w:rsidRPr="00BB4563">
        <w:rPr>
          <w:rFonts w:ascii="Arial" w:hAnsi="Arial" w:cs="Arial"/>
          <w:lang w:val="es-ES_tradnl"/>
        </w:rPr>
        <w:t>LOS MISMOS</w:t>
      </w:r>
      <w:proofErr w:type="gramEnd"/>
      <w:r w:rsidR="00304EA9" w:rsidRPr="00BB4563">
        <w:rPr>
          <w:rFonts w:ascii="Arial" w:hAnsi="Arial" w:cs="Arial"/>
          <w:lang w:val="es-ES_tradnl"/>
        </w:rPr>
        <w:t>, CARECEN DE PROTECCIÓN CONSTITUCONAL, POR LO QUE LAS VÍCTIMAS NO TIENEN EL DEBER JURÍDICO DE TOLERARLOS.”</w:t>
      </w:r>
    </w:p>
  </w:footnote>
  <w:footnote w:id="14">
    <w:p w14:paraId="168933AD" w14:textId="585C8830" w:rsidR="009F6428" w:rsidRPr="00BB4563" w:rsidRDefault="009F6428" w:rsidP="00BB4563">
      <w:pPr>
        <w:pStyle w:val="Textonotapie"/>
        <w:jc w:val="both"/>
        <w:rPr>
          <w:rFonts w:ascii="Arial" w:hAnsi="Arial" w:cs="Arial"/>
          <w:lang w:val="es-ES_tradnl"/>
        </w:rPr>
      </w:pPr>
      <w:r w:rsidRPr="00BB4563">
        <w:rPr>
          <w:rStyle w:val="Refdenotaalpie"/>
          <w:rFonts w:ascii="Arial" w:hAnsi="Arial" w:cs="Arial"/>
        </w:rPr>
        <w:footnoteRef/>
      </w:r>
      <w:r w:rsidRPr="00BB4563">
        <w:rPr>
          <w:rFonts w:ascii="Arial" w:hAnsi="Arial" w:cs="Arial"/>
        </w:rPr>
        <w:t xml:space="preserve"> </w:t>
      </w:r>
      <w:r w:rsidRPr="00BB4563">
        <w:rPr>
          <w:rFonts w:ascii="Arial" w:hAnsi="Arial" w:cs="Arial"/>
          <w:lang w:val="es-ES_tradnl"/>
        </w:rPr>
        <w:t>Ver, por ejemplo, la tesis aislada de la Primera Sala, visible en la página 793 del Tomo XXV (mayo de 2007) del Semanario Judicial de la Federación y su Gaceta, de rubro: “GARANTÍA A LA IMPARTICIÓN DE JUSTICIA COMPLETA TUTELADA EN EL ARTÍCULO 17 DE LA CONSTITUCIÓN POLÍTICA DE LOS ESTADOS UNIDOS MEXICANOS. SUS ALCANCES.”</w:t>
      </w:r>
    </w:p>
  </w:footnote>
  <w:footnote w:id="15">
    <w:p w14:paraId="5EDC67EF" w14:textId="5308407E" w:rsidR="007608AA" w:rsidRPr="007608AA" w:rsidRDefault="007608AA" w:rsidP="007608AA">
      <w:pPr>
        <w:pStyle w:val="Textonotapie"/>
        <w:jc w:val="both"/>
        <w:rPr>
          <w:rFonts w:ascii="Arial" w:hAnsi="Arial" w:cs="Arial"/>
        </w:rPr>
      </w:pPr>
      <w:r w:rsidRPr="007608AA">
        <w:rPr>
          <w:rStyle w:val="Refdenotaalpie"/>
          <w:rFonts w:ascii="Arial" w:hAnsi="Arial" w:cs="Arial"/>
        </w:rPr>
        <w:footnoteRef/>
      </w:r>
      <w:r w:rsidRPr="007608AA">
        <w:rPr>
          <w:rFonts w:ascii="Arial" w:hAnsi="Arial" w:cs="Arial"/>
        </w:rPr>
        <w:t xml:space="preserve"> Esta consideración no subsiste en el engrose de la sentencia</w:t>
      </w:r>
      <w:r w:rsidR="002A7B40">
        <w:rPr>
          <w:rFonts w:ascii="Arial" w:hAnsi="Arial" w:cs="Arial"/>
        </w:rPr>
        <w:t>. Se contenía en el apartado previo al estudio de fondo del proyecto original sometido a consideración de los integrantes de este Pleno</w:t>
      </w:r>
      <w:r w:rsidRPr="007608AA">
        <w:rPr>
          <w:rFonts w:ascii="Arial" w:hAnsi="Arial" w:cs="Arial"/>
        </w:rPr>
        <w:t>.</w:t>
      </w:r>
    </w:p>
  </w:footnote>
  <w:footnote w:id="16">
    <w:p w14:paraId="4544F53B" w14:textId="6A04A87A" w:rsidR="00A9402C" w:rsidRPr="00A9402C" w:rsidRDefault="00A9402C" w:rsidP="00A9402C">
      <w:pPr>
        <w:pStyle w:val="Textonotapie"/>
        <w:jc w:val="both"/>
        <w:rPr>
          <w:rFonts w:ascii="Arial" w:hAnsi="Arial" w:cs="Arial"/>
        </w:rPr>
      </w:pPr>
      <w:r w:rsidRPr="00B809C7">
        <w:rPr>
          <w:rStyle w:val="Refdenotaalpie"/>
          <w:rFonts w:ascii="Arial" w:hAnsi="Arial" w:cs="Arial"/>
        </w:rPr>
        <w:footnoteRef/>
      </w:r>
      <w:r w:rsidRPr="00B809C7">
        <w:rPr>
          <w:rFonts w:ascii="Arial" w:hAnsi="Arial" w:cs="Arial"/>
        </w:rPr>
        <w:t xml:space="preserve"> El artículo 4° constitucional establece que “[t]oda persona tiene derecho al acceso, disposición y saneamiento de agua para consumo personal y doméstico en forma suficiente, salubre, aceptable y asequible. El Estado garantizará este derecho y la ley definirá las bases, apoyos y modalidades para el acceso y uso equitativo y sustentable de los recursos hídricos, estableciendo la participación de la Federación, las entidades federativas y los municipios, así como la participación de la ciudadanía para la consecución de dichos fines.” Tanto este Tribunal Pleno como ambas Salas, han evaluado la validez de las leyes a la luz del derecho al agua. Véase, por ejemplo, la tesis CXIX/2018 de la Primera Sala, visible en la página 833 del Libro 58 (septiembre de 2018), Tomo I de la Gaceta del Semanario Judicial de la Federación, de rubro: “AGUAS NACIONALES. EL ARTÍCULO 29 BIS 3, FRACCIÓN VI, INCISO 5, DE LA LEY RELATIVA, NO VIOLA EL DERECHO DE ACCESO AL AGUA.”</w:t>
      </w:r>
    </w:p>
    <w:p w14:paraId="02ACC8AB" w14:textId="0180C383" w:rsidR="00A9402C" w:rsidRPr="00A9402C" w:rsidRDefault="00A9402C">
      <w:pPr>
        <w:pStyle w:val="Textonotapie"/>
      </w:pPr>
    </w:p>
  </w:footnote>
  <w:footnote w:id="17">
    <w:p w14:paraId="6201D531" w14:textId="75E03053" w:rsidR="00804673" w:rsidRPr="00310370" w:rsidRDefault="00804673" w:rsidP="00310370">
      <w:pPr>
        <w:pStyle w:val="Textonotapie"/>
        <w:jc w:val="both"/>
        <w:rPr>
          <w:rFonts w:ascii="Arial" w:hAnsi="Arial" w:cs="Arial"/>
        </w:rPr>
      </w:pPr>
      <w:r>
        <w:rPr>
          <w:rStyle w:val="Refdenotaalpie"/>
        </w:rPr>
        <w:footnoteRef/>
      </w:r>
      <w:r>
        <w:t xml:space="preserve"> </w:t>
      </w:r>
      <w:r w:rsidRPr="00310370">
        <w:rPr>
          <w:rFonts w:ascii="Arial" w:hAnsi="Arial" w:cs="Arial"/>
        </w:rPr>
        <w:t xml:space="preserve">Tesis aislada XII/2011 del Tribunal Pleno, visible en la página 23 del Tomo XXXIV (agosto de 2011) del Semanario Judicial de la Federación y su Gaceta, de rubro: “CONFLICTOS QUE INVOLUCRAN </w:t>
      </w:r>
      <w:r w:rsidR="008E2687">
        <w:rPr>
          <w:rFonts w:ascii="Arial" w:hAnsi="Arial" w:cs="Arial"/>
        </w:rPr>
        <w:t>DERECHOS</w:t>
      </w:r>
      <w:r w:rsidRPr="00310370">
        <w:rPr>
          <w:rFonts w:ascii="Arial" w:hAnsi="Arial" w:cs="Arial"/>
        </w:rPr>
        <w:t xml:space="preserve"> FUNDAMENTALES. SU RESOLUCIÓN JURÍDICA.” </w:t>
      </w:r>
    </w:p>
  </w:footnote>
  <w:footnote w:id="18">
    <w:p w14:paraId="65774C44" w14:textId="2235B6D4" w:rsidR="00520557" w:rsidRPr="00520557" w:rsidRDefault="00E73B07" w:rsidP="00520557">
      <w:pPr>
        <w:pStyle w:val="Textonotapie"/>
        <w:jc w:val="both"/>
        <w:rPr>
          <w:rFonts w:ascii="Arial" w:hAnsi="Arial" w:cs="Arial"/>
        </w:rPr>
      </w:pPr>
      <w:r w:rsidRPr="00FE1F75">
        <w:rPr>
          <w:rStyle w:val="Refdenotaalpie"/>
          <w:rFonts w:ascii="Arial" w:hAnsi="Arial" w:cs="Arial"/>
        </w:rPr>
        <w:footnoteRef/>
      </w:r>
      <w:r w:rsidRPr="00FE1F75">
        <w:rPr>
          <w:rFonts w:ascii="Arial" w:hAnsi="Arial" w:cs="Arial"/>
        </w:rPr>
        <w:t xml:space="preserve"> </w:t>
      </w:r>
      <w:r w:rsidR="00520557" w:rsidRPr="00FE1F75">
        <w:rPr>
          <w:rFonts w:ascii="Arial" w:hAnsi="Arial" w:cs="Arial"/>
        </w:rPr>
        <w:t xml:space="preserve">El artículo 1° constitucinal, en su tercer párrafo, establece: “Todas las autoridades, en el ámbito de sus competencias, tienen la obligación de promover, respetar, proteger y garantizar los derechos humanos de conformidad con los principios de universalidad, interdependencia, indivisibilidad y </w:t>
      </w:r>
      <w:r w:rsidR="00520557" w:rsidRPr="00FE1F75">
        <w:rPr>
          <w:rFonts w:ascii="Arial" w:hAnsi="Arial" w:cs="Arial"/>
          <w:u w:val="single"/>
        </w:rPr>
        <w:t>progresividad</w:t>
      </w:r>
      <w:r w:rsidR="00520557" w:rsidRPr="00FE1F75">
        <w:rPr>
          <w:rFonts w:ascii="Arial" w:hAnsi="Arial" w:cs="Arial"/>
        </w:rPr>
        <w:t>. En consecuencia, el Estado deberá prevenir, investigar, sancionar y reparar las violaciones a los derechos humanos, en los términos que establezca la ley.” (Énfasis añadido). Esta Suprema Corte de Justicia de la Nación ha resuelto en distintos precedentes que el principio de progresividad tiene como correlativo una prohibición de no regresividad, que es operativo como parámetro de control constitucional para controlar la validez de las leyes que reducen o suprimen un ambral de protección legislativo previamente otorgado a un derecho humano. Ver, por ejemplo, la tesis de jurisprudencia 35/2019 de la Segunda Sala, visible en la página 980 del Libro 63 (febrero de 2019), Tomo I de la Gaceta del Semanario Judicial de la Federación, de rubro: “PRINCIPIO DE PROGRESIVIDAD DE LOS DERECHOS HUMANOS. SU NATURALEZA Y FUNCIÓN EN EL ESTADO MEXICANO.”</w:t>
      </w:r>
      <w:r w:rsidR="00520557" w:rsidRPr="00520557">
        <w:rPr>
          <w:rFonts w:ascii="Arial" w:hAnsi="Arial" w:cs="Arial"/>
        </w:rPr>
        <w:t xml:space="preserve"> </w:t>
      </w:r>
    </w:p>
    <w:p w14:paraId="10960F1B" w14:textId="2CB5AF3C" w:rsidR="00E73B07" w:rsidRDefault="00E73B07">
      <w:pPr>
        <w:pStyle w:val="Textonotapie"/>
      </w:pPr>
    </w:p>
  </w:footnote>
  <w:footnote w:id="19">
    <w:p w14:paraId="55F49E0B" w14:textId="58A74BEF" w:rsidR="00520557" w:rsidRPr="00214D60" w:rsidRDefault="00520557" w:rsidP="00520557">
      <w:pPr>
        <w:pStyle w:val="Textonotapie"/>
        <w:jc w:val="both"/>
        <w:rPr>
          <w:rFonts w:ascii="Arial" w:hAnsi="Arial" w:cs="Arial"/>
        </w:rPr>
      </w:pPr>
      <w:r w:rsidRPr="00214D60">
        <w:rPr>
          <w:rStyle w:val="Refdenotaalpie"/>
          <w:rFonts w:ascii="Arial" w:hAnsi="Arial" w:cs="Arial"/>
        </w:rPr>
        <w:footnoteRef/>
      </w:r>
      <w:r w:rsidRPr="00214D60">
        <w:rPr>
          <w:rFonts w:ascii="Arial" w:hAnsi="Arial" w:cs="Arial"/>
        </w:rPr>
        <w:t xml:space="preserve"> Idem.</w:t>
      </w:r>
    </w:p>
  </w:footnote>
  <w:footnote w:id="20">
    <w:p w14:paraId="4F65F3EF" w14:textId="4F2C2A07" w:rsidR="00214D60" w:rsidRPr="00A9402C" w:rsidRDefault="00214D60" w:rsidP="00A9402C">
      <w:pPr>
        <w:pStyle w:val="Textonotapie"/>
        <w:jc w:val="both"/>
        <w:rPr>
          <w:rFonts w:ascii="Arial" w:hAnsi="Arial" w:cs="Arial"/>
        </w:rPr>
      </w:pPr>
      <w:r w:rsidRPr="00C350E1">
        <w:rPr>
          <w:rStyle w:val="Refdenotaalpie"/>
          <w:rFonts w:ascii="Arial" w:hAnsi="Arial" w:cs="Arial"/>
        </w:rPr>
        <w:footnoteRef/>
      </w:r>
      <w:r w:rsidRPr="00C350E1">
        <w:rPr>
          <w:rFonts w:ascii="Arial" w:hAnsi="Arial" w:cs="Arial"/>
        </w:rPr>
        <w:t xml:space="preserve"> Lo que define la opción por un escrutinio es el rango de deferencia que se otorga al legislador. Cuando </w:t>
      </w:r>
      <w:r w:rsidR="0094252F" w:rsidRPr="00C350E1">
        <w:rPr>
          <w:rFonts w:ascii="Arial" w:hAnsi="Arial" w:cs="Arial"/>
        </w:rPr>
        <w:t xml:space="preserve">se </w:t>
      </w:r>
      <w:r w:rsidRPr="00C350E1">
        <w:rPr>
          <w:rFonts w:ascii="Arial" w:hAnsi="Arial" w:cs="Arial"/>
        </w:rPr>
        <w:t>le exige un mínimo de racionalidad y se respeta un rango mayor de libertad configurativa con base en su legitimidad democrática, el test es de escrutinio ordinario. Si la supervisión constitucional debe aumentar por tratarse de decisiones críticas donde debe haber un diálogo mayor entre los poderes democráticos y las cortes constitucionales, el test será de proporcionalidad poque exige al legislador demostrar una finalidad constitucionalmente válida pero también la necesidad de la medida; es decir, que se trata de la medida menos lesiva para conseguir dicha finalidad. Por último, el escrutinio estricto es intenso porque se considera que el legislador pretende entrar en terreno vedado y afectar aquellas esferas que le son indisponibles.</w:t>
      </w:r>
      <w:r w:rsidRPr="00214D60">
        <w:rPr>
          <w:rFonts w:ascii="Arial" w:hAnsi="Arial" w:cs="Arial"/>
        </w:rPr>
        <w:t xml:space="preserve"> </w:t>
      </w:r>
    </w:p>
  </w:footnote>
  <w:footnote w:id="21">
    <w:p w14:paraId="3601175F" w14:textId="6D488CAD" w:rsidR="00174A0A" w:rsidRPr="00351448" w:rsidRDefault="00174A0A" w:rsidP="00755394">
      <w:pPr>
        <w:pStyle w:val="Textonotapie"/>
        <w:jc w:val="both"/>
        <w:rPr>
          <w:rFonts w:ascii="Arial" w:hAnsi="Arial" w:cs="Arial"/>
        </w:rPr>
      </w:pPr>
      <w:r>
        <w:rPr>
          <w:rStyle w:val="Refdenotaalpie"/>
        </w:rPr>
        <w:footnoteRef/>
      </w:r>
      <w:r>
        <w:t xml:space="preserve"> </w:t>
      </w:r>
      <w:r w:rsidRPr="00351448">
        <w:rPr>
          <w:rFonts w:ascii="Arial" w:hAnsi="Arial" w:cs="Arial"/>
        </w:rPr>
        <w:t>Tesis aislada CCCXII/2013 de la Primera Sala, visible en la página 1052 del Libro XXV (octubre de 201) del Semanario Judicial de la Federación y su Gaceta, de rubro: “INTENSIDAD DEL ANÁLISIS DE CONSTITUCIONALIDAD Y USO DEL PRINCIPIO DE PROPORCIONAL</w:t>
      </w:r>
      <w:r w:rsidR="00B265D8">
        <w:rPr>
          <w:rFonts w:ascii="Arial" w:hAnsi="Arial" w:cs="Arial"/>
        </w:rPr>
        <w:t>I</w:t>
      </w:r>
      <w:r w:rsidRPr="00351448">
        <w:rPr>
          <w:rFonts w:ascii="Arial" w:hAnsi="Arial" w:cs="Arial"/>
        </w:rPr>
        <w:t>DAD. SU APLICACIÓN EN RELACIÓN CON LOS DERECHOS HUMANOS.”</w:t>
      </w:r>
    </w:p>
    <w:p w14:paraId="168B6998" w14:textId="385F71A5" w:rsidR="00174A0A" w:rsidRPr="00351448" w:rsidRDefault="00174A0A" w:rsidP="00755394">
      <w:pPr>
        <w:pStyle w:val="Textonotapie"/>
        <w:jc w:val="both"/>
        <w:rPr>
          <w:rFonts w:ascii="Arial" w:hAnsi="Arial" w:cs="Arial"/>
        </w:rPr>
      </w:pPr>
      <w:r w:rsidRPr="00351448">
        <w:rPr>
          <w:rFonts w:ascii="Arial" w:hAnsi="Arial" w:cs="Arial"/>
        </w:rPr>
        <w:t xml:space="preserve">Ver también la tesis aislada X/2022 de la Primera Sala, visible en la página 1724 del Libro 11 (marzo de 2022) del Tomo II de la Gaceta del Semanario Judicial de la Federación, de rubro: “LIBERTADES ECONÓMICAS. LAS INTERFERENCIAS A ESTAS LIBERTADES SE CONTROLAN MEDIANTE EL ESCRUTINIO ORDINARIO Y NO POR </w:t>
      </w:r>
      <w:proofErr w:type="gramStart"/>
      <w:r w:rsidRPr="00351448">
        <w:rPr>
          <w:rFonts w:ascii="Arial" w:hAnsi="Arial" w:cs="Arial"/>
        </w:rPr>
        <w:t>UN TEST</w:t>
      </w:r>
      <w:proofErr w:type="gramEnd"/>
      <w:r w:rsidRPr="00351448">
        <w:rPr>
          <w:rFonts w:ascii="Arial" w:hAnsi="Arial" w:cs="Arial"/>
        </w:rPr>
        <w:t xml:space="preserve"> DE PROPORCIONALIDAD O ESCRUTINIO ESTRICTO.”</w:t>
      </w:r>
    </w:p>
  </w:footnote>
  <w:footnote w:id="22">
    <w:p w14:paraId="180E5E45" w14:textId="1350C5B1" w:rsidR="00BB4563" w:rsidRPr="00572FA5" w:rsidRDefault="00BB4563" w:rsidP="00004E29">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w:t>
      </w:r>
      <w:r w:rsidR="00351448" w:rsidRPr="00572FA5">
        <w:rPr>
          <w:rFonts w:ascii="Arial" w:hAnsi="Arial" w:cs="Arial"/>
        </w:rPr>
        <w:t>C</w:t>
      </w:r>
      <w:r w:rsidRPr="00572FA5">
        <w:rPr>
          <w:rFonts w:ascii="Arial" w:hAnsi="Arial" w:cs="Arial"/>
        </w:rPr>
        <w:t>abe hacer referencia al voto concurrente que emití en la resolución del amparo en revisión</w:t>
      </w:r>
      <w:r w:rsidR="00BB0692">
        <w:rPr>
          <w:rFonts w:ascii="Arial" w:hAnsi="Arial" w:cs="Arial"/>
        </w:rPr>
        <w:t xml:space="preserve"> </w:t>
      </w:r>
      <w:r w:rsidR="00A91A34" w:rsidRPr="00572FA5">
        <w:rPr>
          <w:rFonts w:ascii="Arial" w:hAnsi="Arial" w:cs="Arial"/>
        </w:rPr>
        <w:t>237/2014,</w:t>
      </w:r>
      <w:r w:rsidRPr="00572FA5">
        <w:rPr>
          <w:rFonts w:ascii="Arial" w:hAnsi="Arial" w:cs="Arial"/>
        </w:rPr>
        <w:t xml:space="preserve"> en el cual la Primera Sala determinó que era inconstitucional el circuito normativo contenido en la Ley General de Salud, que establecía una prohibición absoluta del consumo lúdico </w:t>
      </w:r>
      <w:r w:rsidR="00347E15" w:rsidRPr="00572FA5">
        <w:rPr>
          <w:rFonts w:ascii="Arial" w:hAnsi="Arial" w:cs="Arial"/>
        </w:rPr>
        <w:t>del cannabis</w:t>
      </w:r>
      <w:r w:rsidRPr="00572FA5">
        <w:rPr>
          <w:rFonts w:ascii="Arial" w:hAnsi="Arial" w:cs="Arial"/>
        </w:rPr>
        <w:t>. En dicho voto me separé de la utilización del test de proporcionalidad, ya que concluí que debía extenderse la aplicabilidad de los dos niveles de escrutinio (estricto y ordinario)</w:t>
      </w:r>
      <w:r w:rsidR="00EE5640" w:rsidRPr="00572FA5">
        <w:rPr>
          <w:rFonts w:ascii="Arial" w:hAnsi="Arial" w:cs="Arial"/>
        </w:rPr>
        <w:t>. El primero sería</w:t>
      </w:r>
      <w:r w:rsidRPr="00572FA5">
        <w:rPr>
          <w:rFonts w:ascii="Arial" w:hAnsi="Arial" w:cs="Arial"/>
        </w:rPr>
        <w:t xml:space="preserve"> aplicable para controlar la validez de las restricciones legislativas a las decisiones que gozaran de una </w:t>
      </w:r>
      <w:r w:rsidR="005F3313" w:rsidRPr="00572FA5">
        <w:rPr>
          <w:rFonts w:ascii="Arial" w:hAnsi="Arial" w:cs="Arial"/>
        </w:rPr>
        <w:t xml:space="preserve">expectativa </w:t>
      </w:r>
      <w:r w:rsidRPr="00572FA5">
        <w:rPr>
          <w:rFonts w:ascii="Arial" w:hAnsi="Arial" w:cs="Arial"/>
        </w:rPr>
        <w:t>legítima de privacidad (como lo es el consumo de sustancias de una manera que no afecta derechos de terceros)</w:t>
      </w:r>
      <w:r w:rsidR="00D373C0" w:rsidRPr="00572FA5">
        <w:rPr>
          <w:rFonts w:ascii="Arial" w:hAnsi="Arial" w:cs="Arial"/>
        </w:rPr>
        <w:t xml:space="preserve">. El escrutinio </w:t>
      </w:r>
      <w:r w:rsidRPr="00572FA5">
        <w:rPr>
          <w:rFonts w:ascii="Arial" w:hAnsi="Arial" w:cs="Arial"/>
        </w:rPr>
        <w:t xml:space="preserve">ordinario </w:t>
      </w:r>
      <w:r w:rsidR="00D373C0" w:rsidRPr="00572FA5">
        <w:rPr>
          <w:rFonts w:ascii="Arial" w:hAnsi="Arial" w:cs="Arial"/>
        </w:rPr>
        <w:t xml:space="preserve">debería reservarse </w:t>
      </w:r>
      <w:r w:rsidR="00B467B3" w:rsidRPr="00572FA5">
        <w:rPr>
          <w:rFonts w:ascii="Arial" w:hAnsi="Arial" w:cs="Arial"/>
        </w:rPr>
        <w:t>para analizar la</w:t>
      </w:r>
      <w:r w:rsidRPr="00572FA5">
        <w:rPr>
          <w:rFonts w:ascii="Arial" w:hAnsi="Arial" w:cs="Arial"/>
        </w:rPr>
        <w:t xml:space="preserve"> reglamentación que se alejara de ese ámbito para regular un mercado de ese producto.</w:t>
      </w:r>
    </w:p>
    <w:p w14:paraId="5C5A0DD6" w14:textId="5EA837C1" w:rsidR="00BB4563" w:rsidRPr="00F03A81" w:rsidRDefault="00BB4563" w:rsidP="00004E29">
      <w:pPr>
        <w:pStyle w:val="Textonotapie"/>
        <w:jc w:val="both"/>
        <w:rPr>
          <w:rFonts w:ascii="Arial" w:hAnsi="Arial" w:cs="Arial"/>
        </w:rPr>
      </w:pPr>
      <w:r w:rsidRPr="00572FA5">
        <w:rPr>
          <w:rFonts w:ascii="Arial" w:hAnsi="Arial" w:cs="Arial"/>
        </w:rPr>
        <w:t xml:space="preserve">Igualmente, cabe hacer referencia a la ejecutoria del amparo en  </w:t>
      </w:r>
      <w:r w:rsidR="00572FA5" w:rsidRPr="00572FA5">
        <w:rPr>
          <w:rFonts w:ascii="Arial" w:hAnsi="Arial" w:cs="Arial"/>
        </w:rPr>
        <w:t xml:space="preserve">revisión 578/ 2015, </w:t>
      </w:r>
      <w:r w:rsidRPr="00572FA5">
        <w:rPr>
          <w:rFonts w:ascii="Arial" w:hAnsi="Arial" w:cs="Arial"/>
        </w:rPr>
        <w:t>resuelto por la Primera Sala (en el cual fui ponente), en el cual se evaluó la validez de distintas disposiciones de</w:t>
      </w:r>
      <w:r w:rsidRPr="00F03A81">
        <w:rPr>
          <w:rFonts w:ascii="Arial" w:hAnsi="Arial" w:cs="Arial"/>
        </w:rPr>
        <w:t xml:space="preserve"> la Ley Federal de Telecomunicaciones y Radiodifusión, y en la cual se estableció el criterio de que era aplicable un escrutinio estricto para controlar las </w:t>
      </w:r>
      <w:r w:rsidR="005F3313" w:rsidRPr="00F03A81">
        <w:rPr>
          <w:rFonts w:ascii="Arial" w:hAnsi="Arial" w:cs="Arial"/>
        </w:rPr>
        <w:t>interferencias</w:t>
      </w:r>
      <w:r w:rsidRPr="00F03A81">
        <w:rPr>
          <w:rFonts w:ascii="Arial" w:hAnsi="Arial" w:cs="Arial"/>
        </w:rPr>
        <w:t xml:space="preserve"> legislativas al discurso político y a las restricciones de contenido general, pero que era aplicable un estándar de escrutinio ordinario para aquellas restricciones de tiempo, modo y lugar, así como aquellas relacionadas con el discurso comercial, toda vez que ésta última se relaciona con las facultades de configuración legislativa sobre los mercados. </w:t>
      </w:r>
    </w:p>
  </w:footnote>
  <w:footnote w:id="23">
    <w:p w14:paraId="261B9C1C" w14:textId="4097F3FA" w:rsidR="00BB4563" w:rsidRPr="00F03A81" w:rsidRDefault="00BB4563" w:rsidP="00004E29">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Ver, por ejemplo, </w:t>
      </w:r>
      <w:r w:rsidR="00755394" w:rsidRPr="00F03A81">
        <w:rPr>
          <w:rFonts w:ascii="Arial" w:hAnsi="Arial" w:cs="Arial"/>
        </w:rPr>
        <w:t>la tesis XII/2015 de la Primera Sala, la cual fue aprobada con mi voto a favor, visible en la página</w:t>
      </w:r>
      <w:r w:rsidR="00C37861" w:rsidRPr="00F03A81">
        <w:rPr>
          <w:rFonts w:ascii="Arial" w:hAnsi="Arial" w:cs="Arial"/>
        </w:rPr>
        <w:t xml:space="preserve"> 751 del Libro 14 (enero de 2015) Tomo I de la Gaceta del Semanario Judicial de la Federación, de rubro: “CONDONACIÓN DE DEUDAS TRIBUTARIAS. LA PROPORCIONALIDAD Y RAZONABILIDAD JURÍDICA DE LA ELECCIÓN DEL LEGISLADOR FEDERAL DE EXCLUIR DE AQUÉLLA A LOS CRÉDITOS FISCALES PAGADOS, DEBEN SOMETERSE AL MÁS FLEXIBLE DE LOS ESCRUTINIOS.”</w:t>
      </w:r>
    </w:p>
  </w:footnote>
  <w:footnote w:id="24">
    <w:p w14:paraId="0329E474" w14:textId="77777777" w:rsidR="0020570F" w:rsidRPr="00177AB6" w:rsidRDefault="0020570F" w:rsidP="0020570F">
      <w:pPr>
        <w:pStyle w:val="Textonotapie"/>
        <w:jc w:val="both"/>
        <w:rPr>
          <w:rFonts w:ascii="Arial" w:hAnsi="Arial" w:cs="Arial"/>
          <w:lang w:val="es-ES_tradnl"/>
        </w:rPr>
      </w:pPr>
      <w:r w:rsidRPr="00F03A81">
        <w:rPr>
          <w:rStyle w:val="Refdenotaalpie"/>
        </w:rPr>
        <w:footnoteRef/>
      </w:r>
      <w:r w:rsidRPr="00F03A81">
        <w:t xml:space="preserve"> </w:t>
      </w:r>
      <w:r w:rsidRPr="00F03A81">
        <w:rPr>
          <w:rFonts w:ascii="Arial" w:hAnsi="Arial" w:cs="Arial"/>
          <w:lang w:val="es-ES_tradnl"/>
        </w:rPr>
        <w:t>El modelo de Estado Regulador ha sido definido por esta Suprema Corte como el parámetro de control aplicable para evaluar la validez de las leyes y actos relacionados con el funcionamiento de los órganos que gozan de autonomía jurídica para decidir y emitir regulaciones en cuestiones técnicas. Este Pleno desarrolló las implicaciones de este modelo al resolver la controversia constitucional 117/2014. Al respecto véase la jurisprudencia 46/2015 de este Pleno, visible en la página 339 del Libro 26 (enero de 2016), Tomo I de la Gaceta del Semanario Judicial de la Federación, de rubro: “ESTADO REGULADOR. EL MODELO CONSTITUCIONAL LO ADOPTA AL CREAR A ÓRGANOS AUTÓNOMOS EN EL ARTÍCULO 28 DE LA CONSTITUCIÓN POLÍTICA DE LOS ESTADOS UNIDOS MEXICANOS.”</w:t>
      </w:r>
    </w:p>
  </w:footnote>
  <w:footnote w:id="25">
    <w:p w14:paraId="26BB20EA" w14:textId="22DEEF71" w:rsidR="00BB4563" w:rsidRPr="00351448" w:rsidRDefault="00BB4563" w:rsidP="00004E29">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Ver, por ejemplo, la controversia constitucional 117/2014 emitida por el Tribunal Pleno de esta Suprema Corte de Justicia de la </w:t>
      </w:r>
      <w:r w:rsidR="005F3313" w:rsidRPr="00F03A81">
        <w:rPr>
          <w:rFonts w:ascii="Arial" w:hAnsi="Arial" w:cs="Arial"/>
        </w:rPr>
        <w:t>Nación</w:t>
      </w:r>
      <w:r w:rsidRPr="00F03A81">
        <w:rPr>
          <w:rFonts w:ascii="Arial" w:hAnsi="Arial" w:cs="Arial"/>
        </w:rPr>
        <w:t xml:space="preserve"> (de la cual fui ponente), en el cual se estableció el criterio de “deferencia” a los órganos reguladores técnicos, cuya validez se debe controlar por un escrutinio ordinario.</w:t>
      </w:r>
    </w:p>
  </w:footnote>
  <w:footnote w:id="26">
    <w:p w14:paraId="5D4DF610" w14:textId="6FFD4D1A" w:rsidR="00A66221" w:rsidRPr="007D7EDA" w:rsidRDefault="0075782F" w:rsidP="007D7EDA">
      <w:pPr>
        <w:pStyle w:val="NormalWeb"/>
        <w:spacing w:before="0" w:beforeAutospacing="0" w:after="0" w:afterAutospacing="0"/>
        <w:jc w:val="both"/>
        <w:rPr>
          <w:rFonts w:ascii="Arial" w:hAnsi="Arial" w:cs="Arial"/>
          <w:color w:val="212529"/>
          <w:sz w:val="20"/>
          <w:szCs w:val="20"/>
        </w:rPr>
      </w:pPr>
      <w:r w:rsidRPr="00351448">
        <w:rPr>
          <w:rStyle w:val="Refdenotaalpie"/>
          <w:rFonts w:ascii="Arial" w:hAnsi="Arial" w:cs="Arial"/>
          <w:sz w:val="20"/>
          <w:szCs w:val="20"/>
        </w:rPr>
        <w:footnoteRef/>
      </w:r>
      <w:r w:rsidRPr="00351448">
        <w:rPr>
          <w:rFonts w:ascii="Arial" w:hAnsi="Arial" w:cs="Arial"/>
          <w:sz w:val="20"/>
          <w:szCs w:val="20"/>
        </w:rPr>
        <w:t xml:space="preserve"> </w:t>
      </w:r>
      <w:r w:rsidRPr="00351448">
        <w:rPr>
          <w:rFonts w:ascii="Arial" w:hAnsi="Arial" w:cs="Arial"/>
          <w:sz w:val="20"/>
          <w:szCs w:val="20"/>
          <w:lang w:val="es-ES_tradnl"/>
        </w:rPr>
        <w:t>Tesis aislada X/2022 de la Primera Sala, visible en la página 1724 del Libro 11 (marzo de 2022), Tomo II de la Gaceta del Semanario Judicial de la Federación</w:t>
      </w:r>
      <w:r w:rsidR="00A66221" w:rsidRPr="00351448">
        <w:rPr>
          <w:rFonts w:ascii="Arial" w:hAnsi="Arial" w:cs="Arial"/>
          <w:sz w:val="20"/>
          <w:szCs w:val="20"/>
          <w:lang w:val="es-ES_tradnl"/>
        </w:rPr>
        <w:t>, con el siguiente texto: “</w:t>
      </w:r>
      <w:r w:rsidR="00A66221" w:rsidRPr="00351448">
        <w:rPr>
          <w:rFonts w:ascii="Arial" w:hAnsi="Arial" w:cs="Arial"/>
          <w:color w:val="212529"/>
          <w:sz w:val="20"/>
          <w:szCs w:val="20"/>
        </w:rPr>
        <w:t>Hechos: Una persona moral compró acciones en el mercado de valores de una sociedad anónima bursátil más allá del límite máximo establecido en sus estatutos, con el fin de obtener el control de dicha empresa.</w:t>
      </w:r>
      <w:r w:rsidR="00A66221" w:rsidRPr="00A66221">
        <w:rPr>
          <w:rFonts w:ascii="Arial" w:hAnsi="Arial" w:cs="Arial"/>
          <w:color w:val="212529"/>
          <w:sz w:val="20"/>
          <w:szCs w:val="20"/>
        </w:rPr>
        <w:t xml:space="preserve"> En el juicio ordinario mercantil que se siguió para cuestionar la validez de estas transacciones se determinó que los límites estatutarios encuentran fundamento en el artículo</w:t>
      </w:r>
      <w:r w:rsidR="00A66221" w:rsidRPr="00A66221">
        <w:rPr>
          <w:rStyle w:val="apple-converted-space"/>
          <w:rFonts w:ascii="Arial" w:hAnsi="Arial" w:cs="Arial"/>
          <w:color w:val="212529"/>
          <w:sz w:val="20"/>
          <w:szCs w:val="20"/>
        </w:rPr>
        <w:t> </w:t>
      </w:r>
      <w:r w:rsidR="00A66221" w:rsidRPr="00A66221">
        <w:rPr>
          <w:rFonts w:ascii="Arial" w:hAnsi="Arial" w:cs="Arial"/>
          <w:color w:val="212529"/>
          <w:sz w:val="20"/>
          <w:szCs w:val="20"/>
        </w:rPr>
        <w:t>48 de la Ley del Mercado de Valores, razón por la cual se determinó la invalidez de las compras excedentes del referido límite. En contra de esa resolución, la compradora acudió al juicio de amparo directo a reclamar la validez constitucional de dicho precepto legal alegando que violaba sus libertades económicas, reconocidas en el artículo</w:t>
      </w:r>
      <w:r w:rsidR="00A66221" w:rsidRPr="00A66221">
        <w:rPr>
          <w:rStyle w:val="apple-converted-space"/>
          <w:rFonts w:ascii="Arial" w:hAnsi="Arial" w:cs="Arial"/>
          <w:color w:val="212529"/>
          <w:sz w:val="20"/>
          <w:szCs w:val="20"/>
        </w:rPr>
        <w:t> </w:t>
      </w:r>
      <w:r w:rsidR="00A66221" w:rsidRPr="00A66221">
        <w:rPr>
          <w:rFonts w:ascii="Arial" w:hAnsi="Arial" w:cs="Arial"/>
          <w:color w:val="212529"/>
          <w:sz w:val="20"/>
          <w:szCs w:val="20"/>
        </w:rPr>
        <w:t>5o. constitucional. En el recurso de revisión interpuesto en contra de la sentencia de amparo se cuestionó qué tipo de escrutinio debía aplicarse.</w:t>
      </w:r>
    </w:p>
    <w:p w14:paraId="11111C7C" w14:textId="5520F6B4" w:rsidR="00A66221" w:rsidRPr="007D7EDA" w:rsidRDefault="00A66221" w:rsidP="007D7EDA">
      <w:pPr>
        <w:pStyle w:val="NormalWeb"/>
        <w:spacing w:before="0" w:beforeAutospacing="0" w:after="0" w:afterAutospacing="0"/>
        <w:jc w:val="both"/>
        <w:rPr>
          <w:rFonts w:ascii="Arial" w:hAnsi="Arial" w:cs="Arial"/>
          <w:color w:val="212529"/>
          <w:sz w:val="20"/>
          <w:szCs w:val="20"/>
        </w:rPr>
      </w:pPr>
      <w:r w:rsidRPr="00A66221">
        <w:rPr>
          <w:rFonts w:ascii="Arial" w:hAnsi="Arial" w:cs="Arial"/>
          <w:color w:val="212529"/>
          <w:sz w:val="20"/>
          <w:szCs w:val="20"/>
        </w:rPr>
        <w:t>Criterio jurídico: La Primera Sala de la Suprema Corte de Justicia de la Nación considera que las leyes que regulan las transacciones de los mercados, especialmente aquellos utilizados por actores mercantiles, deben sujetarse a un escrutinio ordinario.</w:t>
      </w:r>
    </w:p>
    <w:p w14:paraId="4430532A" w14:textId="7B2F98E3" w:rsidR="0075782F" w:rsidRPr="00A66221" w:rsidRDefault="00A66221" w:rsidP="00A66221">
      <w:pPr>
        <w:pStyle w:val="NormalWeb"/>
        <w:spacing w:before="0" w:beforeAutospacing="0" w:after="0" w:afterAutospacing="0"/>
        <w:jc w:val="both"/>
        <w:rPr>
          <w:rFonts w:ascii="Calibri" w:hAnsi="Calibri" w:cs="Calibri"/>
          <w:color w:val="212529"/>
          <w:sz w:val="26"/>
          <w:szCs w:val="26"/>
        </w:rPr>
      </w:pPr>
      <w:r w:rsidRPr="00A66221">
        <w:rPr>
          <w:rFonts w:ascii="Arial" w:hAnsi="Arial" w:cs="Arial"/>
          <w:color w:val="212529"/>
          <w:sz w:val="20"/>
          <w:szCs w:val="20"/>
        </w:rPr>
        <w:t xml:space="preserve">Justificación: Los derechos constitucionales suelen formularse como principios, por lo que su estructura lógica es la de los "mandatos de optimización", es decir, máximas que ordenan hacer algo en la mayor medida de lo posible de acuerdo a las condiciones normativas y fácticas de cada caso, sin contar con una hipótesis de aplicación cerrada, como las reglas. De esta forma, los derechos tienden a expandirse en distintas direcciones y cuando sobre su ámbito de proyección exista una interferencia de una medida legislativa, el Juez constitucional, ante la imposibilidad de acudir a la metodología de la subsunción propia de las reglas, debe determinar si se encuentra justificada la medida analizada, lo que puede decidir a través del test de proporcionalidad, que requiere de la comprobación de ciertas condiciones mínimas: la legitimidad de la finalidad de la medida, su idoneidad, necesidad y su proporcionalidad en sentido estricto. Sin embargo, lo cierto es que no todos los derechos constitucionales se controlan con este estándar, ya que existen algunos derechos cuya formulación en el texto de la Constitución se encuentra como reglas precisas y, por tanto, la validez de las normas secundarias debe determinarse directamente a través de la subsunción. De la misma forma, esta Suprema Corte ha establecido que existen ciertos derechos, como el de no discriminación e igualdad, o aquellos derechos de libertad económica, que requieren la aplicación de estándares diferenciados, en cuyo caso se ha reconocido la exigibilidad de dos niveles de escrutinio: el estricto y el ordinario. Para determinarse qué nivel de escrutinio es aplicable para aquellos derechos que no se controlan mediante el test de proporcionalidad, debe tomarse en cuenta la posición constitucional del derecho fundamental, su importancia y su relación con las libertades políticas de los representantes populares, para efectos de determinar si su contenido es compatible con un amplio margen de configuración legislativa o, por el contrario, su contenido se presenta como especialmente indisponible para el legislador. En efecto, esta Suprema Corte ha establecido que cuando una medida legislativa distinga en perjuicio de una categoría sospechosa, el Juez debe evaluar la medida legislativa mediante la aplicación de un escrutinio estricto que requiere comprobar que su finalidad sea imperiosa –no sólo legítima–, que sea necesaria y no exista una medida alternativa igualmente eficaz pero menos gravosa, además de ser proporcional en sentido estricto. Asimismo, ha establecido que existen ciertas libertades o derechos respecto de los cuales la Constitución otorga al legislador un mayor margen de configuración legislativa para su desarrollo, por lo que la validez de las medidas emitidas en ese contexto debe evaluarse con un escrutinio laxo u ordinario, en cuyo caso el Juez sólo debe constatar que la medida persiga una finalidad legítima, que sea razonablemente eficaz y que sea proporcional en sentido estricto. Este test es menos exigente que </w:t>
      </w:r>
      <w:r w:rsidRPr="00C91EAE">
        <w:rPr>
          <w:rFonts w:ascii="Arial" w:hAnsi="Arial" w:cs="Arial"/>
          <w:color w:val="212529"/>
          <w:sz w:val="20"/>
          <w:szCs w:val="20"/>
        </w:rPr>
        <w:t>el escrutinio estricto y que el de proporcionalidad, ya que se encuentra</w:t>
      </w:r>
      <w:r w:rsidRPr="00A66221">
        <w:rPr>
          <w:rFonts w:ascii="Arial" w:hAnsi="Arial" w:cs="Arial"/>
          <w:color w:val="212529"/>
          <w:sz w:val="20"/>
          <w:szCs w:val="20"/>
        </w:rPr>
        <w:t xml:space="preserve"> diseñado para aquellos ámbitos en los cuales los Jueces constitucionales deben autolimitarse para no interferir en la libertad política de los representantes populares. Así, surge una doble diferencia entre el escrutinio estricto y el ordinario. Mientras que el estricto exige una finalidad constitucional imperativa, cuya consecución se debe hacer a través de los medios menos gravosos posibles, en el escrutinio laxo sólo se exige legitimidad de una finalidad admisible y una relación racional entre ésta y la medida; mientras que en el estricto se exige máxima racionalidad al legislador, en el ordinario se les exige mínima racionalidad. Pues bien, como lo ha determinado esta Suprema Corte en diversas ocasiones, las libertades económicas del artículo 5o. constitucional no son útiles para hacer indisponible un modelo económico. En una democracia constitucional, como la nuestra, corresponde a los representantes populares decidir el modelo de mercado conveniente y, por tanto, al regular las libertades económicas, los Jueces deben ser especialmente deferentes y controlar su validez a través del escrutinio ordinario.”</w:t>
      </w:r>
    </w:p>
  </w:footnote>
  <w:footnote w:id="27">
    <w:p w14:paraId="39C5DBAD" w14:textId="0BA155D9" w:rsidR="00A66221" w:rsidRPr="007D7EDA" w:rsidRDefault="0075782F" w:rsidP="007D7EDA">
      <w:pPr>
        <w:pStyle w:val="NormalWeb"/>
        <w:spacing w:before="0" w:beforeAutospacing="0" w:after="0" w:afterAutospacing="0"/>
        <w:jc w:val="both"/>
        <w:rPr>
          <w:rFonts w:ascii="Arial" w:hAnsi="Arial" w:cs="Arial"/>
          <w:color w:val="212529"/>
          <w:sz w:val="20"/>
          <w:szCs w:val="20"/>
        </w:rPr>
      </w:pPr>
      <w:r w:rsidRPr="007D7EDA">
        <w:rPr>
          <w:rStyle w:val="Refdenotaalpie"/>
          <w:rFonts w:ascii="Arial" w:hAnsi="Arial" w:cs="Arial"/>
          <w:sz w:val="20"/>
          <w:szCs w:val="20"/>
        </w:rPr>
        <w:footnoteRef/>
      </w:r>
      <w:r w:rsidRPr="007D7EDA">
        <w:rPr>
          <w:rFonts w:ascii="Arial" w:hAnsi="Arial" w:cs="Arial"/>
          <w:sz w:val="20"/>
          <w:szCs w:val="20"/>
        </w:rPr>
        <w:t xml:space="preserve"> </w:t>
      </w:r>
      <w:r w:rsidRPr="007D7EDA">
        <w:rPr>
          <w:rFonts w:ascii="Arial" w:hAnsi="Arial" w:cs="Arial"/>
          <w:sz w:val="20"/>
          <w:szCs w:val="20"/>
          <w:lang w:val="es-ES_tradnl"/>
        </w:rPr>
        <w:t xml:space="preserve">Tesis aislada XXX/2021 de la Primera Sala, visible en la página 370 del Libro 4 (agosto de 2021), Tomo IV de la Gaceta del Semanario Judicial de la Federación de rubro y texto: </w:t>
      </w:r>
      <w:r w:rsidR="00A66221" w:rsidRPr="007D7EDA">
        <w:rPr>
          <w:rFonts w:ascii="Arial" w:hAnsi="Arial" w:cs="Arial"/>
          <w:color w:val="212529"/>
          <w:sz w:val="20"/>
          <w:szCs w:val="20"/>
        </w:rPr>
        <w:t>MEDIDAS FITOSANITARIAS. LOS ARTÍCULOS 54, 55 Y NOVENO TRANSITORIO DEL REGLAMENTO DE LA LEY FEDERAL DE SANIDAD VEGETAL QUE LAS PREVÉN SON VÁLIDAS CONFORME AL PARÁMETRO DE CONTROL CONSTITUCIONAL Y ESTÁNDAR DE ESCRUTINIO APLICABLE.</w:t>
      </w:r>
    </w:p>
    <w:p w14:paraId="0AE5F26D" w14:textId="19588ADB" w:rsidR="00A66221" w:rsidRPr="007D7EDA" w:rsidRDefault="00A66221" w:rsidP="007D7EDA">
      <w:pPr>
        <w:pStyle w:val="NormalWeb"/>
        <w:spacing w:before="0" w:beforeAutospacing="0" w:after="0" w:afterAutospacing="0"/>
        <w:jc w:val="both"/>
        <w:rPr>
          <w:rFonts w:ascii="Arial" w:hAnsi="Arial" w:cs="Arial"/>
          <w:color w:val="212529"/>
          <w:sz w:val="20"/>
          <w:szCs w:val="20"/>
        </w:rPr>
      </w:pPr>
      <w:r w:rsidRPr="007D7EDA">
        <w:rPr>
          <w:rFonts w:ascii="Arial" w:hAnsi="Arial" w:cs="Arial"/>
          <w:color w:val="212529"/>
          <w:sz w:val="20"/>
          <w:szCs w:val="20"/>
        </w:rPr>
        <w:t>Hechos: Un conjunto de productores nacionales del tubérculo papa promovieron juicio de amparo indirecto en contra, entre otros actos, de los artículos</w:t>
      </w:r>
      <w:r w:rsidRPr="007D7EDA">
        <w:rPr>
          <w:rStyle w:val="apple-converted-space"/>
          <w:rFonts w:ascii="Arial" w:hAnsi="Arial" w:cs="Arial"/>
          <w:color w:val="212529"/>
          <w:sz w:val="20"/>
          <w:szCs w:val="20"/>
        </w:rPr>
        <w:t> </w:t>
      </w:r>
      <w:r w:rsidRPr="007D7EDA">
        <w:rPr>
          <w:rFonts w:ascii="Arial" w:hAnsi="Arial" w:cs="Arial"/>
          <w:color w:val="212529"/>
          <w:sz w:val="20"/>
          <w:szCs w:val="20"/>
        </w:rPr>
        <w:t>54, 55 y noveno transitorio del Reglamento de la Ley Federal de Sanidad Vegetal, las cuales regulan las condiciones de importación de dicho producto, al considerarlas violatorias del derecho al medio ambiente, por no prevenir los riesgos de plagas externas; el Juez de Distrito del conocimiento concedió el amparo. En contra de esta resolución las empresas tercero interesadas y algunas autoridades responsables interpusieron recursos de revisión en los que se cuestionó si las normas reclamadas son válidas desde la perspectiva de su abordaje de los riesgos fitosanitarios.</w:t>
      </w:r>
    </w:p>
    <w:p w14:paraId="26885629" w14:textId="5B9559C2" w:rsidR="00A66221" w:rsidRPr="007D7EDA" w:rsidRDefault="00A66221" w:rsidP="007D7EDA">
      <w:pPr>
        <w:pStyle w:val="NormalWeb"/>
        <w:spacing w:before="0" w:beforeAutospacing="0" w:after="0" w:afterAutospacing="0"/>
        <w:jc w:val="both"/>
        <w:rPr>
          <w:rFonts w:ascii="Arial" w:hAnsi="Arial" w:cs="Arial"/>
          <w:color w:val="212529"/>
          <w:sz w:val="20"/>
          <w:szCs w:val="20"/>
        </w:rPr>
      </w:pPr>
      <w:r w:rsidRPr="007D7EDA">
        <w:rPr>
          <w:rFonts w:ascii="Arial" w:hAnsi="Arial" w:cs="Arial"/>
          <w:color w:val="212529"/>
          <w:sz w:val="20"/>
          <w:szCs w:val="20"/>
        </w:rPr>
        <w:t>Criterio jurídico: La Primera Sala de la Suprema Corte de Justicia de la Nación determina que los artículos 54, 55 y noveno transitorio del Reglamento de la Ley Federal de Sanidad Vegetal son válidos conforme al parámetro de control constitucional y estándar de escrutinio aplicable.</w:t>
      </w:r>
    </w:p>
    <w:p w14:paraId="4A9B2048" w14:textId="68532123" w:rsidR="0075782F" w:rsidRPr="007978F0" w:rsidRDefault="00A66221" w:rsidP="007978F0">
      <w:pPr>
        <w:pStyle w:val="NormalWeb"/>
        <w:spacing w:before="0" w:beforeAutospacing="0" w:after="0" w:afterAutospacing="0"/>
        <w:jc w:val="both"/>
        <w:rPr>
          <w:rFonts w:ascii="Arial" w:hAnsi="Arial" w:cs="Arial"/>
          <w:color w:val="212529"/>
          <w:sz w:val="20"/>
          <w:szCs w:val="20"/>
        </w:rPr>
      </w:pPr>
      <w:r w:rsidRPr="007D7EDA">
        <w:rPr>
          <w:rFonts w:ascii="Arial" w:hAnsi="Arial" w:cs="Arial"/>
          <w:color w:val="212529"/>
          <w:sz w:val="20"/>
          <w:szCs w:val="20"/>
        </w:rPr>
        <w:t>Justificación: El estándar aplicable para evaluar la validez de normas reglamentarias emitidas por el Poder Ejecutivo, con fundamento en el artículo</w:t>
      </w:r>
      <w:r w:rsidRPr="007D7EDA">
        <w:rPr>
          <w:rStyle w:val="apple-converted-space"/>
          <w:rFonts w:ascii="Arial" w:hAnsi="Arial" w:cs="Arial"/>
          <w:color w:val="212529"/>
          <w:sz w:val="20"/>
          <w:szCs w:val="20"/>
        </w:rPr>
        <w:t> </w:t>
      </w:r>
      <w:r w:rsidRPr="007D7EDA">
        <w:rPr>
          <w:rFonts w:ascii="Arial" w:hAnsi="Arial" w:cs="Arial"/>
          <w:color w:val="212529"/>
          <w:sz w:val="20"/>
          <w:szCs w:val="20"/>
        </w:rPr>
        <w:t>89, fracción I, cuya materialidad se refiera a medidas de comercio exterior, de las referidas en el artículo</w:t>
      </w:r>
      <w:r w:rsidRPr="007D7EDA">
        <w:rPr>
          <w:rStyle w:val="apple-converted-space"/>
          <w:rFonts w:ascii="Arial" w:hAnsi="Arial" w:cs="Arial"/>
          <w:color w:val="212529"/>
          <w:sz w:val="20"/>
          <w:szCs w:val="20"/>
        </w:rPr>
        <w:t> </w:t>
      </w:r>
      <w:r w:rsidRPr="007D7EDA">
        <w:rPr>
          <w:rFonts w:ascii="Arial" w:hAnsi="Arial" w:cs="Arial"/>
          <w:color w:val="212529"/>
          <w:sz w:val="20"/>
          <w:szCs w:val="20"/>
        </w:rPr>
        <w:t>131, con un impacto en el medio ambiente, protegido en el artículo</w:t>
      </w:r>
      <w:r w:rsidRPr="007D7EDA">
        <w:rPr>
          <w:rStyle w:val="apple-converted-space"/>
          <w:rFonts w:ascii="Arial" w:hAnsi="Arial" w:cs="Arial"/>
          <w:color w:val="212529"/>
          <w:sz w:val="20"/>
          <w:szCs w:val="20"/>
        </w:rPr>
        <w:t> </w:t>
      </w:r>
      <w:r w:rsidRPr="007D7EDA">
        <w:rPr>
          <w:rFonts w:ascii="Arial" w:hAnsi="Arial" w:cs="Arial"/>
          <w:color w:val="212529"/>
          <w:sz w:val="20"/>
          <w:szCs w:val="20"/>
        </w:rPr>
        <w:t>4o., todos de la Constitución General, debe constar de tres pasos: En primer lugar, debe verificarse que el reglamento se ajusta al principio de legalidad, es decir, que su contenido no vulnere los sub-principios de reserva de ley y de subordinación jerárquica a la ley. Por el ámbito material especializado que supone la intersección del comercio exterior y la protección al medio ambiente, la evaluación debe limitarse a verificar que el contenido reglamentario guarde una relación racional con la ley, ya que se trata de un ámbito en el que el principio de reserva de ley se encuentra en su menor expresión, lo que debe ser compatible con un margen de apreciación a favor del Ejecutivo para introducir medidas técnicas, conforme a racionalidades especializadas, propio del dinamismo de una fuente administrativa que busca afrontar con agilidad cambios en las condiciones económicas y ambientales y que, por tanto, pueda producir cambios normativos más rápidos que la fuente legislativa. De superarse este primer paso, debe evaluarse el contenido de las normas impugnadas. Así, de tratarse de reglas técnicas, cuya función sea positivizar procedimientos de naturaleza científica o cuyo propósito sea delegar en determinadas agencias de la administración pública competencias de esta misma naturaleza, con el fin de que sean éstas quienes determinen el resultado de algunas de las operaciones previstas en el artículo 131 constitucional, como es el tránsito o la importación de efectos u objetos, su contenido debe sujetarse a un estándar de deferencia, conforme al cual obtendrán validez si no son arbitrarias o caprichosas. El estándar de deferencia llegará a su máximo grado cuando el contenido de las normas considere a los intereses medio ambientales, como podría ser la sanidad vegetal, y el comercio exterior como parte de un procedimiento, cuyo propósito sea que las autoridades especializadas evalúen caso por caso el equilibrio óptimo de los beneficios y costos marginales de cada factor. En caso contrario, es decir, que las normas reglamentarias no contengan reglas o dispositivos de esta naturaleza técnica, ni deleguen en agencias especializadas las operaciones jurídicas relevantes, para considerar estos factores, el estándar será más exigente, pudiendo llegar a ser aplicable un estándar de escrutinio estricto si las medidas contenidas son totalmente indiferentes al impacto medio ambiental. Pues bien, conforme a lo expuesto, debe concluirse que los preceptos reclamados son válidos. Por una parte, las normas reglamentarias delimitan el ámbito material de validez de su contenido a reglamentar un concepto legal: las medidas fitosanitarias, lo que implica que no se vulnera el principio de reserva de ley, ya que las disposiciones reglamentarias se limitan a regular el quién, el cómo y el cuándo de ese concepto legal y, por el otro, dichas medidas guardan congruencia con los lineamientos prescritos en la legislación, por lo que cumplen con el principio de subordinación jerárquica a la ley, por lo que una vez visto el contenido de las normas impugnadas, y su relación funcional con la ley de la materia, esta Primera Sala concluye que su naturaleza es técnica, pues, por una parte, establecen procedimientos de naturaleza científica y, por la otra, buscan empoderar a determinadas agencias de la administración pública con competencias de esta misma naturaleza, las cuales no son arbitrarias ni caprichosas.</w:t>
      </w:r>
    </w:p>
  </w:footnote>
  <w:footnote w:id="28">
    <w:p w14:paraId="0502C184" w14:textId="28554265" w:rsidR="0025111E" w:rsidRPr="0025111E" w:rsidRDefault="0025111E" w:rsidP="007978F0">
      <w:pPr>
        <w:pStyle w:val="Textonotapie"/>
        <w:jc w:val="both"/>
        <w:rPr>
          <w:lang w:val="es-ES_tradnl"/>
        </w:rPr>
      </w:pPr>
      <w:r w:rsidRPr="007978F0">
        <w:rPr>
          <w:rStyle w:val="Refdenotaalpie"/>
          <w:rFonts w:ascii="Arial" w:hAnsi="Arial" w:cs="Arial"/>
        </w:rPr>
        <w:footnoteRef/>
      </w:r>
      <w:r w:rsidRPr="007978F0">
        <w:rPr>
          <w:rFonts w:ascii="Arial" w:hAnsi="Arial" w:cs="Arial"/>
        </w:rPr>
        <w:t xml:space="preserve"> Ver la tesis aislada VII/2011 del Tribunal Pleno de esta Suprema Corte de Justicia de la Nación, visible en la página 24 del Tomo XXXIV (agosto de 2011) del Semanario Judicial de la Federación y su Gaceta, de rubro: “CONTROL DEL TABACO. EL ARTÍCULO 16, FRACCIÓN II, DE LA LEY GENERAL RELATIVA NO DEBE SER SOMETIDO A UN ESCRUTINIO DE IGUALDAD INTENSO.”</w:t>
      </w:r>
    </w:p>
  </w:footnote>
  <w:footnote w:id="29">
    <w:p w14:paraId="49750D3B" w14:textId="7D832E0C" w:rsidR="007978F0" w:rsidRPr="00B610A4" w:rsidRDefault="007978F0" w:rsidP="00B610A4">
      <w:pPr>
        <w:pStyle w:val="Textonotapie"/>
        <w:jc w:val="both"/>
        <w:rPr>
          <w:rFonts w:ascii="Arial" w:hAnsi="Arial" w:cs="Arial"/>
          <w:lang w:val="es-ES_tradnl"/>
        </w:rPr>
      </w:pPr>
      <w:r w:rsidRPr="00B610A4">
        <w:rPr>
          <w:rStyle w:val="Refdenotaalpie"/>
          <w:rFonts w:ascii="Arial" w:hAnsi="Arial" w:cs="Arial"/>
        </w:rPr>
        <w:footnoteRef/>
      </w:r>
      <w:r w:rsidRPr="00B610A4">
        <w:rPr>
          <w:rFonts w:ascii="Arial" w:hAnsi="Arial" w:cs="Arial"/>
        </w:rPr>
        <w:t xml:space="preserve"> </w:t>
      </w:r>
      <w:r w:rsidRPr="00B610A4">
        <w:rPr>
          <w:rFonts w:ascii="Arial" w:hAnsi="Arial" w:cs="Arial"/>
          <w:lang w:val="es-ES_tradnl"/>
        </w:rPr>
        <w:t>En este debate es ineludible tener presente la discusión sobre la época de “</w:t>
      </w:r>
      <w:proofErr w:type="spellStart"/>
      <w:r w:rsidRPr="00B610A4">
        <w:rPr>
          <w:rFonts w:ascii="Arial" w:hAnsi="Arial" w:cs="Arial"/>
          <w:lang w:val="es-ES_tradnl"/>
        </w:rPr>
        <w:t>Lochner</w:t>
      </w:r>
      <w:proofErr w:type="spellEnd"/>
      <w:r w:rsidRPr="00B610A4">
        <w:rPr>
          <w:rFonts w:ascii="Arial" w:hAnsi="Arial" w:cs="Arial"/>
          <w:lang w:val="es-ES_tradnl"/>
        </w:rPr>
        <w:t xml:space="preserve">”, como se le conoce en Estados Unidos, la cual consistió en </w:t>
      </w:r>
      <w:r w:rsidR="001E1E4F">
        <w:rPr>
          <w:rFonts w:ascii="Arial" w:hAnsi="Arial" w:cs="Arial"/>
          <w:lang w:val="es-ES_tradnl"/>
        </w:rPr>
        <w:t>una</w:t>
      </w:r>
      <w:r w:rsidR="00BB0692">
        <w:rPr>
          <w:rFonts w:ascii="Arial" w:hAnsi="Arial" w:cs="Arial"/>
          <w:lang w:val="es-ES_tradnl"/>
        </w:rPr>
        <w:t xml:space="preserve"> </w:t>
      </w:r>
      <w:r w:rsidRPr="00B610A4">
        <w:rPr>
          <w:rFonts w:ascii="Arial" w:hAnsi="Arial" w:cs="Arial"/>
          <w:lang w:val="es-ES_tradnl"/>
        </w:rPr>
        <w:t>etapa en la cual la Suprema Corte de ese país aplicaba un estándar de escrutinio estricto a la legislación que interfiriera en las libertades económicas de las personas</w:t>
      </w:r>
      <w:r w:rsidR="00795039" w:rsidRPr="00B610A4">
        <w:rPr>
          <w:rFonts w:ascii="Arial" w:hAnsi="Arial" w:cs="Arial"/>
          <w:lang w:val="es-ES_tradnl"/>
        </w:rPr>
        <w:t>,</w:t>
      </w:r>
      <w:r w:rsidR="00B610A4">
        <w:rPr>
          <w:rFonts w:ascii="Arial" w:hAnsi="Arial" w:cs="Arial"/>
          <w:lang w:val="es-ES_tradnl"/>
        </w:rPr>
        <w:t xml:space="preserve"> época </w:t>
      </w:r>
      <w:r w:rsidR="00562E9E" w:rsidRPr="00B610A4">
        <w:rPr>
          <w:rFonts w:ascii="Arial" w:hAnsi="Arial" w:cs="Arial"/>
          <w:lang w:val="es-ES_tradnl"/>
        </w:rPr>
        <w:t xml:space="preserve">nombrada a partir del caso que consagró dicha doctrina, a </w:t>
      </w:r>
      <w:proofErr w:type="gramStart"/>
      <w:r w:rsidR="00562E9E" w:rsidRPr="00B610A4">
        <w:rPr>
          <w:rFonts w:ascii="Arial" w:hAnsi="Arial" w:cs="Arial"/>
          <w:lang w:val="es-ES_tradnl"/>
        </w:rPr>
        <w:t>saber</w:t>
      </w:r>
      <w:proofErr w:type="gramEnd"/>
      <w:r w:rsidR="00B610A4">
        <w:rPr>
          <w:rFonts w:ascii="Arial" w:hAnsi="Arial" w:cs="Arial"/>
          <w:lang w:val="es-ES_tradnl"/>
        </w:rPr>
        <w:t xml:space="preserve"> </w:t>
      </w:r>
      <w:r w:rsidR="00795039" w:rsidRPr="00B610A4">
        <w:rPr>
          <w:rFonts w:ascii="Arial" w:hAnsi="Arial" w:cs="Arial"/>
          <w:lang w:val="es-ES_tradnl"/>
        </w:rPr>
        <w:t xml:space="preserve">el caso de </w:t>
      </w:r>
      <w:proofErr w:type="spellStart"/>
      <w:r w:rsidR="00795039" w:rsidRPr="00B610A4">
        <w:rPr>
          <w:rFonts w:ascii="Arial" w:hAnsi="Arial" w:cs="Arial"/>
          <w:i/>
          <w:iCs/>
          <w:lang w:val="es-ES_tradnl"/>
        </w:rPr>
        <w:t>Lochner</w:t>
      </w:r>
      <w:proofErr w:type="spellEnd"/>
      <w:r w:rsidR="00795039" w:rsidRPr="00B610A4">
        <w:rPr>
          <w:rFonts w:ascii="Arial" w:hAnsi="Arial" w:cs="Arial"/>
          <w:i/>
          <w:iCs/>
          <w:lang w:val="es-ES_tradnl"/>
        </w:rPr>
        <w:t xml:space="preserve"> v New York</w:t>
      </w:r>
      <w:r w:rsidR="00795039" w:rsidRPr="00B610A4">
        <w:rPr>
          <w:rFonts w:ascii="Arial" w:hAnsi="Arial" w:cs="Arial"/>
          <w:lang w:val="es-ES_tradnl"/>
        </w:rPr>
        <w:t>, resuelto en 1905 (198 US 45)</w:t>
      </w:r>
      <w:r w:rsidRPr="00B610A4">
        <w:rPr>
          <w:rFonts w:ascii="Arial" w:hAnsi="Arial" w:cs="Arial"/>
          <w:lang w:val="es-ES_tradnl"/>
        </w:rPr>
        <w:t xml:space="preserve">. De esta manera, una gran cantidad de leyes fueron declaradas inconstitucionales </w:t>
      </w:r>
      <w:r w:rsidR="004104DC">
        <w:rPr>
          <w:rFonts w:ascii="Arial" w:hAnsi="Arial" w:cs="Arial"/>
          <w:lang w:val="es-ES_tradnl"/>
        </w:rPr>
        <w:t>en ese</w:t>
      </w:r>
      <w:r w:rsidR="00795039" w:rsidRPr="00B610A4">
        <w:rPr>
          <w:rFonts w:ascii="Arial" w:hAnsi="Arial" w:cs="Arial"/>
          <w:lang w:val="es-ES_tradnl"/>
        </w:rPr>
        <w:t xml:space="preserve"> entonces </w:t>
      </w:r>
      <w:r w:rsidRPr="00B610A4">
        <w:rPr>
          <w:rFonts w:ascii="Arial" w:hAnsi="Arial" w:cs="Arial"/>
          <w:lang w:val="es-ES_tradnl"/>
        </w:rPr>
        <w:t>cuando</w:t>
      </w:r>
      <w:r w:rsidR="00795039" w:rsidRPr="00B610A4">
        <w:rPr>
          <w:rFonts w:ascii="Arial" w:hAnsi="Arial" w:cs="Arial"/>
          <w:lang w:val="es-ES_tradnl"/>
        </w:rPr>
        <w:t xml:space="preserve"> se demostraba que</w:t>
      </w:r>
      <w:r w:rsidRPr="00B610A4">
        <w:rPr>
          <w:rFonts w:ascii="Arial" w:hAnsi="Arial" w:cs="Arial"/>
          <w:lang w:val="es-ES_tradnl"/>
        </w:rPr>
        <w:t xml:space="preserve"> intervenían para modificar conductas de los mercados</w:t>
      </w:r>
      <w:r w:rsidR="00A03065" w:rsidRPr="00B610A4">
        <w:rPr>
          <w:rFonts w:ascii="Arial" w:hAnsi="Arial" w:cs="Arial"/>
          <w:lang w:val="es-ES_tradnl"/>
        </w:rPr>
        <w:t xml:space="preserve"> y no lograban demostrar avanzar en un fin imperioso a través de los medios menos gravosos posibles</w:t>
      </w:r>
      <w:r w:rsidR="00795039" w:rsidRPr="00B610A4">
        <w:rPr>
          <w:rFonts w:ascii="Arial" w:hAnsi="Arial" w:cs="Arial"/>
          <w:lang w:val="es-ES_tradnl"/>
        </w:rPr>
        <w:t>. Ese precedente fue muy criticado por considerarse que fundamentaba una sustitución del legislador democrático por la autoridad judicial en la definición del tipo de mercado que una sociedad debería tener. Esta crítica se agudiz</w:t>
      </w:r>
      <w:r w:rsidR="00B610A4">
        <w:rPr>
          <w:rFonts w:ascii="Arial" w:hAnsi="Arial" w:cs="Arial"/>
          <w:lang w:val="es-ES_tradnl"/>
        </w:rPr>
        <w:t>ó</w:t>
      </w:r>
      <w:r w:rsidR="00795039" w:rsidRPr="00B610A4">
        <w:rPr>
          <w:rFonts w:ascii="Arial" w:hAnsi="Arial" w:cs="Arial"/>
          <w:lang w:val="es-ES_tradnl"/>
        </w:rPr>
        <w:t xml:space="preserve"> durante el “new deal”, movimiento iniciado por el presidente Roosevelt</w:t>
      </w:r>
      <w:r w:rsidR="00562E9E" w:rsidRPr="00B610A4">
        <w:rPr>
          <w:rFonts w:ascii="Arial" w:hAnsi="Arial" w:cs="Arial"/>
          <w:lang w:val="es-ES_tradnl"/>
        </w:rPr>
        <w:t>, con el apoyo del Congreso</w:t>
      </w:r>
      <w:r w:rsidR="00795039" w:rsidRPr="00B610A4">
        <w:rPr>
          <w:rFonts w:ascii="Arial" w:hAnsi="Arial" w:cs="Arial"/>
          <w:lang w:val="es-ES_tradnl"/>
        </w:rPr>
        <w:t xml:space="preserve"> para modificar el marco legal con el fin de atemperar las injusticias producidas por un mercado desregulado </w:t>
      </w:r>
      <w:r w:rsidR="00B610A4">
        <w:rPr>
          <w:rFonts w:ascii="Arial" w:hAnsi="Arial" w:cs="Arial"/>
          <w:lang w:val="es-ES_tradnl"/>
        </w:rPr>
        <w:t>y abatir los perjuicios generados por la competencia económica en contra</w:t>
      </w:r>
      <w:r w:rsidR="00795039" w:rsidRPr="00B610A4">
        <w:rPr>
          <w:rFonts w:ascii="Arial" w:hAnsi="Arial" w:cs="Arial"/>
          <w:lang w:val="es-ES_tradnl"/>
        </w:rPr>
        <w:t xml:space="preserve"> de los más vulnerables. El precedente </w:t>
      </w:r>
      <w:proofErr w:type="spellStart"/>
      <w:r w:rsidR="00795039" w:rsidRPr="00B610A4">
        <w:rPr>
          <w:rFonts w:ascii="Arial" w:hAnsi="Arial" w:cs="Arial"/>
          <w:lang w:val="es-ES_tradnl"/>
        </w:rPr>
        <w:t>Lochner</w:t>
      </w:r>
      <w:proofErr w:type="spellEnd"/>
      <w:r w:rsidR="00795039" w:rsidRPr="00B610A4">
        <w:rPr>
          <w:rFonts w:ascii="Arial" w:hAnsi="Arial" w:cs="Arial"/>
          <w:lang w:val="es-ES_tradnl"/>
        </w:rPr>
        <w:t xml:space="preserve"> fue superado</w:t>
      </w:r>
      <w:r w:rsidR="00562E9E" w:rsidRPr="00B610A4">
        <w:rPr>
          <w:rFonts w:ascii="Arial" w:hAnsi="Arial" w:cs="Arial"/>
          <w:lang w:val="es-ES_tradnl"/>
        </w:rPr>
        <w:t xml:space="preserve"> en 1937, al resolverse el caso de </w:t>
      </w:r>
      <w:r w:rsidR="00562E9E" w:rsidRPr="00B610A4">
        <w:rPr>
          <w:rFonts w:ascii="Arial" w:hAnsi="Arial" w:cs="Arial"/>
          <w:i/>
          <w:iCs/>
          <w:lang w:val="es-ES_tradnl"/>
        </w:rPr>
        <w:t>We</w:t>
      </w:r>
      <w:r w:rsidR="00B610A4" w:rsidRPr="00B610A4">
        <w:rPr>
          <w:rFonts w:ascii="Arial" w:hAnsi="Arial" w:cs="Arial"/>
          <w:i/>
          <w:iCs/>
          <w:lang w:val="es-ES_tradnl"/>
        </w:rPr>
        <w:t>s</w:t>
      </w:r>
      <w:r w:rsidR="00562E9E" w:rsidRPr="00B610A4">
        <w:rPr>
          <w:rFonts w:ascii="Arial" w:hAnsi="Arial" w:cs="Arial"/>
          <w:i/>
          <w:iCs/>
          <w:lang w:val="es-ES_tradnl"/>
        </w:rPr>
        <w:t xml:space="preserve">t </w:t>
      </w:r>
      <w:proofErr w:type="spellStart"/>
      <w:r w:rsidR="00562E9E" w:rsidRPr="00B610A4">
        <w:rPr>
          <w:rFonts w:ascii="Arial" w:hAnsi="Arial" w:cs="Arial"/>
          <w:i/>
          <w:iCs/>
          <w:lang w:val="es-ES_tradnl"/>
        </w:rPr>
        <w:t>Coast</w:t>
      </w:r>
      <w:proofErr w:type="spellEnd"/>
      <w:r w:rsidR="00562E9E" w:rsidRPr="00B610A4">
        <w:rPr>
          <w:rFonts w:ascii="Arial" w:hAnsi="Arial" w:cs="Arial"/>
          <w:i/>
          <w:iCs/>
          <w:lang w:val="es-ES_tradnl"/>
        </w:rPr>
        <w:t xml:space="preserve"> Hotel Co. V </w:t>
      </w:r>
      <w:proofErr w:type="spellStart"/>
      <w:r w:rsidR="00562E9E" w:rsidRPr="00B610A4">
        <w:rPr>
          <w:rFonts w:ascii="Arial" w:hAnsi="Arial" w:cs="Arial"/>
          <w:i/>
          <w:iCs/>
          <w:lang w:val="es-ES_tradnl"/>
        </w:rPr>
        <w:t>Parrish</w:t>
      </w:r>
      <w:proofErr w:type="spellEnd"/>
      <w:r w:rsidR="00562E9E" w:rsidRPr="00B610A4">
        <w:rPr>
          <w:rFonts w:ascii="Arial" w:hAnsi="Arial" w:cs="Arial"/>
          <w:lang w:val="es-ES_tradnl"/>
        </w:rPr>
        <w:t xml:space="preserve"> (U.S. 379), a partir del cual se determinó que la legislación económica debía controlarse mediante un escrutinio </w:t>
      </w:r>
      <w:r w:rsidR="00562E9E" w:rsidRPr="00D40164">
        <w:rPr>
          <w:rFonts w:ascii="Arial" w:hAnsi="Arial" w:cs="Arial"/>
          <w:lang w:val="es-ES_tradnl"/>
        </w:rPr>
        <w:t>ordinario o de mera razonabilidad</w:t>
      </w:r>
      <w:r w:rsidR="00A03065" w:rsidRPr="00B610A4">
        <w:rPr>
          <w:rFonts w:ascii="Arial" w:hAnsi="Arial" w:cs="Arial"/>
          <w:lang w:val="es-ES_tradnl"/>
        </w:rPr>
        <w:t>, es decir, que debía declararse</w:t>
      </w:r>
      <w:r w:rsidR="00B610A4">
        <w:rPr>
          <w:rFonts w:ascii="Arial" w:hAnsi="Arial" w:cs="Arial"/>
          <w:lang w:val="es-ES_tradnl"/>
        </w:rPr>
        <w:t xml:space="preserve"> inconstitucional sólo</w:t>
      </w:r>
      <w:r w:rsidR="00A03065" w:rsidRPr="00B610A4">
        <w:rPr>
          <w:rFonts w:ascii="Arial" w:hAnsi="Arial" w:cs="Arial"/>
          <w:lang w:val="es-ES_tradnl"/>
        </w:rPr>
        <w:t xml:space="preserve"> si el legislador</w:t>
      </w:r>
      <w:r w:rsidR="00B610A4">
        <w:rPr>
          <w:rFonts w:ascii="Arial" w:hAnsi="Arial" w:cs="Arial"/>
          <w:lang w:val="es-ES_tradnl"/>
        </w:rPr>
        <w:t xml:space="preserve"> no</w:t>
      </w:r>
      <w:r w:rsidR="00A03065" w:rsidRPr="00B610A4">
        <w:rPr>
          <w:rFonts w:ascii="Arial" w:hAnsi="Arial" w:cs="Arial"/>
          <w:lang w:val="es-ES_tradnl"/>
        </w:rPr>
        <w:t xml:space="preserve"> buscaba avanzar en un fin legítimo a través de cualquier medio razonable para alcanzarlo</w:t>
      </w:r>
      <w:r w:rsidR="00562E9E" w:rsidRPr="00B610A4">
        <w:rPr>
          <w:rFonts w:ascii="Arial" w:hAnsi="Arial" w:cs="Arial"/>
          <w:lang w:val="es-ES_tradnl"/>
        </w:rPr>
        <w:t xml:space="preserve">. Desde entonces la aplicabilidad de un estándar ordinario a las leyes económicas o comerciales de ese país se considera una condición necesaria de la legitimidad del control judicial de las leyes. </w:t>
      </w:r>
      <w:r w:rsidR="00B610A4">
        <w:rPr>
          <w:rFonts w:ascii="Arial" w:hAnsi="Arial" w:cs="Arial"/>
          <w:lang w:val="es-ES_tradnl"/>
        </w:rPr>
        <w:t xml:space="preserve">La actual doctrina de ese país se basa en la premisa de que </w:t>
      </w:r>
      <w:r w:rsidR="00A03065" w:rsidRPr="00B610A4">
        <w:rPr>
          <w:rFonts w:ascii="Arial" w:hAnsi="Arial" w:cs="Arial"/>
          <w:lang w:val="es-ES_tradnl"/>
        </w:rPr>
        <w:t>deben ser los procesos políticos donde se definan los valores que deben promover los mercados y no</w:t>
      </w:r>
      <w:r w:rsidR="00B610A4">
        <w:rPr>
          <w:rFonts w:ascii="Arial" w:hAnsi="Arial" w:cs="Arial"/>
          <w:lang w:val="es-ES_tradnl"/>
        </w:rPr>
        <w:t xml:space="preserve"> en</w:t>
      </w:r>
      <w:r w:rsidR="00A03065" w:rsidRPr="00B610A4">
        <w:rPr>
          <w:rFonts w:ascii="Arial" w:hAnsi="Arial" w:cs="Arial"/>
          <w:lang w:val="es-ES_tradnl"/>
        </w:rPr>
        <w:t xml:space="preserve"> los judiciales; sin embargo, la severidad del estándar debe revertirse cuando el legislador trasciende el ámbito de la regulación económica para interferir en el ejercicio de los derechos humanos o para generar una discriminación en contra de las minorías. Esta doctrina</w:t>
      </w:r>
      <w:r w:rsidR="00B610A4">
        <w:rPr>
          <w:rFonts w:ascii="Arial" w:hAnsi="Arial" w:cs="Arial"/>
          <w:lang w:val="es-ES_tradnl"/>
        </w:rPr>
        <w:t xml:space="preserve"> se encuentra formulada</w:t>
      </w:r>
      <w:r w:rsidR="00A03065" w:rsidRPr="00B610A4">
        <w:rPr>
          <w:rFonts w:ascii="Arial" w:hAnsi="Arial" w:cs="Arial"/>
          <w:lang w:val="es-ES_tradnl"/>
        </w:rPr>
        <w:t xml:space="preserve"> en la nota al pie 4 de la sentencia</w:t>
      </w:r>
      <w:r w:rsidR="00B610A4">
        <w:rPr>
          <w:rFonts w:ascii="Arial" w:hAnsi="Arial" w:cs="Arial"/>
          <w:lang w:val="es-ES_tradnl"/>
        </w:rPr>
        <w:t xml:space="preserve"> que resolvió el caso de</w:t>
      </w:r>
      <w:r w:rsidR="00A03065" w:rsidRPr="00B610A4">
        <w:rPr>
          <w:rFonts w:ascii="Arial" w:hAnsi="Arial" w:cs="Arial"/>
          <w:lang w:val="es-ES_tradnl"/>
        </w:rPr>
        <w:t xml:space="preserve"> </w:t>
      </w:r>
      <w:proofErr w:type="spellStart"/>
      <w:r w:rsidR="00A03065" w:rsidRPr="00B610A4">
        <w:rPr>
          <w:rFonts w:ascii="Arial" w:hAnsi="Arial" w:cs="Arial"/>
          <w:i/>
          <w:iCs/>
          <w:lang w:val="es-ES_tradnl"/>
        </w:rPr>
        <w:t>United</w:t>
      </w:r>
      <w:proofErr w:type="spellEnd"/>
      <w:r w:rsidR="00A03065" w:rsidRPr="00B610A4">
        <w:rPr>
          <w:rFonts w:ascii="Arial" w:hAnsi="Arial" w:cs="Arial"/>
          <w:i/>
          <w:iCs/>
          <w:lang w:val="es-ES_tradnl"/>
        </w:rPr>
        <w:t xml:space="preserve"> </w:t>
      </w:r>
      <w:proofErr w:type="spellStart"/>
      <w:r w:rsidR="00A03065" w:rsidRPr="00B610A4">
        <w:rPr>
          <w:rFonts w:ascii="Arial" w:hAnsi="Arial" w:cs="Arial"/>
          <w:i/>
          <w:iCs/>
          <w:lang w:val="es-ES_tradnl"/>
        </w:rPr>
        <w:t>States</w:t>
      </w:r>
      <w:proofErr w:type="spellEnd"/>
      <w:r w:rsidR="00A03065" w:rsidRPr="00B610A4">
        <w:rPr>
          <w:rFonts w:ascii="Arial" w:hAnsi="Arial" w:cs="Arial"/>
          <w:i/>
          <w:iCs/>
          <w:lang w:val="es-ES_tradnl"/>
        </w:rPr>
        <w:t xml:space="preserve"> v. </w:t>
      </w:r>
      <w:proofErr w:type="spellStart"/>
      <w:r w:rsidR="00A03065" w:rsidRPr="00B610A4">
        <w:rPr>
          <w:rFonts w:ascii="Arial" w:hAnsi="Arial" w:cs="Arial"/>
          <w:i/>
          <w:iCs/>
          <w:lang w:val="es-ES_tradnl"/>
        </w:rPr>
        <w:t>Carolene</w:t>
      </w:r>
      <w:proofErr w:type="spellEnd"/>
      <w:r w:rsidR="00A03065" w:rsidRPr="00B610A4">
        <w:rPr>
          <w:rFonts w:ascii="Arial" w:hAnsi="Arial" w:cs="Arial"/>
          <w:i/>
          <w:iCs/>
          <w:lang w:val="es-ES_tradnl"/>
        </w:rPr>
        <w:t xml:space="preserve"> </w:t>
      </w:r>
      <w:proofErr w:type="spellStart"/>
      <w:r w:rsidR="00A03065" w:rsidRPr="00B610A4">
        <w:rPr>
          <w:rFonts w:ascii="Arial" w:hAnsi="Arial" w:cs="Arial"/>
          <w:i/>
          <w:iCs/>
          <w:lang w:val="es-ES_tradnl"/>
        </w:rPr>
        <w:t>Products</w:t>
      </w:r>
      <w:proofErr w:type="spellEnd"/>
      <w:r w:rsidR="00A03065" w:rsidRPr="00B610A4">
        <w:rPr>
          <w:rFonts w:ascii="Arial" w:hAnsi="Arial" w:cs="Arial"/>
          <w:i/>
          <w:iCs/>
          <w:lang w:val="es-ES_tradnl"/>
        </w:rPr>
        <w:t xml:space="preserve"> Co.</w:t>
      </w:r>
      <w:r w:rsidR="00A03065" w:rsidRPr="00B610A4">
        <w:rPr>
          <w:rFonts w:ascii="Arial" w:hAnsi="Arial" w:cs="Arial"/>
          <w:lang w:val="es-ES_tradnl"/>
        </w:rPr>
        <w:t xml:space="preserve"> (304</w:t>
      </w:r>
      <w:r w:rsidR="006654EE" w:rsidRPr="00B610A4">
        <w:rPr>
          <w:rFonts w:ascii="Arial" w:hAnsi="Arial" w:cs="Arial"/>
          <w:lang w:val="es-ES_tradnl"/>
        </w:rPr>
        <w:t xml:space="preserve"> U.S. 144) de 1938.</w:t>
      </w:r>
    </w:p>
    <w:p w14:paraId="7C939D8B" w14:textId="5DC2447A" w:rsidR="006654EE" w:rsidRPr="007978F0" w:rsidRDefault="006654EE" w:rsidP="00B610A4">
      <w:pPr>
        <w:pStyle w:val="Textonotapie"/>
        <w:jc w:val="both"/>
        <w:rPr>
          <w:lang w:val="es-ES_tradnl"/>
        </w:rPr>
      </w:pPr>
      <w:r w:rsidRPr="00B610A4">
        <w:rPr>
          <w:rFonts w:ascii="Arial" w:hAnsi="Arial" w:cs="Arial"/>
          <w:lang w:val="es-ES_tradnl"/>
        </w:rPr>
        <w:t>Ahora cabe decir que esta teoría constitucional no ha sido ajena a esta Suprema Corte de Justicia de la Nación, ya que algunos criterios actualmente no superados se basan en estas mismas premisas. Véase, por ejemplo, la tesis de jurisprudencia 84/2006 de la Primera Sala de esta Suprema Corte de Justicia de la Nación, visible en la página 29 del Tomo XXIV (noviembre de 2006) del Semanario Judicial de la Federación y su Gaceta, de rubro: “</w:t>
      </w:r>
      <w:r w:rsidR="00B610A4" w:rsidRPr="00B610A4">
        <w:rPr>
          <w:rFonts w:ascii="Arial" w:hAnsi="Arial" w:cs="Arial"/>
          <w:lang w:val="es-ES_tradnl"/>
        </w:rPr>
        <w:t>ANÁLISIS CONSTITUCIONAL. SU INTENSIDAD A LA LUZ DE LOS PRINCIPIOS DEMOCRÁTICO Y DE DIVISIÓN DE PODERES.”</w:t>
      </w:r>
    </w:p>
  </w:footnote>
  <w:footnote w:id="30">
    <w:p w14:paraId="5DB01002" w14:textId="39FB80EA" w:rsidR="00A9402C" w:rsidRPr="00A86702" w:rsidRDefault="00A9402C" w:rsidP="00A9402C">
      <w:pPr>
        <w:pStyle w:val="Textonotapie"/>
        <w:jc w:val="both"/>
        <w:rPr>
          <w:rFonts w:ascii="Arial" w:hAnsi="Arial" w:cs="Arial"/>
        </w:rPr>
      </w:pPr>
      <w:r w:rsidRPr="00A86702">
        <w:rPr>
          <w:rStyle w:val="Refdenotaalpie"/>
          <w:rFonts w:ascii="Arial" w:hAnsi="Arial" w:cs="Arial"/>
        </w:rPr>
        <w:footnoteRef/>
      </w:r>
      <w:r w:rsidRPr="00A86702">
        <w:rPr>
          <w:rFonts w:ascii="Arial" w:hAnsi="Arial" w:cs="Arial"/>
        </w:rPr>
        <w:t xml:space="preserve"> Esta Suprema Corte ha determinado en distintos precedentes que las barreras de entrada son reprochables a la luz del artículo 28 constitucional y las ha definido como obstáculos injustificados de ingreso</w:t>
      </w:r>
      <w:r w:rsidR="00AF3695" w:rsidRPr="00A86702">
        <w:rPr>
          <w:rFonts w:ascii="Arial" w:hAnsi="Arial" w:cs="Arial"/>
        </w:rPr>
        <w:t>,</w:t>
      </w:r>
      <w:r w:rsidRPr="00A86702">
        <w:rPr>
          <w:rFonts w:ascii="Arial" w:hAnsi="Arial" w:cs="Arial"/>
        </w:rPr>
        <w:t xml:space="preserve"> con los cuales se topan los agentes económicos para competir en un determinado mercado. En teoría económica, se ha considerado que las barrera</w:t>
      </w:r>
      <w:r w:rsidR="00BB0692">
        <w:rPr>
          <w:rFonts w:ascii="Arial" w:hAnsi="Arial" w:cs="Arial"/>
        </w:rPr>
        <w:t>s</w:t>
      </w:r>
      <w:r w:rsidRPr="00A86702">
        <w:rPr>
          <w:rFonts w:ascii="Arial" w:hAnsi="Arial" w:cs="Arial"/>
        </w:rPr>
        <w:t xml:space="preserve"> de entrada impiden la aparición de nuevos competidores, otorgan ventajas a los agentes con poder de mercado y, por tanto, son anticompetitivas. Para abundar en su significado ver  Michael Parkin, Microeconomía, Quinta Edición, Addison Wesley.</w:t>
      </w:r>
    </w:p>
  </w:footnote>
  <w:footnote w:id="31">
    <w:p w14:paraId="5F4F0A9D" w14:textId="469E9493" w:rsidR="00A90C8F" w:rsidRPr="00520557" w:rsidRDefault="00A90C8F" w:rsidP="00A90C8F">
      <w:pPr>
        <w:pStyle w:val="Textonotapie"/>
        <w:jc w:val="both"/>
        <w:rPr>
          <w:rFonts w:ascii="Arial" w:hAnsi="Arial" w:cs="Arial"/>
          <w:lang w:val="es-ES_tradnl"/>
        </w:rPr>
      </w:pPr>
      <w:r w:rsidRPr="00F03A81">
        <w:rPr>
          <w:rStyle w:val="Refdenotaalpie"/>
          <w:rFonts w:ascii="Arial" w:hAnsi="Arial" w:cs="Arial"/>
        </w:rPr>
        <w:footnoteRef/>
      </w:r>
      <w:r w:rsidRPr="00F03A81">
        <w:rPr>
          <w:rFonts w:ascii="Arial" w:hAnsi="Arial" w:cs="Arial"/>
        </w:rPr>
        <w:t xml:space="preserve"> </w:t>
      </w:r>
      <w:r w:rsidRPr="00F03A81">
        <w:rPr>
          <w:rFonts w:ascii="Arial" w:hAnsi="Arial" w:cs="Arial"/>
          <w:lang w:val="es-ES_tradnl"/>
        </w:rPr>
        <w:t>La reviviscencia es el remedio judicial que esta Suprema Corte ha determinado puede decretarse cuando determine la inconstitucionalidad de una norma y para llenar el vacío normativo que se generaría determina restablecer l</w:t>
      </w:r>
      <w:r w:rsidRPr="00520557">
        <w:rPr>
          <w:rFonts w:ascii="Arial" w:hAnsi="Arial" w:cs="Arial"/>
          <w:lang w:val="es-ES_tradnl"/>
        </w:rPr>
        <w:t>a vigencia de las normas vigentes con anterioridad a las declaradas inválidas. Este remedio judicial sólo se ha admitido en dos supuestos. En materia electoral y cuando se detecta una regresividad injustificada en materia de derechos sociales. Véase la tesis de jurisprudencia 86/2007 de este Tribunal Pleno de esta Suprema Corte de Justicia de la Nación, visible en la página 778 del Tomo XXVI (diciembre de 2007) del Semanario Judicial de la Federación y su Gaceta, de rubro: “ACCIÓN DE INCONSTITUCIONALIDAD. LAS FACULTADES DE LA SUPREMA CORTE DE JUSTICIA DE LA NACIÓN PARA DETERMINAR LOS EFECTOS DE LAS SENTENCIAS ESTIMATORIAS FRENTE A UN SISTEMA NORMATIVO QUE HA REFORMADO A OTRO, INCLUYEN LA POSIBILIDAD DE ESTABLECER LA REVIVISCENCIA DE LAS NORMAS VIGENTES CON ANTERIORIDAD A AQUELLAS DECLARAD</w:t>
      </w:r>
      <w:r w:rsidR="002747F8">
        <w:rPr>
          <w:rFonts w:ascii="Arial" w:hAnsi="Arial" w:cs="Arial"/>
          <w:lang w:val="es-ES_tradnl"/>
        </w:rPr>
        <w:t>A</w:t>
      </w:r>
      <w:r w:rsidRPr="00520557">
        <w:rPr>
          <w:rFonts w:ascii="Arial" w:hAnsi="Arial" w:cs="Arial"/>
          <w:lang w:val="es-ES_tradnl"/>
        </w:rPr>
        <w:t xml:space="preserve">S INVÁLIDAS, ESPECIALMENTE EN MATERIA ELECTORAL.” </w:t>
      </w:r>
    </w:p>
    <w:p w14:paraId="765707D1" w14:textId="77777777" w:rsidR="00A90C8F" w:rsidRPr="00F03A81" w:rsidRDefault="00A90C8F" w:rsidP="00A90C8F">
      <w:pPr>
        <w:pStyle w:val="Textonotapie"/>
        <w:jc w:val="both"/>
        <w:rPr>
          <w:lang w:val="es-ES_tradnl"/>
        </w:rPr>
      </w:pPr>
      <w:r w:rsidRPr="00F03A81">
        <w:rPr>
          <w:rFonts w:ascii="Arial" w:hAnsi="Arial" w:cs="Arial"/>
          <w:lang w:val="es-ES_tradnl"/>
        </w:rPr>
        <w:t>Cabe reiterar que esta Suprema Corte no ha determinado la reviviscencia cuando ha determinado que una ley es inconstitucional por establecer una barrera de entrada a la competencia económica, por lo que este remedio no se encontraba disponible de haberse logrado la invalidez de las normas impugnadas por violación a los principios de libre competencia y concurrencia</w:t>
      </w:r>
      <w:r w:rsidRPr="00F03A81">
        <w:rPr>
          <w:lang w:val="es-ES_tradnl"/>
        </w:rPr>
        <w:t>.</w:t>
      </w:r>
    </w:p>
  </w:footnote>
  <w:footnote w:id="32">
    <w:p w14:paraId="37168384" w14:textId="67185D0E" w:rsidR="00513DB4" w:rsidRPr="00F03A81" w:rsidRDefault="00513DB4" w:rsidP="009814B5">
      <w:pPr>
        <w:pStyle w:val="Textonotapie"/>
        <w:jc w:val="both"/>
        <w:rPr>
          <w:rFonts w:ascii="Arial" w:hAnsi="Arial" w:cs="Arial"/>
          <w:lang w:val="es-ES_tradnl"/>
        </w:rPr>
      </w:pPr>
      <w:r w:rsidRPr="00F03A81">
        <w:rPr>
          <w:rStyle w:val="Refdenotaalpie"/>
        </w:rPr>
        <w:footnoteRef/>
      </w:r>
      <w:r w:rsidRPr="00F03A81">
        <w:t xml:space="preserve"> </w:t>
      </w:r>
      <w:r w:rsidRPr="00F03A81">
        <w:rPr>
          <w:rFonts w:ascii="Arial" w:hAnsi="Arial" w:cs="Arial"/>
          <w:lang w:val="es-ES_tradnl"/>
        </w:rPr>
        <w:t>Ver, por ejemplo, la tesis de jurisprudencia 85/2017 de la Primera Sala de la Suprema Corte de Justicia de la Nación, visible en la página 189 del Libro 47 (octubre de 2017), Tomo I de la Gaceta del Semanario Judicial de la Federación, de rubro: “PRINCIPIO DE PROGRESIVIDAD DE LOS DERECHOS HUMANOS. SU CONCEPTO Y EXIGENCIAS POSITIVAS Y NEGATIVAS.”</w:t>
      </w:r>
    </w:p>
  </w:footnote>
  <w:footnote w:id="33">
    <w:p w14:paraId="33A46970" w14:textId="5D8B6737" w:rsidR="00BB4563" w:rsidRPr="00F03A81" w:rsidRDefault="00BB4563" w:rsidP="00BB4563">
      <w:pPr>
        <w:pStyle w:val="Textonotapie"/>
        <w:jc w:val="both"/>
        <w:rPr>
          <w:rFonts w:ascii="Arial" w:hAnsi="Arial" w:cs="Arial"/>
        </w:rPr>
      </w:pPr>
      <w:r w:rsidRPr="00F03A81">
        <w:rPr>
          <w:rStyle w:val="Refdenotaalpie"/>
        </w:rPr>
        <w:footnoteRef/>
      </w:r>
      <w:r w:rsidRPr="00F03A81">
        <w:t xml:space="preserve"> </w:t>
      </w:r>
      <w:r w:rsidRPr="00F03A81">
        <w:rPr>
          <w:rFonts w:ascii="Arial" w:hAnsi="Arial" w:cs="Arial"/>
        </w:rPr>
        <w:t>En mi opinión es técnicamente inviable reconocer un principio de progresividad en el principio de libre competencia y concurrencia y, correlativamente, una prohibición de no regresividad a las autoridades productoras de derecho</w:t>
      </w:r>
      <w:r w:rsidR="000E71B2" w:rsidRPr="00F03A81">
        <w:rPr>
          <w:rFonts w:ascii="Arial" w:hAnsi="Arial" w:cs="Arial"/>
        </w:rPr>
        <w:t xml:space="preserve">. En </w:t>
      </w:r>
      <w:r w:rsidRPr="00F03A81">
        <w:rPr>
          <w:rFonts w:ascii="Arial" w:hAnsi="Arial" w:cs="Arial"/>
        </w:rPr>
        <w:t>primer lugar,</w:t>
      </w:r>
      <w:r w:rsidR="004957E2" w:rsidRPr="00F03A81">
        <w:rPr>
          <w:rFonts w:ascii="Arial" w:hAnsi="Arial" w:cs="Arial"/>
        </w:rPr>
        <w:t xml:space="preserve"> si ello fuera así,</w:t>
      </w:r>
      <w:r w:rsidRPr="00F03A81">
        <w:rPr>
          <w:rFonts w:ascii="Arial" w:hAnsi="Arial" w:cs="Arial"/>
        </w:rPr>
        <w:t xml:space="preserve"> no habría justificación para no extender este tratamiento a los otros principios y fines de política pública contenidos en los artículos 25, 27 y 28 constitucionales. Debemos recordar que libre competencia es uno más de los principios que integran el elenco de principio</w:t>
      </w:r>
      <w:r w:rsidR="0018200D" w:rsidRPr="00F03A81">
        <w:rPr>
          <w:rFonts w:ascii="Arial" w:hAnsi="Arial" w:cs="Arial"/>
        </w:rPr>
        <w:t xml:space="preserve">s para </w:t>
      </w:r>
      <w:r w:rsidRPr="00F03A81">
        <w:rPr>
          <w:rFonts w:ascii="Arial" w:hAnsi="Arial" w:cs="Arial"/>
        </w:rPr>
        <w:t>política pública</w:t>
      </w:r>
      <w:r w:rsidR="00E6252E" w:rsidRPr="00F03A81">
        <w:rPr>
          <w:rFonts w:ascii="Arial" w:hAnsi="Arial" w:cs="Arial"/>
        </w:rPr>
        <w:t xml:space="preserve">, que rigen y </w:t>
      </w:r>
      <w:r w:rsidRPr="00F03A81">
        <w:rPr>
          <w:rFonts w:ascii="Arial" w:hAnsi="Arial" w:cs="Arial"/>
        </w:rPr>
        <w:t xml:space="preserve">enmarcan la rectoría económica del </w:t>
      </w:r>
      <w:r w:rsidR="00E6252E" w:rsidRPr="00F03A81">
        <w:rPr>
          <w:rFonts w:ascii="Arial" w:hAnsi="Arial" w:cs="Arial"/>
        </w:rPr>
        <w:t>Estado</w:t>
      </w:r>
      <w:r w:rsidRPr="00F03A81">
        <w:rPr>
          <w:rFonts w:ascii="Arial" w:hAnsi="Arial" w:cs="Arial"/>
        </w:rPr>
        <w:t xml:space="preserve">. En segundo lugar, si en todos estos principios existiera una prohibición de no regresividad, esa doctrina eliminaría la posibilidad </w:t>
      </w:r>
      <w:r w:rsidR="00905D47" w:rsidRPr="00F03A81">
        <w:rPr>
          <w:rFonts w:ascii="Arial" w:hAnsi="Arial" w:cs="Arial"/>
        </w:rPr>
        <w:t xml:space="preserve">de que los </w:t>
      </w:r>
      <w:r w:rsidR="00F76ADB" w:rsidRPr="00F03A81">
        <w:rPr>
          <w:rFonts w:ascii="Arial" w:hAnsi="Arial" w:cs="Arial"/>
        </w:rPr>
        <w:t>dos poderes</w:t>
      </w:r>
      <w:r w:rsidR="00905D47" w:rsidRPr="00F03A81">
        <w:rPr>
          <w:rFonts w:ascii="Arial" w:hAnsi="Arial" w:cs="Arial"/>
        </w:rPr>
        <w:t xml:space="preserve"> tomaran d</w:t>
      </w:r>
      <w:r w:rsidRPr="00F03A81">
        <w:rPr>
          <w:rFonts w:ascii="Arial" w:hAnsi="Arial" w:cs="Arial"/>
        </w:rPr>
        <w:t>ecisiones de política pública, la</w:t>
      </w:r>
      <w:r w:rsidR="008307B1" w:rsidRPr="00F03A81">
        <w:rPr>
          <w:rFonts w:ascii="Arial" w:hAnsi="Arial" w:cs="Arial"/>
        </w:rPr>
        <w:t>s</w:t>
      </w:r>
      <w:r w:rsidRPr="00F03A81">
        <w:rPr>
          <w:rFonts w:ascii="Arial" w:hAnsi="Arial" w:cs="Arial"/>
        </w:rPr>
        <w:t xml:space="preserve"> cuales, por definición, </w:t>
      </w:r>
      <w:r w:rsidR="00626273" w:rsidRPr="00F03A81">
        <w:rPr>
          <w:rFonts w:ascii="Arial" w:hAnsi="Arial" w:cs="Arial"/>
        </w:rPr>
        <w:t>debe</w:t>
      </w:r>
      <w:r w:rsidR="008307B1" w:rsidRPr="00F03A81">
        <w:rPr>
          <w:rFonts w:ascii="Arial" w:hAnsi="Arial" w:cs="Arial"/>
        </w:rPr>
        <w:t>n</w:t>
      </w:r>
      <w:r w:rsidR="00626273" w:rsidRPr="00F03A81">
        <w:rPr>
          <w:rFonts w:ascii="Arial" w:hAnsi="Arial" w:cs="Arial"/>
        </w:rPr>
        <w:t xml:space="preserve"> ser </w:t>
      </w:r>
      <w:r w:rsidRPr="00F03A81">
        <w:rPr>
          <w:rFonts w:ascii="Arial" w:hAnsi="Arial" w:cs="Arial"/>
        </w:rPr>
        <w:t xml:space="preserve">resultado </w:t>
      </w:r>
      <w:r w:rsidR="0024787C" w:rsidRPr="00F03A81">
        <w:rPr>
          <w:rFonts w:ascii="Arial" w:hAnsi="Arial" w:cs="Arial"/>
        </w:rPr>
        <w:t xml:space="preserve">de </w:t>
      </w:r>
      <w:r w:rsidRPr="00F03A81">
        <w:rPr>
          <w:rFonts w:ascii="Arial" w:hAnsi="Arial" w:cs="Arial"/>
        </w:rPr>
        <w:t xml:space="preserve">compromisos entre </w:t>
      </w:r>
      <w:r w:rsidR="00626273" w:rsidRPr="00F03A81">
        <w:rPr>
          <w:rFonts w:ascii="Arial" w:hAnsi="Arial" w:cs="Arial"/>
        </w:rPr>
        <w:t xml:space="preserve">sus </w:t>
      </w:r>
      <w:r w:rsidRPr="00F03A81">
        <w:rPr>
          <w:rFonts w:ascii="Arial" w:hAnsi="Arial" w:cs="Arial"/>
        </w:rPr>
        <w:t>distintos fines</w:t>
      </w:r>
      <w:r w:rsidR="00626273" w:rsidRPr="00F03A81">
        <w:rPr>
          <w:rFonts w:ascii="Arial" w:hAnsi="Arial" w:cs="Arial"/>
        </w:rPr>
        <w:t xml:space="preserve">. </w:t>
      </w:r>
      <w:r w:rsidRPr="00F03A81">
        <w:rPr>
          <w:rFonts w:ascii="Arial" w:hAnsi="Arial" w:cs="Arial"/>
        </w:rPr>
        <w:t xml:space="preserve">Por ello, estimo que el principio de progresividad sólo es aplicable al </w:t>
      </w:r>
      <w:r w:rsidRPr="00F03A81">
        <w:rPr>
          <w:rFonts w:ascii="Arial" w:hAnsi="Arial" w:cs="Arial"/>
          <w:i/>
          <w:iCs/>
        </w:rPr>
        <w:t>corpus iuris</w:t>
      </w:r>
      <w:r w:rsidRPr="00F03A81">
        <w:rPr>
          <w:rFonts w:ascii="Arial" w:hAnsi="Arial" w:cs="Arial"/>
        </w:rPr>
        <w:t xml:space="preserve"> de los derechos humanos y no </w:t>
      </w:r>
      <w:r w:rsidR="001F6E93" w:rsidRPr="00F03A81">
        <w:rPr>
          <w:rFonts w:ascii="Arial" w:hAnsi="Arial" w:cs="Arial"/>
        </w:rPr>
        <w:t>a los principios</w:t>
      </w:r>
      <w:r w:rsidRPr="00F03A81">
        <w:rPr>
          <w:rFonts w:ascii="Arial" w:hAnsi="Arial" w:cs="Arial"/>
        </w:rPr>
        <w:t xml:space="preserve"> que informan la potestad de rectoría económica del Estado. </w:t>
      </w:r>
    </w:p>
  </w:footnote>
  <w:footnote w:id="34">
    <w:p w14:paraId="4498C010" w14:textId="7B7B56F3" w:rsidR="00496399" w:rsidRPr="00F03A81" w:rsidRDefault="00496399" w:rsidP="008F25B7">
      <w:pPr>
        <w:pStyle w:val="Textonotapie"/>
        <w:jc w:val="both"/>
        <w:rPr>
          <w:lang w:val="es-ES_tradnl"/>
        </w:rPr>
      </w:pPr>
      <w:r w:rsidRPr="00F03A81">
        <w:rPr>
          <w:rStyle w:val="Refdenotaalpie"/>
          <w:rFonts w:ascii="Arial" w:hAnsi="Arial" w:cs="Arial"/>
        </w:rPr>
        <w:footnoteRef/>
      </w:r>
      <w:r w:rsidRPr="00F03A81">
        <w:rPr>
          <w:rFonts w:ascii="Arial" w:hAnsi="Arial" w:cs="Arial"/>
        </w:rPr>
        <w:t xml:space="preserve"> </w:t>
      </w:r>
      <w:r w:rsidRPr="00F03A81">
        <w:rPr>
          <w:rFonts w:ascii="Arial" w:hAnsi="Arial" w:cs="Arial"/>
          <w:lang w:val="es-ES_tradnl"/>
        </w:rPr>
        <w:t xml:space="preserve">Por lo que respecta al medio ambiente, véase la tesis aislada de la Primera Sala, visible en la página 397 del Libro 61 (diciembre de 2018), tomo I de la Gaceta del Semanario Judicial de la </w:t>
      </w:r>
      <w:r w:rsidR="0019500E" w:rsidRPr="00F03A81">
        <w:rPr>
          <w:rFonts w:ascii="Arial" w:hAnsi="Arial" w:cs="Arial"/>
          <w:lang w:val="es-ES_tradnl"/>
        </w:rPr>
        <w:t>Federación,</w:t>
      </w:r>
      <w:r w:rsidRPr="00F03A81">
        <w:rPr>
          <w:rFonts w:ascii="Arial" w:hAnsi="Arial" w:cs="Arial"/>
          <w:lang w:val="es-ES_tradnl"/>
        </w:rPr>
        <w:t xml:space="preserve"> de rubro: “RELATIVIDAD DE LAS SENTENCIAS EN EL JUICIO DE AMPARO EN MATERIA AMBIENTAL.”</w:t>
      </w:r>
      <w:r w:rsidR="00A73EF1" w:rsidRPr="00F03A81">
        <w:rPr>
          <w:lang w:val="es-ES_tradnl"/>
        </w:rPr>
        <w:t xml:space="preserve"> </w:t>
      </w:r>
    </w:p>
  </w:footnote>
  <w:footnote w:id="35">
    <w:p w14:paraId="1A34C815" w14:textId="625EAF74" w:rsidR="00BB4563" w:rsidRPr="00F03A81" w:rsidRDefault="00BB4563" w:rsidP="004652F4">
      <w:pPr>
        <w:pStyle w:val="Textonotapie"/>
        <w:jc w:val="both"/>
        <w:rPr>
          <w:rFonts w:ascii="Arial" w:hAnsi="Arial" w:cs="Arial"/>
        </w:rPr>
      </w:pPr>
      <w:r w:rsidRPr="00F03A81">
        <w:rPr>
          <w:rStyle w:val="Refdenotaalpie"/>
        </w:rPr>
        <w:footnoteRef/>
      </w:r>
      <w:r w:rsidRPr="00F03A81">
        <w:t xml:space="preserve"> </w:t>
      </w:r>
      <w:r w:rsidRPr="00F03A81">
        <w:rPr>
          <w:rFonts w:ascii="Arial" w:hAnsi="Arial" w:cs="Arial"/>
        </w:rPr>
        <w:t xml:space="preserve">Un escrutinio ordinario es el menos exigente de los estándares de escrutinio y se suele identificar igualmente como test de mera razonabilidad, el cual consiste </w:t>
      </w:r>
      <w:r w:rsidR="008D6839" w:rsidRPr="00F03A81">
        <w:rPr>
          <w:rFonts w:ascii="Arial" w:hAnsi="Arial" w:cs="Arial"/>
        </w:rPr>
        <w:t xml:space="preserve">en </w:t>
      </w:r>
      <w:r w:rsidRPr="00F03A81">
        <w:rPr>
          <w:rFonts w:ascii="Arial" w:hAnsi="Arial" w:cs="Arial"/>
        </w:rPr>
        <w:t>tres pasos: 1) determinar si la medida legislativa impugnada busca avanzar un fin constitucionalmente legítimo, 2) si esa medida se conecta razonablemente con ese fin constitucionalmente legítimo, sin necesidad de constatar que el legislador haya utilizado los medios menos gravosos y 3) debe proporcional en sentido estricto. Al respecto véase la tesis aislada X/2022 de la Primera Sala de esta Suprema Corte de Justicia de la Nación, visible en la página 1724 del Libro 11 (marzo de 2022) del Tomo II de la Gaceta del Semanario Judicial de la Federación, de rubro: “LIBERTADES ECONÓMICAS. LAS INTERFERENCIAS A ESTAS LIBERTADES SE CONTROLAN MEDIANTE EL ESCRUTINIO ORDINARIO Y NO POR UN TEST DE PROPORCIONALIDAD O ESCRUTINIO ESTRICTO.”</w:t>
      </w:r>
    </w:p>
  </w:footnote>
  <w:footnote w:id="36">
    <w:p w14:paraId="1AA9715D" w14:textId="77777777" w:rsidR="008519BA" w:rsidRPr="00F03A81" w:rsidRDefault="008519BA" w:rsidP="008519BA">
      <w:pPr>
        <w:pStyle w:val="Textonotapie"/>
        <w:rPr>
          <w:rFonts w:ascii="Arial" w:hAnsi="Arial" w:cs="Arial"/>
          <w:lang w:val="en-US"/>
        </w:rPr>
      </w:pPr>
      <w:r w:rsidRPr="00F03A81">
        <w:rPr>
          <w:rStyle w:val="Refdenotaalpie"/>
        </w:rPr>
        <w:footnoteRef/>
      </w:r>
      <w:r w:rsidRPr="00F03A81">
        <w:rPr>
          <w:lang w:val="en-US"/>
        </w:rPr>
        <w:t xml:space="preserve"> </w:t>
      </w:r>
      <w:r w:rsidRPr="00F03A81">
        <w:rPr>
          <w:rFonts w:ascii="Arial" w:hAnsi="Arial" w:cs="Arial"/>
          <w:lang w:val="en-US"/>
        </w:rPr>
        <w:t>Dworkin, R (1967). The model of rules. University of Chicago Law Review 35 (1), 14-46.</w:t>
      </w:r>
    </w:p>
  </w:footnote>
  <w:footnote w:id="37">
    <w:p w14:paraId="716EB0B5" w14:textId="77777777" w:rsidR="008519BA" w:rsidRPr="00F03A81" w:rsidRDefault="008519BA" w:rsidP="008519BA">
      <w:pPr>
        <w:pStyle w:val="NormalWeb"/>
        <w:shd w:val="clear" w:color="auto" w:fill="FFFFFF"/>
        <w:spacing w:before="0" w:beforeAutospacing="0" w:after="0" w:afterAutospacing="0"/>
        <w:jc w:val="both"/>
        <w:rPr>
          <w:rFonts w:ascii="Arial" w:hAnsi="Arial" w:cs="Arial"/>
          <w:color w:val="000000" w:themeColor="text1"/>
          <w:sz w:val="20"/>
          <w:szCs w:val="20"/>
        </w:rPr>
      </w:pPr>
      <w:r w:rsidRPr="00F03A81">
        <w:rPr>
          <w:rStyle w:val="Refdenotaalpie"/>
          <w:rFonts w:ascii="Arial" w:hAnsi="Arial" w:cs="Arial"/>
          <w:color w:val="000000" w:themeColor="text1"/>
          <w:sz w:val="20"/>
          <w:szCs w:val="20"/>
        </w:rPr>
        <w:footnoteRef/>
      </w:r>
      <w:r w:rsidRPr="00F03A81">
        <w:rPr>
          <w:rFonts w:ascii="Arial" w:hAnsi="Arial" w:cs="Arial"/>
          <w:color w:val="000000" w:themeColor="text1"/>
          <w:sz w:val="20"/>
          <w:szCs w:val="20"/>
        </w:rPr>
        <w:t xml:space="preserve"> Véase la tesis de jurisprudencia 84/2006 de la Primera Sala de esta Suprema Corte de Justicia de la Nación, visible en la página 29 del Tomo XXIV (noviembre de 2006) del Semanario Judicial de la Federación y su Gaceta, de rubro y texto: “ANÁLISIS CONSTITUCIONAL. SU INTENSIDAD A LA LUZ DE LOS PRINCIPIOS DEMOCRÁTICO Y DE DIVISIÓN DE PODERES. Acorde con las consideraciones sustentadas por la Primera Sala de esta Suprema Corte de Justicia de la Nación en la tesis 1a. CXXXIII/2004, de rubro: "</w:t>
      </w:r>
      <w:hyperlink r:id="rId1" w:tgtFrame="_blank" w:history="1">
        <w:r w:rsidRPr="00F03A81">
          <w:rPr>
            <w:rStyle w:val="Hipervnculo"/>
            <w:rFonts w:ascii="Arial" w:hAnsi="Arial" w:cs="Arial"/>
            <w:color w:val="000000" w:themeColor="text1"/>
            <w:sz w:val="20"/>
            <w:szCs w:val="20"/>
            <w:u w:val="none"/>
          </w:rPr>
          <w:t>IGUALDAD. CASOS EN LOS QUE EL JUEZ CONSTITUCIONAL DEBE HACER UN ESCRUTINIO ESTRICTO DE LAS CLASIFICACIONES LEGISLATIVAS (INTERPRETACIÓN DEL ARTÍCULO 1o. DE LA CONSTITUCIÓN POLÍTICA DE LOS ESTADOS UNIDOS MEXICANOS).</w:t>
        </w:r>
      </w:hyperlink>
      <w:r w:rsidRPr="00F03A81">
        <w:rPr>
          <w:rFonts w:ascii="Arial" w:hAnsi="Arial" w:cs="Arial"/>
          <w:color w:val="000000" w:themeColor="text1"/>
          <w:sz w:val="20"/>
          <w:szCs w:val="20"/>
        </w:rPr>
        <w:t>", siempre que la acción clasificadora del legislador incida en los derechos fundamentales garantizados por la Constitución, será necesario aplicar con especial intensidad las exigencias derivadas del principio de igualdad y no discriminación. De igual manera, en aquellos asuntos en que el texto constitucional limita la discrecionalidad del Congreso o del Ejecutivo, la intervención y control del tribunal constitucional debe ser mayor, a fin de respetar el diseño establecido por ella. Para este Alto Tribunal es claro que la fuerza normativa del principio democrático y del principio de separación de poderes tiene como consecuencia obvia que los otros órganos del Estado -y entre ellos, el juzgador constitucional- deben respetar la libertad de configuración con que cuentan el Congreso y el Ejecutivo, en el marco de sus atribuciones. Conforme a lo anterior, la </w:t>
      </w:r>
      <w:r w:rsidRPr="003534B1">
        <w:rPr>
          <w:rFonts w:ascii="Arial" w:hAnsi="Arial" w:cs="Arial"/>
          <w:color w:val="000000" w:themeColor="text1"/>
          <w:sz w:val="20"/>
          <w:szCs w:val="20"/>
        </w:rPr>
        <w:t>severidad del control judicial se encuentra inversamente relacionada con el grado de libertad de configuración por parte de los autores de la norma. De esta manera</w:t>
      </w:r>
      <w:r w:rsidRPr="00F03A81">
        <w:rPr>
          <w:rFonts w:ascii="Arial" w:hAnsi="Arial" w:cs="Arial"/>
          <w:color w:val="000000" w:themeColor="text1"/>
          <w:sz w:val="20"/>
          <w:szCs w:val="20"/>
        </w:rPr>
        <w:t>, resulta evidente que la Constitución Federal exige una modulación del juicio de igualdad, sin que eso implique ninguna renuncia de la Corte al estricto ejercicio de sus competencias de control. Por el contrario, en el caso de normatividad con efectos económicos o tributarios, por regla general, la intensidad del análisis constitucional debe ser poco estricta, con el fin de no vulnerar la libertad política del legislador, en campos como el económico, en donde la propia Constitución establece una amplia capacidad de intervención y regulación diferenciada del Estado, considerando que, cuando el texto constitucional establece un margen de discrecionalidad en ciertas materias, eso significa que las posibilidades de injerencia del Juez constitucional son menores y, por ende, la intensidad de su control se ve limitada. En tales esferas, un control muy estricto llevaría al Juez constitucional a sustituir la competencia legislativa del Congreso -o la extraordinaria que puede corresponder al Ejecutivo-, pues no es función del Poder </w:t>
      </w:r>
      <w:r w:rsidRPr="003534B1">
        <w:rPr>
          <w:rFonts w:ascii="Arial" w:hAnsi="Arial" w:cs="Arial"/>
          <w:color w:val="000000" w:themeColor="text1"/>
          <w:sz w:val="20"/>
          <w:szCs w:val="20"/>
        </w:rPr>
        <w:t>Judicial Federal</w:t>
      </w:r>
      <w:r w:rsidRPr="00F03A81">
        <w:rPr>
          <w:rFonts w:ascii="Arial" w:hAnsi="Arial" w:cs="Arial"/>
          <w:color w:val="000000" w:themeColor="text1"/>
          <w:sz w:val="20"/>
          <w:szCs w:val="20"/>
        </w:rPr>
        <w:t>, sino de los órganos políticos, entrar a analizar si esas clasificaciones económicas son las mejores o si éstas resultan necesarias.”</w:t>
      </w:r>
    </w:p>
  </w:footnote>
  <w:footnote w:id="38">
    <w:p w14:paraId="783FF37B" w14:textId="071A4B5A" w:rsidR="006F444D" w:rsidRPr="00F03A81" w:rsidRDefault="006F444D" w:rsidP="005E64D4">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Ver, por ejemplo, la tesis aislada CCCXII/2013 de la Primera Sala de esta Suprema Corte</w:t>
      </w:r>
      <w:r w:rsidR="005E64D4" w:rsidRPr="00F03A81">
        <w:rPr>
          <w:rFonts w:ascii="Arial" w:hAnsi="Arial" w:cs="Arial"/>
        </w:rPr>
        <w:t xml:space="preserve"> de Justicia de la Nación, visible en la página 1052 del Libro XXV (octubre de 2013) Tomo 2 del Semanario Judicial de la Federación y su Gaceta, de rubro: “INTENSIDAD DEL ANÁLISIS DE CONSTITUCIONALIDAD Y USO DEL PRINCIPIO DE PROPORCIONALIDAD. SU APLICACIÓN EN RELACIÓN CON LOS DERECHOS HUMANOS.”</w:t>
      </w:r>
    </w:p>
  </w:footnote>
  <w:footnote w:id="39">
    <w:p w14:paraId="2AB5878B" w14:textId="54B2A50A" w:rsidR="00991709" w:rsidRPr="00F03A81" w:rsidRDefault="00991709" w:rsidP="00991709">
      <w:pPr>
        <w:pStyle w:val="Textonotapie"/>
        <w:jc w:val="both"/>
        <w:rPr>
          <w:rFonts w:ascii="Arial" w:hAnsi="Arial" w:cs="Arial"/>
          <w:lang w:val="es-ES_tradnl"/>
        </w:rPr>
      </w:pPr>
      <w:r w:rsidRPr="00F03A81">
        <w:rPr>
          <w:rStyle w:val="Refdenotaalpie"/>
        </w:rPr>
        <w:footnoteRef/>
      </w:r>
      <w:r w:rsidRPr="00F03A81">
        <w:t xml:space="preserve"> </w:t>
      </w:r>
      <w:r w:rsidRPr="00F03A81">
        <w:rPr>
          <w:rFonts w:ascii="Arial" w:hAnsi="Arial" w:cs="Arial"/>
        </w:rPr>
        <w:t>Este asunto se registró con el número C/09/456689/HAZA 13-1396 e</w:t>
      </w:r>
      <w:r w:rsidRPr="00F03A81">
        <w:rPr>
          <w:rFonts w:ascii="Arial" w:hAnsi="Arial" w:cs="Arial"/>
          <w:lang w:val="es-ES_tradnl"/>
        </w:rPr>
        <w:t xml:space="preserve"> inició una con petición suscrita por la fundación actora y dirigida al primer </w:t>
      </w:r>
      <w:proofErr w:type="gramStart"/>
      <w:r w:rsidR="001D09D8">
        <w:rPr>
          <w:rFonts w:ascii="Arial" w:hAnsi="Arial" w:cs="Arial"/>
          <w:lang w:val="es-ES_tradnl"/>
        </w:rPr>
        <w:t>M</w:t>
      </w:r>
      <w:r w:rsidRPr="00F03A81">
        <w:rPr>
          <w:rFonts w:ascii="Arial" w:hAnsi="Arial" w:cs="Arial"/>
          <w:lang w:val="es-ES_tradnl"/>
        </w:rPr>
        <w:t>inistro</w:t>
      </w:r>
      <w:proofErr w:type="gramEnd"/>
      <w:r w:rsidRPr="00F03A81">
        <w:rPr>
          <w:rFonts w:ascii="Arial" w:hAnsi="Arial" w:cs="Arial"/>
          <w:lang w:val="es-ES_tradnl"/>
        </w:rPr>
        <w:t xml:space="preserve"> de Holanda, en el cual se le solicitaba tomar medidas para garantizar la reducción de la emisión de los gases de efecto invernadero, la que fue respondida en sentido negativa. Esta respuesta fue combatida en los tribunales, hasta llegar a la Suprema Corte de ese país.</w:t>
      </w:r>
    </w:p>
  </w:footnote>
  <w:footnote w:id="40">
    <w:p w14:paraId="111DA28F" w14:textId="4A77ABE4" w:rsidR="00991709" w:rsidRPr="00F03A81" w:rsidRDefault="00991709" w:rsidP="00991709">
      <w:pPr>
        <w:pStyle w:val="Textonotapie"/>
        <w:jc w:val="both"/>
        <w:rPr>
          <w:rFonts w:ascii="Arial" w:hAnsi="Arial" w:cs="Arial"/>
          <w:lang w:val="es-ES_tradnl"/>
        </w:rPr>
      </w:pPr>
      <w:r w:rsidRPr="00F03A81">
        <w:rPr>
          <w:rStyle w:val="Refdenotaalpie"/>
        </w:rPr>
        <w:footnoteRef/>
      </w:r>
      <w:r w:rsidRPr="00F03A81">
        <w:t xml:space="preserve"> </w:t>
      </w:r>
      <w:r w:rsidRPr="00F03A81">
        <w:rPr>
          <w:rFonts w:ascii="Arial" w:hAnsi="Arial" w:cs="Arial"/>
        </w:rPr>
        <w:t>Este juicio se inició para impugnar el Plan Nacional de Mitigación, publicado el 19 de julio de 2017 y fue promovido por una asociación civil sin fines de lucro. En la sentencia, la Corte Suprema de ese país utilizó un parámetro de control que incorporó a la Ley del Clima de 2015.</w:t>
      </w:r>
    </w:p>
  </w:footnote>
  <w:footnote w:id="41">
    <w:p w14:paraId="4C7DEEFA" w14:textId="02BFBA3C" w:rsidR="00BB4563" w:rsidRPr="00F03A81" w:rsidRDefault="00BB4563" w:rsidP="00D7551F">
      <w:pPr>
        <w:pStyle w:val="Textonotapie"/>
        <w:jc w:val="both"/>
        <w:rPr>
          <w:rFonts w:ascii="Arial" w:hAnsi="Arial" w:cs="Arial"/>
          <w:lang w:val="es-ES_tradnl"/>
        </w:rPr>
      </w:pPr>
      <w:r w:rsidRPr="00F03A81">
        <w:rPr>
          <w:rStyle w:val="Refdenotaalpie"/>
        </w:rPr>
        <w:footnoteRef/>
      </w:r>
      <w:r w:rsidRPr="00F03A81">
        <w:t xml:space="preserve"> </w:t>
      </w:r>
      <w:r w:rsidRPr="00F03A81">
        <w:rPr>
          <w:rFonts w:ascii="Arial" w:hAnsi="Arial" w:cs="Arial"/>
          <w:lang w:val="es-ES_tradnl"/>
        </w:rPr>
        <w:t xml:space="preserve">La sentencia recayó a una serie de juicios entablados por personas físicas y asociaciones civiles en contra de la Ley </w:t>
      </w:r>
      <w:r w:rsidR="00754FE0">
        <w:rPr>
          <w:rFonts w:ascii="Arial" w:hAnsi="Arial" w:cs="Arial"/>
          <w:lang w:val="es-ES_tradnl"/>
        </w:rPr>
        <w:t>F</w:t>
      </w:r>
      <w:r w:rsidRPr="00F03A81">
        <w:rPr>
          <w:rFonts w:ascii="Arial" w:hAnsi="Arial" w:cs="Arial"/>
          <w:lang w:val="es-ES_tradnl"/>
        </w:rPr>
        <w:t xml:space="preserve">ederal de Cambio Climático de 2019, los cuales se identifican con los siguientes datos: 1BvR 2656/18, </w:t>
      </w:r>
      <w:proofErr w:type="spellStart"/>
      <w:r w:rsidRPr="00F03A81">
        <w:rPr>
          <w:rFonts w:ascii="Arial" w:hAnsi="Arial" w:cs="Arial"/>
          <w:lang w:val="es-ES_tradnl"/>
        </w:rPr>
        <w:t>BvR</w:t>
      </w:r>
      <w:proofErr w:type="spellEnd"/>
      <w:r w:rsidRPr="00F03A81">
        <w:rPr>
          <w:rFonts w:ascii="Arial" w:hAnsi="Arial" w:cs="Arial"/>
          <w:lang w:val="es-ES_tradnl"/>
        </w:rPr>
        <w:t xml:space="preserve"> 288/20, 1 </w:t>
      </w:r>
      <w:proofErr w:type="spellStart"/>
      <w:r w:rsidRPr="00F03A81">
        <w:rPr>
          <w:rFonts w:ascii="Arial" w:hAnsi="Arial" w:cs="Arial"/>
          <w:lang w:val="es-ES_tradnl"/>
        </w:rPr>
        <w:t>BvR</w:t>
      </w:r>
      <w:proofErr w:type="spellEnd"/>
      <w:r w:rsidRPr="00F03A81">
        <w:rPr>
          <w:rFonts w:ascii="Arial" w:hAnsi="Arial" w:cs="Arial"/>
          <w:lang w:val="es-ES_tradnl"/>
        </w:rPr>
        <w:t xml:space="preserve"> 96/20 y 1 </w:t>
      </w:r>
      <w:proofErr w:type="spellStart"/>
      <w:r w:rsidRPr="00F03A81">
        <w:rPr>
          <w:rFonts w:ascii="Arial" w:hAnsi="Arial" w:cs="Arial"/>
          <w:lang w:val="es-ES_tradnl"/>
        </w:rPr>
        <w:t>BvR</w:t>
      </w:r>
      <w:proofErr w:type="spellEnd"/>
      <w:r w:rsidRPr="00F03A81">
        <w:rPr>
          <w:rFonts w:ascii="Arial" w:hAnsi="Arial" w:cs="Arial"/>
          <w:lang w:val="es-ES_tradnl"/>
        </w:rPr>
        <w:t xml:space="preserve"> 78/20.</w:t>
      </w:r>
    </w:p>
  </w:footnote>
  <w:footnote w:id="42">
    <w:p w14:paraId="557815C5" w14:textId="7BD39918" w:rsidR="009151A6" w:rsidRPr="00520557" w:rsidRDefault="009151A6" w:rsidP="00520557">
      <w:pPr>
        <w:pStyle w:val="Textonotapie"/>
        <w:jc w:val="both"/>
        <w:rPr>
          <w:rFonts w:ascii="Arial" w:hAnsi="Arial" w:cs="Arial"/>
        </w:rPr>
      </w:pPr>
      <w:r w:rsidRPr="0023474D">
        <w:rPr>
          <w:rStyle w:val="Refdenotaalpie"/>
          <w:rFonts w:ascii="Arial" w:hAnsi="Arial" w:cs="Arial"/>
        </w:rPr>
        <w:footnoteRef/>
      </w:r>
      <w:r w:rsidRPr="0023474D">
        <w:rPr>
          <w:rFonts w:ascii="Arial" w:hAnsi="Arial" w:cs="Arial"/>
        </w:rPr>
        <w:t xml:space="preserve"> E</w:t>
      </w:r>
      <w:r w:rsidR="00520557" w:rsidRPr="0023474D">
        <w:rPr>
          <w:rFonts w:ascii="Arial" w:hAnsi="Arial" w:cs="Arial"/>
        </w:rPr>
        <w:t>l Convenio de E</w:t>
      </w:r>
      <w:r w:rsidRPr="0023474D">
        <w:rPr>
          <w:rFonts w:ascii="Arial" w:hAnsi="Arial" w:cs="Arial"/>
        </w:rPr>
        <w:t>scazú</w:t>
      </w:r>
      <w:r w:rsidR="00520557" w:rsidRPr="0023474D">
        <w:rPr>
          <w:rFonts w:ascii="Arial" w:hAnsi="Arial" w:cs="Arial"/>
        </w:rPr>
        <w:t xml:space="preserve"> contiene una previsión expresa sobre el principio de progresividad y su correlativa prohibición de no regresividad, en su artículo 3, inciso c), que establece que “[c]ada parte se guiará por los siguientes principios en la implementación del presente Acuerdo”: […] “c) principio de no regresión y principio de progresividad.”</w:t>
      </w:r>
      <w:r w:rsidRPr="00520557">
        <w:rPr>
          <w:rFonts w:ascii="Arial" w:hAnsi="Arial" w:cs="Arial"/>
        </w:rPr>
        <w:t xml:space="preserve"> </w:t>
      </w:r>
    </w:p>
  </w:footnote>
  <w:footnote w:id="43">
    <w:p w14:paraId="4B8D1895" w14:textId="77777777" w:rsidR="00177073" w:rsidRPr="00F03A81" w:rsidRDefault="00177073" w:rsidP="00177073">
      <w:pPr>
        <w:pStyle w:val="Textonotapie"/>
        <w:jc w:val="both"/>
        <w:rPr>
          <w:rFonts w:ascii="Arial" w:hAnsi="Arial" w:cs="Arial"/>
          <w:lang w:val="es-ES_tradnl"/>
        </w:rPr>
      </w:pPr>
      <w:r w:rsidRPr="00F03A81">
        <w:rPr>
          <w:rStyle w:val="Refdenotaalpie"/>
        </w:rPr>
        <w:footnoteRef/>
      </w:r>
      <w:r w:rsidRPr="00F03A81">
        <w:t xml:space="preserve"> </w:t>
      </w:r>
      <w:r w:rsidRPr="00F03A81">
        <w:rPr>
          <w:rFonts w:ascii="Arial" w:hAnsi="Arial" w:cs="Arial"/>
          <w:lang w:val="es-ES_tradnl"/>
        </w:rPr>
        <w:t>Ver la tesis aislada CXXVII/2017 de la Primera Sala de esta Suprema Corte, visible en la página 219 del Libro 46 (septiembre de 2017) Tomo I de la Gaceta del Semanario Judicial de la Federación, de rubro: “DERECHOS ECONÓMICOS, SOCIALES Y CULTURALES. FORMA DE ACREDITAR LA EXISTENCIA DE LAS MEDIDAS REGRESIVAS DE RESULTADO Y NORMATIVA.”</w:t>
      </w:r>
    </w:p>
  </w:footnote>
  <w:footnote w:id="44">
    <w:p w14:paraId="7EF4DC13" w14:textId="209BD8BA" w:rsidR="00177073" w:rsidRPr="00F03A81" w:rsidRDefault="00177073" w:rsidP="00177073">
      <w:pPr>
        <w:pStyle w:val="Textonotapie"/>
        <w:jc w:val="both"/>
        <w:rPr>
          <w:rFonts w:ascii="Arial" w:hAnsi="Arial" w:cs="Arial"/>
          <w:lang w:val="es-ES_tradnl"/>
        </w:rPr>
      </w:pPr>
      <w:r w:rsidRPr="00F03A81">
        <w:rPr>
          <w:rStyle w:val="Refdenotaalpie"/>
          <w:rFonts w:ascii="Arial" w:hAnsi="Arial" w:cs="Arial"/>
        </w:rPr>
        <w:footnoteRef/>
      </w:r>
      <w:r w:rsidRPr="00F03A81">
        <w:rPr>
          <w:rFonts w:ascii="Arial" w:hAnsi="Arial" w:cs="Arial"/>
        </w:rPr>
        <w:t xml:space="preserve"> Ver la tesis aislada CXXVI/2017 de la Primera Sala de esta Suprema Corte de Justicia de la Nación, visible en la página 219 del Libro 46 (septiembre de 2017), Tomo I de la Gaceta del Semanario Judicial de la Federación, de rubro: “DERECHOS ECONÓMICOS, SOCIALES Y CULTURALES. LA CONSTITUCIONALIDAD DE UNA MEDIDA REGRESIVA EN LA MATERIA DEPENDE DE QUE SUPERE UN TEST DE PROPORCIONALIDAD</w:t>
      </w:r>
      <w:r w:rsidR="007B11B8">
        <w:rPr>
          <w:rFonts w:ascii="Arial" w:hAnsi="Arial" w:cs="Arial"/>
        </w:rPr>
        <w:t xml:space="preserve">”. </w:t>
      </w:r>
      <w:r w:rsidR="007B11B8" w:rsidRPr="00D94655">
        <w:rPr>
          <w:rFonts w:ascii="Arial" w:hAnsi="Arial" w:cs="Arial"/>
        </w:rPr>
        <w:t>Conviene aclarar que más allá de la nomenclatura utilizada en la tesis, la ejecutoria de la cual proviene resuelve la pregunta sobre la regresividad acudiendo a un test de escrutinio estricto</w:t>
      </w:r>
      <w:r w:rsidR="00520557" w:rsidRPr="00D94655">
        <w:rPr>
          <w:rFonts w:ascii="Arial" w:hAnsi="Arial" w:cs="Arial"/>
        </w:rPr>
        <w:t>, al haberle aplicado el paso “de necesidad” con la exigencia equivalente</w:t>
      </w:r>
      <w:r w:rsidR="007B11B8" w:rsidRPr="00D94655">
        <w:rPr>
          <w:rFonts w:ascii="Arial" w:hAnsi="Arial" w:cs="Arial"/>
        </w:rPr>
        <w:t xml:space="preserve">. </w:t>
      </w:r>
      <w:r w:rsidR="007B010C" w:rsidRPr="00D94655">
        <w:rPr>
          <w:rFonts w:ascii="Arial" w:hAnsi="Arial" w:cs="Arial"/>
        </w:rPr>
        <w:t>En realidad, lo que es distinguible es -como lo elaboro a lo largo de este voto- la intensidad con la que se revisa la medida adoptada y la exigencia que se le coloca para declararla como válida. De la tesis invocada y la ejecutoria de la que surge queda claro que una medida presumiblemente regresiva solo será hallada válida cuando supere el más intenso de los escrutinios</w:t>
      </w:r>
      <w:r w:rsidR="007B010C" w:rsidRPr="007B010C">
        <w:rPr>
          <w:rFonts w:ascii="Arial" w:hAnsi="Arial" w:cs="Arial"/>
          <w:highlight w:val="yellow"/>
        </w:rPr>
        <w:t>.</w:t>
      </w:r>
      <w:r w:rsidR="007B010C">
        <w:rPr>
          <w:rFonts w:ascii="Arial" w:hAnsi="Arial" w:cs="Arial"/>
        </w:rPr>
        <w:t xml:space="preserve"> </w:t>
      </w:r>
    </w:p>
  </w:footnote>
  <w:footnote w:id="45">
    <w:p w14:paraId="40EDC315" w14:textId="514115F6" w:rsidR="00BB4563" w:rsidRPr="00F03A81" w:rsidRDefault="00BB4563" w:rsidP="00174DB5">
      <w:pPr>
        <w:pStyle w:val="Textonotapie"/>
        <w:jc w:val="both"/>
        <w:rPr>
          <w:rFonts w:ascii="Arial" w:hAnsi="Arial" w:cs="Arial"/>
          <w:lang w:val="es-ES_tradnl"/>
        </w:rPr>
      </w:pPr>
      <w:r w:rsidRPr="00F03A81">
        <w:rPr>
          <w:rStyle w:val="Refdenotaalpie"/>
        </w:rPr>
        <w:footnoteRef/>
      </w:r>
      <w:r w:rsidRPr="00F03A81">
        <w:t xml:space="preserve"> </w:t>
      </w:r>
      <w:r w:rsidRPr="00F03A81">
        <w:rPr>
          <w:rFonts w:ascii="Arial" w:hAnsi="Arial" w:cs="Arial"/>
          <w:lang w:val="es-ES_tradnl"/>
        </w:rPr>
        <w:t>Como lo precis</w:t>
      </w:r>
      <w:r w:rsidR="00174DB5" w:rsidRPr="00F03A81">
        <w:rPr>
          <w:rFonts w:ascii="Arial" w:hAnsi="Arial" w:cs="Arial"/>
          <w:lang w:val="es-ES_tradnl"/>
        </w:rPr>
        <w:t>o</w:t>
      </w:r>
      <w:r w:rsidRPr="00F03A81">
        <w:rPr>
          <w:rFonts w:ascii="Arial" w:hAnsi="Arial" w:cs="Arial"/>
          <w:lang w:val="es-ES_tradnl"/>
        </w:rPr>
        <w:t xml:space="preserve"> al inicio de este voto, al referirme a la invalidez debe entenderse que es equivalente a señalar que el argumento de la parte actora es fundado en este aspecto y, por tanto, suficiente para lograr su pretensión.</w:t>
      </w:r>
    </w:p>
  </w:footnote>
  <w:footnote w:id="46">
    <w:p w14:paraId="5677D209" w14:textId="0B836577" w:rsidR="00BB4563" w:rsidRPr="00F03A81" w:rsidRDefault="00BB4563" w:rsidP="00174DB5">
      <w:pPr>
        <w:pStyle w:val="Textonotapie"/>
        <w:jc w:val="both"/>
        <w:rPr>
          <w:rFonts w:ascii="Arial" w:hAnsi="Arial" w:cs="Arial"/>
          <w:lang w:val="es-ES_tradnl"/>
        </w:rPr>
      </w:pPr>
      <w:r w:rsidRPr="00F03A81">
        <w:rPr>
          <w:rStyle w:val="Refdenotaalpie"/>
          <w:rFonts w:ascii="Arial" w:hAnsi="Arial" w:cs="Arial"/>
        </w:rPr>
        <w:footnoteRef/>
      </w:r>
      <w:r w:rsidRPr="00F03A81">
        <w:rPr>
          <w:rFonts w:ascii="Arial" w:hAnsi="Arial" w:cs="Arial"/>
        </w:rPr>
        <w:t xml:space="preserve"> </w:t>
      </w:r>
      <w:r w:rsidRPr="00F03A81">
        <w:rPr>
          <w:rFonts w:ascii="Arial" w:hAnsi="Arial" w:cs="Arial"/>
          <w:lang w:val="es-ES_tradnl"/>
        </w:rPr>
        <w:t xml:space="preserve">La reviviscencia es el remedio judicial que esta Suprema Corte ha determinado puede decretarse cuando determine la inconstitucionalidad de una norma y para llenar el </w:t>
      </w:r>
      <w:r w:rsidR="00DE1C1B" w:rsidRPr="00F03A81">
        <w:rPr>
          <w:rFonts w:ascii="Arial" w:hAnsi="Arial" w:cs="Arial"/>
          <w:lang w:val="es-ES_tradnl"/>
        </w:rPr>
        <w:t>vacío</w:t>
      </w:r>
      <w:r w:rsidRPr="00F03A81">
        <w:rPr>
          <w:rFonts w:ascii="Arial" w:hAnsi="Arial" w:cs="Arial"/>
          <w:lang w:val="es-ES_tradnl"/>
        </w:rPr>
        <w:t xml:space="preserve"> normativo que se generaría determina restablecer la vigencia de las normas vigentes con anterioridad a las declaradas inválidas. Este remedio judicial sólo se ha admitido en dos supuestos. En materia electoral y cuando se detecta una regresividad injustificada en materia de derechos sociales. Véase la tesis de jurisprudencia 86/2007 de este Tribunal Pleno de esta Suprema Corte de Justicia de la Nación, visible en la página 778 del Tomo XXVI (diciembre de 2007) del Semanario Judicial de la Federación y su Gaceta, de rubro: “ACCIÓN DE INCONSTITUCIONALIDAD. LAS FACULTADES DE LA SUPREMA CORTE DE JUSTICIA DE LA NACIÓN PARA DETERMINAR LOS EFECTOS DE LAS SENTENCIAS ESTIMATORIAS FRENTE A UN SISTEMA NORMATIVO QUE HA REFORMADO A OTRO, INCLUYEN LA POSIBILIDAD DE ESTABLECER LA REVIVISCENCIA DE LAS NORMAS VIGENTES CON ANTERIORIDAD A AQUELLAS DECLARADS INVÁLIDAS, ESPECIALMENTE EN MATERIA ELECTORAL.” </w:t>
      </w:r>
    </w:p>
    <w:p w14:paraId="155F90CA" w14:textId="79735570" w:rsidR="00BB4563" w:rsidRPr="00F03A81" w:rsidRDefault="00BB4563" w:rsidP="00CF2428">
      <w:pPr>
        <w:pStyle w:val="Textonotapie"/>
        <w:jc w:val="both"/>
        <w:rPr>
          <w:rFonts w:ascii="Arial" w:hAnsi="Arial" w:cs="Arial"/>
          <w:lang w:val="es-ES_tradnl"/>
        </w:rPr>
      </w:pPr>
      <w:r w:rsidRPr="00F03A81">
        <w:rPr>
          <w:rFonts w:ascii="Arial" w:hAnsi="Arial" w:cs="Arial"/>
          <w:lang w:val="es-ES_tradnl"/>
        </w:rPr>
        <w:t>Cabe reiterar que esta Suprema Corte no ha determinado la reviviscencia cuando ha determinado que una ley es inconstitucional por establecer una barrera de entrada a la competencia económica, por lo que este remedio no se encontraba disponible de haberse logrado la invalidez de las normas impugnadas por violación a los principios de libre competencia y concurrencia.</w:t>
      </w:r>
      <w:r w:rsidR="00BB3D7D">
        <w:rPr>
          <w:rFonts w:ascii="Arial" w:hAnsi="Arial" w:cs="Arial"/>
          <w:lang w:val="es-ES_tradnl"/>
        </w:rPr>
        <w:t xml:space="preserve"> </w:t>
      </w:r>
    </w:p>
  </w:footnote>
  <w:footnote w:id="47">
    <w:p w14:paraId="54C77D41" w14:textId="6EF97965" w:rsidR="00624CCD" w:rsidRPr="00F03A81" w:rsidRDefault="00624CCD" w:rsidP="00624CCD">
      <w:pPr>
        <w:pStyle w:val="Textonotapie"/>
        <w:jc w:val="both"/>
        <w:rPr>
          <w:rFonts w:ascii="Arial" w:hAnsi="Arial" w:cs="Arial"/>
        </w:rPr>
      </w:pPr>
      <w:r w:rsidRPr="00F03A81">
        <w:rPr>
          <w:rStyle w:val="Refdenotaalpie"/>
          <w:rFonts w:ascii="Arial" w:hAnsi="Arial" w:cs="Arial"/>
        </w:rPr>
        <w:footnoteRef/>
      </w:r>
      <w:r w:rsidRPr="00F03A81">
        <w:rPr>
          <w:rFonts w:ascii="Arial" w:hAnsi="Arial" w:cs="Arial"/>
        </w:rPr>
        <w:t xml:space="preserve"> Ver la tesis IV/2008 de este Tribunal Pleno, visible en la página 1343 del Tomo XXVII (febrero de 2008) del Semanario Judicial de la Federación y su Gaceta, de rubro: “INTERPRETACIÓN CONFORME EN ACCIONES DE INCONSTITUCIONALIDAD, CUANDO UNA NORMA ADMITA VARIAS INTERPRETACIONES DEBE PREFERIRSE LA COMPATIBLE CON LA CONSTITUCIÓN.”</w:t>
      </w:r>
    </w:p>
  </w:footnote>
  <w:footnote w:id="48">
    <w:p w14:paraId="63637878" w14:textId="7E2684A6" w:rsidR="00BB4563" w:rsidRPr="00AC7966" w:rsidRDefault="00BB4563" w:rsidP="00177AB6">
      <w:pPr>
        <w:pStyle w:val="Textonotapie"/>
        <w:jc w:val="both"/>
        <w:rPr>
          <w:rFonts w:ascii="Arial" w:hAnsi="Arial" w:cs="Arial"/>
          <w:lang w:val="es-ES_tradnl"/>
        </w:rPr>
      </w:pPr>
      <w:r w:rsidRPr="00AC7966">
        <w:rPr>
          <w:rStyle w:val="Refdenotaalpie"/>
          <w:rFonts w:ascii="Arial" w:hAnsi="Arial" w:cs="Arial"/>
        </w:rPr>
        <w:footnoteRef/>
      </w:r>
      <w:r w:rsidRPr="00AC7966">
        <w:rPr>
          <w:rFonts w:ascii="Arial" w:hAnsi="Arial" w:cs="Arial"/>
        </w:rPr>
        <w:t xml:space="preserve"> </w:t>
      </w:r>
      <w:r w:rsidR="00AC7966" w:rsidRPr="00AC7966">
        <w:rPr>
          <w:rFonts w:ascii="Arial" w:hAnsi="Arial" w:cs="Arial"/>
        </w:rPr>
        <w:t xml:space="preserve"> Ver </w:t>
      </w:r>
      <w:r w:rsidR="00AC7966" w:rsidRPr="00AC7966">
        <w:rPr>
          <w:rFonts w:ascii="Arial" w:hAnsi="Arial" w:cs="Arial"/>
          <w:i/>
          <w:iCs/>
        </w:rPr>
        <w:t>supra</w:t>
      </w:r>
      <w:r w:rsidR="00AC7966" w:rsidRPr="00AC7966">
        <w:rPr>
          <w:rFonts w:ascii="Arial" w:hAnsi="Arial" w:cs="Arial"/>
        </w:rPr>
        <w:t xml:space="preserve"> 23</w:t>
      </w:r>
      <w:r w:rsidRPr="00AC7966">
        <w:rPr>
          <w:rFonts w:ascii="Arial" w:hAnsi="Arial" w:cs="Arial"/>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B07CF" w14:textId="77777777" w:rsidR="00E167A9" w:rsidRPr="00D35A5C" w:rsidRDefault="00E167A9" w:rsidP="00FF75A6">
    <w:pPr>
      <w:pStyle w:val="Encabezado"/>
      <w:jc w:val="right"/>
      <w:rPr>
        <w:rFonts w:ascii="Arial" w:hAnsi="Arial" w:cs="Arial"/>
        <w:b/>
      </w:rPr>
    </w:pPr>
  </w:p>
  <w:p w14:paraId="143794D3" w14:textId="2F7DAE2B" w:rsidR="00E167A9" w:rsidRPr="00D35A5C" w:rsidRDefault="00E167A9" w:rsidP="006C7ADE">
    <w:pPr>
      <w:pStyle w:val="Encabezado"/>
      <w:jc w:val="center"/>
      <w:rPr>
        <w:rFonts w:ascii="Arial" w:hAnsi="Arial" w:cs="Arial"/>
        <w:b/>
      </w:rPr>
    </w:pPr>
    <w:r w:rsidRPr="00D35A5C">
      <w:rPr>
        <w:rFonts w:ascii="Arial" w:hAnsi="Arial" w:cs="Arial"/>
        <w:b/>
      </w:rPr>
      <w:t>VOTO</w:t>
    </w:r>
    <w:r w:rsidR="0007351A">
      <w:rPr>
        <w:rFonts w:ascii="Arial" w:hAnsi="Arial" w:cs="Arial"/>
        <w:b/>
      </w:rPr>
      <w:t xml:space="preserve"> PARTICULAR Y</w:t>
    </w:r>
    <w:r w:rsidRPr="00D35A5C">
      <w:rPr>
        <w:rFonts w:ascii="Arial" w:hAnsi="Arial" w:cs="Arial"/>
        <w:b/>
      </w:rPr>
      <w:t xml:space="preserve"> CONCURRENTE EN LA</w:t>
    </w:r>
    <w:r>
      <w:rPr>
        <w:rFonts w:ascii="Arial" w:hAnsi="Arial" w:cs="Arial"/>
        <w:b/>
      </w:rPr>
      <w:t xml:space="preserve"> </w:t>
    </w:r>
    <w:r w:rsidR="0007351A">
      <w:rPr>
        <w:rFonts w:ascii="Arial" w:hAnsi="Arial" w:cs="Arial"/>
        <w:b/>
      </w:rPr>
      <w:t>ACCIÓN DE INCONSTITUCIONALIDAD</w:t>
    </w:r>
    <w:r>
      <w:rPr>
        <w:rFonts w:ascii="Arial" w:hAnsi="Arial" w:cs="Arial"/>
        <w:b/>
      </w:rPr>
      <w:t xml:space="preserve"> </w:t>
    </w:r>
    <w:r w:rsidR="0007351A">
      <w:rPr>
        <w:rFonts w:ascii="Arial" w:hAnsi="Arial" w:cs="Arial"/>
        <w:b/>
      </w:rPr>
      <w:t>64</w:t>
    </w:r>
    <w:r>
      <w:rPr>
        <w:rFonts w:ascii="Arial" w:hAnsi="Arial" w:cs="Arial"/>
        <w:b/>
      </w:rPr>
      <w:t>/20</w:t>
    </w:r>
    <w:r w:rsidR="0007351A">
      <w:rPr>
        <w:rFonts w:ascii="Arial" w:hAnsi="Arial" w:cs="Arial"/>
        <w:b/>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6BAF1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B50F93"/>
    <w:multiLevelType w:val="hybridMultilevel"/>
    <w:tmpl w:val="E9F608B0"/>
    <w:lvl w:ilvl="0" w:tplc="557857C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887FAF"/>
    <w:multiLevelType w:val="hybridMultilevel"/>
    <w:tmpl w:val="B262DE50"/>
    <w:lvl w:ilvl="0" w:tplc="06AE86FA">
      <w:start w:val="1"/>
      <w:numFmt w:val="decimal"/>
      <w:lvlText w:val="%1."/>
      <w:lvlJc w:val="left"/>
      <w:pPr>
        <w:ind w:left="720" w:hanging="360"/>
      </w:pPr>
      <w:rPr>
        <w:rFonts w:hint="default"/>
        <w:sz w:val="2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97D325D"/>
    <w:multiLevelType w:val="hybridMultilevel"/>
    <w:tmpl w:val="B0065B9A"/>
    <w:lvl w:ilvl="0" w:tplc="DF1481A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0D724D"/>
    <w:multiLevelType w:val="hybridMultilevel"/>
    <w:tmpl w:val="7ACC794E"/>
    <w:lvl w:ilvl="0" w:tplc="EED85244">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5" w15:restartNumberingAfterBreak="0">
    <w:nsid w:val="1B3B5D6D"/>
    <w:multiLevelType w:val="hybridMultilevel"/>
    <w:tmpl w:val="FF26E304"/>
    <w:lvl w:ilvl="0" w:tplc="6AB050B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C8E1787"/>
    <w:multiLevelType w:val="hybridMultilevel"/>
    <w:tmpl w:val="3880F48A"/>
    <w:lvl w:ilvl="0" w:tplc="75246A5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B0068ED"/>
    <w:multiLevelType w:val="hybridMultilevel"/>
    <w:tmpl w:val="365A7038"/>
    <w:lvl w:ilvl="0" w:tplc="20326B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6DD6963"/>
    <w:multiLevelType w:val="hybridMultilevel"/>
    <w:tmpl w:val="4E464216"/>
    <w:lvl w:ilvl="0" w:tplc="DA64E7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9" w15:restartNumberingAfterBreak="0">
    <w:nsid w:val="389145F6"/>
    <w:multiLevelType w:val="hybridMultilevel"/>
    <w:tmpl w:val="F23C884E"/>
    <w:lvl w:ilvl="0" w:tplc="058AC068">
      <w:start w:val="1"/>
      <w:numFmt w:val="lowerLetter"/>
      <w:lvlText w:val="%1)"/>
      <w:lvlJc w:val="left"/>
      <w:pPr>
        <w:tabs>
          <w:tab w:val="num" w:pos="1728"/>
        </w:tabs>
        <w:ind w:left="1728" w:hanging="102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0" w15:restartNumberingAfterBreak="0">
    <w:nsid w:val="3F7F3BAD"/>
    <w:multiLevelType w:val="hybridMultilevel"/>
    <w:tmpl w:val="A760BED8"/>
    <w:lvl w:ilvl="0" w:tplc="08E24646">
      <w:start w:val="1"/>
      <w:numFmt w:val="decimal"/>
      <w:lvlText w:val="%1."/>
      <w:lvlJc w:val="left"/>
      <w:pPr>
        <w:ind w:left="720" w:hanging="360"/>
      </w:pPr>
      <w:rPr>
        <w:rFonts w:ascii="Arial" w:hAnsi="Arial"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F42B3A"/>
    <w:multiLevelType w:val="hybridMultilevel"/>
    <w:tmpl w:val="EEFA7B78"/>
    <w:lvl w:ilvl="0" w:tplc="53321EC8">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A141D5F"/>
    <w:multiLevelType w:val="hybridMultilevel"/>
    <w:tmpl w:val="6ACA5136"/>
    <w:lvl w:ilvl="0" w:tplc="D73E204A">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CE24A2E"/>
    <w:multiLevelType w:val="hybridMultilevel"/>
    <w:tmpl w:val="1E5CF3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E1E0D22"/>
    <w:multiLevelType w:val="hybridMultilevel"/>
    <w:tmpl w:val="A75C19F0"/>
    <w:lvl w:ilvl="0" w:tplc="3116766C">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6063723D"/>
    <w:multiLevelType w:val="hybridMultilevel"/>
    <w:tmpl w:val="FF26E304"/>
    <w:lvl w:ilvl="0" w:tplc="6AB050B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06D09BB"/>
    <w:multiLevelType w:val="hybridMultilevel"/>
    <w:tmpl w:val="D0749544"/>
    <w:lvl w:ilvl="0" w:tplc="9F48289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9EA773D"/>
    <w:multiLevelType w:val="hybridMultilevel"/>
    <w:tmpl w:val="F3C433E8"/>
    <w:lvl w:ilvl="0" w:tplc="86C6CD0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050710D"/>
    <w:multiLevelType w:val="hybridMultilevel"/>
    <w:tmpl w:val="D4682E12"/>
    <w:lvl w:ilvl="0" w:tplc="37A8B6A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6A4453A"/>
    <w:multiLevelType w:val="hybridMultilevel"/>
    <w:tmpl w:val="71FA04F2"/>
    <w:lvl w:ilvl="0" w:tplc="4BCA14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9697203"/>
    <w:multiLevelType w:val="hybridMultilevel"/>
    <w:tmpl w:val="13920412"/>
    <w:lvl w:ilvl="0" w:tplc="B4D84C7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F1C21B9"/>
    <w:multiLevelType w:val="hybridMultilevel"/>
    <w:tmpl w:val="29AAD75A"/>
    <w:lvl w:ilvl="0" w:tplc="7AFA315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48852701">
    <w:abstractNumId w:val="9"/>
  </w:num>
  <w:num w:numId="2" w16cid:durableId="1662079023">
    <w:abstractNumId w:val="8"/>
  </w:num>
  <w:num w:numId="3" w16cid:durableId="657612228">
    <w:abstractNumId w:val="7"/>
  </w:num>
  <w:num w:numId="4" w16cid:durableId="752820859">
    <w:abstractNumId w:val="14"/>
  </w:num>
  <w:num w:numId="5" w16cid:durableId="1657806638">
    <w:abstractNumId w:val="13"/>
  </w:num>
  <w:num w:numId="6" w16cid:durableId="255527051">
    <w:abstractNumId w:val="12"/>
  </w:num>
  <w:num w:numId="7" w16cid:durableId="1220170156">
    <w:abstractNumId w:val="15"/>
  </w:num>
  <w:num w:numId="8" w16cid:durableId="1482961574">
    <w:abstractNumId w:val="5"/>
  </w:num>
  <w:num w:numId="9" w16cid:durableId="1539124002">
    <w:abstractNumId w:val="2"/>
  </w:num>
  <w:num w:numId="10" w16cid:durableId="1824423736">
    <w:abstractNumId w:val="10"/>
  </w:num>
  <w:num w:numId="11" w16cid:durableId="1844783972">
    <w:abstractNumId w:val="19"/>
  </w:num>
  <w:num w:numId="12" w16cid:durableId="1122261952">
    <w:abstractNumId w:val="0"/>
  </w:num>
  <w:num w:numId="13" w16cid:durableId="947388920">
    <w:abstractNumId w:val="11"/>
  </w:num>
  <w:num w:numId="14" w16cid:durableId="862743675">
    <w:abstractNumId w:val="20"/>
  </w:num>
  <w:num w:numId="15" w16cid:durableId="2073307718">
    <w:abstractNumId w:val="3"/>
  </w:num>
  <w:num w:numId="16" w16cid:durableId="543717192">
    <w:abstractNumId w:val="21"/>
  </w:num>
  <w:num w:numId="17" w16cid:durableId="160243718">
    <w:abstractNumId w:val="16"/>
  </w:num>
  <w:num w:numId="18" w16cid:durableId="314646304">
    <w:abstractNumId w:val="1"/>
  </w:num>
  <w:num w:numId="19" w16cid:durableId="1611934808">
    <w:abstractNumId w:val="6"/>
  </w:num>
  <w:num w:numId="20" w16cid:durableId="373390890">
    <w:abstractNumId w:val="4"/>
  </w:num>
  <w:num w:numId="21" w16cid:durableId="1495223314">
    <w:abstractNumId w:val="18"/>
  </w:num>
  <w:num w:numId="22" w16cid:durableId="2312354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11E"/>
    <w:rsid w:val="00000456"/>
    <w:rsid w:val="00001394"/>
    <w:rsid w:val="000015E4"/>
    <w:rsid w:val="0000279B"/>
    <w:rsid w:val="00003A83"/>
    <w:rsid w:val="00003AE8"/>
    <w:rsid w:val="00004211"/>
    <w:rsid w:val="00004B9C"/>
    <w:rsid w:val="00004E29"/>
    <w:rsid w:val="0000557F"/>
    <w:rsid w:val="00005C0F"/>
    <w:rsid w:val="00006670"/>
    <w:rsid w:val="0000684D"/>
    <w:rsid w:val="00006E60"/>
    <w:rsid w:val="00007C3A"/>
    <w:rsid w:val="00010D4F"/>
    <w:rsid w:val="0001223F"/>
    <w:rsid w:val="000128F6"/>
    <w:rsid w:val="00012B59"/>
    <w:rsid w:val="00012C98"/>
    <w:rsid w:val="000130DE"/>
    <w:rsid w:val="000141E5"/>
    <w:rsid w:val="000159A3"/>
    <w:rsid w:val="000164A7"/>
    <w:rsid w:val="00016B91"/>
    <w:rsid w:val="00017854"/>
    <w:rsid w:val="00017DF6"/>
    <w:rsid w:val="00020113"/>
    <w:rsid w:val="00021305"/>
    <w:rsid w:val="00021751"/>
    <w:rsid w:val="000219C7"/>
    <w:rsid w:val="00022DA4"/>
    <w:rsid w:val="000233CD"/>
    <w:rsid w:val="00023E30"/>
    <w:rsid w:val="000243A8"/>
    <w:rsid w:val="00024417"/>
    <w:rsid w:val="00024A6B"/>
    <w:rsid w:val="000255FF"/>
    <w:rsid w:val="00025A06"/>
    <w:rsid w:val="00025A98"/>
    <w:rsid w:val="00025B4D"/>
    <w:rsid w:val="000268FB"/>
    <w:rsid w:val="0002692F"/>
    <w:rsid w:val="00026FB0"/>
    <w:rsid w:val="00027D9F"/>
    <w:rsid w:val="0003019B"/>
    <w:rsid w:val="00031099"/>
    <w:rsid w:val="00031479"/>
    <w:rsid w:val="000324D1"/>
    <w:rsid w:val="00032754"/>
    <w:rsid w:val="0003285D"/>
    <w:rsid w:val="00033305"/>
    <w:rsid w:val="00033D0F"/>
    <w:rsid w:val="00034308"/>
    <w:rsid w:val="00034406"/>
    <w:rsid w:val="00034628"/>
    <w:rsid w:val="00034E5D"/>
    <w:rsid w:val="0003512B"/>
    <w:rsid w:val="00035FBD"/>
    <w:rsid w:val="00040620"/>
    <w:rsid w:val="0004095B"/>
    <w:rsid w:val="00044AB9"/>
    <w:rsid w:val="000450F0"/>
    <w:rsid w:val="000456B2"/>
    <w:rsid w:val="0004595A"/>
    <w:rsid w:val="00046734"/>
    <w:rsid w:val="0004675E"/>
    <w:rsid w:val="00052162"/>
    <w:rsid w:val="00052A22"/>
    <w:rsid w:val="00052E4C"/>
    <w:rsid w:val="000535E8"/>
    <w:rsid w:val="00054AB3"/>
    <w:rsid w:val="00054B77"/>
    <w:rsid w:val="000551D2"/>
    <w:rsid w:val="00057A26"/>
    <w:rsid w:val="0006013C"/>
    <w:rsid w:val="0006097B"/>
    <w:rsid w:val="00060A10"/>
    <w:rsid w:val="00060B23"/>
    <w:rsid w:val="00063174"/>
    <w:rsid w:val="00063D2B"/>
    <w:rsid w:val="00063E77"/>
    <w:rsid w:val="00063FA1"/>
    <w:rsid w:val="000646F4"/>
    <w:rsid w:val="00064BB1"/>
    <w:rsid w:val="00064CE4"/>
    <w:rsid w:val="00064FE2"/>
    <w:rsid w:val="000654BF"/>
    <w:rsid w:val="000665FA"/>
    <w:rsid w:val="00066774"/>
    <w:rsid w:val="00066CEF"/>
    <w:rsid w:val="00066F4D"/>
    <w:rsid w:val="000700F3"/>
    <w:rsid w:val="00070580"/>
    <w:rsid w:val="00070623"/>
    <w:rsid w:val="00071187"/>
    <w:rsid w:val="00071261"/>
    <w:rsid w:val="000712AB"/>
    <w:rsid w:val="000726F4"/>
    <w:rsid w:val="00072D93"/>
    <w:rsid w:val="000730B7"/>
    <w:rsid w:val="0007351A"/>
    <w:rsid w:val="00073BF3"/>
    <w:rsid w:val="00074439"/>
    <w:rsid w:val="0007484D"/>
    <w:rsid w:val="000748D4"/>
    <w:rsid w:val="00074AE9"/>
    <w:rsid w:val="00074E69"/>
    <w:rsid w:val="00074F8C"/>
    <w:rsid w:val="00075A12"/>
    <w:rsid w:val="00075A92"/>
    <w:rsid w:val="00076031"/>
    <w:rsid w:val="000765B9"/>
    <w:rsid w:val="000773EF"/>
    <w:rsid w:val="000779B1"/>
    <w:rsid w:val="00077BE2"/>
    <w:rsid w:val="00077EDA"/>
    <w:rsid w:val="00077FEC"/>
    <w:rsid w:val="00080F37"/>
    <w:rsid w:val="000817E5"/>
    <w:rsid w:val="000818BC"/>
    <w:rsid w:val="00083A2E"/>
    <w:rsid w:val="000842F8"/>
    <w:rsid w:val="00085CAA"/>
    <w:rsid w:val="00085CC8"/>
    <w:rsid w:val="00085DA6"/>
    <w:rsid w:val="000874C3"/>
    <w:rsid w:val="00087E06"/>
    <w:rsid w:val="00091026"/>
    <w:rsid w:val="00092250"/>
    <w:rsid w:val="0009296E"/>
    <w:rsid w:val="0009365D"/>
    <w:rsid w:val="00093E9A"/>
    <w:rsid w:val="00094445"/>
    <w:rsid w:val="0009461D"/>
    <w:rsid w:val="00095417"/>
    <w:rsid w:val="00095DBC"/>
    <w:rsid w:val="000A071B"/>
    <w:rsid w:val="000A1432"/>
    <w:rsid w:val="000A21FF"/>
    <w:rsid w:val="000A2BD2"/>
    <w:rsid w:val="000A3515"/>
    <w:rsid w:val="000A43CB"/>
    <w:rsid w:val="000A4697"/>
    <w:rsid w:val="000A4AC3"/>
    <w:rsid w:val="000A5AB6"/>
    <w:rsid w:val="000A6659"/>
    <w:rsid w:val="000A6A8B"/>
    <w:rsid w:val="000A73BB"/>
    <w:rsid w:val="000A7C9E"/>
    <w:rsid w:val="000B06D5"/>
    <w:rsid w:val="000B0E9E"/>
    <w:rsid w:val="000B0EBD"/>
    <w:rsid w:val="000B191D"/>
    <w:rsid w:val="000B24FB"/>
    <w:rsid w:val="000B36FD"/>
    <w:rsid w:val="000B4094"/>
    <w:rsid w:val="000B4DED"/>
    <w:rsid w:val="000B4F76"/>
    <w:rsid w:val="000B57AD"/>
    <w:rsid w:val="000B57F7"/>
    <w:rsid w:val="000B6182"/>
    <w:rsid w:val="000B7D18"/>
    <w:rsid w:val="000C025A"/>
    <w:rsid w:val="000C0B4E"/>
    <w:rsid w:val="000C162C"/>
    <w:rsid w:val="000C3238"/>
    <w:rsid w:val="000C47FA"/>
    <w:rsid w:val="000C4824"/>
    <w:rsid w:val="000C531A"/>
    <w:rsid w:val="000C63AA"/>
    <w:rsid w:val="000C767F"/>
    <w:rsid w:val="000D09A4"/>
    <w:rsid w:val="000D0CDB"/>
    <w:rsid w:val="000D15EF"/>
    <w:rsid w:val="000D169D"/>
    <w:rsid w:val="000D18EC"/>
    <w:rsid w:val="000D1CCC"/>
    <w:rsid w:val="000D2A3D"/>
    <w:rsid w:val="000D30D7"/>
    <w:rsid w:val="000D3151"/>
    <w:rsid w:val="000D4744"/>
    <w:rsid w:val="000D5648"/>
    <w:rsid w:val="000D5653"/>
    <w:rsid w:val="000D5DEC"/>
    <w:rsid w:val="000D6D32"/>
    <w:rsid w:val="000D71B8"/>
    <w:rsid w:val="000D7431"/>
    <w:rsid w:val="000D788C"/>
    <w:rsid w:val="000D7C53"/>
    <w:rsid w:val="000E0B13"/>
    <w:rsid w:val="000E0C4D"/>
    <w:rsid w:val="000E1293"/>
    <w:rsid w:val="000E1404"/>
    <w:rsid w:val="000E19C8"/>
    <w:rsid w:val="000E276B"/>
    <w:rsid w:val="000E2B33"/>
    <w:rsid w:val="000E2BD9"/>
    <w:rsid w:val="000E2D55"/>
    <w:rsid w:val="000E3FA5"/>
    <w:rsid w:val="000E4302"/>
    <w:rsid w:val="000E533F"/>
    <w:rsid w:val="000E5372"/>
    <w:rsid w:val="000E55EE"/>
    <w:rsid w:val="000E5B84"/>
    <w:rsid w:val="000E62E0"/>
    <w:rsid w:val="000E66CD"/>
    <w:rsid w:val="000E6D3E"/>
    <w:rsid w:val="000E6E18"/>
    <w:rsid w:val="000E6E58"/>
    <w:rsid w:val="000E71B2"/>
    <w:rsid w:val="000E73B3"/>
    <w:rsid w:val="000E79A1"/>
    <w:rsid w:val="000E7B66"/>
    <w:rsid w:val="000F0162"/>
    <w:rsid w:val="000F0B28"/>
    <w:rsid w:val="000F1B72"/>
    <w:rsid w:val="000F2C79"/>
    <w:rsid w:val="000F2D29"/>
    <w:rsid w:val="000F35E3"/>
    <w:rsid w:val="000F3600"/>
    <w:rsid w:val="000F4838"/>
    <w:rsid w:val="000F4977"/>
    <w:rsid w:val="000F5F4A"/>
    <w:rsid w:val="000F647A"/>
    <w:rsid w:val="000F6DDE"/>
    <w:rsid w:val="000F6E4A"/>
    <w:rsid w:val="000F73F4"/>
    <w:rsid w:val="000F7515"/>
    <w:rsid w:val="000F76FC"/>
    <w:rsid w:val="00102A40"/>
    <w:rsid w:val="001033A5"/>
    <w:rsid w:val="00103460"/>
    <w:rsid w:val="001035D1"/>
    <w:rsid w:val="00103CC8"/>
    <w:rsid w:val="00104455"/>
    <w:rsid w:val="00104C94"/>
    <w:rsid w:val="001052CE"/>
    <w:rsid w:val="001057B3"/>
    <w:rsid w:val="00105D38"/>
    <w:rsid w:val="0010761F"/>
    <w:rsid w:val="00110BD8"/>
    <w:rsid w:val="00110E3E"/>
    <w:rsid w:val="00111009"/>
    <w:rsid w:val="0011164A"/>
    <w:rsid w:val="00111BBE"/>
    <w:rsid w:val="00112289"/>
    <w:rsid w:val="00112C31"/>
    <w:rsid w:val="00113346"/>
    <w:rsid w:val="00115D5A"/>
    <w:rsid w:val="001174F2"/>
    <w:rsid w:val="001179EE"/>
    <w:rsid w:val="001209D5"/>
    <w:rsid w:val="00120EB1"/>
    <w:rsid w:val="001212EB"/>
    <w:rsid w:val="00122FA0"/>
    <w:rsid w:val="001231E1"/>
    <w:rsid w:val="00123209"/>
    <w:rsid w:val="0012368A"/>
    <w:rsid w:val="00123817"/>
    <w:rsid w:val="00123B55"/>
    <w:rsid w:val="00123FE7"/>
    <w:rsid w:val="001255C8"/>
    <w:rsid w:val="00125A5F"/>
    <w:rsid w:val="0012691E"/>
    <w:rsid w:val="0012698A"/>
    <w:rsid w:val="00126D65"/>
    <w:rsid w:val="00127C38"/>
    <w:rsid w:val="00130FEE"/>
    <w:rsid w:val="001311B1"/>
    <w:rsid w:val="0013169B"/>
    <w:rsid w:val="0013209E"/>
    <w:rsid w:val="001328BD"/>
    <w:rsid w:val="00133220"/>
    <w:rsid w:val="00133325"/>
    <w:rsid w:val="00133B22"/>
    <w:rsid w:val="00133F39"/>
    <w:rsid w:val="001349CE"/>
    <w:rsid w:val="001356B5"/>
    <w:rsid w:val="00135ADE"/>
    <w:rsid w:val="00136D4D"/>
    <w:rsid w:val="001375AC"/>
    <w:rsid w:val="00140BEB"/>
    <w:rsid w:val="0014119D"/>
    <w:rsid w:val="00141610"/>
    <w:rsid w:val="00142937"/>
    <w:rsid w:val="00142A09"/>
    <w:rsid w:val="00143819"/>
    <w:rsid w:val="00143AC3"/>
    <w:rsid w:val="0014549A"/>
    <w:rsid w:val="001469AE"/>
    <w:rsid w:val="00146E5C"/>
    <w:rsid w:val="00147758"/>
    <w:rsid w:val="0015065C"/>
    <w:rsid w:val="0015091B"/>
    <w:rsid w:val="00150CE0"/>
    <w:rsid w:val="00150FBA"/>
    <w:rsid w:val="00151152"/>
    <w:rsid w:val="00151647"/>
    <w:rsid w:val="00151ECA"/>
    <w:rsid w:val="001536CF"/>
    <w:rsid w:val="00153946"/>
    <w:rsid w:val="00154802"/>
    <w:rsid w:val="00155538"/>
    <w:rsid w:val="00155576"/>
    <w:rsid w:val="001565FA"/>
    <w:rsid w:val="00156663"/>
    <w:rsid w:val="00157595"/>
    <w:rsid w:val="00157890"/>
    <w:rsid w:val="001603B3"/>
    <w:rsid w:val="00160C91"/>
    <w:rsid w:val="00160F4A"/>
    <w:rsid w:val="00161495"/>
    <w:rsid w:val="00161810"/>
    <w:rsid w:val="001619C8"/>
    <w:rsid w:val="00162E80"/>
    <w:rsid w:val="00162F13"/>
    <w:rsid w:val="0016534B"/>
    <w:rsid w:val="001666DE"/>
    <w:rsid w:val="00166E59"/>
    <w:rsid w:val="00167251"/>
    <w:rsid w:val="001673F4"/>
    <w:rsid w:val="001704F2"/>
    <w:rsid w:val="00172102"/>
    <w:rsid w:val="00172195"/>
    <w:rsid w:val="00172867"/>
    <w:rsid w:val="00172A2D"/>
    <w:rsid w:val="0017396E"/>
    <w:rsid w:val="00173AB7"/>
    <w:rsid w:val="00174A0A"/>
    <w:rsid w:val="00174DB5"/>
    <w:rsid w:val="00176A23"/>
    <w:rsid w:val="00177073"/>
    <w:rsid w:val="0017731D"/>
    <w:rsid w:val="00177636"/>
    <w:rsid w:val="0017777D"/>
    <w:rsid w:val="00177AB6"/>
    <w:rsid w:val="00177D7B"/>
    <w:rsid w:val="00177DE6"/>
    <w:rsid w:val="0018200D"/>
    <w:rsid w:val="00182FEB"/>
    <w:rsid w:val="0018339C"/>
    <w:rsid w:val="001838DD"/>
    <w:rsid w:val="00183E6E"/>
    <w:rsid w:val="0018476A"/>
    <w:rsid w:val="00184F27"/>
    <w:rsid w:val="001853A8"/>
    <w:rsid w:val="00185859"/>
    <w:rsid w:val="0018705A"/>
    <w:rsid w:val="0019054E"/>
    <w:rsid w:val="00190DE0"/>
    <w:rsid w:val="00192511"/>
    <w:rsid w:val="00192B6C"/>
    <w:rsid w:val="00192C5A"/>
    <w:rsid w:val="00194917"/>
    <w:rsid w:val="00194CD6"/>
    <w:rsid w:val="00194F12"/>
    <w:rsid w:val="0019500E"/>
    <w:rsid w:val="001950A9"/>
    <w:rsid w:val="00195326"/>
    <w:rsid w:val="0019565E"/>
    <w:rsid w:val="00196CB0"/>
    <w:rsid w:val="00196E08"/>
    <w:rsid w:val="0019766A"/>
    <w:rsid w:val="001A08A3"/>
    <w:rsid w:val="001A0C9F"/>
    <w:rsid w:val="001A1115"/>
    <w:rsid w:val="001A1765"/>
    <w:rsid w:val="001A1FDD"/>
    <w:rsid w:val="001A31A7"/>
    <w:rsid w:val="001A3480"/>
    <w:rsid w:val="001A4A0F"/>
    <w:rsid w:val="001A583A"/>
    <w:rsid w:val="001A5AF2"/>
    <w:rsid w:val="001A67FB"/>
    <w:rsid w:val="001A6D9A"/>
    <w:rsid w:val="001B02DA"/>
    <w:rsid w:val="001B0323"/>
    <w:rsid w:val="001B0799"/>
    <w:rsid w:val="001B1A00"/>
    <w:rsid w:val="001B2703"/>
    <w:rsid w:val="001B314E"/>
    <w:rsid w:val="001B3432"/>
    <w:rsid w:val="001B3662"/>
    <w:rsid w:val="001B4032"/>
    <w:rsid w:val="001B4AE0"/>
    <w:rsid w:val="001B4C8D"/>
    <w:rsid w:val="001B55A6"/>
    <w:rsid w:val="001B577C"/>
    <w:rsid w:val="001B674C"/>
    <w:rsid w:val="001B6BEF"/>
    <w:rsid w:val="001B75B8"/>
    <w:rsid w:val="001C0BF5"/>
    <w:rsid w:val="001C1458"/>
    <w:rsid w:val="001C183C"/>
    <w:rsid w:val="001C246D"/>
    <w:rsid w:val="001C28CC"/>
    <w:rsid w:val="001C3243"/>
    <w:rsid w:val="001C35CE"/>
    <w:rsid w:val="001C3B42"/>
    <w:rsid w:val="001C449C"/>
    <w:rsid w:val="001C5F6A"/>
    <w:rsid w:val="001C726F"/>
    <w:rsid w:val="001C7561"/>
    <w:rsid w:val="001D09D8"/>
    <w:rsid w:val="001D191E"/>
    <w:rsid w:val="001D2164"/>
    <w:rsid w:val="001D25B4"/>
    <w:rsid w:val="001D3087"/>
    <w:rsid w:val="001D3BB0"/>
    <w:rsid w:val="001D57FB"/>
    <w:rsid w:val="001D6774"/>
    <w:rsid w:val="001D70D3"/>
    <w:rsid w:val="001E0BB1"/>
    <w:rsid w:val="001E0C48"/>
    <w:rsid w:val="001E186B"/>
    <w:rsid w:val="001E1E4F"/>
    <w:rsid w:val="001E3D59"/>
    <w:rsid w:val="001E43AF"/>
    <w:rsid w:val="001E463A"/>
    <w:rsid w:val="001E51EC"/>
    <w:rsid w:val="001E5804"/>
    <w:rsid w:val="001E5F14"/>
    <w:rsid w:val="001E6389"/>
    <w:rsid w:val="001E650C"/>
    <w:rsid w:val="001E748E"/>
    <w:rsid w:val="001E7851"/>
    <w:rsid w:val="001F0816"/>
    <w:rsid w:val="001F1555"/>
    <w:rsid w:val="001F303C"/>
    <w:rsid w:val="001F314A"/>
    <w:rsid w:val="001F4B11"/>
    <w:rsid w:val="001F554C"/>
    <w:rsid w:val="001F5773"/>
    <w:rsid w:val="001F5CD8"/>
    <w:rsid w:val="001F5F81"/>
    <w:rsid w:val="001F65D9"/>
    <w:rsid w:val="001F6D25"/>
    <w:rsid w:val="001F6E77"/>
    <w:rsid w:val="001F6E93"/>
    <w:rsid w:val="001F7C04"/>
    <w:rsid w:val="001F7CD2"/>
    <w:rsid w:val="001F7FF9"/>
    <w:rsid w:val="00200084"/>
    <w:rsid w:val="00201501"/>
    <w:rsid w:val="002020BE"/>
    <w:rsid w:val="0020325C"/>
    <w:rsid w:val="00203C3E"/>
    <w:rsid w:val="002040F0"/>
    <w:rsid w:val="00204829"/>
    <w:rsid w:val="0020495E"/>
    <w:rsid w:val="002056B4"/>
    <w:rsid w:val="0020570F"/>
    <w:rsid w:val="00206164"/>
    <w:rsid w:val="00206B6D"/>
    <w:rsid w:val="00207CFE"/>
    <w:rsid w:val="002100C8"/>
    <w:rsid w:val="00212369"/>
    <w:rsid w:val="00212B35"/>
    <w:rsid w:val="00212BF0"/>
    <w:rsid w:val="00214D60"/>
    <w:rsid w:val="0021560C"/>
    <w:rsid w:val="002161A8"/>
    <w:rsid w:val="00216EDA"/>
    <w:rsid w:val="00217F0F"/>
    <w:rsid w:val="00220238"/>
    <w:rsid w:val="00220FD9"/>
    <w:rsid w:val="00221679"/>
    <w:rsid w:val="002217F6"/>
    <w:rsid w:val="002221C1"/>
    <w:rsid w:val="0022223A"/>
    <w:rsid w:val="00222C5B"/>
    <w:rsid w:val="00222C95"/>
    <w:rsid w:val="002238D2"/>
    <w:rsid w:val="00223AEB"/>
    <w:rsid w:val="002248F6"/>
    <w:rsid w:val="00225F51"/>
    <w:rsid w:val="002262A3"/>
    <w:rsid w:val="002274FC"/>
    <w:rsid w:val="00230866"/>
    <w:rsid w:val="00231194"/>
    <w:rsid w:val="0023127E"/>
    <w:rsid w:val="00231805"/>
    <w:rsid w:val="00232569"/>
    <w:rsid w:val="00232D68"/>
    <w:rsid w:val="00233843"/>
    <w:rsid w:val="0023388C"/>
    <w:rsid w:val="002339DB"/>
    <w:rsid w:val="0023474D"/>
    <w:rsid w:val="0023491C"/>
    <w:rsid w:val="00235A0F"/>
    <w:rsid w:val="00235E54"/>
    <w:rsid w:val="0023659D"/>
    <w:rsid w:val="00236B95"/>
    <w:rsid w:val="002413D8"/>
    <w:rsid w:val="00242471"/>
    <w:rsid w:val="00242516"/>
    <w:rsid w:val="00243577"/>
    <w:rsid w:val="002438AB"/>
    <w:rsid w:val="002445F3"/>
    <w:rsid w:val="002447AB"/>
    <w:rsid w:val="002459BB"/>
    <w:rsid w:val="00245D1A"/>
    <w:rsid w:val="00245DFB"/>
    <w:rsid w:val="00245E77"/>
    <w:rsid w:val="00246401"/>
    <w:rsid w:val="00246B35"/>
    <w:rsid w:val="00246D94"/>
    <w:rsid w:val="00247051"/>
    <w:rsid w:val="0024787C"/>
    <w:rsid w:val="00247D74"/>
    <w:rsid w:val="00250450"/>
    <w:rsid w:val="002507C1"/>
    <w:rsid w:val="002509CD"/>
    <w:rsid w:val="00250FC1"/>
    <w:rsid w:val="0025111E"/>
    <w:rsid w:val="002519B3"/>
    <w:rsid w:val="0025362A"/>
    <w:rsid w:val="00253A78"/>
    <w:rsid w:val="00255036"/>
    <w:rsid w:val="0025578F"/>
    <w:rsid w:val="0025588A"/>
    <w:rsid w:val="00255BEA"/>
    <w:rsid w:val="00255BF2"/>
    <w:rsid w:val="00256613"/>
    <w:rsid w:val="00256929"/>
    <w:rsid w:val="00257A0A"/>
    <w:rsid w:val="00257B5C"/>
    <w:rsid w:val="00257C3A"/>
    <w:rsid w:val="00257C83"/>
    <w:rsid w:val="00260958"/>
    <w:rsid w:val="002617B5"/>
    <w:rsid w:val="00261ED7"/>
    <w:rsid w:val="00262722"/>
    <w:rsid w:val="0026562D"/>
    <w:rsid w:val="00265C8A"/>
    <w:rsid w:val="00266748"/>
    <w:rsid w:val="00266CC8"/>
    <w:rsid w:val="00267EA3"/>
    <w:rsid w:val="00271797"/>
    <w:rsid w:val="00271DBA"/>
    <w:rsid w:val="00272AC9"/>
    <w:rsid w:val="0027376C"/>
    <w:rsid w:val="00273D7F"/>
    <w:rsid w:val="0027474A"/>
    <w:rsid w:val="002747F8"/>
    <w:rsid w:val="00274D76"/>
    <w:rsid w:val="00274DBA"/>
    <w:rsid w:val="002754C9"/>
    <w:rsid w:val="002757FE"/>
    <w:rsid w:val="00275A6D"/>
    <w:rsid w:val="002760F0"/>
    <w:rsid w:val="002767E1"/>
    <w:rsid w:val="00276A01"/>
    <w:rsid w:val="00276E79"/>
    <w:rsid w:val="002776AE"/>
    <w:rsid w:val="00280114"/>
    <w:rsid w:val="0028038B"/>
    <w:rsid w:val="002815F0"/>
    <w:rsid w:val="00281770"/>
    <w:rsid w:val="0028349D"/>
    <w:rsid w:val="00283748"/>
    <w:rsid w:val="002837BB"/>
    <w:rsid w:val="00284E34"/>
    <w:rsid w:val="002854EB"/>
    <w:rsid w:val="00286CAD"/>
    <w:rsid w:val="00287741"/>
    <w:rsid w:val="00290107"/>
    <w:rsid w:val="00290D66"/>
    <w:rsid w:val="00291467"/>
    <w:rsid w:val="00291684"/>
    <w:rsid w:val="00292781"/>
    <w:rsid w:val="00292B62"/>
    <w:rsid w:val="00292BCA"/>
    <w:rsid w:val="00292C26"/>
    <w:rsid w:val="00293241"/>
    <w:rsid w:val="002947EC"/>
    <w:rsid w:val="002948A8"/>
    <w:rsid w:val="002951B5"/>
    <w:rsid w:val="002951BC"/>
    <w:rsid w:val="00297ABE"/>
    <w:rsid w:val="00297B06"/>
    <w:rsid w:val="002A04F5"/>
    <w:rsid w:val="002A052E"/>
    <w:rsid w:val="002A1B94"/>
    <w:rsid w:val="002A1C13"/>
    <w:rsid w:val="002A2537"/>
    <w:rsid w:val="002A3C30"/>
    <w:rsid w:val="002A3F20"/>
    <w:rsid w:val="002A5562"/>
    <w:rsid w:val="002A5A74"/>
    <w:rsid w:val="002A6533"/>
    <w:rsid w:val="002A703D"/>
    <w:rsid w:val="002A713A"/>
    <w:rsid w:val="002A74E7"/>
    <w:rsid w:val="002A7796"/>
    <w:rsid w:val="002A7B40"/>
    <w:rsid w:val="002B03F0"/>
    <w:rsid w:val="002B0DC6"/>
    <w:rsid w:val="002B0EFC"/>
    <w:rsid w:val="002B1162"/>
    <w:rsid w:val="002B2F6B"/>
    <w:rsid w:val="002B31FB"/>
    <w:rsid w:val="002B3231"/>
    <w:rsid w:val="002B4616"/>
    <w:rsid w:val="002B482A"/>
    <w:rsid w:val="002B616E"/>
    <w:rsid w:val="002B674B"/>
    <w:rsid w:val="002B6D12"/>
    <w:rsid w:val="002C05FB"/>
    <w:rsid w:val="002C10FF"/>
    <w:rsid w:val="002C24DA"/>
    <w:rsid w:val="002C4D68"/>
    <w:rsid w:val="002C4DD0"/>
    <w:rsid w:val="002D0F44"/>
    <w:rsid w:val="002D12B5"/>
    <w:rsid w:val="002D1F65"/>
    <w:rsid w:val="002D26EB"/>
    <w:rsid w:val="002D2ED5"/>
    <w:rsid w:val="002D3E60"/>
    <w:rsid w:val="002D4198"/>
    <w:rsid w:val="002D4A03"/>
    <w:rsid w:val="002D4AD9"/>
    <w:rsid w:val="002D4C2C"/>
    <w:rsid w:val="002D5E76"/>
    <w:rsid w:val="002D5E91"/>
    <w:rsid w:val="002D65C7"/>
    <w:rsid w:val="002D6BC8"/>
    <w:rsid w:val="002D6DEE"/>
    <w:rsid w:val="002D7A6F"/>
    <w:rsid w:val="002D7BD0"/>
    <w:rsid w:val="002E03A9"/>
    <w:rsid w:val="002E2409"/>
    <w:rsid w:val="002E2612"/>
    <w:rsid w:val="002E2B35"/>
    <w:rsid w:val="002E3013"/>
    <w:rsid w:val="002E4507"/>
    <w:rsid w:val="002E4C56"/>
    <w:rsid w:val="002E4FAE"/>
    <w:rsid w:val="002E510E"/>
    <w:rsid w:val="002E580B"/>
    <w:rsid w:val="002E64D7"/>
    <w:rsid w:val="002E6CB8"/>
    <w:rsid w:val="002E7475"/>
    <w:rsid w:val="002E779A"/>
    <w:rsid w:val="002F0219"/>
    <w:rsid w:val="002F038A"/>
    <w:rsid w:val="002F1982"/>
    <w:rsid w:val="002F1DC3"/>
    <w:rsid w:val="002F1E64"/>
    <w:rsid w:val="002F28CD"/>
    <w:rsid w:val="002F30F4"/>
    <w:rsid w:val="002F32E3"/>
    <w:rsid w:val="002F4AD8"/>
    <w:rsid w:val="002F5AD6"/>
    <w:rsid w:val="002F6242"/>
    <w:rsid w:val="002F714A"/>
    <w:rsid w:val="002F765C"/>
    <w:rsid w:val="0030091A"/>
    <w:rsid w:val="003014EF"/>
    <w:rsid w:val="00301B7F"/>
    <w:rsid w:val="0030326F"/>
    <w:rsid w:val="00303786"/>
    <w:rsid w:val="00303EDF"/>
    <w:rsid w:val="003040BE"/>
    <w:rsid w:val="00304D8D"/>
    <w:rsid w:val="00304EA9"/>
    <w:rsid w:val="0030529B"/>
    <w:rsid w:val="0030583A"/>
    <w:rsid w:val="003072C7"/>
    <w:rsid w:val="00310370"/>
    <w:rsid w:val="003103E8"/>
    <w:rsid w:val="00310A48"/>
    <w:rsid w:val="00313126"/>
    <w:rsid w:val="00313E5A"/>
    <w:rsid w:val="00315062"/>
    <w:rsid w:val="003151B3"/>
    <w:rsid w:val="00315663"/>
    <w:rsid w:val="00315782"/>
    <w:rsid w:val="003157D7"/>
    <w:rsid w:val="00315D86"/>
    <w:rsid w:val="003163E8"/>
    <w:rsid w:val="00316A02"/>
    <w:rsid w:val="00316F13"/>
    <w:rsid w:val="00317585"/>
    <w:rsid w:val="00320225"/>
    <w:rsid w:val="00320462"/>
    <w:rsid w:val="003209A3"/>
    <w:rsid w:val="003215B3"/>
    <w:rsid w:val="00321BC2"/>
    <w:rsid w:val="00322486"/>
    <w:rsid w:val="003226C9"/>
    <w:rsid w:val="003239BD"/>
    <w:rsid w:val="003240F8"/>
    <w:rsid w:val="0032418E"/>
    <w:rsid w:val="00324661"/>
    <w:rsid w:val="0032469B"/>
    <w:rsid w:val="00324878"/>
    <w:rsid w:val="00327026"/>
    <w:rsid w:val="0032722D"/>
    <w:rsid w:val="003309CA"/>
    <w:rsid w:val="00330BAB"/>
    <w:rsid w:val="00330EE1"/>
    <w:rsid w:val="00331B79"/>
    <w:rsid w:val="003322B0"/>
    <w:rsid w:val="00332509"/>
    <w:rsid w:val="0033391E"/>
    <w:rsid w:val="003339A1"/>
    <w:rsid w:val="00333F4C"/>
    <w:rsid w:val="00335BF8"/>
    <w:rsid w:val="00336E9F"/>
    <w:rsid w:val="00336F98"/>
    <w:rsid w:val="00337FA3"/>
    <w:rsid w:val="00340725"/>
    <w:rsid w:val="00341284"/>
    <w:rsid w:val="0034138B"/>
    <w:rsid w:val="00341767"/>
    <w:rsid w:val="0034205A"/>
    <w:rsid w:val="003426BB"/>
    <w:rsid w:val="00342888"/>
    <w:rsid w:val="00342CDE"/>
    <w:rsid w:val="003446B4"/>
    <w:rsid w:val="0034541E"/>
    <w:rsid w:val="00346A2C"/>
    <w:rsid w:val="00347E15"/>
    <w:rsid w:val="003504DD"/>
    <w:rsid w:val="0035100D"/>
    <w:rsid w:val="00351448"/>
    <w:rsid w:val="00351A64"/>
    <w:rsid w:val="00351D13"/>
    <w:rsid w:val="0035250D"/>
    <w:rsid w:val="00352750"/>
    <w:rsid w:val="0035281A"/>
    <w:rsid w:val="00352AD8"/>
    <w:rsid w:val="003534B1"/>
    <w:rsid w:val="003537C0"/>
    <w:rsid w:val="00354C88"/>
    <w:rsid w:val="00355197"/>
    <w:rsid w:val="003557A8"/>
    <w:rsid w:val="0035580B"/>
    <w:rsid w:val="003558CF"/>
    <w:rsid w:val="003559CE"/>
    <w:rsid w:val="00356CBF"/>
    <w:rsid w:val="003573AF"/>
    <w:rsid w:val="00357499"/>
    <w:rsid w:val="003577F0"/>
    <w:rsid w:val="00357C8E"/>
    <w:rsid w:val="00360211"/>
    <w:rsid w:val="00360C6D"/>
    <w:rsid w:val="00360D4C"/>
    <w:rsid w:val="003612C8"/>
    <w:rsid w:val="00362AB4"/>
    <w:rsid w:val="00362C76"/>
    <w:rsid w:val="00363244"/>
    <w:rsid w:val="00363760"/>
    <w:rsid w:val="00363C3C"/>
    <w:rsid w:val="0036418C"/>
    <w:rsid w:val="00364E30"/>
    <w:rsid w:val="00365865"/>
    <w:rsid w:val="00365CC1"/>
    <w:rsid w:val="00365CCF"/>
    <w:rsid w:val="0036697A"/>
    <w:rsid w:val="003670A8"/>
    <w:rsid w:val="0036720A"/>
    <w:rsid w:val="00367899"/>
    <w:rsid w:val="00367B7D"/>
    <w:rsid w:val="00367DBA"/>
    <w:rsid w:val="00367E33"/>
    <w:rsid w:val="00371A12"/>
    <w:rsid w:val="00371BF3"/>
    <w:rsid w:val="00371C6E"/>
    <w:rsid w:val="00371F57"/>
    <w:rsid w:val="003720AA"/>
    <w:rsid w:val="003725B2"/>
    <w:rsid w:val="00372AAA"/>
    <w:rsid w:val="00372DC4"/>
    <w:rsid w:val="00374136"/>
    <w:rsid w:val="00374AF4"/>
    <w:rsid w:val="003753A2"/>
    <w:rsid w:val="003755ED"/>
    <w:rsid w:val="00375A7C"/>
    <w:rsid w:val="00376C79"/>
    <w:rsid w:val="00377B3F"/>
    <w:rsid w:val="0038046C"/>
    <w:rsid w:val="00380C18"/>
    <w:rsid w:val="00381B14"/>
    <w:rsid w:val="0038250E"/>
    <w:rsid w:val="00382713"/>
    <w:rsid w:val="00382C7C"/>
    <w:rsid w:val="00382CAB"/>
    <w:rsid w:val="00383521"/>
    <w:rsid w:val="00384343"/>
    <w:rsid w:val="0038455F"/>
    <w:rsid w:val="003852CB"/>
    <w:rsid w:val="003871D0"/>
    <w:rsid w:val="003871E7"/>
    <w:rsid w:val="0038739E"/>
    <w:rsid w:val="00387FF4"/>
    <w:rsid w:val="003908D6"/>
    <w:rsid w:val="003919FC"/>
    <w:rsid w:val="00391A3F"/>
    <w:rsid w:val="00391CC1"/>
    <w:rsid w:val="00392605"/>
    <w:rsid w:val="00392A66"/>
    <w:rsid w:val="003930F8"/>
    <w:rsid w:val="00393992"/>
    <w:rsid w:val="0039402C"/>
    <w:rsid w:val="0039421F"/>
    <w:rsid w:val="003942D8"/>
    <w:rsid w:val="0039466D"/>
    <w:rsid w:val="00394E8E"/>
    <w:rsid w:val="003954B4"/>
    <w:rsid w:val="003959D2"/>
    <w:rsid w:val="00395F00"/>
    <w:rsid w:val="003967AF"/>
    <w:rsid w:val="00397324"/>
    <w:rsid w:val="003A0B53"/>
    <w:rsid w:val="003A1B9B"/>
    <w:rsid w:val="003A2188"/>
    <w:rsid w:val="003A24EC"/>
    <w:rsid w:val="003A2B5C"/>
    <w:rsid w:val="003A3B6A"/>
    <w:rsid w:val="003A3E3F"/>
    <w:rsid w:val="003A5785"/>
    <w:rsid w:val="003A6CFA"/>
    <w:rsid w:val="003A7062"/>
    <w:rsid w:val="003A70F6"/>
    <w:rsid w:val="003A754D"/>
    <w:rsid w:val="003B0D5A"/>
    <w:rsid w:val="003B1738"/>
    <w:rsid w:val="003B1A9A"/>
    <w:rsid w:val="003B1B31"/>
    <w:rsid w:val="003B1C95"/>
    <w:rsid w:val="003B2694"/>
    <w:rsid w:val="003B57A4"/>
    <w:rsid w:val="003B5EAD"/>
    <w:rsid w:val="003B68BE"/>
    <w:rsid w:val="003B6A41"/>
    <w:rsid w:val="003B7738"/>
    <w:rsid w:val="003C0879"/>
    <w:rsid w:val="003C1F31"/>
    <w:rsid w:val="003C24BD"/>
    <w:rsid w:val="003C26CE"/>
    <w:rsid w:val="003C417C"/>
    <w:rsid w:val="003C42D0"/>
    <w:rsid w:val="003C4AB9"/>
    <w:rsid w:val="003C5287"/>
    <w:rsid w:val="003C5412"/>
    <w:rsid w:val="003C60C6"/>
    <w:rsid w:val="003C63F5"/>
    <w:rsid w:val="003C6474"/>
    <w:rsid w:val="003C65AA"/>
    <w:rsid w:val="003C6A79"/>
    <w:rsid w:val="003C7984"/>
    <w:rsid w:val="003D06E0"/>
    <w:rsid w:val="003D1F70"/>
    <w:rsid w:val="003D272B"/>
    <w:rsid w:val="003D28D1"/>
    <w:rsid w:val="003D39A8"/>
    <w:rsid w:val="003D3CD8"/>
    <w:rsid w:val="003D4446"/>
    <w:rsid w:val="003D52B4"/>
    <w:rsid w:val="003D5A95"/>
    <w:rsid w:val="003D76EF"/>
    <w:rsid w:val="003D7996"/>
    <w:rsid w:val="003E197B"/>
    <w:rsid w:val="003E19B8"/>
    <w:rsid w:val="003E1B6C"/>
    <w:rsid w:val="003E1F85"/>
    <w:rsid w:val="003E39FE"/>
    <w:rsid w:val="003E3A7E"/>
    <w:rsid w:val="003E3D39"/>
    <w:rsid w:val="003E4B93"/>
    <w:rsid w:val="003E5EC1"/>
    <w:rsid w:val="003E69AF"/>
    <w:rsid w:val="003E7369"/>
    <w:rsid w:val="003E7C38"/>
    <w:rsid w:val="003F120A"/>
    <w:rsid w:val="003F40D9"/>
    <w:rsid w:val="003F4596"/>
    <w:rsid w:val="003F4BB6"/>
    <w:rsid w:val="003F53FE"/>
    <w:rsid w:val="003F5985"/>
    <w:rsid w:val="003F7D5F"/>
    <w:rsid w:val="003F7F32"/>
    <w:rsid w:val="004005A9"/>
    <w:rsid w:val="004005BB"/>
    <w:rsid w:val="004013F2"/>
    <w:rsid w:val="00401906"/>
    <w:rsid w:val="00402326"/>
    <w:rsid w:val="00402A56"/>
    <w:rsid w:val="004030EE"/>
    <w:rsid w:val="0040407D"/>
    <w:rsid w:val="00404A7D"/>
    <w:rsid w:val="004052FB"/>
    <w:rsid w:val="0040657F"/>
    <w:rsid w:val="00406648"/>
    <w:rsid w:val="00407115"/>
    <w:rsid w:val="00407315"/>
    <w:rsid w:val="004078A9"/>
    <w:rsid w:val="004101F8"/>
    <w:rsid w:val="004104DC"/>
    <w:rsid w:val="00410714"/>
    <w:rsid w:val="00410B20"/>
    <w:rsid w:val="00412D89"/>
    <w:rsid w:val="00414891"/>
    <w:rsid w:val="00415524"/>
    <w:rsid w:val="00415F3D"/>
    <w:rsid w:val="00416387"/>
    <w:rsid w:val="0041717C"/>
    <w:rsid w:val="0041741A"/>
    <w:rsid w:val="004178F8"/>
    <w:rsid w:val="004179BF"/>
    <w:rsid w:val="00417DA3"/>
    <w:rsid w:val="00421003"/>
    <w:rsid w:val="0042178B"/>
    <w:rsid w:val="004218A1"/>
    <w:rsid w:val="00421B4B"/>
    <w:rsid w:val="00422BDA"/>
    <w:rsid w:val="00423784"/>
    <w:rsid w:val="004238A8"/>
    <w:rsid w:val="004238CD"/>
    <w:rsid w:val="00423B7B"/>
    <w:rsid w:val="0042437B"/>
    <w:rsid w:val="004244B0"/>
    <w:rsid w:val="00424E38"/>
    <w:rsid w:val="00425104"/>
    <w:rsid w:val="00425671"/>
    <w:rsid w:val="00425E55"/>
    <w:rsid w:val="0042613D"/>
    <w:rsid w:val="0042660C"/>
    <w:rsid w:val="0042671D"/>
    <w:rsid w:val="004273CF"/>
    <w:rsid w:val="00427C63"/>
    <w:rsid w:val="004301ED"/>
    <w:rsid w:val="00430828"/>
    <w:rsid w:val="00433D53"/>
    <w:rsid w:val="00434206"/>
    <w:rsid w:val="004348B6"/>
    <w:rsid w:val="0043592A"/>
    <w:rsid w:val="00435ABA"/>
    <w:rsid w:val="00435DC3"/>
    <w:rsid w:val="00435FDF"/>
    <w:rsid w:val="004362E1"/>
    <w:rsid w:val="00436BB6"/>
    <w:rsid w:val="0044004D"/>
    <w:rsid w:val="004420D8"/>
    <w:rsid w:val="00442213"/>
    <w:rsid w:val="0044284D"/>
    <w:rsid w:val="0044296E"/>
    <w:rsid w:val="00444CC3"/>
    <w:rsid w:val="00444FDC"/>
    <w:rsid w:val="00445D98"/>
    <w:rsid w:val="0044600A"/>
    <w:rsid w:val="00446244"/>
    <w:rsid w:val="0044670D"/>
    <w:rsid w:val="00446F99"/>
    <w:rsid w:val="004473D4"/>
    <w:rsid w:val="00447A55"/>
    <w:rsid w:val="00451142"/>
    <w:rsid w:val="00451B13"/>
    <w:rsid w:val="00451F72"/>
    <w:rsid w:val="004520F8"/>
    <w:rsid w:val="00452784"/>
    <w:rsid w:val="00453AB3"/>
    <w:rsid w:val="00453FEB"/>
    <w:rsid w:val="004554A5"/>
    <w:rsid w:val="004558F0"/>
    <w:rsid w:val="00455C5E"/>
    <w:rsid w:val="00455F26"/>
    <w:rsid w:val="00455FAD"/>
    <w:rsid w:val="00456173"/>
    <w:rsid w:val="00457122"/>
    <w:rsid w:val="004602E9"/>
    <w:rsid w:val="004608D7"/>
    <w:rsid w:val="004613CA"/>
    <w:rsid w:val="00462685"/>
    <w:rsid w:val="004631C2"/>
    <w:rsid w:val="00463248"/>
    <w:rsid w:val="00463D04"/>
    <w:rsid w:val="00463D7C"/>
    <w:rsid w:val="00465046"/>
    <w:rsid w:val="004652F4"/>
    <w:rsid w:val="004662B5"/>
    <w:rsid w:val="0046687A"/>
    <w:rsid w:val="00470FCE"/>
    <w:rsid w:val="00471E20"/>
    <w:rsid w:val="004721F1"/>
    <w:rsid w:val="00472408"/>
    <w:rsid w:val="004737F8"/>
    <w:rsid w:val="00473DF9"/>
    <w:rsid w:val="00474091"/>
    <w:rsid w:val="004744CD"/>
    <w:rsid w:val="00475505"/>
    <w:rsid w:val="00475E7A"/>
    <w:rsid w:val="004763B1"/>
    <w:rsid w:val="00476865"/>
    <w:rsid w:val="00477C00"/>
    <w:rsid w:val="0048033C"/>
    <w:rsid w:val="004814DC"/>
    <w:rsid w:val="00481D09"/>
    <w:rsid w:val="004837EA"/>
    <w:rsid w:val="00484C6C"/>
    <w:rsid w:val="00484E98"/>
    <w:rsid w:val="00485C99"/>
    <w:rsid w:val="00485D17"/>
    <w:rsid w:val="0048629E"/>
    <w:rsid w:val="00486346"/>
    <w:rsid w:val="00486DDA"/>
    <w:rsid w:val="004873B7"/>
    <w:rsid w:val="0048762A"/>
    <w:rsid w:val="0049033D"/>
    <w:rsid w:val="0049133C"/>
    <w:rsid w:val="00491432"/>
    <w:rsid w:val="00491818"/>
    <w:rsid w:val="0049197D"/>
    <w:rsid w:val="00492B80"/>
    <w:rsid w:val="00492CB9"/>
    <w:rsid w:val="00493965"/>
    <w:rsid w:val="00494875"/>
    <w:rsid w:val="004957E2"/>
    <w:rsid w:val="00496399"/>
    <w:rsid w:val="004978C3"/>
    <w:rsid w:val="004A0CBF"/>
    <w:rsid w:val="004A1129"/>
    <w:rsid w:val="004A13C4"/>
    <w:rsid w:val="004A1A4C"/>
    <w:rsid w:val="004A1FFD"/>
    <w:rsid w:val="004A205E"/>
    <w:rsid w:val="004A29CB"/>
    <w:rsid w:val="004A2CF4"/>
    <w:rsid w:val="004A31E2"/>
    <w:rsid w:val="004A34C5"/>
    <w:rsid w:val="004A4197"/>
    <w:rsid w:val="004A4BF6"/>
    <w:rsid w:val="004A4F03"/>
    <w:rsid w:val="004A6115"/>
    <w:rsid w:val="004A79BC"/>
    <w:rsid w:val="004B008C"/>
    <w:rsid w:val="004B00F5"/>
    <w:rsid w:val="004B0D46"/>
    <w:rsid w:val="004B11E9"/>
    <w:rsid w:val="004B14E2"/>
    <w:rsid w:val="004B1635"/>
    <w:rsid w:val="004B1A97"/>
    <w:rsid w:val="004B2687"/>
    <w:rsid w:val="004B2B0F"/>
    <w:rsid w:val="004B33C1"/>
    <w:rsid w:val="004B3A31"/>
    <w:rsid w:val="004B4DD3"/>
    <w:rsid w:val="004B65AF"/>
    <w:rsid w:val="004B6C3A"/>
    <w:rsid w:val="004B700C"/>
    <w:rsid w:val="004C036C"/>
    <w:rsid w:val="004C05F7"/>
    <w:rsid w:val="004C0BCB"/>
    <w:rsid w:val="004C0EC1"/>
    <w:rsid w:val="004C1A5E"/>
    <w:rsid w:val="004C2B35"/>
    <w:rsid w:val="004C2D76"/>
    <w:rsid w:val="004C342C"/>
    <w:rsid w:val="004C349D"/>
    <w:rsid w:val="004C3E44"/>
    <w:rsid w:val="004C4872"/>
    <w:rsid w:val="004C4973"/>
    <w:rsid w:val="004C4D9D"/>
    <w:rsid w:val="004C5185"/>
    <w:rsid w:val="004C54B6"/>
    <w:rsid w:val="004C56E0"/>
    <w:rsid w:val="004C6F97"/>
    <w:rsid w:val="004C7479"/>
    <w:rsid w:val="004C7AC7"/>
    <w:rsid w:val="004D01C7"/>
    <w:rsid w:val="004D042F"/>
    <w:rsid w:val="004D158F"/>
    <w:rsid w:val="004D1605"/>
    <w:rsid w:val="004D25D4"/>
    <w:rsid w:val="004D29D9"/>
    <w:rsid w:val="004D35E7"/>
    <w:rsid w:val="004D3BC1"/>
    <w:rsid w:val="004D3CA9"/>
    <w:rsid w:val="004D46AB"/>
    <w:rsid w:val="004D4DA4"/>
    <w:rsid w:val="004D5136"/>
    <w:rsid w:val="004D6A24"/>
    <w:rsid w:val="004D7769"/>
    <w:rsid w:val="004D77ED"/>
    <w:rsid w:val="004D7C7C"/>
    <w:rsid w:val="004E31F4"/>
    <w:rsid w:val="004E32D5"/>
    <w:rsid w:val="004E3DCC"/>
    <w:rsid w:val="004E4241"/>
    <w:rsid w:val="004E4532"/>
    <w:rsid w:val="004E4D09"/>
    <w:rsid w:val="004E4D7C"/>
    <w:rsid w:val="004E570D"/>
    <w:rsid w:val="004E5B78"/>
    <w:rsid w:val="004F0031"/>
    <w:rsid w:val="004F0959"/>
    <w:rsid w:val="004F0F69"/>
    <w:rsid w:val="004F17FB"/>
    <w:rsid w:val="004F190C"/>
    <w:rsid w:val="004F2481"/>
    <w:rsid w:val="004F24C9"/>
    <w:rsid w:val="004F25A6"/>
    <w:rsid w:val="004F2D25"/>
    <w:rsid w:val="004F2DEF"/>
    <w:rsid w:val="004F3B2A"/>
    <w:rsid w:val="004F430C"/>
    <w:rsid w:val="004F54C5"/>
    <w:rsid w:val="004F5607"/>
    <w:rsid w:val="004F6234"/>
    <w:rsid w:val="004F6AC8"/>
    <w:rsid w:val="004F6C3E"/>
    <w:rsid w:val="005005E0"/>
    <w:rsid w:val="00501944"/>
    <w:rsid w:val="0050224A"/>
    <w:rsid w:val="005022FC"/>
    <w:rsid w:val="00502CBF"/>
    <w:rsid w:val="00503081"/>
    <w:rsid w:val="005052A4"/>
    <w:rsid w:val="005063E3"/>
    <w:rsid w:val="005065D0"/>
    <w:rsid w:val="00506894"/>
    <w:rsid w:val="0050712B"/>
    <w:rsid w:val="00507637"/>
    <w:rsid w:val="005100B2"/>
    <w:rsid w:val="00510E04"/>
    <w:rsid w:val="005113A0"/>
    <w:rsid w:val="00511E35"/>
    <w:rsid w:val="005125E5"/>
    <w:rsid w:val="00512CF7"/>
    <w:rsid w:val="00512DCD"/>
    <w:rsid w:val="00513D6D"/>
    <w:rsid w:val="00513DB4"/>
    <w:rsid w:val="00514991"/>
    <w:rsid w:val="00515358"/>
    <w:rsid w:val="00515373"/>
    <w:rsid w:val="0051579B"/>
    <w:rsid w:val="00516397"/>
    <w:rsid w:val="005169AB"/>
    <w:rsid w:val="00520557"/>
    <w:rsid w:val="005205C3"/>
    <w:rsid w:val="00520810"/>
    <w:rsid w:val="00520FED"/>
    <w:rsid w:val="005218D1"/>
    <w:rsid w:val="00521CFB"/>
    <w:rsid w:val="005233CF"/>
    <w:rsid w:val="005240D7"/>
    <w:rsid w:val="005245D8"/>
    <w:rsid w:val="00525353"/>
    <w:rsid w:val="00525386"/>
    <w:rsid w:val="0052580B"/>
    <w:rsid w:val="00525A7B"/>
    <w:rsid w:val="0052765B"/>
    <w:rsid w:val="00527CCC"/>
    <w:rsid w:val="00530A59"/>
    <w:rsid w:val="00530B0C"/>
    <w:rsid w:val="00531242"/>
    <w:rsid w:val="0053126C"/>
    <w:rsid w:val="0053163B"/>
    <w:rsid w:val="0053164D"/>
    <w:rsid w:val="00532BCB"/>
    <w:rsid w:val="00532E87"/>
    <w:rsid w:val="00534A7B"/>
    <w:rsid w:val="00534C0A"/>
    <w:rsid w:val="0053508B"/>
    <w:rsid w:val="0053663E"/>
    <w:rsid w:val="00536B8F"/>
    <w:rsid w:val="00537570"/>
    <w:rsid w:val="00537624"/>
    <w:rsid w:val="00540043"/>
    <w:rsid w:val="0054008D"/>
    <w:rsid w:val="005402DF"/>
    <w:rsid w:val="00540563"/>
    <w:rsid w:val="005412C0"/>
    <w:rsid w:val="005421EA"/>
    <w:rsid w:val="00542A43"/>
    <w:rsid w:val="005433AD"/>
    <w:rsid w:val="00543661"/>
    <w:rsid w:val="00543BAE"/>
    <w:rsid w:val="00543DF1"/>
    <w:rsid w:val="00544B1D"/>
    <w:rsid w:val="00545E67"/>
    <w:rsid w:val="00546706"/>
    <w:rsid w:val="00546AC4"/>
    <w:rsid w:val="00547060"/>
    <w:rsid w:val="005470A7"/>
    <w:rsid w:val="00547A20"/>
    <w:rsid w:val="00550A28"/>
    <w:rsid w:val="00550E45"/>
    <w:rsid w:val="00551013"/>
    <w:rsid w:val="00551A0C"/>
    <w:rsid w:val="00552279"/>
    <w:rsid w:val="00552E00"/>
    <w:rsid w:val="00554167"/>
    <w:rsid w:val="005552A5"/>
    <w:rsid w:val="00555E6A"/>
    <w:rsid w:val="0055748D"/>
    <w:rsid w:val="0055752D"/>
    <w:rsid w:val="00557653"/>
    <w:rsid w:val="00561814"/>
    <w:rsid w:val="00561C13"/>
    <w:rsid w:val="00561C72"/>
    <w:rsid w:val="00562148"/>
    <w:rsid w:val="00562B76"/>
    <w:rsid w:val="00562E9E"/>
    <w:rsid w:val="005634BC"/>
    <w:rsid w:val="00563BAB"/>
    <w:rsid w:val="00565E65"/>
    <w:rsid w:val="00566D6F"/>
    <w:rsid w:val="005672CC"/>
    <w:rsid w:val="00567EFC"/>
    <w:rsid w:val="005703E7"/>
    <w:rsid w:val="00570D7C"/>
    <w:rsid w:val="00571C13"/>
    <w:rsid w:val="00572E13"/>
    <w:rsid w:val="00572FA5"/>
    <w:rsid w:val="00573108"/>
    <w:rsid w:val="00573D6A"/>
    <w:rsid w:val="00574A28"/>
    <w:rsid w:val="00574CA2"/>
    <w:rsid w:val="00575035"/>
    <w:rsid w:val="00575386"/>
    <w:rsid w:val="00575671"/>
    <w:rsid w:val="00575931"/>
    <w:rsid w:val="005773EA"/>
    <w:rsid w:val="0057794B"/>
    <w:rsid w:val="00577C10"/>
    <w:rsid w:val="00577EB7"/>
    <w:rsid w:val="00581278"/>
    <w:rsid w:val="0058141F"/>
    <w:rsid w:val="005818BF"/>
    <w:rsid w:val="0058316E"/>
    <w:rsid w:val="0058375C"/>
    <w:rsid w:val="005841C1"/>
    <w:rsid w:val="0058548D"/>
    <w:rsid w:val="0058725D"/>
    <w:rsid w:val="0059047B"/>
    <w:rsid w:val="00592308"/>
    <w:rsid w:val="00592698"/>
    <w:rsid w:val="00592A92"/>
    <w:rsid w:val="005939E5"/>
    <w:rsid w:val="0059433D"/>
    <w:rsid w:val="005943D0"/>
    <w:rsid w:val="0059473A"/>
    <w:rsid w:val="0059479C"/>
    <w:rsid w:val="0059507C"/>
    <w:rsid w:val="00595ACA"/>
    <w:rsid w:val="00596C3C"/>
    <w:rsid w:val="00597282"/>
    <w:rsid w:val="005A08A2"/>
    <w:rsid w:val="005A0D3D"/>
    <w:rsid w:val="005A1911"/>
    <w:rsid w:val="005A19E9"/>
    <w:rsid w:val="005A2153"/>
    <w:rsid w:val="005A23B4"/>
    <w:rsid w:val="005A2E4E"/>
    <w:rsid w:val="005A3038"/>
    <w:rsid w:val="005A35AE"/>
    <w:rsid w:val="005A3A3B"/>
    <w:rsid w:val="005A4688"/>
    <w:rsid w:val="005A4EBC"/>
    <w:rsid w:val="005A57B2"/>
    <w:rsid w:val="005A5A05"/>
    <w:rsid w:val="005A65B8"/>
    <w:rsid w:val="005A6FC8"/>
    <w:rsid w:val="005A7377"/>
    <w:rsid w:val="005A7A6A"/>
    <w:rsid w:val="005B08CF"/>
    <w:rsid w:val="005B0FFB"/>
    <w:rsid w:val="005B3905"/>
    <w:rsid w:val="005B464D"/>
    <w:rsid w:val="005B4D2A"/>
    <w:rsid w:val="005B4F15"/>
    <w:rsid w:val="005B5059"/>
    <w:rsid w:val="005B51E3"/>
    <w:rsid w:val="005B5493"/>
    <w:rsid w:val="005B6D47"/>
    <w:rsid w:val="005B7ABE"/>
    <w:rsid w:val="005C17C0"/>
    <w:rsid w:val="005C18CB"/>
    <w:rsid w:val="005C33C3"/>
    <w:rsid w:val="005C36E8"/>
    <w:rsid w:val="005C3D3E"/>
    <w:rsid w:val="005C4729"/>
    <w:rsid w:val="005C55E4"/>
    <w:rsid w:val="005C5EE4"/>
    <w:rsid w:val="005C6653"/>
    <w:rsid w:val="005C71B6"/>
    <w:rsid w:val="005C7ABC"/>
    <w:rsid w:val="005C7D06"/>
    <w:rsid w:val="005D0044"/>
    <w:rsid w:val="005D06D6"/>
    <w:rsid w:val="005D0C55"/>
    <w:rsid w:val="005D0D4F"/>
    <w:rsid w:val="005D2D51"/>
    <w:rsid w:val="005D3786"/>
    <w:rsid w:val="005D3FC4"/>
    <w:rsid w:val="005D483D"/>
    <w:rsid w:val="005D6968"/>
    <w:rsid w:val="005D7550"/>
    <w:rsid w:val="005D7563"/>
    <w:rsid w:val="005D7D0F"/>
    <w:rsid w:val="005D7D29"/>
    <w:rsid w:val="005E075B"/>
    <w:rsid w:val="005E0BEF"/>
    <w:rsid w:val="005E1C46"/>
    <w:rsid w:val="005E2ADC"/>
    <w:rsid w:val="005E3392"/>
    <w:rsid w:val="005E387E"/>
    <w:rsid w:val="005E39AB"/>
    <w:rsid w:val="005E46B3"/>
    <w:rsid w:val="005E480C"/>
    <w:rsid w:val="005E64D4"/>
    <w:rsid w:val="005E6531"/>
    <w:rsid w:val="005E7095"/>
    <w:rsid w:val="005F0AD4"/>
    <w:rsid w:val="005F0FF9"/>
    <w:rsid w:val="005F2E0B"/>
    <w:rsid w:val="005F3313"/>
    <w:rsid w:val="005F353B"/>
    <w:rsid w:val="005F3805"/>
    <w:rsid w:val="005F4741"/>
    <w:rsid w:val="005F4CE0"/>
    <w:rsid w:val="005F4F63"/>
    <w:rsid w:val="005F5C93"/>
    <w:rsid w:val="005F670A"/>
    <w:rsid w:val="005F6B6A"/>
    <w:rsid w:val="005F7A74"/>
    <w:rsid w:val="00600129"/>
    <w:rsid w:val="006010C6"/>
    <w:rsid w:val="00602A00"/>
    <w:rsid w:val="00602E41"/>
    <w:rsid w:val="00602E6A"/>
    <w:rsid w:val="006034AB"/>
    <w:rsid w:val="0060378A"/>
    <w:rsid w:val="00603806"/>
    <w:rsid w:val="00604592"/>
    <w:rsid w:val="00604D7F"/>
    <w:rsid w:val="006055FB"/>
    <w:rsid w:val="00606F2E"/>
    <w:rsid w:val="00607455"/>
    <w:rsid w:val="00607FB7"/>
    <w:rsid w:val="006112B8"/>
    <w:rsid w:val="006115CC"/>
    <w:rsid w:val="00611A42"/>
    <w:rsid w:val="00612FB9"/>
    <w:rsid w:val="006131B4"/>
    <w:rsid w:val="00613B54"/>
    <w:rsid w:val="00613D97"/>
    <w:rsid w:val="006142E6"/>
    <w:rsid w:val="00614B30"/>
    <w:rsid w:val="006154EE"/>
    <w:rsid w:val="00615E18"/>
    <w:rsid w:val="00615EBE"/>
    <w:rsid w:val="00616BD3"/>
    <w:rsid w:val="006174C2"/>
    <w:rsid w:val="00617739"/>
    <w:rsid w:val="006206A5"/>
    <w:rsid w:val="0062089A"/>
    <w:rsid w:val="0062121A"/>
    <w:rsid w:val="006212BF"/>
    <w:rsid w:val="00622092"/>
    <w:rsid w:val="00622F1E"/>
    <w:rsid w:val="006239DE"/>
    <w:rsid w:val="00623B76"/>
    <w:rsid w:val="00624C8D"/>
    <w:rsid w:val="00624CCD"/>
    <w:rsid w:val="00625F70"/>
    <w:rsid w:val="00626273"/>
    <w:rsid w:val="00626837"/>
    <w:rsid w:val="00626A8F"/>
    <w:rsid w:val="00627D44"/>
    <w:rsid w:val="00630FD1"/>
    <w:rsid w:val="0063119B"/>
    <w:rsid w:val="0063131F"/>
    <w:rsid w:val="00631D02"/>
    <w:rsid w:val="00632563"/>
    <w:rsid w:val="00632BC0"/>
    <w:rsid w:val="00632BF5"/>
    <w:rsid w:val="00632C44"/>
    <w:rsid w:val="006337CB"/>
    <w:rsid w:val="00633D1A"/>
    <w:rsid w:val="006347EE"/>
    <w:rsid w:val="006352C1"/>
    <w:rsid w:val="0063597F"/>
    <w:rsid w:val="00636442"/>
    <w:rsid w:val="006364DD"/>
    <w:rsid w:val="00636E3F"/>
    <w:rsid w:val="006372A8"/>
    <w:rsid w:val="006378E0"/>
    <w:rsid w:val="006378F5"/>
    <w:rsid w:val="00637904"/>
    <w:rsid w:val="00637F34"/>
    <w:rsid w:val="00640B28"/>
    <w:rsid w:val="006412A2"/>
    <w:rsid w:val="00641DE9"/>
    <w:rsid w:val="006420AB"/>
    <w:rsid w:val="00642146"/>
    <w:rsid w:val="00642157"/>
    <w:rsid w:val="0064239B"/>
    <w:rsid w:val="00642B0B"/>
    <w:rsid w:val="00644127"/>
    <w:rsid w:val="0064553C"/>
    <w:rsid w:val="0064696B"/>
    <w:rsid w:val="00651B8F"/>
    <w:rsid w:val="00652CF1"/>
    <w:rsid w:val="00653227"/>
    <w:rsid w:val="00653937"/>
    <w:rsid w:val="00654C17"/>
    <w:rsid w:val="00655268"/>
    <w:rsid w:val="0065535B"/>
    <w:rsid w:val="00655ACE"/>
    <w:rsid w:val="006561A7"/>
    <w:rsid w:val="00656B88"/>
    <w:rsid w:val="00657148"/>
    <w:rsid w:val="006571A1"/>
    <w:rsid w:val="00657580"/>
    <w:rsid w:val="006578AE"/>
    <w:rsid w:val="00657A8E"/>
    <w:rsid w:val="00657B9E"/>
    <w:rsid w:val="0066028A"/>
    <w:rsid w:val="00660F9A"/>
    <w:rsid w:val="00661801"/>
    <w:rsid w:val="00662DDB"/>
    <w:rsid w:val="00664B1A"/>
    <w:rsid w:val="00664C04"/>
    <w:rsid w:val="0066503A"/>
    <w:rsid w:val="00665206"/>
    <w:rsid w:val="006654EE"/>
    <w:rsid w:val="00666DD5"/>
    <w:rsid w:val="006675B1"/>
    <w:rsid w:val="00667E48"/>
    <w:rsid w:val="0067025D"/>
    <w:rsid w:val="0067034C"/>
    <w:rsid w:val="00672286"/>
    <w:rsid w:val="0067241D"/>
    <w:rsid w:val="006725EC"/>
    <w:rsid w:val="00673A76"/>
    <w:rsid w:val="00674654"/>
    <w:rsid w:val="00674C00"/>
    <w:rsid w:val="006750E4"/>
    <w:rsid w:val="006752EF"/>
    <w:rsid w:val="0067555C"/>
    <w:rsid w:val="0067596B"/>
    <w:rsid w:val="00676C86"/>
    <w:rsid w:val="00676DB7"/>
    <w:rsid w:val="00676E3D"/>
    <w:rsid w:val="00676EFB"/>
    <w:rsid w:val="0067731D"/>
    <w:rsid w:val="00680856"/>
    <w:rsid w:val="00680866"/>
    <w:rsid w:val="00680A57"/>
    <w:rsid w:val="00681615"/>
    <w:rsid w:val="00681665"/>
    <w:rsid w:val="00681C69"/>
    <w:rsid w:val="006826CD"/>
    <w:rsid w:val="00683F1D"/>
    <w:rsid w:val="006855D3"/>
    <w:rsid w:val="00685B4D"/>
    <w:rsid w:val="00686A6C"/>
    <w:rsid w:val="00686E10"/>
    <w:rsid w:val="0069353D"/>
    <w:rsid w:val="00694D60"/>
    <w:rsid w:val="006972A3"/>
    <w:rsid w:val="00697302"/>
    <w:rsid w:val="0069732D"/>
    <w:rsid w:val="006976CD"/>
    <w:rsid w:val="006A0350"/>
    <w:rsid w:val="006A102B"/>
    <w:rsid w:val="006A11EF"/>
    <w:rsid w:val="006A2626"/>
    <w:rsid w:val="006A311D"/>
    <w:rsid w:val="006A31AF"/>
    <w:rsid w:val="006A372B"/>
    <w:rsid w:val="006A41A7"/>
    <w:rsid w:val="006A434C"/>
    <w:rsid w:val="006A4526"/>
    <w:rsid w:val="006A47E5"/>
    <w:rsid w:val="006A4851"/>
    <w:rsid w:val="006A5426"/>
    <w:rsid w:val="006A55D2"/>
    <w:rsid w:val="006A5DCC"/>
    <w:rsid w:val="006A5F88"/>
    <w:rsid w:val="006A6627"/>
    <w:rsid w:val="006A6BDC"/>
    <w:rsid w:val="006A7909"/>
    <w:rsid w:val="006B0ADF"/>
    <w:rsid w:val="006B114F"/>
    <w:rsid w:val="006B201E"/>
    <w:rsid w:val="006B32A5"/>
    <w:rsid w:val="006B374F"/>
    <w:rsid w:val="006B388E"/>
    <w:rsid w:val="006B4A14"/>
    <w:rsid w:val="006B6A15"/>
    <w:rsid w:val="006B7028"/>
    <w:rsid w:val="006B7211"/>
    <w:rsid w:val="006B7AD8"/>
    <w:rsid w:val="006B7B75"/>
    <w:rsid w:val="006C052A"/>
    <w:rsid w:val="006C06C3"/>
    <w:rsid w:val="006C0B00"/>
    <w:rsid w:val="006C145C"/>
    <w:rsid w:val="006C1A13"/>
    <w:rsid w:val="006C1BA3"/>
    <w:rsid w:val="006C2F5E"/>
    <w:rsid w:val="006C33E5"/>
    <w:rsid w:val="006C3525"/>
    <w:rsid w:val="006C372E"/>
    <w:rsid w:val="006C39F4"/>
    <w:rsid w:val="006C5FF8"/>
    <w:rsid w:val="006C645B"/>
    <w:rsid w:val="006C6698"/>
    <w:rsid w:val="006C7ADE"/>
    <w:rsid w:val="006C7F6B"/>
    <w:rsid w:val="006D01A3"/>
    <w:rsid w:val="006D0536"/>
    <w:rsid w:val="006D0CEC"/>
    <w:rsid w:val="006D0D75"/>
    <w:rsid w:val="006D0E29"/>
    <w:rsid w:val="006D1042"/>
    <w:rsid w:val="006D1635"/>
    <w:rsid w:val="006D1FBE"/>
    <w:rsid w:val="006D231F"/>
    <w:rsid w:val="006D260E"/>
    <w:rsid w:val="006D29DF"/>
    <w:rsid w:val="006D3B6E"/>
    <w:rsid w:val="006D4231"/>
    <w:rsid w:val="006D541F"/>
    <w:rsid w:val="006D5B3C"/>
    <w:rsid w:val="006D5B74"/>
    <w:rsid w:val="006D5C56"/>
    <w:rsid w:val="006D60AE"/>
    <w:rsid w:val="006D6343"/>
    <w:rsid w:val="006D6693"/>
    <w:rsid w:val="006E0A44"/>
    <w:rsid w:val="006E17BC"/>
    <w:rsid w:val="006E1E2B"/>
    <w:rsid w:val="006E2133"/>
    <w:rsid w:val="006E277E"/>
    <w:rsid w:val="006E307E"/>
    <w:rsid w:val="006E438D"/>
    <w:rsid w:val="006E5758"/>
    <w:rsid w:val="006E628C"/>
    <w:rsid w:val="006E6F12"/>
    <w:rsid w:val="006E7646"/>
    <w:rsid w:val="006F0E7D"/>
    <w:rsid w:val="006F2B02"/>
    <w:rsid w:val="006F33F0"/>
    <w:rsid w:val="006F3499"/>
    <w:rsid w:val="006F3BAD"/>
    <w:rsid w:val="006F444D"/>
    <w:rsid w:val="006F478E"/>
    <w:rsid w:val="006F53CC"/>
    <w:rsid w:val="006F5703"/>
    <w:rsid w:val="006F6FAD"/>
    <w:rsid w:val="006F75AD"/>
    <w:rsid w:val="006F789E"/>
    <w:rsid w:val="0070004F"/>
    <w:rsid w:val="00700346"/>
    <w:rsid w:val="00700566"/>
    <w:rsid w:val="00701300"/>
    <w:rsid w:val="00701641"/>
    <w:rsid w:val="00701650"/>
    <w:rsid w:val="0070180D"/>
    <w:rsid w:val="00702ABE"/>
    <w:rsid w:val="00703067"/>
    <w:rsid w:val="00703B80"/>
    <w:rsid w:val="007044AB"/>
    <w:rsid w:val="0070538C"/>
    <w:rsid w:val="00706DC1"/>
    <w:rsid w:val="00706E8B"/>
    <w:rsid w:val="0070789B"/>
    <w:rsid w:val="00707B97"/>
    <w:rsid w:val="007100DC"/>
    <w:rsid w:val="007105F5"/>
    <w:rsid w:val="007106DC"/>
    <w:rsid w:val="0071143A"/>
    <w:rsid w:val="00711729"/>
    <w:rsid w:val="00711F8E"/>
    <w:rsid w:val="007123E8"/>
    <w:rsid w:val="007129BA"/>
    <w:rsid w:val="00712D53"/>
    <w:rsid w:val="00712D7E"/>
    <w:rsid w:val="00713BCE"/>
    <w:rsid w:val="0071441B"/>
    <w:rsid w:val="00715672"/>
    <w:rsid w:val="00716614"/>
    <w:rsid w:val="00716AF1"/>
    <w:rsid w:val="00716FFF"/>
    <w:rsid w:val="00717399"/>
    <w:rsid w:val="007179C5"/>
    <w:rsid w:val="007208B0"/>
    <w:rsid w:val="00720EAA"/>
    <w:rsid w:val="00720EE7"/>
    <w:rsid w:val="00721355"/>
    <w:rsid w:val="00721F6F"/>
    <w:rsid w:val="00722414"/>
    <w:rsid w:val="0072294C"/>
    <w:rsid w:val="0072300D"/>
    <w:rsid w:val="00723606"/>
    <w:rsid w:val="00723991"/>
    <w:rsid w:val="00724224"/>
    <w:rsid w:val="00725204"/>
    <w:rsid w:val="00725686"/>
    <w:rsid w:val="00725773"/>
    <w:rsid w:val="0072596B"/>
    <w:rsid w:val="00725D06"/>
    <w:rsid w:val="007269BA"/>
    <w:rsid w:val="00726DC8"/>
    <w:rsid w:val="00726F3A"/>
    <w:rsid w:val="00727358"/>
    <w:rsid w:val="00730451"/>
    <w:rsid w:val="00730CFF"/>
    <w:rsid w:val="0073132A"/>
    <w:rsid w:val="00731604"/>
    <w:rsid w:val="00731EC5"/>
    <w:rsid w:val="00733110"/>
    <w:rsid w:val="00733413"/>
    <w:rsid w:val="00733EB1"/>
    <w:rsid w:val="007345F4"/>
    <w:rsid w:val="00734807"/>
    <w:rsid w:val="00734D52"/>
    <w:rsid w:val="00735296"/>
    <w:rsid w:val="00735BDC"/>
    <w:rsid w:val="007364C0"/>
    <w:rsid w:val="00736B8F"/>
    <w:rsid w:val="00737449"/>
    <w:rsid w:val="007374C3"/>
    <w:rsid w:val="007377D7"/>
    <w:rsid w:val="00737CEE"/>
    <w:rsid w:val="00740392"/>
    <w:rsid w:val="007416D5"/>
    <w:rsid w:val="00741A34"/>
    <w:rsid w:val="007425DF"/>
    <w:rsid w:val="00743EB6"/>
    <w:rsid w:val="00744909"/>
    <w:rsid w:val="00745436"/>
    <w:rsid w:val="00745C84"/>
    <w:rsid w:val="00745FA1"/>
    <w:rsid w:val="00747376"/>
    <w:rsid w:val="0074737F"/>
    <w:rsid w:val="007479CD"/>
    <w:rsid w:val="00747C49"/>
    <w:rsid w:val="00747E4A"/>
    <w:rsid w:val="00750384"/>
    <w:rsid w:val="00750522"/>
    <w:rsid w:val="0075199D"/>
    <w:rsid w:val="00751E3C"/>
    <w:rsid w:val="0075306C"/>
    <w:rsid w:val="007531AA"/>
    <w:rsid w:val="007540E9"/>
    <w:rsid w:val="00754DCE"/>
    <w:rsid w:val="00754FE0"/>
    <w:rsid w:val="00755394"/>
    <w:rsid w:val="007562E5"/>
    <w:rsid w:val="007565DB"/>
    <w:rsid w:val="007565F3"/>
    <w:rsid w:val="007569BA"/>
    <w:rsid w:val="00756F12"/>
    <w:rsid w:val="0075713D"/>
    <w:rsid w:val="0075782F"/>
    <w:rsid w:val="007603D1"/>
    <w:rsid w:val="007608AA"/>
    <w:rsid w:val="00760B30"/>
    <w:rsid w:val="00760D2A"/>
    <w:rsid w:val="0076176A"/>
    <w:rsid w:val="00761BC8"/>
    <w:rsid w:val="007620A5"/>
    <w:rsid w:val="007623F3"/>
    <w:rsid w:val="007624FD"/>
    <w:rsid w:val="00762BD1"/>
    <w:rsid w:val="00763100"/>
    <w:rsid w:val="007639F1"/>
    <w:rsid w:val="00764DEE"/>
    <w:rsid w:val="00765D79"/>
    <w:rsid w:val="007662EA"/>
    <w:rsid w:val="007668CA"/>
    <w:rsid w:val="007670AD"/>
    <w:rsid w:val="0077022B"/>
    <w:rsid w:val="00770543"/>
    <w:rsid w:val="00770E89"/>
    <w:rsid w:val="00771280"/>
    <w:rsid w:val="0077173A"/>
    <w:rsid w:val="00771E9A"/>
    <w:rsid w:val="0077239F"/>
    <w:rsid w:val="00772803"/>
    <w:rsid w:val="00772965"/>
    <w:rsid w:val="00773A90"/>
    <w:rsid w:val="00773CE0"/>
    <w:rsid w:val="007744B8"/>
    <w:rsid w:val="00775339"/>
    <w:rsid w:val="007763B0"/>
    <w:rsid w:val="00777139"/>
    <w:rsid w:val="00780952"/>
    <w:rsid w:val="00780E53"/>
    <w:rsid w:val="007820EA"/>
    <w:rsid w:val="00782492"/>
    <w:rsid w:val="007827BA"/>
    <w:rsid w:val="00782EBD"/>
    <w:rsid w:val="0078344C"/>
    <w:rsid w:val="00783BDC"/>
    <w:rsid w:val="00784207"/>
    <w:rsid w:val="007847A0"/>
    <w:rsid w:val="00785774"/>
    <w:rsid w:val="00785875"/>
    <w:rsid w:val="00786029"/>
    <w:rsid w:val="00786141"/>
    <w:rsid w:val="0078662A"/>
    <w:rsid w:val="00786ABC"/>
    <w:rsid w:val="00787FB6"/>
    <w:rsid w:val="00790A05"/>
    <w:rsid w:val="00790AE7"/>
    <w:rsid w:val="00790F3A"/>
    <w:rsid w:val="00791FEC"/>
    <w:rsid w:val="00791FFD"/>
    <w:rsid w:val="007920D1"/>
    <w:rsid w:val="00795039"/>
    <w:rsid w:val="007957BD"/>
    <w:rsid w:val="007962D6"/>
    <w:rsid w:val="007978F0"/>
    <w:rsid w:val="00797B37"/>
    <w:rsid w:val="00797EA7"/>
    <w:rsid w:val="007A0045"/>
    <w:rsid w:val="007A00E5"/>
    <w:rsid w:val="007A01FA"/>
    <w:rsid w:val="007A05BB"/>
    <w:rsid w:val="007A0604"/>
    <w:rsid w:val="007A2704"/>
    <w:rsid w:val="007A28A3"/>
    <w:rsid w:val="007A35BB"/>
    <w:rsid w:val="007A366F"/>
    <w:rsid w:val="007A38C1"/>
    <w:rsid w:val="007A44E1"/>
    <w:rsid w:val="007A4CB9"/>
    <w:rsid w:val="007A51F1"/>
    <w:rsid w:val="007A5BEE"/>
    <w:rsid w:val="007A5E67"/>
    <w:rsid w:val="007A68BE"/>
    <w:rsid w:val="007A6B3F"/>
    <w:rsid w:val="007A6C03"/>
    <w:rsid w:val="007A6D7C"/>
    <w:rsid w:val="007A7561"/>
    <w:rsid w:val="007A7DE6"/>
    <w:rsid w:val="007B00F4"/>
    <w:rsid w:val="007B010C"/>
    <w:rsid w:val="007B0AF7"/>
    <w:rsid w:val="007B1191"/>
    <w:rsid w:val="007B11B8"/>
    <w:rsid w:val="007B11C2"/>
    <w:rsid w:val="007B1B12"/>
    <w:rsid w:val="007B2C6B"/>
    <w:rsid w:val="007B3097"/>
    <w:rsid w:val="007B30A3"/>
    <w:rsid w:val="007B3291"/>
    <w:rsid w:val="007B35DA"/>
    <w:rsid w:val="007B3C11"/>
    <w:rsid w:val="007B4DB8"/>
    <w:rsid w:val="007B4F6C"/>
    <w:rsid w:val="007B5805"/>
    <w:rsid w:val="007B5B71"/>
    <w:rsid w:val="007B6639"/>
    <w:rsid w:val="007B77F6"/>
    <w:rsid w:val="007C0236"/>
    <w:rsid w:val="007C02B3"/>
    <w:rsid w:val="007C1128"/>
    <w:rsid w:val="007C1635"/>
    <w:rsid w:val="007C1A78"/>
    <w:rsid w:val="007C26EC"/>
    <w:rsid w:val="007C2AAF"/>
    <w:rsid w:val="007C2E39"/>
    <w:rsid w:val="007C55FC"/>
    <w:rsid w:val="007C6748"/>
    <w:rsid w:val="007C78FF"/>
    <w:rsid w:val="007C7F29"/>
    <w:rsid w:val="007C7F51"/>
    <w:rsid w:val="007D014A"/>
    <w:rsid w:val="007D01E0"/>
    <w:rsid w:val="007D0CC5"/>
    <w:rsid w:val="007D1FEF"/>
    <w:rsid w:val="007D2480"/>
    <w:rsid w:val="007D2868"/>
    <w:rsid w:val="007D2926"/>
    <w:rsid w:val="007D2CB0"/>
    <w:rsid w:val="007D3CFD"/>
    <w:rsid w:val="007D40D3"/>
    <w:rsid w:val="007D69EE"/>
    <w:rsid w:val="007D6AAD"/>
    <w:rsid w:val="007D741E"/>
    <w:rsid w:val="007D7EDA"/>
    <w:rsid w:val="007E0210"/>
    <w:rsid w:val="007E0805"/>
    <w:rsid w:val="007E088C"/>
    <w:rsid w:val="007E1365"/>
    <w:rsid w:val="007E15A7"/>
    <w:rsid w:val="007E17E7"/>
    <w:rsid w:val="007E2231"/>
    <w:rsid w:val="007E2EFC"/>
    <w:rsid w:val="007E3C65"/>
    <w:rsid w:val="007E4289"/>
    <w:rsid w:val="007E52BB"/>
    <w:rsid w:val="007E71B0"/>
    <w:rsid w:val="007E7C4C"/>
    <w:rsid w:val="007E7D62"/>
    <w:rsid w:val="007F007F"/>
    <w:rsid w:val="007F0F5F"/>
    <w:rsid w:val="007F1D0D"/>
    <w:rsid w:val="007F2249"/>
    <w:rsid w:val="007F4C63"/>
    <w:rsid w:val="007F52B2"/>
    <w:rsid w:val="007F567C"/>
    <w:rsid w:val="007F5830"/>
    <w:rsid w:val="007F5D03"/>
    <w:rsid w:val="007F5D05"/>
    <w:rsid w:val="007F5E73"/>
    <w:rsid w:val="007F631A"/>
    <w:rsid w:val="007F698E"/>
    <w:rsid w:val="007F72B6"/>
    <w:rsid w:val="007F77E6"/>
    <w:rsid w:val="007F7F87"/>
    <w:rsid w:val="00802B43"/>
    <w:rsid w:val="00802FBA"/>
    <w:rsid w:val="00803048"/>
    <w:rsid w:val="008042C7"/>
    <w:rsid w:val="008045D3"/>
    <w:rsid w:val="00804673"/>
    <w:rsid w:val="00805809"/>
    <w:rsid w:val="00805E70"/>
    <w:rsid w:val="008065D1"/>
    <w:rsid w:val="008076E4"/>
    <w:rsid w:val="008102E0"/>
    <w:rsid w:val="00810883"/>
    <w:rsid w:val="00811063"/>
    <w:rsid w:val="00811401"/>
    <w:rsid w:val="00811437"/>
    <w:rsid w:val="0081180C"/>
    <w:rsid w:val="00811AD7"/>
    <w:rsid w:val="00812257"/>
    <w:rsid w:val="0081382C"/>
    <w:rsid w:val="00813D9A"/>
    <w:rsid w:val="00813DE5"/>
    <w:rsid w:val="0081415F"/>
    <w:rsid w:val="00814884"/>
    <w:rsid w:val="0081580D"/>
    <w:rsid w:val="00815E4D"/>
    <w:rsid w:val="0081612A"/>
    <w:rsid w:val="00817164"/>
    <w:rsid w:val="008173E2"/>
    <w:rsid w:val="00817B75"/>
    <w:rsid w:val="00820705"/>
    <w:rsid w:val="00821D6B"/>
    <w:rsid w:val="008220C4"/>
    <w:rsid w:val="008220E2"/>
    <w:rsid w:val="0082247E"/>
    <w:rsid w:val="008228E4"/>
    <w:rsid w:val="0082390C"/>
    <w:rsid w:val="0082496E"/>
    <w:rsid w:val="00824E9A"/>
    <w:rsid w:val="00825A58"/>
    <w:rsid w:val="00825BFF"/>
    <w:rsid w:val="00826D5D"/>
    <w:rsid w:val="00826E96"/>
    <w:rsid w:val="008276CD"/>
    <w:rsid w:val="00827A12"/>
    <w:rsid w:val="008307B1"/>
    <w:rsid w:val="00830BF3"/>
    <w:rsid w:val="00831855"/>
    <w:rsid w:val="0083238A"/>
    <w:rsid w:val="0083374A"/>
    <w:rsid w:val="0083433C"/>
    <w:rsid w:val="00834A8D"/>
    <w:rsid w:val="00835711"/>
    <w:rsid w:val="00836139"/>
    <w:rsid w:val="008366C1"/>
    <w:rsid w:val="00840A81"/>
    <w:rsid w:val="008412B6"/>
    <w:rsid w:val="00841874"/>
    <w:rsid w:val="00841972"/>
    <w:rsid w:val="00842D4F"/>
    <w:rsid w:val="00842DC8"/>
    <w:rsid w:val="00844791"/>
    <w:rsid w:val="008451FF"/>
    <w:rsid w:val="00845433"/>
    <w:rsid w:val="00846E1E"/>
    <w:rsid w:val="00847234"/>
    <w:rsid w:val="00850C38"/>
    <w:rsid w:val="00850E93"/>
    <w:rsid w:val="008519BA"/>
    <w:rsid w:val="00853C90"/>
    <w:rsid w:val="00854CD3"/>
    <w:rsid w:val="008561F0"/>
    <w:rsid w:val="008564B7"/>
    <w:rsid w:val="008565B0"/>
    <w:rsid w:val="00856C09"/>
    <w:rsid w:val="00857F77"/>
    <w:rsid w:val="00860070"/>
    <w:rsid w:val="00861701"/>
    <w:rsid w:val="00862F76"/>
    <w:rsid w:val="00863447"/>
    <w:rsid w:val="00863CF3"/>
    <w:rsid w:val="00863D33"/>
    <w:rsid w:val="00863FA5"/>
    <w:rsid w:val="0086655A"/>
    <w:rsid w:val="00866C7E"/>
    <w:rsid w:val="00866D92"/>
    <w:rsid w:val="00867B39"/>
    <w:rsid w:val="00867D43"/>
    <w:rsid w:val="00867EDB"/>
    <w:rsid w:val="0087014C"/>
    <w:rsid w:val="0087050B"/>
    <w:rsid w:val="008705D5"/>
    <w:rsid w:val="00870C3E"/>
    <w:rsid w:val="0087123F"/>
    <w:rsid w:val="00871997"/>
    <w:rsid w:val="00872019"/>
    <w:rsid w:val="00872BC7"/>
    <w:rsid w:val="00872F9A"/>
    <w:rsid w:val="00873CCE"/>
    <w:rsid w:val="00875DB8"/>
    <w:rsid w:val="00875F1C"/>
    <w:rsid w:val="00876093"/>
    <w:rsid w:val="00876FE2"/>
    <w:rsid w:val="008806A6"/>
    <w:rsid w:val="00880A9F"/>
    <w:rsid w:val="00880CDB"/>
    <w:rsid w:val="00880DF5"/>
    <w:rsid w:val="0088138A"/>
    <w:rsid w:val="008813EB"/>
    <w:rsid w:val="00881816"/>
    <w:rsid w:val="00881D0B"/>
    <w:rsid w:val="00881DD8"/>
    <w:rsid w:val="00882160"/>
    <w:rsid w:val="00882F35"/>
    <w:rsid w:val="00884E58"/>
    <w:rsid w:val="00884F15"/>
    <w:rsid w:val="008862B5"/>
    <w:rsid w:val="00886C55"/>
    <w:rsid w:val="00886F0B"/>
    <w:rsid w:val="00887015"/>
    <w:rsid w:val="00887A09"/>
    <w:rsid w:val="00890D7F"/>
    <w:rsid w:val="00892532"/>
    <w:rsid w:val="0089272E"/>
    <w:rsid w:val="00892749"/>
    <w:rsid w:val="008941C1"/>
    <w:rsid w:val="0089492C"/>
    <w:rsid w:val="00894A82"/>
    <w:rsid w:val="00895A1B"/>
    <w:rsid w:val="00895F74"/>
    <w:rsid w:val="008961E6"/>
    <w:rsid w:val="00896B20"/>
    <w:rsid w:val="00896EB1"/>
    <w:rsid w:val="00897558"/>
    <w:rsid w:val="008A0D75"/>
    <w:rsid w:val="008A1504"/>
    <w:rsid w:val="008A1B9E"/>
    <w:rsid w:val="008A2807"/>
    <w:rsid w:val="008A45AD"/>
    <w:rsid w:val="008A4C6F"/>
    <w:rsid w:val="008A50CD"/>
    <w:rsid w:val="008A643A"/>
    <w:rsid w:val="008A6D00"/>
    <w:rsid w:val="008A7E53"/>
    <w:rsid w:val="008B0128"/>
    <w:rsid w:val="008B088F"/>
    <w:rsid w:val="008B0ABB"/>
    <w:rsid w:val="008B1163"/>
    <w:rsid w:val="008B1347"/>
    <w:rsid w:val="008B1A15"/>
    <w:rsid w:val="008B26D2"/>
    <w:rsid w:val="008B2946"/>
    <w:rsid w:val="008B341B"/>
    <w:rsid w:val="008B35B0"/>
    <w:rsid w:val="008B453F"/>
    <w:rsid w:val="008B45F8"/>
    <w:rsid w:val="008B5491"/>
    <w:rsid w:val="008B5D65"/>
    <w:rsid w:val="008B637A"/>
    <w:rsid w:val="008B7811"/>
    <w:rsid w:val="008B7A8D"/>
    <w:rsid w:val="008C0CDE"/>
    <w:rsid w:val="008C1DA4"/>
    <w:rsid w:val="008C2418"/>
    <w:rsid w:val="008C2892"/>
    <w:rsid w:val="008C2E81"/>
    <w:rsid w:val="008C304A"/>
    <w:rsid w:val="008C49D2"/>
    <w:rsid w:val="008C4E4E"/>
    <w:rsid w:val="008C4FCF"/>
    <w:rsid w:val="008C5F81"/>
    <w:rsid w:val="008C6418"/>
    <w:rsid w:val="008C6D43"/>
    <w:rsid w:val="008D0015"/>
    <w:rsid w:val="008D0DBB"/>
    <w:rsid w:val="008D0E3A"/>
    <w:rsid w:val="008D342D"/>
    <w:rsid w:val="008D3ACF"/>
    <w:rsid w:val="008D3F4B"/>
    <w:rsid w:val="008D45C1"/>
    <w:rsid w:val="008D5953"/>
    <w:rsid w:val="008D5C84"/>
    <w:rsid w:val="008D6839"/>
    <w:rsid w:val="008D6BBC"/>
    <w:rsid w:val="008D7802"/>
    <w:rsid w:val="008D7BE7"/>
    <w:rsid w:val="008E02F8"/>
    <w:rsid w:val="008E0412"/>
    <w:rsid w:val="008E08EF"/>
    <w:rsid w:val="008E14AC"/>
    <w:rsid w:val="008E14FB"/>
    <w:rsid w:val="008E1DF3"/>
    <w:rsid w:val="008E2687"/>
    <w:rsid w:val="008E2705"/>
    <w:rsid w:val="008E49CB"/>
    <w:rsid w:val="008E5119"/>
    <w:rsid w:val="008E546E"/>
    <w:rsid w:val="008E57FD"/>
    <w:rsid w:val="008E5FC9"/>
    <w:rsid w:val="008E60AE"/>
    <w:rsid w:val="008E68E1"/>
    <w:rsid w:val="008F03D7"/>
    <w:rsid w:val="008F16A1"/>
    <w:rsid w:val="008F25B7"/>
    <w:rsid w:val="008F43C0"/>
    <w:rsid w:val="008F5C49"/>
    <w:rsid w:val="008F6415"/>
    <w:rsid w:val="008F75EE"/>
    <w:rsid w:val="009017B7"/>
    <w:rsid w:val="00902406"/>
    <w:rsid w:val="009026EC"/>
    <w:rsid w:val="009029F1"/>
    <w:rsid w:val="00902AC6"/>
    <w:rsid w:val="00903146"/>
    <w:rsid w:val="009032E6"/>
    <w:rsid w:val="00903BB4"/>
    <w:rsid w:val="00903E0D"/>
    <w:rsid w:val="009049C1"/>
    <w:rsid w:val="0090506C"/>
    <w:rsid w:val="009053DC"/>
    <w:rsid w:val="00905D47"/>
    <w:rsid w:val="00905EC1"/>
    <w:rsid w:val="009065A2"/>
    <w:rsid w:val="00906B79"/>
    <w:rsid w:val="00906DF4"/>
    <w:rsid w:val="00906E6D"/>
    <w:rsid w:val="00907F12"/>
    <w:rsid w:val="009100F9"/>
    <w:rsid w:val="009103DC"/>
    <w:rsid w:val="009117BB"/>
    <w:rsid w:val="009119F6"/>
    <w:rsid w:val="00912989"/>
    <w:rsid w:val="00913EE0"/>
    <w:rsid w:val="0091463D"/>
    <w:rsid w:val="009151A6"/>
    <w:rsid w:val="009153FE"/>
    <w:rsid w:val="0091550B"/>
    <w:rsid w:val="00915AB3"/>
    <w:rsid w:val="00915D24"/>
    <w:rsid w:val="00916467"/>
    <w:rsid w:val="00916A7E"/>
    <w:rsid w:val="009175FC"/>
    <w:rsid w:val="00921047"/>
    <w:rsid w:val="009213A7"/>
    <w:rsid w:val="00921762"/>
    <w:rsid w:val="00921E02"/>
    <w:rsid w:val="00922373"/>
    <w:rsid w:val="00923506"/>
    <w:rsid w:val="00923677"/>
    <w:rsid w:val="00923EBA"/>
    <w:rsid w:val="00924CDB"/>
    <w:rsid w:val="00925E6B"/>
    <w:rsid w:val="00926627"/>
    <w:rsid w:val="009274EC"/>
    <w:rsid w:val="0092764C"/>
    <w:rsid w:val="0092783B"/>
    <w:rsid w:val="00931119"/>
    <w:rsid w:val="0093196E"/>
    <w:rsid w:val="00932447"/>
    <w:rsid w:val="00932C64"/>
    <w:rsid w:val="009339AC"/>
    <w:rsid w:val="0093482E"/>
    <w:rsid w:val="00934880"/>
    <w:rsid w:val="009348F9"/>
    <w:rsid w:val="00934A69"/>
    <w:rsid w:val="0093582D"/>
    <w:rsid w:val="00936B9F"/>
    <w:rsid w:val="00936CF1"/>
    <w:rsid w:val="00936EF1"/>
    <w:rsid w:val="009415B4"/>
    <w:rsid w:val="00941BCF"/>
    <w:rsid w:val="0094252F"/>
    <w:rsid w:val="0094326F"/>
    <w:rsid w:val="00943B5F"/>
    <w:rsid w:val="009446DC"/>
    <w:rsid w:val="00945213"/>
    <w:rsid w:val="0094572E"/>
    <w:rsid w:val="00945A0A"/>
    <w:rsid w:val="00946F62"/>
    <w:rsid w:val="009472DE"/>
    <w:rsid w:val="00947894"/>
    <w:rsid w:val="0095184D"/>
    <w:rsid w:val="009523BB"/>
    <w:rsid w:val="009527E4"/>
    <w:rsid w:val="009530B1"/>
    <w:rsid w:val="0095354C"/>
    <w:rsid w:val="00953C1A"/>
    <w:rsid w:val="00954889"/>
    <w:rsid w:val="00954CFE"/>
    <w:rsid w:val="00955150"/>
    <w:rsid w:val="00955991"/>
    <w:rsid w:val="009559DB"/>
    <w:rsid w:val="00955B1B"/>
    <w:rsid w:val="00956CC1"/>
    <w:rsid w:val="009572C2"/>
    <w:rsid w:val="00960D1C"/>
    <w:rsid w:val="00961E11"/>
    <w:rsid w:val="009625B1"/>
    <w:rsid w:val="009634DB"/>
    <w:rsid w:val="009635A4"/>
    <w:rsid w:val="009643E7"/>
    <w:rsid w:val="00964471"/>
    <w:rsid w:val="00965E2E"/>
    <w:rsid w:val="00966803"/>
    <w:rsid w:val="009673E5"/>
    <w:rsid w:val="00971C7A"/>
    <w:rsid w:val="009727E4"/>
    <w:rsid w:val="009739AA"/>
    <w:rsid w:val="009744A2"/>
    <w:rsid w:val="009744C5"/>
    <w:rsid w:val="00974A1C"/>
    <w:rsid w:val="009756BC"/>
    <w:rsid w:val="00975B13"/>
    <w:rsid w:val="00977D42"/>
    <w:rsid w:val="00980EF0"/>
    <w:rsid w:val="009814B5"/>
    <w:rsid w:val="0098151A"/>
    <w:rsid w:val="00981644"/>
    <w:rsid w:val="009823E6"/>
    <w:rsid w:val="00982E0B"/>
    <w:rsid w:val="00983D2D"/>
    <w:rsid w:val="009840B0"/>
    <w:rsid w:val="00984E04"/>
    <w:rsid w:val="00985253"/>
    <w:rsid w:val="0098696D"/>
    <w:rsid w:val="00986BF1"/>
    <w:rsid w:val="00987718"/>
    <w:rsid w:val="00987C73"/>
    <w:rsid w:val="00987D7C"/>
    <w:rsid w:val="009902DD"/>
    <w:rsid w:val="0099052F"/>
    <w:rsid w:val="00991709"/>
    <w:rsid w:val="00991EB8"/>
    <w:rsid w:val="00992EA1"/>
    <w:rsid w:val="00992F6A"/>
    <w:rsid w:val="00993173"/>
    <w:rsid w:val="009937E4"/>
    <w:rsid w:val="00993DC3"/>
    <w:rsid w:val="0099491A"/>
    <w:rsid w:val="00995F0F"/>
    <w:rsid w:val="00996239"/>
    <w:rsid w:val="009966A8"/>
    <w:rsid w:val="009970CC"/>
    <w:rsid w:val="00997A60"/>
    <w:rsid w:val="009A0040"/>
    <w:rsid w:val="009A0AFD"/>
    <w:rsid w:val="009A0CCB"/>
    <w:rsid w:val="009A1E3D"/>
    <w:rsid w:val="009A2653"/>
    <w:rsid w:val="009A280E"/>
    <w:rsid w:val="009A340A"/>
    <w:rsid w:val="009A356C"/>
    <w:rsid w:val="009A3C3B"/>
    <w:rsid w:val="009A505D"/>
    <w:rsid w:val="009A6DC2"/>
    <w:rsid w:val="009A731D"/>
    <w:rsid w:val="009A7619"/>
    <w:rsid w:val="009B058B"/>
    <w:rsid w:val="009B213D"/>
    <w:rsid w:val="009B2AED"/>
    <w:rsid w:val="009B3D2F"/>
    <w:rsid w:val="009B4D9C"/>
    <w:rsid w:val="009B5748"/>
    <w:rsid w:val="009B5F1F"/>
    <w:rsid w:val="009B6DAB"/>
    <w:rsid w:val="009B7481"/>
    <w:rsid w:val="009C0D4C"/>
    <w:rsid w:val="009C5F8C"/>
    <w:rsid w:val="009C69F7"/>
    <w:rsid w:val="009C6FE7"/>
    <w:rsid w:val="009C785E"/>
    <w:rsid w:val="009D00FD"/>
    <w:rsid w:val="009D017A"/>
    <w:rsid w:val="009D1541"/>
    <w:rsid w:val="009D1842"/>
    <w:rsid w:val="009D3EDB"/>
    <w:rsid w:val="009D3F57"/>
    <w:rsid w:val="009D4B23"/>
    <w:rsid w:val="009D535B"/>
    <w:rsid w:val="009D5523"/>
    <w:rsid w:val="009D57AF"/>
    <w:rsid w:val="009D6696"/>
    <w:rsid w:val="009D680C"/>
    <w:rsid w:val="009D6FD0"/>
    <w:rsid w:val="009E03BD"/>
    <w:rsid w:val="009E1127"/>
    <w:rsid w:val="009E1D42"/>
    <w:rsid w:val="009E2868"/>
    <w:rsid w:val="009E329C"/>
    <w:rsid w:val="009E391E"/>
    <w:rsid w:val="009E3DCE"/>
    <w:rsid w:val="009E408F"/>
    <w:rsid w:val="009E5160"/>
    <w:rsid w:val="009E52DC"/>
    <w:rsid w:val="009E5331"/>
    <w:rsid w:val="009E5715"/>
    <w:rsid w:val="009E5ED9"/>
    <w:rsid w:val="009E6C9F"/>
    <w:rsid w:val="009E70E8"/>
    <w:rsid w:val="009F22C9"/>
    <w:rsid w:val="009F3CF2"/>
    <w:rsid w:val="009F3D87"/>
    <w:rsid w:val="009F490D"/>
    <w:rsid w:val="009F4A40"/>
    <w:rsid w:val="009F4DFF"/>
    <w:rsid w:val="009F4F15"/>
    <w:rsid w:val="009F5800"/>
    <w:rsid w:val="009F6428"/>
    <w:rsid w:val="009F69C3"/>
    <w:rsid w:val="009F7269"/>
    <w:rsid w:val="009F7435"/>
    <w:rsid w:val="009F7882"/>
    <w:rsid w:val="00A00014"/>
    <w:rsid w:val="00A0006C"/>
    <w:rsid w:val="00A01637"/>
    <w:rsid w:val="00A01911"/>
    <w:rsid w:val="00A01F4B"/>
    <w:rsid w:val="00A03065"/>
    <w:rsid w:val="00A03473"/>
    <w:rsid w:val="00A03FA8"/>
    <w:rsid w:val="00A044E9"/>
    <w:rsid w:val="00A04912"/>
    <w:rsid w:val="00A05B2A"/>
    <w:rsid w:val="00A06868"/>
    <w:rsid w:val="00A06E6C"/>
    <w:rsid w:val="00A07D84"/>
    <w:rsid w:val="00A07E11"/>
    <w:rsid w:val="00A1093C"/>
    <w:rsid w:val="00A11388"/>
    <w:rsid w:val="00A13C9F"/>
    <w:rsid w:val="00A145DF"/>
    <w:rsid w:val="00A14B1A"/>
    <w:rsid w:val="00A15404"/>
    <w:rsid w:val="00A156DF"/>
    <w:rsid w:val="00A1677B"/>
    <w:rsid w:val="00A17F6D"/>
    <w:rsid w:val="00A20BEA"/>
    <w:rsid w:val="00A212F4"/>
    <w:rsid w:val="00A218CC"/>
    <w:rsid w:val="00A21E4D"/>
    <w:rsid w:val="00A21E89"/>
    <w:rsid w:val="00A22789"/>
    <w:rsid w:val="00A22D43"/>
    <w:rsid w:val="00A2343B"/>
    <w:rsid w:val="00A2356D"/>
    <w:rsid w:val="00A23C96"/>
    <w:rsid w:val="00A23E4A"/>
    <w:rsid w:val="00A246BF"/>
    <w:rsid w:val="00A24FB3"/>
    <w:rsid w:val="00A26BFC"/>
    <w:rsid w:val="00A26E4C"/>
    <w:rsid w:val="00A2787A"/>
    <w:rsid w:val="00A27ACE"/>
    <w:rsid w:val="00A30351"/>
    <w:rsid w:val="00A308F2"/>
    <w:rsid w:val="00A3096A"/>
    <w:rsid w:val="00A324B0"/>
    <w:rsid w:val="00A3355C"/>
    <w:rsid w:val="00A33789"/>
    <w:rsid w:val="00A34463"/>
    <w:rsid w:val="00A34EFD"/>
    <w:rsid w:val="00A34FD9"/>
    <w:rsid w:val="00A355AE"/>
    <w:rsid w:val="00A362DF"/>
    <w:rsid w:val="00A37771"/>
    <w:rsid w:val="00A379BE"/>
    <w:rsid w:val="00A41309"/>
    <w:rsid w:val="00A41B25"/>
    <w:rsid w:val="00A41D89"/>
    <w:rsid w:val="00A4266F"/>
    <w:rsid w:val="00A432A1"/>
    <w:rsid w:val="00A438B1"/>
    <w:rsid w:val="00A43B64"/>
    <w:rsid w:val="00A4481B"/>
    <w:rsid w:val="00A463E5"/>
    <w:rsid w:val="00A46BC4"/>
    <w:rsid w:val="00A5146A"/>
    <w:rsid w:val="00A51623"/>
    <w:rsid w:val="00A51CD9"/>
    <w:rsid w:val="00A51E8E"/>
    <w:rsid w:val="00A51F3B"/>
    <w:rsid w:val="00A54244"/>
    <w:rsid w:val="00A5476D"/>
    <w:rsid w:val="00A54966"/>
    <w:rsid w:val="00A54B39"/>
    <w:rsid w:val="00A54DC8"/>
    <w:rsid w:val="00A551E3"/>
    <w:rsid w:val="00A552F4"/>
    <w:rsid w:val="00A553C1"/>
    <w:rsid w:val="00A56083"/>
    <w:rsid w:val="00A564B2"/>
    <w:rsid w:val="00A56DD7"/>
    <w:rsid w:val="00A570AD"/>
    <w:rsid w:val="00A62BE9"/>
    <w:rsid w:val="00A62F0D"/>
    <w:rsid w:val="00A64C97"/>
    <w:rsid w:val="00A65AE5"/>
    <w:rsid w:val="00A66221"/>
    <w:rsid w:val="00A67988"/>
    <w:rsid w:val="00A7059A"/>
    <w:rsid w:val="00A706E3"/>
    <w:rsid w:val="00A709CC"/>
    <w:rsid w:val="00A71546"/>
    <w:rsid w:val="00A71F93"/>
    <w:rsid w:val="00A7223D"/>
    <w:rsid w:val="00A7257F"/>
    <w:rsid w:val="00A72731"/>
    <w:rsid w:val="00A72831"/>
    <w:rsid w:val="00A72DF6"/>
    <w:rsid w:val="00A730B2"/>
    <w:rsid w:val="00A735BB"/>
    <w:rsid w:val="00A73750"/>
    <w:rsid w:val="00A738FA"/>
    <w:rsid w:val="00A73B91"/>
    <w:rsid w:val="00A73DA6"/>
    <w:rsid w:val="00A73E72"/>
    <w:rsid w:val="00A73EF1"/>
    <w:rsid w:val="00A758B1"/>
    <w:rsid w:val="00A75F3D"/>
    <w:rsid w:val="00A7650A"/>
    <w:rsid w:val="00A767C3"/>
    <w:rsid w:val="00A808AE"/>
    <w:rsid w:val="00A80A62"/>
    <w:rsid w:val="00A81083"/>
    <w:rsid w:val="00A81AEC"/>
    <w:rsid w:val="00A83A76"/>
    <w:rsid w:val="00A83D46"/>
    <w:rsid w:val="00A84AB9"/>
    <w:rsid w:val="00A86702"/>
    <w:rsid w:val="00A86C9C"/>
    <w:rsid w:val="00A87E9B"/>
    <w:rsid w:val="00A87F0F"/>
    <w:rsid w:val="00A90462"/>
    <w:rsid w:val="00A90883"/>
    <w:rsid w:val="00A90C8F"/>
    <w:rsid w:val="00A91A34"/>
    <w:rsid w:val="00A92F1E"/>
    <w:rsid w:val="00A931C1"/>
    <w:rsid w:val="00A9402C"/>
    <w:rsid w:val="00A959E9"/>
    <w:rsid w:val="00A95A37"/>
    <w:rsid w:val="00A95A83"/>
    <w:rsid w:val="00A95E2D"/>
    <w:rsid w:val="00A96434"/>
    <w:rsid w:val="00A9694D"/>
    <w:rsid w:val="00A97CC6"/>
    <w:rsid w:val="00AA0ABF"/>
    <w:rsid w:val="00AA0AED"/>
    <w:rsid w:val="00AA1F78"/>
    <w:rsid w:val="00AA4389"/>
    <w:rsid w:val="00AA46C7"/>
    <w:rsid w:val="00AA4D7E"/>
    <w:rsid w:val="00AA57EF"/>
    <w:rsid w:val="00AA585D"/>
    <w:rsid w:val="00AA5B3F"/>
    <w:rsid w:val="00AA5EEE"/>
    <w:rsid w:val="00AA66A8"/>
    <w:rsid w:val="00AA6CE6"/>
    <w:rsid w:val="00AA7044"/>
    <w:rsid w:val="00AB0955"/>
    <w:rsid w:val="00AB0E1E"/>
    <w:rsid w:val="00AB1AC2"/>
    <w:rsid w:val="00AB1E8C"/>
    <w:rsid w:val="00AB3BF8"/>
    <w:rsid w:val="00AB466E"/>
    <w:rsid w:val="00AB4B0D"/>
    <w:rsid w:val="00AB5BF0"/>
    <w:rsid w:val="00AB5F8B"/>
    <w:rsid w:val="00AB5FFD"/>
    <w:rsid w:val="00AB63DA"/>
    <w:rsid w:val="00AB643B"/>
    <w:rsid w:val="00AB704D"/>
    <w:rsid w:val="00AC0081"/>
    <w:rsid w:val="00AC1113"/>
    <w:rsid w:val="00AC1249"/>
    <w:rsid w:val="00AC1540"/>
    <w:rsid w:val="00AC1ECC"/>
    <w:rsid w:val="00AC2005"/>
    <w:rsid w:val="00AC230C"/>
    <w:rsid w:val="00AC2A86"/>
    <w:rsid w:val="00AC325F"/>
    <w:rsid w:val="00AC34FE"/>
    <w:rsid w:val="00AC36F9"/>
    <w:rsid w:val="00AC5A85"/>
    <w:rsid w:val="00AC5DC8"/>
    <w:rsid w:val="00AC6DD3"/>
    <w:rsid w:val="00AC7310"/>
    <w:rsid w:val="00AC7966"/>
    <w:rsid w:val="00AC7CB7"/>
    <w:rsid w:val="00AD0456"/>
    <w:rsid w:val="00AD04D8"/>
    <w:rsid w:val="00AD0717"/>
    <w:rsid w:val="00AD099F"/>
    <w:rsid w:val="00AD12A5"/>
    <w:rsid w:val="00AD14EB"/>
    <w:rsid w:val="00AD1FA3"/>
    <w:rsid w:val="00AD25E0"/>
    <w:rsid w:val="00AD58D4"/>
    <w:rsid w:val="00AD6056"/>
    <w:rsid w:val="00AD6710"/>
    <w:rsid w:val="00AD73CC"/>
    <w:rsid w:val="00AE2518"/>
    <w:rsid w:val="00AE2E18"/>
    <w:rsid w:val="00AE3CD3"/>
    <w:rsid w:val="00AE3FA7"/>
    <w:rsid w:val="00AE428B"/>
    <w:rsid w:val="00AE6882"/>
    <w:rsid w:val="00AE6902"/>
    <w:rsid w:val="00AE6D4E"/>
    <w:rsid w:val="00AF0416"/>
    <w:rsid w:val="00AF0C73"/>
    <w:rsid w:val="00AF21ED"/>
    <w:rsid w:val="00AF2D4F"/>
    <w:rsid w:val="00AF351C"/>
    <w:rsid w:val="00AF3695"/>
    <w:rsid w:val="00AF38CC"/>
    <w:rsid w:val="00AF4317"/>
    <w:rsid w:val="00AF436A"/>
    <w:rsid w:val="00AF4D4D"/>
    <w:rsid w:val="00AF50A7"/>
    <w:rsid w:val="00AF53D5"/>
    <w:rsid w:val="00AF61D1"/>
    <w:rsid w:val="00AF6E0C"/>
    <w:rsid w:val="00B00191"/>
    <w:rsid w:val="00B001FF"/>
    <w:rsid w:val="00B00862"/>
    <w:rsid w:val="00B01205"/>
    <w:rsid w:val="00B02A16"/>
    <w:rsid w:val="00B02A5E"/>
    <w:rsid w:val="00B02D7E"/>
    <w:rsid w:val="00B02E23"/>
    <w:rsid w:val="00B03003"/>
    <w:rsid w:val="00B03BE1"/>
    <w:rsid w:val="00B0446D"/>
    <w:rsid w:val="00B04789"/>
    <w:rsid w:val="00B04B12"/>
    <w:rsid w:val="00B05C28"/>
    <w:rsid w:val="00B0699C"/>
    <w:rsid w:val="00B07338"/>
    <w:rsid w:val="00B07B15"/>
    <w:rsid w:val="00B10769"/>
    <w:rsid w:val="00B12413"/>
    <w:rsid w:val="00B12991"/>
    <w:rsid w:val="00B12BD3"/>
    <w:rsid w:val="00B12D3E"/>
    <w:rsid w:val="00B14306"/>
    <w:rsid w:val="00B1454B"/>
    <w:rsid w:val="00B14A45"/>
    <w:rsid w:val="00B14D67"/>
    <w:rsid w:val="00B15462"/>
    <w:rsid w:val="00B1623F"/>
    <w:rsid w:val="00B16ADC"/>
    <w:rsid w:val="00B16EB3"/>
    <w:rsid w:val="00B16F0C"/>
    <w:rsid w:val="00B21244"/>
    <w:rsid w:val="00B21252"/>
    <w:rsid w:val="00B217F5"/>
    <w:rsid w:val="00B21877"/>
    <w:rsid w:val="00B22406"/>
    <w:rsid w:val="00B229B6"/>
    <w:rsid w:val="00B239DD"/>
    <w:rsid w:val="00B24DCF"/>
    <w:rsid w:val="00B254B2"/>
    <w:rsid w:val="00B25AB7"/>
    <w:rsid w:val="00B265D8"/>
    <w:rsid w:val="00B266A8"/>
    <w:rsid w:val="00B27038"/>
    <w:rsid w:val="00B27396"/>
    <w:rsid w:val="00B27E5B"/>
    <w:rsid w:val="00B30944"/>
    <w:rsid w:val="00B322B7"/>
    <w:rsid w:val="00B32D7F"/>
    <w:rsid w:val="00B32E28"/>
    <w:rsid w:val="00B33A08"/>
    <w:rsid w:val="00B3417C"/>
    <w:rsid w:val="00B34A76"/>
    <w:rsid w:val="00B34ABB"/>
    <w:rsid w:val="00B3562A"/>
    <w:rsid w:val="00B376DE"/>
    <w:rsid w:val="00B4077B"/>
    <w:rsid w:val="00B40B71"/>
    <w:rsid w:val="00B413D1"/>
    <w:rsid w:val="00B41489"/>
    <w:rsid w:val="00B42B56"/>
    <w:rsid w:val="00B42C41"/>
    <w:rsid w:val="00B439EE"/>
    <w:rsid w:val="00B442AA"/>
    <w:rsid w:val="00B44856"/>
    <w:rsid w:val="00B467B3"/>
    <w:rsid w:val="00B46A84"/>
    <w:rsid w:val="00B47E8B"/>
    <w:rsid w:val="00B5056A"/>
    <w:rsid w:val="00B50DB5"/>
    <w:rsid w:val="00B50E99"/>
    <w:rsid w:val="00B51558"/>
    <w:rsid w:val="00B51FB7"/>
    <w:rsid w:val="00B52452"/>
    <w:rsid w:val="00B52B55"/>
    <w:rsid w:val="00B52CD4"/>
    <w:rsid w:val="00B53D5F"/>
    <w:rsid w:val="00B5470C"/>
    <w:rsid w:val="00B54CBF"/>
    <w:rsid w:val="00B550F2"/>
    <w:rsid w:val="00B555E7"/>
    <w:rsid w:val="00B5572D"/>
    <w:rsid w:val="00B55B39"/>
    <w:rsid w:val="00B56492"/>
    <w:rsid w:val="00B56E63"/>
    <w:rsid w:val="00B577A7"/>
    <w:rsid w:val="00B57C62"/>
    <w:rsid w:val="00B610A4"/>
    <w:rsid w:val="00B6115B"/>
    <w:rsid w:val="00B62288"/>
    <w:rsid w:val="00B627FA"/>
    <w:rsid w:val="00B63A8F"/>
    <w:rsid w:val="00B6444C"/>
    <w:rsid w:val="00B64469"/>
    <w:rsid w:val="00B64FD4"/>
    <w:rsid w:val="00B6573C"/>
    <w:rsid w:val="00B66C12"/>
    <w:rsid w:val="00B66E15"/>
    <w:rsid w:val="00B678A1"/>
    <w:rsid w:val="00B67CC1"/>
    <w:rsid w:val="00B70815"/>
    <w:rsid w:val="00B710AC"/>
    <w:rsid w:val="00B71D3E"/>
    <w:rsid w:val="00B72CB7"/>
    <w:rsid w:val="00B72E5E"/>
    <w:rsid w:val="00B739B7"/>
    <w:rsid w:val="00B74283"/>
    <w:rsid w:val="00B74349"/>
    <w:rsid w:val="00B752B3"/>
    <w:rsid w:val="00B75597"/>
    <w:rsid w:val="00B75F42"/>
    <w:rsid w:val="00B7720B"/>
    <w:rsid w:val="00B77662"/>
    <w:rsid w:val="00B8068E"/>
    <w:rsid w:val="00B80736"/>
    <w:rsid w:val="00B809C7"/>
    <w:rsid w:val="00B814E9"/>
    <w:rsid w:val="00B827B5"/>
    <w:rsid w:val="00B82EBA"/>
    <w:rsid w:val="00B83F8F"/>
    <w:rsid w:val="00B872F1"/>
    <w:rsid w:val="00B875F1"/>
    <w:rsid w:val="00B87A41"/>
    <w:rsid w:val="00B909DB"/>
    <w:rsid w:val="00B9176F"/>
    <w:rsid w:val="00B93B41"/>
    <w:rsid w:val="00B93E4C"/>
    <w:rsid w:val="00B94054"/>
    <w:rsid w:val="00B9537E"/>
    <w:rsid w:val="00B960FA"/>
    <w:rsid w:val="00B964EC"/>
    <w:rsid w:val="00B96C03"/>
    <w:rsid w:val="00B972E5"/>
    <w:rsid w:val="00B9751A"/>
    <w:rsid w:val="00B97F62"/>
    <w:rsid w:val="00BA0A64"/>
    <w:rsid w:val="00BA0C61"/>
    <w:rsid w:val="00BA1CDF"/>
    <w:rsid w:val="00BA202D"/>
    <w:rsid w:val="00BA3E71"/>
    <w:rsid w:val="00BA7DDA"/>
    <w:rsid w:val="00BB0692"/>
    <w:rsid w:val="00BB0E52"/>
    <w:rsid w:val="00BB1624"/>
    <w:rsid w:val="00BB29D8"/>
    <w:rsid w:val="00BB312C"/>
    <w:rsid w:val="00BB36E2"/>
    <w:rsid w:val="00BB3A92"/>
    <w:rsid w:val="00BB3D7D"/>
    <w:rsid w:val="00BB3DD1"/>
    <w:rsid w:val="00BB41B7"/>
    <w:rsid w:val="00BB443D"/>
    <w:rsid w:val="00BB4563"/>
    <w:rsid w:val="00BB4D46"/>
    <w:rsid w:val="00BB4EBD"/>
    <w:rsid w:val="00BB5535"/>
    <w:rsid w:val="00BB5D0D"/>
    <w:rsid w:val="00BB6483"/>
    <w:rsid w:val="00BB7093"/>
    <w:rsid w:val="00BB7393"/>
    <w:rsid w:val="00BB77BB"/>
    <w:rsid w:val="00BC10A9"/>
    <w:rsid w:val="00BC1444"/>
    <w:rsid w:val="00BC19E3"/>
    <w:rsid w:val="00BC1A49"/>
    <w:rsid w:val="00BC2FA7"/>
    <w:rsid w:val="00BC33C1"/>
    <w:rsid w:val="00BC3540"/>
    <w:rsid w:val="00BC36AE"/>
    <w:rsid w:val="00BC3834"/>
    <w:rsid w:val="00BC3960"/>
    <w:rsid w:val="00BC3E21"/>
    <w:rsid w:val="00BC4031"/>
    <w:rsid w:val="00BC4193"/>
    <w:rsid w:val="00BC42AE"/>
    <w:rsid w:val="00BC487F"/>
    <w:rsid w:val="00BC4C9B"/>
    <w:rsid w:val="00BC51F0"/>
    <w:rsid w:val="00BC54D9"/>
    <w:rsid w:val="00BC63B8"/>
    <w:rsid w:val="00BC6DD7"/>
    <w:rsid w:val="00BC78C0"/>
    <w:rsid w:val="00BD0195"/>
    <w:rsid w:val="00BD07CE"/>
    <w:rsid w:val="00BD0A7D"/>
    <w:rsid w:val="00BD0B09"/>
    <w:rsid w:val="00BD1F4C"/>
    <w:rsid w:val="00BD34D6"/>
    <w:rsid w:val="00BD3801"/>
    <w:rsid w:val="00BD4B51"/>
    <w:rsid w:val="00BD4C89"/>
    <w:rsid w:val="00BD52A8"/>
    <w:rsid w:val="00BD5451"/>
    <w:rsid w:val="00BD58B0"/>
    <w:rsid w:val="00BD5A8B"/>
    <w:rsid w:val="00BD5AA7"/>
    <w:rsid w:val="00BD6DFA"/>
    <w:rsid w:val="00BD7C52"/>
    <w:rsid w:val="00BE0042"/>
    <w:rsid w:val="00BE08B7"/>
    <w:rsid w:val="00BE0A29"/>
    <w:rsid w:val="00BE0F9E"/>
    <w:rsid w:val="00BE13A3"/>
    <w:rsid w:val="00BE19B7"/>
    <w:rsid w:val="00BE1A07"/>
    <w:rsid w:val="00BE1E75"/>
    <w:rsid w:val="00BE2477"/>
    <w:rsid w:val="00BE24E5"/>
    <w:rsid w:val="00BE42E5"/>
    <w:rsid w:val="00BE4714"/>
    <w:rsid w:val="00BE4F39"/>
    <w:rsid w:val="00BE4F90"/>
    <w:rsid w:val="00BE586B"/>
    <w:rsid w:val="00BE5AD5"/>
    <w:rsid w:val="00BE658D"/>
    <w:rsid w:val="00BE6C9F"/>
    <w:rsid w:val="00BF1760"/>
    <w:rsid w:val="00BF19DD"/>
    <w:rsid w:val="00BF2186"/>
    <w:rsid w:val="00BF2810"/>
    <w:rsid w:val="00BF2CB2"/>
    <w:rsid w:val="00BF3162"/>
    <w:rsid w:val="00BF3442"/>
    <w:rsid w:val="00BF3968"/>
    <w:rsid w:val="00BF3F84"/>
    <w:rsid w:val="00BF4586"/>
    <w:rsid w:val="00BF5996"/>
    <w:rsid w:val="00BF5E49"/>
    <w:rsid w:val="00BF6891"/>
    <w:rsid w:val="00BF7224"/>
    <w:rsid w:val="00C002C2"/>
    <w:rsid w:val="00C02216"/>
    <w:rsid w:val="00C02383"/>
    <w:rsid w:val="00C02C64"/>
    <w:rsid w:val="00C039A4"/>
    <w:rsid w:val="00C04E37"/>
    <w:rsid w:val="00C04E99"/>
    <w:rsid w:val="00C05257"/>
    <w:rsid w:val="00C05385"/>
    <w:rsid w:val="00C05489"/>
    <w:rsid w:val="00C0548B"/>
    <w:rsid w:val="00C059FD"/>
    <w:rsid w:val="00C05E8A"/>
    <w:rsid w:val="00C05EEE"/>
    <w:rsid w:val="00C05FAC"/>
    <w:rsid w:val="00C06BE3"/>
    <w:rsid w:val="00C0791C"/>
    <w:rsid w:val="00C07BE8"/>
    <w:rsid w:val="00C10483"/>
    <w:rsid w:val="00C1098C"/>
    <w:rsid w:val="00C114E0"/>
    <w:rsid w:val="00C11AE2"/>
    <w:rsid w:val="00C11C98"/>
    <w:rsid w:val="00C1209B"/>
    <w:rsid w:val="00C120F0"/>
    <w:rsid w:val="00C1294B"/>
    <w:rsid w:val="00C1315B"/>
    <w:rsid w:val="00C13249"/>
    <w:rsid w:val="00C13F69"/>
    <w:rsid w:val="00C140B0"/>
    <w:rsid w:val="00C14664"/>
    <w:rsid w:val="00C167B8"/>
    <w:rsid w:val="00C16D2A"/>
    <w:rsid w:val="00C177C4"/>
    <w:rsid w:val="00C177D2"/>
    <w:rsid w:val="00C17F80"/>
    <w:rsid w:val="00C2048D"/>
    <w:rsid w:val="00C20A09"/>
    <w:rsid w:val="00C2177D"/>
    <w:rsid w:val="00C220E3"/>
    <w:rsid w:val="00C223BD"/>
    <w:rsid w:val="00C23A59"/>
    <w:rsid w:val="00C2557E"/>
    <w:rsid w:val="00C25F1E"/>
    <w:rsid w:val="00C2649A"/>
    <w:rsid w:val="00C26770"/>
    <w:rsid w:val="00C27048"/>
    <w:rsid w:val="00C271BF"/>
    <w:rsid w:val="00C27435"/>
    <w:rsid w:val="00C3027A"/>
    <w:rsid w:val="00C30A55"/>
    <w:rsid w:val="00C30E68"/>
    <w:rsid w:val="00C31116"/>
    <w:rsid w:val="00C318F4"/>
    <w:rsid w:val="00C34609"/>
    <w:rsid w:val="00C34E33"/>
    <w:rsid w:val="00C350E1"/>
    <w:rsid w:val="00C353E8"/>
    <w:rsid w:val="00C36419"/>
    <w:rsid w:val="00C37861"/>
    <w:rsid w:val="00C37B27"/>
    <w:rsid w:val="00C40231"/>
    <w:rsid w:val="00C4090F"/>
    <w:rsid w:val="00C40BF1"/>
    <w:rsid w:val="00C41E7C"/>
    <w:rsid w:val="00C42775"/>
    <w:rsid w:val="00C434EF"/>
    <w:rsid w:val="00C4378C"/>
    <w:rsid w:val="00C43811"/>
    <w:rsid w:val="00C44AAF"/>
    <w:rsid w:val="00C4522B"/>
    <w:rsid w:val="00C4550C"/>
    <w:rsid w:val="00C457A8"/>
    <w:rsid w:val="00C457C4"/>
    <w:rsid w:val="00C458B2"/>
    <w:rsid w:val="00C45CE2"/>
    <w:rsid w:val="00C46C6E"/>
    <w:rsid w:val="00C47A76"/>
    <w:rsid w:val="00C5033C"/>
    <w:rsid w:val="00C50796"/>
    <w:rsid w:val="00C50EF7"/>
    <w:rsid w:val="00C51375"/>
    <w:rsid w:val="00C521ED"/>
    <w:rsid w:val="00C52CDC"/>
    <w:rsid w:val="00C5331C"/>
    <w:rsid w:val="00C538F3"/>
    <w:rsid w:val="00C53CD2"/>
    <w:rsid w:val="00C55A38"/>
    <w:rsid w:val="00C55A5E"/>
    <w:rsid w:val="00C5639E"/>
    <w:rsid w:val="00C565F7"/>
    <w:rsid w:val="00C56F9C"/>
    <w:rsid w:val="00C571E1"/>
    <w:rsid w:val="00C57B7A"/>
    <w:rsid w:val="00C61181"/>
    <w:rsid w:val="00C622B1"/>
    <w:rsid w:val="00C62E85"/>
    <w:rsid w:val="00C64480"/>
    <w:rsid w:val="00C64500"/>
    <w:rsid w:val="00C64763"/>
    <w:rsid w:val="00C6518A"/>
    <w:rsid w:val="00C65D41"/>
    <w:rsid w:val="00C65F56"/>
    <w:rsid w:val="00C67DC0"/>
    <w:rsid w:val="00C700AB"/>
    <w:rsid w:val="00C71AB2"/>
    <w:rsid w:val="00C72C67"/>
    <w:rsid w:val="00C73FDA"/>
    <w:rsid w:val="00C740EC"/>
    <w:rsid w:val="00C77DBF"/>
    <w:rsid w:val="00C77ECC"/>
    <w:rsid w:val="00C77FAD"/>
    <w:rsid w:val="00C807EA"/>
    <w:rsid w:val="00C80B9C"/>
    <w:rsid w:val="00C80CDF"/>
    <w:rsid w:val="00C82A0D"/>
    <w:rsid w:val="00C8322E"/>
    <w:rsid w:val="00C8414D"/>
    <w:rsid w:val="00C846B6"/>
    <w:rsid w:val="00C84DD8"/>
    <w:rsid w:val="00C852CE"/>
    <w:rsid w:val="00C86C3B"/>
    <w:rsid w:val="00C86E7A"/>
    <w:rsid w:val="00C871DF"/>
    <w:rsid w:val="00C87773"/>
    <w:rsid w:val="00C9015F"/>
    <w:rsid w:val="00C91BC5"/>
    <w:rsid w:val="00C91EAE"/>
    <w:rsid w:val="00C9207D"/>
    <w:rsid w:val="00C92B17"/>
    <w:rsid w:val="00C932AF"/>
    <w:rsid w:val="00C940AB"/>
    <w:rsid w:val="00C95A16"/>
    <w:rsid w:val="00C963B6"/>
    <w:rsid w:val="00C9650A"/>
    <w:rsid w:val="00C96554"/>
    <w:rsid w:val="00C9664A"/>
    <w:rsid w:val="00C96C13"/>
    <w:rsid w:val="00C96F17"/>
    <w:rsid w:val="00C972BE"/>
    <w:rsid w:val="00C97F33"/>
    <w:rsid w:val="00CA0687"/>
    <w:rsid w:val="00CA1428"/>
    <w:rsid w:val="00CA2035"/>
    <w:rsid w:val="00CA21A3"/>
    <w:rsid w:val="00CA2E82"/>
    <w:rsid w:val="00CA2F7A"/>
    <w:rsid w:val="00CA33DE"/>
    <w:rsid w:val="00CA340C"/>
    <w:rsid w:val="00CA3D5D"/>
    <w:rsid w:val="00CA426D"/>
    <w:rsid w:val="00CA47A2"/>
    <w:rsid w:val="00CA5694"/>
    <w:rsid w:val="00CA5CE3"/>
    <w:rsid w:val="00CA6411"/>
    <w:rsid w:val="00CA6423"/>
    <w:rsid w:val="00CA682C"/>
    <w:rsid w:val="00CA6939"/>
    <w:rsid w:val="00CA69EC"/>
    <w:rsid w:val="00CB200C"/>
    <w:rsid w:val="00CB315C"/>
    <w:rsid w:val="00CB4421"/>
    <w:rsid w:val="00CB5C75"/>
    <w:rsid w:val="00CB5DC8"/>
    <w:rsid w:val="00CB6460"/>
    <w:rsid w:val="00CB64BB"/>
    <w:rsid w:val="00CC0965"/>
    <w:rsid w:val="00CC0DBE"/>
    <w:rsid w:val="00CC10BA"/>
    <w:rsid w:val="00CC1A8A"/>
    <w:rsid w:val="00CC1C40"/>
    <w:rsid w:val="00CC1D36"/>
    <w:rsid w:val="00CC33B8"/>
    <w:rsid w:val="00CC3582"/>
    <w:rsid w:val="00CC37C7"/>
    <w:rsid w:val="00CC44E9"/>
    <w:rsid w:val="00CC4895"/>
    <w:rsid w:val="00CC49C7"/>
    <w:rsid w:val="00CC5CA9"/>
    <w:rsid w:val="00CC5D16"/>
    <w:rsid w:val="00CC5F81"/>
    <w:rsid w:val="00CC699F"/>
    <w:rsid w:val="00CC751A"/>
    <w:rsid w:val="00CC7D28"/>
    <w:rsid w:val="00CD0516"/>
    <w:rsid w:val="00CD1BBD"/>
    <w:rsid w:val="00CD267E"/>
    <w:rsid w:val="00CD2BDE"/>
    <w:rsid w:val="00CD2E17"/>
    <w:rsid w:val="00CD2EBB"/>
    <w:rsid w:val="00CD4157"/>
    <w:rsid w:val="00CD48E0"/>
    <w:rsid w:val="00CD5A66"/>
    <w:rsid w:val="00CD5E2A"/>
    <w:rsid w:val="00CD6057"/>
    <w:rsid w:val="00CD6FE1"/>
    <w:rsid w:val="00CD71A7"/>
    <w:rsid w:val="00CD793A"/>
    <w:rsid w:val="00CD79F1"/>
    <w:rsid w:val="00CD7E2F"/>
    <w:rsid w:val="00CD7E32"/>
    <w:rsid w:val="00CE01F5"/>
    <w:rsid w:val="00CE0AAC"/>
    <w:rsid w:val="00CE2155"/>
    <w:rsid w:val="00CE32FA"/>
    <w:rsid w:val="00CE4156"/>
    <w:rsid w:val="00CE43B4"/>
    <w:rsid w:val="00CE4F2F"/>
    <w:rsid w:val="00CE609B"/>
    <w:rsid w:val="00CE7C56"/>
    <w:rsid w:val="00CF012A"/>
    <w:rsid w:val="00CF03FB"/>
    <w:rsid w:val="00CF042F"/>
    <w:rsid w:val="00CF0D80"/>
    <w:rsid w:val="00CF0E9F"/>
    <w:rsid w:val="00CF192A"/>
    <w:rsid w:val="00CF2428"/>
    <w:rsid w:val="00CF2541"/>
    <w:rsid w:val="00CF2784"/>
    <w:rsid w:val="00CF2967"/>
    <w:rsid w:val="00CF39C5"/>
    <w:rsid w:val="00CF3D3E"/>
    <w:rsid w:val="00CF3E51"/>
    <w:rsid w:val="00CF425F"/>
    <w:rsid w:val="00CF4581"/>
    <w:rsid w:val="00CF6180"/>
    <w:rsid w:val="00CF6940"/>
    <w:rsid w:val="00CF6AC3"/>
    <w:rsid w:val="00CF6C7E"/>
    <w:rsid w:val="00CF73DE"/>
    <w:rsid w:val="00D00A38"/>
    <w:rsid w:val="00D0190D"/>
    <w:rsid w:val="00D01A2D"/>
    <w:rsid w:val="00D01D75"/>
    <w:rsid w:val="00D02060"/>
    <w:rsid w:val="00D024C2"/>
    <w:rsid w:val="00D03094"/>
    <w:rsid w:val="00D0315C"/>
    <w:rsid w:val="00D03DD3"/>
    <w:rsid w:val="00D040E0"/>
    <w:rsid w:val="00D0565B"/>
    <w:rsid w:val="00D05677"/>
    <w:rsid w:val="00D05D75"/>
    <w:rsid w:val="00D06B81"/>
    <w:rsid w:val="00D078B9"/>
    <w:rsid w:val="00D07CBE"/>
    <w:rsid w:val="00D10714"/>
    <w:rsid w:val="00D10F9D"/>
    <w:rsid w:val="00D111D9"/>
    <w:rsid w:val="00D1201B"/>
    <w:rsid w:val="00D12498"/>
    <w:rsid w:val="00D12713"/>
    <w:rsid w:val="00D136A0"/>
    <w:rsid w:val="00D1397F"/>
    <w:rsid w:val="00D13B9F"/>
    <w:rsid w:val="00D13EF5"/>
    <w:rsid w:val="00D1437E"/>
    <w:rsid w:val="00D14646"/>
    <w:rsid w:val="00D148A1"/>
    <w:rsid w:val="00D14B6C"/>
    <w:rsid w:val="00D1571B"/>
    <w:rsid w:val="00D15B27"/>
    <w:rsid w:val="00D15CDC"/>
    <w:rsid w:val="00D16A50"/>
    <w:rsid w:val="00D177E2"/>
    <w:rsid w:val="00D17B4D"/>
    <w:rsid w:val="00D2035C"/>
    <w:rsid w:val="00D20983"/>
    <w:rsid w:val="00D20B1D"/>
    <w:rsid w:val="00D20B99"/>
    <w:rsid w:val="00D20BFA"/>
    <w:rsid w:val="00D2143F"/>
    <w:rsid w:val="00D21B59"/>
    <w:rsid w:val="00D22398"/>
    <w:rsid w:val="00D23B38"/>
    <w:rsid w:val="00D23CAA"/>
    <w:rsid w:val="00D24206"/>
    <w:rsid w:val="00D25ACF"/>
    <w:rsid w:val="00D25FDD"/>
    <w:rsid w:val="00D26A16"/>
    <w:rsid w:val="00D2717A"/>
    <w:rsid w:val="00D275A4"/>
    <w:rsid w:val="00D302AF"/>
    <w:rsid w:val="00D302EF"/>
    <w:rsid w:val="00D31218"/>
    <w:rsid w:val="00D31587"/>
    <w:rsid w:val="00D31D8D"/>
    <w:rsid w:val="00D3269D"/>
    <w:rsid w:val="00D326B7"/>
    <w:rsid w:val="00D32879"/>
    <w:rsid w:val="00D32E4D"/>
    <w:rsid w:val="00D3441D"/>
    <w:rsid w:val="00D349F0"/>
    <w:rsid w:val="00D3592A"/>
    <w:rsid w:val="00D35A5C"/>
    <w:rsid w:val="00D35C79"/>
    <w:rsid w:val="00D36257"/>
    <w:rsid w:val="00D373C0"/>
    <w:rsid w:val="00D37B6B"/>
    <w:rsid w:val="00D37F65"/>
    <w:rsid w:val="00D40164"/>
    <w:rsid w:val="00D41818"/>
    <w:rsid w:val="00D41C9E"/>
    <w:rsid w:val="00D420D7"/>
    <w:rsid w:val="00D4219C"/>
    <w:rsid w:val="00D423D0"/>
    <w:rsid w:val="00D42727"/>
    <w:rsid w:val="00D42863"/>
    <w:rsid w:val="00D42C95"/>
    <w:rsid w:val="00D42E60"/>
    <w:rsid w:val="00D43582"/>
    <w:rsid w:val="00D43685"/>
    <w:rsid w:val="00D444F3"/>
    <w:rsid w:val="00D4493D"/>
    <w:rsid w:val="00D4493F"/>
    <w:rsid w:val="00D45727"/>
    <w:rsid w:val="00D45993"/>
    <w:rsid w:val="00D468B9"/>
    <w:rsid w:val="00D46C31"/>
    <w:rsid w:val="00D46F7E"/>
    <w:rsid w:val="00D47097"/>
    <w:rsid w:val="00D47917"/>
    <w:rsid w:val="00D500A5"/>
    <w:rsid w:val="00D51ECF"/>
    <w:rsid w:val="00D529B5"/>
    <w:rsid w:val="00D52CB3"/>
    <w:rsid w:val="00D53B61"/>
    <w:rsid w:val="00D54306"/>
    <w:rsid w:val="00D54853"/>
    <w:rsid w:val="00D557B0"/>
    <w:rsid w:val="00D55BB5"/>
    <w:rsid w:val="00D55BFF"/>
    <w:rsid w:val="00D55E52"/>
    <w:rsid w:val="00D55ED4"/>
    <w:rsid w:val="00D5634F"/>
    <w:rsid w:val="00D56D20"/>
    <w:rsid w:val="00D5769D"/>
    <w:rsid w:val="00D57803"/>
    <w:rsid w:val="00D578C1"/>
    <w:rsid w:val="00D57C87"/>
    <w:rsid w:val="00D6025D"/>
    <w:rsid w:val="00D606E7"/>
    <w:rsid w:val="00D60798"/>
    <w:rsid w:val="00D61FFB"/>
    <w:rsid w:val="00D623B5"/>
    <w:rsid w:val="00D62D37"/>
    <w:rsid w:val="00D63B6C"/>
    <w:rsid w:val="00D63EB1"/>
    <w:rsid w:val="00D6451C"/>
    <w:rsid w:val="00D65713"/>
    <w:rsid w:val="00D65FAD"/>
    <w:rsid w:val="00D662D0"/>
    <w:rsid w:val="00D665E8"/>
    <w:rsid w:val="00D66B4B"/>
    <w:rsid w:val="00D66D34"/>
    <w:rsid w:val="00D67F08"/>
    <w:rsid w:val="00D67F4F"/>
    <w:rsid w:val="00D70003"/>
    <w:rsid w:val="00D70D19"/>
    <w:rsid w:val="00D70DC7"/>
    <w:rsid w:val="00D71290"/>
    <w:rsid w:val="00D71387"/>
    <w:rsid w:val="00D71C37"/>
    <w:rsid w:val="00D7242C"/>
    <w:rsid w:val="00D72E34"/>
    <w:rsid w:val="00D7354D"/>
    <w:rsid w:val="00D738AB"/>
    <w:rsid w:val="00D75012"/>
    <w:rsid w:val="00D75234"/>
    <w:rsid w:val="00D7551F"/>
    <w:rsid w:val="00D75830"/>
    <w:rsid w:val="00D76E35"/>
    <w:rsid w:val="00D82537"/>
    <w:rsid w:val="00D82D8B"/>
    <w:rsid w:val="00D82FE0"/>
    <w:rsid w:val="00D836EE"/>
    <w:rsid w:val="00D84533"/>
    <w:rsid w:val="00D84741"/>
    <w:rsid w:val="00D84925"/>
    <w:rsid w:val="00D85F90"/>
    <w:rsid w:val="00D86E76"/>
    <w:rsid w:val="00D87484"/>
    <w:rsid w:val="00D905B9"/>
    <w:rsid w:val="00D90697"/>
    <w:rsid w:val="00D906BB"/>
    <w:rsid w:val="00D90C85"/>
    <w:rsid w:val="00D91208"/>
    <w:rsid w:val="00D92ED6"/>
    <w:rsid w:val="00D94655"/>
    <w:rsid w:val="00D94A97"/>
    <w:rsid w:val="00D94B0F"/>
    <w:rsid w:val="00D95975"/>
    <w:rsid w:val="00D95A71"/>
    <w:rsid w:val="00D95B9D"/>
    <w:rsid w:val="00D960A2"/>
    <w:rsid w:val="00D968C2"/>
    <w:rsid w:val="00D96F44"/>
    <w:rsid w:val="00D97003"/>
    <w:rsid w:val="00D97266"/>
    <w:rsid w:val="00D97821"/>
    <w:rsid w:val="00DA071E"/>
    <w:rsid w:val="00DA18CB"/>
    <w:rsid w:val="00DA1980"/>
    <w:rsid w:val="00DA2DAA"/>
    <w:rsid w:val="00DA3C32"/>
    <w:rsid w:val="00DA4351"/>
    <w:rsid w:val="00DA445B"/>
    <w:rsid w:val="00DA446D"/>
    <w:rsid w:val="00DA4488"/>
    <w:rsid w:val="00DA4F5D"/>
    <w:rsid w:val="00DA53E0"/>
    <w:rsid w:val="00DA5465"/>
    <w:rsid w:val="00DA5C6C"/>
    <w:rsid w:val="00DA6694"/>
    <w:rsid w:val="00DA66A0"/>
    <w:rsid w:val="00DA7354"/>
    <w:rsid w:val="00DA761A"/>
    <w:rsid w:val="00DA7EB0"/>
    <w:rsid w:val="00DB0F04"/>
    <w:rsid w:val="00DB17FD"/>
    <w:rsid w:val="00DB22A0"/>
    <w:rsid w:val="00DB22AF"/>
    <w:rsid w:val="00DB2FB2"/>
    <w:rsid w:val="00DB3743"/>
    <w:rsid w:val="00DB38E1"/>
    <w:rsid w:val="00DB3E79"/>
    <w:rsid w:val="00DB4C90"/>
    <w:rsid w:val="00DB6BCD"/>
    <w:rsid w:val="00DB7C8E"/>
    <w:rsid w:val="00DC02CB"/>
    <w:rsid w:val="00DC4CAA"/>
    <w:rsid w:val="00DC5B5D"/>
    <w:rsid w:val="00DC652F"/>
    <w:rsid w:val="00DC6A48"/>
    <w:rsid w:val="00DC6C7A"/>
    <w:rsid w:val="00DC78A2"/>
    <w:rsid w:val="00DC7C05"/>
    <w:rsid w:val="00DD1999"/>
    <w:rsid w:val="00DD1C73"/>
    <w:rsid w:val="00DD204E"/>
    <w:rsid w:val="00DD20D5"/>
    <w:rsid w:val="00DD2834"/>
    <w:rsid w:val="00DD2852"/>
    <w:rsid w:val="00DD3145"/>
    <w:rsid w:val="00DD36CB"/>
    <w:rsid w:val="00DD3CED"/>
    <w:rsid w:val="00DD5A0A"/>
    <w:rsid w:val="00DD6374"/>
    <w:rsid w:val="00DD745D"/>
    <w:rsid w:val="00DD7B26"/>
    <w:rsid w:val="00DE08F9"/>
    <w:rsid w:val="00DE0A3C"/>
    <w:rsid w:val="00DE0BE8"/>
    <w:rsid w:val="00DE0CA8"/>
    <w:rsid w:val="00DE17D8"/>
    <w:rsid w:val="00DE1C1B"/>
    <w:rsid w:val="00DE1E42"/>
    <w:rsid w:val="00DE399E"/>
    <w:rsid w:val="00DE40A9"/>
    <w:rsid w:val="00DE4505"/>
    <w:rsid w:val="00DE46A2"/>
    <w:rsid w:val="00DE46C4"/>
    <w:rsid w:val="00DE50A0"/>
    <w:rsid w:val="00DE5665"/>
    <w:rsid w:val="00DE5B68"/>
    <w:rsid w:val="00DE61B0"/>
    <w:rsid w:val="00DE7F79"/>
    <w:rsid w:val="00DF085B"/>
    <w:rsid w:val="00DF0E6F"/>
    <w:rsid w:val="00DF0FE8"/>
    <w:rsid w:val="00DF13A6"/>
    <w:rsid w:val="00DF15C0"/>
    <w:rsid w:val="00DF2327"/>
    <w:rsid w:val="00DF2B45"/>
    <w:rsid w:val="00DF2D44"/>
    <w:rsid w:val="00DF48A9"/>
    <w:rsid w:val="00DF51D5"/>
    <w:rsid w:val="00DF61DD"/>
    <w:rsid w:val="00DF6412"/>
    <w:rsid w:val="00DF7A82"/>
    <w:rsid w:val="00DF7E96"/>
    <w:rsid w:val="00E00EAF"/>
    <w:rsid w:val="00E010BF"/>
    <w:rsid w:val="00E02031"/>
    <w:rsid w:val="00E02123"/>
    <w:rsid w:val="00E0225D"/>
    <w:rsid w:val="00E022FE"/>
    <w:rsid w:val="00E02686"/>
    <w:rsid w:val="00E02D65"/>
    <w:rsid w:val="00E03442"/>
    <w:rsid w:val="00E03E0D"/>
    <w:rsid w:val="00E03FB1"/>
    <w:rsid w:val="00E0516A"/>
    <w:rsid w:val="00E05B97"/>
    <w:rsid w:val="00E05E51"/>
    <w:rsid w:val="00E078E3"/>
    <w:rsid w:val="00E07B48"/>
    <w:rsid w:val="00E10249"/>
    <w:rsid w:val="00E1066B"/>
    <w:rsid w:val="00E11598"/>
    <w:rsid w:val="00E11991"/>
    <w:rsid w:val="00E128B0"/>
    <w:rsid w:val="00E13457"/>
    <w:rsid w:val="00E13CF5"/>
    <w:rsid w:val="00E1576D"/>
    <w:rsid w:val="00E15B4F"/>
    <w:rsid w:val="00E1665B"/>
    <w:rsid w:val="00E167A9"/>
    <w:rsid w:val="00E179E2"/>
    <w:rsid w:val="00E17D22"/>
    <w:rsid w:val="00E20090"/>
    <w:rsid w:val="00E20E82"/>
    <w:rsid w:val="00E21A66"/>
    <w:rsid w:val="00E223CC"/>
    <w:rsid w:val="00E23D60"/>
    <w:rsid w:val="00E2419F"/>
    <w:rsid w:val="00E24DC1"/>
    <w:rsid w:val="00E25C45"/>
    <w:rsid w:val="00E26747"/>
    <w:rsid w:val="00E267AC"/>
    <w:rsid w:val="00E30C22"/>
    <w:rsid w:val="00E31272"/>
    <w:rsid w:val="00E31311"/>
    <w:rsid w:val="00E31AC0"/>
    <w:rsid w:val="00E31D1C"/>
    <w:rsid w:val="00E321AB"/>
    <w:rsid w:val="00E32DB1"/>
    <w:rsid w:val="00E344F1"/>
    <w:rsid w:val="00E366F7"/>
    <w:rsid w:val="00E36C6A"/>
    <w:rsid w:val="00E378CD"/>
    <w:rsid w:val="00E37930"/>
    <w:rsid w:val="00E37BD1"/>
    <w:rsid w:val="00E37DCA"/>
    <w:rsid w:val="00E40DE0"/>
    <w:rsid w:val="00E40EBF"/>
    <w:rsid w:val="00E41650"/>
    <w:rsid w:val="00E41897"/>
    <w:rsid w:val="00E41AFA"/>
    <w:rsid w:val="00E42390"/>
    <w:rsid w:val="00E42E7A"/>
    <w:rsid w:val="00E43332"/>
    <w:rsid w:val="00E444C1"/>
    <w:rsid w:val="00E44714"/>
    <w:rsid w:val="00E44BB8"/>
    <w:rsid w:val="00E44EAC"/>
    <w:rsid w:val="00E456A3"/>
    <w:rsid w:val="00E46437"/>
    <w:rsid w:val="00E46627"/>
    <w:rsid w:val="00E47405"/>
    <w:rsid w:val="00E476E9"/>
    <w:rsid w:val="00E47792"/>
    <w:rsid w:val="00E5010B"/>
    <w:rsid w:val="00E505A8"/>
    <w:rsid w:val="00E508A6"/>
    <w:rsid w:val="00E50D7C"/>
    <w:rsid w:val="00E50EC5"/>
    <w:rsid w:val="00E52C4F"/>
    <w:rsid w:val="00E52CF8"/>
    <w:rsid w:val="00E53A21"/>
    <w:rsid w:val="00E53EBE"/>
    <w:rsid w:val="00E54070"/>
    <w:rsid w:val="00E54912"/>
    <w:rsid w:val="00E5491A"/>
    <w:rsid w:val="00E556CF"/>
    <w:rsid w:val="00E55755"/>
    <w:rsid w:val="00E56DDE"/>
    <w:rsid w:val="00E56FE2"/>
    <w:rsid w:val="00E576AB"/>
    <w:rsid w:val="00E57ABE"/>
    <w:rsid w:val="00E57B66"/>
    <w:rsid w:val="00E57DE7"/>
    <w:rsid w:val="00E60788"/>
    <w:rsid w:val="00E60940"/>
    <w:rsid w:val="00E6095B"/>
    <w:rsid w:val="00E60A7A"/>
    <w:rsid w:val="00E612A3"/>
    <w:rsid w:val="00E61618"/>
    <w:rsid w:val="00E623F8"/>
    <w:rsid w:val="00E6252E"/>
    <w:rsid w:val="00E62ACE"/>
    <w:rsid w:val="00E63354"/>
    <w:rsid w:val="00E63665"/>
    <w:rsid w:val="00E64010"/>
    <w:rsid w:val="00E64101"/>
    <w:rsid w:val="00E64E49"/>
    <w:rsid w:val="00E6639C"/>
    <w:rsid w:val="00E66782"/>
    <w:rsid w:val="00E66A17"/>
    <w:rsid w:val="00E66EC5"/>
    <w:rsid w:val="00E678FD"/>
    <w:rsid w:val="00E700F6"/>
    <w:rsid w:val="00E7137B"/>
    <w:rsid w:val="00E71A4F"/>
    <w:rsid w:val="00E72A58"/>
    <w:rsid w:val="00E73947"/>
    <w:rsid w:val="00E73B07"/>
    <w:rsid w:val="00E74554"/>
    <w:rsid w:val="00E76378"/>
    <w:rsid w:val="00E800FF"/>
    <w:rsid w:val="00E80414"/>
    <w:rsid w:val="00E80D35"/>
    <w:rsid w:val="00E8259A"/>
    <w:rsid w:val="00E82833"/>
    <w:rsid w:val="00E82F9A"/>
    <w:rsid w:val="00E84224"/>
    <w:rsid w:val="00E84CEB"/>
    <w:rsid w:val="00E852DA"/>
    <w:rsid w:val="00E8732B"/>
    <w:rsid w:val="00E906E3"/>
    <w:rsid w:val="00E92527"/>
    <w:rsid w:val="00E93DB7"/>
    <w:rsid w:val="00EA0BA8"/>
    <w:rsid w:val="00EA1383"/>
    <w:rsid w:val="00EA16FE"/>
    <w:rsid w:val="00EA2454"/>
    <w:rsid w:val="00EA2B1C"/>
    <w:rsid w:val="00EA374C"/>
    <w:rsid w:val="00EA3BEF"/>
    <w:rsid w:val="00EA3E45"/>
    <w:rsid w:val="00EA445F"/>
    <w:rsid w:val="00EA46DB"/>
    <w:rsid w:val="00EA505D"/>
    <w:rsid w:val="00EA5730"/>
    <w:rsid w:val="00EA5931"/>
    <w:rsid w:val="00EA6AE4"/>
    <w:rsid w:val="00EA7464"/>
    <w:rsid w:val="00EA7AE5"/>
    <w:rsid w:val="00EB113D"/>
    <w:rsid w:val="00EB1DF4"/>
    <w:rsid w:val="00EB21B5"/>
    <w:rsid w:val="00EB278B"/>
    <w:rsid w:val="00EB42FE"/>
    <w:rsid w:val="00EB5642"/>
    <w:rsid w:val="00EB5CBC"/>
    <w:rsid w:val="00EB6C8F"/>
    <w:rsid w:val="00EB70F3"/>
    <w:rsid w:val="00EB7119"/>
    <w:rsid w:val="00EB731A"/>
    <w:rsid w:val="00EB7D4B"/>
    <w:rsid w:val="00EC0294"/>
    <w:rsid w:val="00EC07C7"/>
    <w:rsid w:val="00EC184C"/>
    <w:rsid w:val="00EC2067"/>
    <w:rsid w:val="00EC22E4"/>
    <w:rsid w:val="00EC3016"/>
    <w:rsid w:val="00EC3385"/>
    <w:rsid w:val="00EC5C6A"/>
    <w:rsid w:val="00EC6766"/>
    <w:rsid w:val="00EC679D"/>
    <w:rsid w:val="00EC74BD"/>
    <w:rsid w:val="00ED04D1"/>
    <w:rsid w:val="00ED17B9"/>
    <w:rsid w:val="00ED1FFF"/>
    <w:rsid w:val="00ED21EB"/>
    <w:rsid w:val="00ED3236"/>
    <w:rsid w:val="00ED34F2"/>
    <w:rsid w:val="00ED36C4"/>
    <w:rsid w:val="00ED464B"/>
    <w:rsid w:val="00ED5282"/>
    <w:rsid w:val="00ED6129"/>
    <w:rsid w:val="00ED721D"/>
    <w:rsid w:val="00ED7705"/>
    <w:rsid w:val="00ED7EDB"/>
    <w:rsid w:val="00EE0ACA"/>
    <w:rsid w:val="00EE1054"/>
    <w:rsid w:val="00EE1CF9"/>
    <w:rsid w:val="00EE4527"/>
    <w:rsid w:val="00EE49C1"/>
    <w:rsid w:val="00EE4C10"/>
    <w:rsid w:val="00EE4C8A"/>
    <w:rsid w:val="00EE4FCD"/>
    <w:rsid w:val="00EE516D"/>
    <w:rsid w:val="00EE5640"/>
    <w:rsid w:val="00EE5C8B"/>
    <w:rsid w:val="00EE5DD0"/>
    <w:rsid w:val="00EE67A8"/>
    <w:rsid w:val="00EF0123"/>
    <w:rsid w:val="00EF47A7"/>
    <w:rsid w:val="00EF6624"/>
    <w:rsid w:val="00EF6C19"/>
    <w:rsid w:val="00EF77B2"/>
    <w:rsid w:val="00EF7DEE"/>
    <w:rsid w:val="00F002B3"/>
    <w:rsid w:val="00F00E6B"/>
    <w:rsid w:val="00F00EAD"/>
    <w:rsid w:val="00F011E8"/>
    <w:rsid w:val="00F0264A"/>
    <w:rsid w:val="00F03A81"/>
    <w:rsid w:val="00F04020"/>
    <w:rsid w:val="00F0552B"/>
    <w:rsid w:val="00F06018"/>
    <w:rsid w:val="00F07BA9"/>
    <w:rsid w:val="00F07DB8"/>
    <w:rsid w:val="00F1021D"/>
    <w:rsid w:val="00F10581"/>
    <w:rsid w:val="00F12FEF"/>
    <w:rsid w:val="00F136FF"/>
    <w:rsid w:val="00F13C71"/>
    <w:rsid w:val="00F14B28"/>
    <w:rsid w:val="00F14D7B"/>
    <w:rsid w:val="00F14E39"/>
    <w:rsid w:val="00F14EC7"/>
    <w:rsid w:val="00F15600"/>
    <w:rsid w:val="00F15FC2"/>
    <w:rsid w:val="00F16C78"/>
    <w:rsid w:val="00F176B9"/>
    <w:rsid w:val="00F207F7"/>
    <w:rsid w:val="00F21C0A"/>
    <w:rsid w:val="00F22BB4"/>
    <w:rsid w:val="00F2311E"/>
    <w:rsid w:val="00F2324C"/>
    <w:rsid w:val="00F23AE0"/>
    <w:rsid w:val="00F23B0A"/>
    <w:rsid w:val="00F23ED2"/>
    <w:rsid w:val="00F23FA3"/>
    <w:rsid w:val="00F240BB"/>
    <w:rsid w:val="00F24779"/>
    <w:rsid w:val="00F24B1F"/>
    <w:rsid w:val="00F24B6A"/>
    <w:rsid w:val="00F24EDB"/>
    <w:rsid w:val="00F260D3"/>
    <w:rsid w:val="00F26AEA"/>
    <w:rsid w:val="00F26FD2"/>
    <w:rsid w:val="00F27C11"/>
    <w:rsid w:val="00F27C63"/>
    <w:rsid w:val="00F30F66"/>
    <w:rsid w:val="00F312B4"/>
    <w:rsid w:val="00F31C59"/>
    <w:rsid w:val="00F32C46"/>
    <w:rsid w:val="00F32DCA"/>
    <w:rsid w:val="00F330AF"/>
    <w:rsid w:val="00F346D5"/>
    <w:rsid w:val="00F3495E"/>
    <w:rsid w:val="00F34C69"/>
    <w:rsid w:val="00F3634F"/>
    <w:rsid w:val="00F36967"/>
    <w:rsid w:val="00F40890"/>
    <w:rsid w:val="00F4219E"/>
    <w:rsid w:val="00F42295"/>
    <w:rsid w:val="00F437FB"/>
    <w:rsid w:val="00F44323"/>
    <w:rsid w:val="00F45EA4"/>
    <w:rsid w:val="00F47540"/>
    <w:rsid w:val="00F47A15"/>
    <w:rsid w:val="00F47B0C"/>
    <w:rsid w:val="00F47B16"/>
    <w:rsid w:val="00F5043F"/>
    <w:rsid w:val="00F5099B"/>
    <w:rsid w:val="00F527A5"/>
    <w:rsid w:val="00F52A7B"/>
    <w:rsid w:val="00F53A25"/>
    <w:rsid w:val="00F53A8B"/>
    <w:rsid w:val="00F53CFF"/>
    <w:rsid w:val="00F544C5"/>
    <w:rsid w:val="00F55517"/>
    <w:rsid w:val="00F55C32"/>
    <w:rsid w:val="00F55CAF"/>
    <w:rsid w:val="00F55D48"/>
    <w:rsid w:val="00F5731E"/>
    <w:rsid w:val="00F607FA"/>
    <w:rsid w:val="00F60A5C"/>
    <w:rsid w:val="00F60C69"/>
    <w:rsid w:val="00F60CE0"/>
    <w:rsid w:val="00F616F9"/>
    <w:rsid w:val="00F61926"/>
    <w:rsid w:val="00F61F2D"/>
    <w:rsid w:val="00F63258"/>
    <w:rsid w:val="00F637A5"/>
    <w:rsid w:val="00F63CD4"/>
    <w:rsid w:val="00F63F14"/>
    <w:rsid w:val="00F643A4"/>
    <w:rsid w:val="00F655AB"/>
    <w:rsid w:val="00F6764D"/>
    <w:rsid w:val="00F67BE3"/>
    <w:rsid w:val="00F72251"/>
    <w:rsid w:val="00F72403"/>
    <w:rsid w:val="00F73006"/>
    <w:rsid w:val="00F7301A"/>
    <w:rsid w:val="00F73BDC"/>
    <w:rsid w:val="00F74015"/>
    <w:rsid w:val="00F74E6F"/>
    <w:rsid w:val="00F765E9"/>
    <w:rsid w:val="00F76ADB"/>
    <w:rsid w:val="00F80823"/>
    <w:rsid w:val="00F81468"/>
    <w:rsid w:val="00F81853"/>
    <w:rsid w:val="00F819BD"/>
    <w:rsid w:val="00F82DE1"/>
    <w:rsid w:val="00F832D6"/>
    <w:rsid w:val="00F8335E"/>
    <w:rsid w:val="00F84ABD"/>
    <w:rsid w:val="00F8641D"/>
    <w:rsid w:val="00F86A43"/>
    <w:rsid w:val="00F90561"/>
    <w:rsid w:val="00F9061B"/>
    <w:rsid w:val="00F91301"/>
    <w:rsid w:val="00F93152"/>
    <w:rsid w:val="00F93ABC"/>
    <w:rsid w:val="00F93EDD"/>
    <w:rsid w:val="00F9419B"/>
    <w:rsid w:val="00F96963"/>
    <w:rsid w:val="00F96BD4"/>
    <w:rsid w:val="00F973DD"/>
    <w:rsid w:val="00F9741B"/>
    <w:rsid w:val="00FA11C1"/>
    <w:rsid w:val="00FA12BC"/>
    <w:rsid w:val="00FA1685"/>
    <w:rsid w:val="00FA1D60"/>
    <w:rsid w:val="00FA2A6D"/>
    <w:rsid w:val="00FA3801"/>
    <w:rsid w:val="00FA3861"/>
    <w:rsid w:val="00FA3C70"/>
    <w:rsid w:val="00FA3DC3"/>
    <w:rsid w:val="00FA54F2"/>
    <w:rsid w:val="00FA559B"/>
    <w:rsid w:val="00FA56E7"/>
    <w:rsid w:val="00FA5B2C"/>
    <w:rsid w:val="00FA60BA"/>
    <w:rsid w:val="00FA693B"/>
    <w:rsid w:val="00FA6BDE"/>
    <w:rsid w:val="00FA6F82"/>
    <w:rsid w:val="00FA7C06"/>
    <w:rsid w:val="00FB12A2"/>
    <w:rsid w:val="00FB15F0"/>
    <w:rsid w:val="00FB160B"/>
    <w:rsid w:val="00FB1669"/>
    <w:rsid w:val="00FB1946"/>
    <w:rsid w:val="00FB2B7A"/>
    <w:rsid w:val="00FB34BE"/>
    <w:rsid w:val="00FB3913"/>
    <w:rsid w:val="00FB44DF"/>
    <w:rsid w:val="00FB4802"/>
    <w:rsid w:val="00FB5231"/>
    <w:rsid w:val="00FB6A6D"/>
    <w:rsid w:val="00FB6CB0"/>
    <w:rsid w:val="00FB71B5"/>
    <w:rsid w:val="00FC0D0D"/>
    <w:rsid w:val="00FC0EAF"/>
    <w:rsid w:val="00FC1421"/>
    <w:rsid w:val="00FC182B"/>
    <w:rsid w:val="00FC1991"/>
    <w:rsid w:val="00FC2682"/>
    <w:rsid w:val="00FC2B1B"/>
    <w:rsid w:val="00FC392E"/>
    <w:rsid w:val="00FC5F57"/>
    <w:rsid w:val="00FC6CA3"/>
    <w:rsid w:val="00FC7F36"/>
    <w:rsid w:val="00FD0847"/>
    <w:rsid w:val="00FD244F"/>
    <w:rsid w:val="00FD364F"/>
    <w:rsid w:val="00FD377F"/>
    <w:rsid w:val="00FD4866"/>
    <w:rsid w:val="00FD558B"/>
    <w:rsid w:val="00FD5B8E"/>
    <w:rsid w:val="00FD5E82"/>
    <w:rsid w:val="00FD6A7E"/>
    <w:rsid w:val="00FD76DB"/>
    <w:rsid w:val="00FD7BA0"/>
    <w:rsid w:val="00FD7E84"/>
    <w:rsid w:val="00FE071E"/>
    <w:rsid w:val="00FE10D3"/>
    <w:rsid w:val="00FE1F58"/>
    <w:rsid w:val="00FE1F75"/>
    <w:rsid w:val="00FE35CA"/>
    <w:rsid w:val="00FE37C5"/>
    <w:rsid w:val="00FE3D94"/>
    <w:rsid w:val="00FE5566"/>
    <w:rsid w:val="00FE59B7"/>
    <w:rsid w:val="00FE6349"/>
    <w:rsid w:val="00FE66AC"/>
    <w:rsid w:val="00FE6C39"/>
    <w:rsid w:val="00FE6D2C"/>
    <w:rsid w:val="00FE6D87"/>
    <w:rsid w:val="00FE7440"/>
    <w:rsid w:val="00FE767B"/>
    <w:rsid w:val="00FF00A2"/>
    <w:rsid w:val="00FF00B8"/>
    <w:rsid w:val="00FF01DE"/>
    <w:rsid w:val="00FF1F0C"/>
    <w:rsid w:val="00FF27C1"/>
    <w:rsid w:val="00FF3461"/>
    <w:rsid w:val="00FF38F3"/>
    <w:rsid w:val="00FF42CC"/>
    <w:rsid w:val="00FF4787"/>
    <w:rsid w:val="00FF5490"/>
    <w:rsid w:val="00FF6410"/>
    <w:rsid w:val="00FF6558"/>
    <w:rsid w:val="00FF665E"/>
    <w:rsid w:val="00FF7421"/>
    <w:rsid w:val="00FF753A"/>
    <w:rsid w:val="00FF75A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B1137D"/>
  <w15:docId w15:val="{AA79F820-BFFC-B544-9367-9E05EE303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402C"/>
    <w:rPr>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71143A"/>
    <w:rPr>
      <w:rFonts w:ascii="Tahoma" w:hAnsi="Tahoma" w:cs="Tahoma"/>
      <w:sz w:val="16"/>
      <w:szCs w:val="16"/>
    </w:rPr>
  </w:style>
  <w:style w:type="table" w:styleId="Tablaconcuadrcula">
    <w:name w:val="Table Grid"/>
    <w:basedOn w:val="Tablanormal"/>
    <w:rsid w:val="007B66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rsid w:val="008D0015"/>
    <w:pPr>
      <w:tabs>
        <w:tab w:val="center" w:pos="4252"/>
        <w:tab w:val="right" w:pos="8504"/>
      </w:tabs>
    </w:pPr>
  </w:style>
  <w:style w:type="character" w:styleId="Nmerodepgina">
    <w:name w:val="page number"/>
    <w:basedOn w:val="Fuentedeprrafopredeter"/>
    <w:rsid w:val="008D0015"/>
  </w:style>
  <w:style w:type="paragraph" w:styleId="Encabezado">
    <w:name w:val="header"/>
    <w:basedOn w:val="Normal"/>
    <w:link w:val="EncabezadoCar"/>
    <w:rsid w:val="00071261"/>
    <w:pPr>
      <w:tabs>
        <w:tab w:val="center" w:pos="4419"/>
        <w:tab w:val="right" w:pos="8838"/>
      </w:tabs>
    </w:pPr>
  </w:style>
  <w:style w:type="character" w:customStyle="1" w:styleId="EncabezadoCar">
    <w:name w:val="Encabezado Car"/>
    <w:link w:val="Encabezado"/>
    <w:rsid w:val="00071261"/>
    <w:rPr>
      <w:sz w:val="24"/>
      <w:szCs w:val="24"/>
    </w:rPr>
  </w:style>
  <w:style w:type="character" w:customStyle="1" w:styleId="PiedepginaCar">
    <w:name w:val="Pie de página Car"/>
    <w:link w:val="Piedepgina"/>
    <w:uiPriority w:val="99"/>
    <w:rsid w:val="00071261"/>
    <w:rPr>
      <w:sz w:val="24"/>
      <w:szCs w:val="24"/>
    </w:rPr>
  </w:style>
  <w:style w:type="paragraph" w:styleId="Prrafodelista">
    <w:name w:val="List Paragraph"/>
    <w:basedOn w:val="Normal"/>
    <w:uiPriority w:val="34"/>
    <w:qFormat/>
    <w:rsid w:val="00367E33"/>
    <w:pPr>
      <w:ind w:left="708"/>
    </w:pPr>
  </w:style>
  <w:style w:type="paragraph" w:styleId="Textonotapie">
    <w:name w:val="footnote text"/>
    <w:aliases w:val="Footnote Text Char Char Char Char Char,Footnote Text Char Char Char Char,Footnote reference,FA Fu,Footnote Text Char Char Char,Footnote Text Cha,FA Fußnotentext,FA Fuﬂnotentext,Footnote Text Char Char,FA Fu?notentext,Ca,FA Fu?notente,C"/>
    <w:basedOn w:val="Normal"/>
    <w:link w:val="TextonotapieCar"/>
    <w:qFormat/>
    <w:rsid w:val="008E0412"/>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ﬂnotentext Car,FA Fu?notentext Car,C Car"/>
    <w:basedOn w:val="Fuentedeprrafopredeter"/>
    <w:link w:val="Textonotapie"/>
    <w:rsid w:val="008E0412"/>
  </w:style>
  <w:style w:type="character" w:styleId="Refdenotaalpie">
    <w:name w:val="footnote reference"/>
    <w:aliases w:val="Texto de nota al pie,Appel note de bas de page,Footnotes refss,Footnote number,referencia nota al pie,BVI fnr,f,4_G,16 Point,Superscript 6 Point,Texto nota al pie,Footnote Reference Char3,Footnote Reference Char1 Char,Ref. de nota al"/>
    <w:uiPriority w:val="99"/>
    <w:qFormat/>
    <w:rsid w:val="008E0412"/>
    <w:rPr>
      <w:vertAlign w:val="superscript"/>
    </w:rPr>
  </w:style>
  <w:style w:type="paragraph" w:customStyle="1" w:styleId="Estilo">
    <w:name w:val="Estilo"/>
    <w:basedOn w:val="Sinespaciado"/>
    <w:link w:val="EstiloCar"/>
    <w:qFormat/>
    <w:rsid w:val="00876FE2"/>
    <w:pPr>
      <w:jc w:val="both"/>
    </w:pPr>
    <w:rPr>
      <w:rFonts w:ascii="Arial" w:eastAsia="Calibri" w:hAnsi="Arial"/>
      <w:szCs w:val="22"/>
      <w:lang w:eastAsia="en-US"/>
    </w:rPr>
  </w:style>
  <w:style w:type="character" w:customStyle="1" w:styleId="EstiloCar">
    <w:name w:val="Estilo Car"/>
    <w:link w:val="Estilo"/>
    <w:rsid w:val="00876FE2"/>
    <w:rPr>
      <w:rFonts w:ascii="Arial" w:eastAsia="Calibri" w:hAnsi="Arial"/>
      <w:sz w:val="24"/>
      <w:szCs w:val="22"/>
      <w:lang w:eastAsia="en-US"/>
    </w:rPr>
  </w:style>
  <w:style w:type="paragraph" w:styleId="Sinespaciado">
    <w:name w:val="No Spacing"/>
    <w:uiPriority w:val="1"/>
    <w:qFormat/>
    <w:rsid w:val="00876FE2"/>
    <w:rPr>
      <w:sz w:val="24"/>
      <w:szCs w:val="24"/>
      <w:lang w:val="es-MX" w:eastAsia="es-MX"/>
    </w:rPr>
  </w:style>
  <w:style w:type="paragraph" w:styleId="Ttulo">
    <w:name w:val="Title"/>
    <w:basedOn w:val="Normal"/>
    <w:next w:val="Normal"/>
    <w:link w:val="TtuloCar"/>
    <w:uiPriority w:val="10"/>
    <w:qFormat/>
    <w:rsid w:val="008220E2"/>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TtuloCar">
    <w:name w:val="Título Car"/>
    <w:link w:val="Ttulo"/>
    <w:uiPriority w:val="10"/>
    <w:rsid w:val="008220E2"/>
    <w:rPr>
      <w:rFonts w:ascii="Cambria" w:hAnsi="Cambria"/>
      <w:color w:val="17365D"/>
      <w:spacing w:val="5"/>
      <w:kern w:val="28"/>
      <w:sz w:val="52"/>
      <w:szCs w:val="52"/>
      <w:lang w:eastAsia="en-US"/>
    </w:rPr>
  </w:style>
  <w:style w:type="paragraph" w:styleId="NormalWeb">
    <w:name w:val="Normal (Web)"/>
    <w:basedOn w:val="Normal"/>
    <w:uiPriority w:val="99"/>
    <w:unhideWhenUsed/>
    <w:rsid w:val="00A66221"/>
    <w:pPr>
      <w:spacing w:before="100" w:beforeAutospacing="1" w:after="100" w:afterAutospacing="1"/>
    </w:pPr>
  </w:style>
  <w:style w:type="character" w:customStyle="1" w:styleId="apple-converted-space">
    <w:name w:val="apple-converted-space"/>
    <w:basedOn w:val="Fuentedeprrafopredeter"/>
    <w:rsid w:val="00A66221"/>
  </w:style>
  <w:style w:type="paragraph" w:styleId="Revisin">
    <w:name w:val="Revision"/>
    <w:hidden/>
    <w:uiPriority w:val="71"/>
    <w:semiHidden/>
    <w:rsid w:val="00173AB7"/>
    <w:rPr>
      <w:sz w:val="24"/>
      <w:szCs w:val="24"/>
      <w:lang w:val="es-MX" w:eastAsia="es-MX"/>
    </w:rPr>
  </w:style>
  <w:style w:type="character" w:styleId="Refdecomentario">
    <w:name w:val="annotation reference"/>
    <w:basedOn w:val="Fuentedeprrafopredeter"/>
    <w:semiHidden/>
    <w:unhideWhenUsed/>
    <w:rsid w:val="00731EC5"/>
    <w:rPr>
      <w:sz w:val="16"/>
      <w:szCs w:val="16"/>
    </w:rPr>
  </w:style>
  <w:style w:type="paragraph" w:styleId="Textocomentario">
    <w:name w:val="annotation text"/>
    <w:basedOn w:val="Normal"/>
    <w:link w:val="TextocomentarioCar"/>
    <w:unhideWhenUsed/>
    <w:rsid w:val="00731EC5"/>
    <w:rPr>
      <w:sz w:val="20"/>
      <w:szCs w:val="20"/>
    </w:rPr>
  </w:style>
  <w:style w:type="character" w:customStyle="1" w:styleId="TextocomentarioCar">
    <w:name w:val="Texto comentario Car"/>
    <w:basedOn w:val="Fuentedeprrafopredeter"/>
    <w:link w:val="Textocomentario"/>
    <w:rsid w:val="00731EC5"/>
    <w:rPr>
      <w:lang w:val="es-MX" w:eastAsia="es-MX"/>
    </w:rPr>
  </w:style>
  <w:style w:type="paragraph" w:styleId="Asuntodelcomentario">
    <w:name w:val="annotation subject"/>
    <w:basedOn w:val="Textocomentario"/>
    <w:next w:val="Textocomentario"/>
    <w:link w:val="AsuntodelcomentarioCar"/>
    <w:semiHidden/>
    <w:unhideWhenUsed/>
    <w:rsid w:val="00731EC5"/>
    <w:rPr>
      <w:b/>
      <w:bCs/>
    </w:rPr>
  </w:style>
  <w:style w:type="character" w:customStyle="1" w:styleId="AsuntodelcomentarioCar">
    <w:name w:val="Asunto del comentario Car"/>
    <w:basedOn w:val="TextocomentarioCar"/>
    <w:link w:val="Asuntodelcomentario"/>
    <w:semiHidden/>
    <w:rsid w:val="00731EC5"/>
    <w:rPr>
      <w:b/>
      <w:bCs/>
      <w:lang w:val="es-MX" w:eastAsia="es-MX"/>
    </w:rPr>
  </w:style>
  <w:style w:type="character" w:styleId="Hipervnculo">
    <w:name w:val="Hyperlink"/>
    <w:basedOn w:val="Fuentedeprrafopredeter"/>
    <w:uiPriority w:val="99"/>
    <w:semiHidden/>
    <w:unhideWhenUsed/>
    <w:rsid w:val="00190D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5710">
      <w:bodyDiv w:val="1"/>
      <w:marLeft w:val="0"/>
      <w:marRight w:val="0"/>
      <w:marTop w:val="0"/>
      <w:marBottom w:val="0"/>
      <w:divBdr>
        <w:top w:val="none" w:sz="0" w:space="0" w:color="auto"/>
        <w:left w:val="none" w:sz="0" w:space="0" w:color="auto"/>
        <w:bottom w:val="none" w:sz="0" w:space="0" w:color="auto"/>
        <w:right w:val="none" w:sz="0" w:space="0" w:color="auto"/>
      </w:divBdr>
    </w:div>
    <w:div w:id="281571296">
      <w:bodyDiv w:val="1"/>
      <w:marLeft w:val="0"/>
      <w:marRight w:val="0"/>
      <w:marTop w:val="0"/>
      <w:marBottom w:val="0"/>
      <w:divBdr>
        <w:top w:val="none" w:sz="0" w:space="0" w:color="auto"/>
        <w:left w:val="none" w:sz="0" w:space="0" w:color="auto"/>
        <w:bottom w:val="none" w:sz="0" w:space="0" w:color="auto"/>
        <w:right w:val="none" w:sz="0" w:space="0" w:color="auto"/>
      </w:divBdr>
    </w:div>
    <w:div w:id="1031498435">
      <w:bodyDiv w:val="1"/>
      <w:marLeft w:val="0"/>
      <w:marRight w:val="0"/>
      <w:marTop w:val="0"/>
      <w:marBottom w:val="0"/>
      <w:divBdr>
        <w:top w:val="none" w:sz="0" w:space="0" w:color="auto"/>
        <w:left w:val="none" w:sz="0" w:space="0" w:color="auto"/>
        <w:bottom w:val="none" w:sz="0" w:space="0" w:color="auto"/>
        <w:right w:val="none" w:sz="0" w:space="0" w:color="auto"/>
      </w:divBdr>
    </w:div>
    <w:div w:id="1193615508">
      <w:bodyDiv w:val="1"/>
      <w:marLeft w:val="0"/>
      <w:marRight w:val="0"/>
      <w:marTop w:val="0"/>
      <w:marBottom w:val="0"/>
      <w:divBdr>
        <w:top w:val="none" w:sz="0" w:space="0" w:color="auto"/>
        <w:left w:val="none" w:sz="0" w:space="0" w:color="auto"/>
        <w:bottom w:val="none" w:sz="0" w:space="0" w:color="auto"/>
        <w:right w:val="none" w:sz="0" w:space="0" w:color="auto"/>
      </w:divBdr>
    </w:div>
    <w:div w:id="1359164039">
      <w:bodyDiv w:val="1"/>
      <w:marLeft w:val="0"/>
      <w:marRight w:val="0"/>
      <w:marTop w:val="0"/>
      <w:marBottom w:val="0"/>
      <w:divBdr>
        <w:top w:val="none" w:sz="0" w:space="0" w:color="auto"/>
        <w:left w:val="none" w:sz="0" w:space="0" w:color="auto"/>
        <w:bottom w:val="none" w:sz="0" w:space="0" w:color="auto"/>
        <w:right w:val="none" w:sz="0" w:space="0" w:color="auto"/>
      </w:divBdr>
    </w:div>
    <w:div w:id="1370884426">
      <w:bodyDiv w:val="1"/>
      <w:marLeft w:val="0"/>
      <w:marRight w:val="0"/>
      <w:marTop w:val="0"/>
      <w:marBottom w:val="0"/>
      <w:divBdr>
        <w:top w:val="none" w:sz="0" w:space="0" w:color="auto"/>
        <w:left w:val="none" w:sz="0" w:space="0" w:color="auto"/>
        <w:bottom w:val="none" w:sz="0" w:space="0" w:color="auto"/>
        <w:right w:val="none" w:sz="0" w:space="0" w:color="auto"/>
      </w:divBdr>
    </w:div>
    <w:div w:id="1511067032">
      <w:bodyDiv w:val="1"/>
      <w:marLeft w:val="0"/>
      <w:marRight w:val="0"/>
      <w:marTop w:val="0"/>
      <w:marBottom w:val="0"/>
      <w:divBdr>
        <w:top w:val="none" w:sz="0" w:space="0" w:color="auto"/>
        <w:left w:val="none" w:sz="0" w:space="0" w:color="auto"/>
        <w:bottom w:val="none" w:sz="0" w:space="0" w:color="auto"/>
        <w:right w:val="none" w:sz="0" w:space="0" w:color="auto"/>
      </w:divBdr>
    </w:div>
    <w:div w:id="1513371979">
      <w:bodyDiv w:val="1"/>
      <w:marLeft w:val="0"/>
      <w:marRight w:val="0"/>
      <w:marTop w:val="0"/>
      <w:marBottom w:val="0"/>
      <w:divBdr>
        <w:top w:val="none" w:sz="0" w:space="0" w:color="auto"/>
        <w:left w:val="none" w:sz="0" w:space="0" w:color="auto"/>
        <w:bottom w:val="none" w:sz="0" w:space="0" w:color="auto"/>
        <w:right w:val="none" w:sz="0" w:space="0" w:color="auto"/>
      </w:divBdr>
    </w:div>
    <w:div w:id="1709405821">
      <w:bodyDiv w:val="1"/>
      <w:marLeft w:val="0"/>
      <w:marRight w:val="0"/>
      <w:marTop w:val="0"/>
      <w:marBottom w:val="0"/>
      <w:divBdr>
        <w:top w:val="none" w:sz="0" w:space="0" w:color="auto"/>
        <w:left w:val="none" w:sz="0" w:space="0" w:color="auto"/>
        <w:bottom w:val="none" w:sz="0" w:space="0" w:color="auto"/>
        <w:right w:val="none" w:sz="0" w:space="0" w:color="auto"/>
      </w:divBdr>
    </w:div>
    <w:div w:id="1790464258">
      <w:bodyDiv w:val="1"/>
      <w:marLeft w:val="0"/>
      <w:marRight w:val="0"/>
      <w:marTop w:val="0"/>
      <w:marBottom w:val="0"/>
      <w:divBdr>
        <w:top w:val="none" w:sz="0" w:space="0" w:color="auto"/>
        <w:left w:val="none" w:sz="0" w:space="0" w:color="auto"/>
        <w:bottom w:val="none" w:sz="0" w:space="0" w:color="auto"/>
        <w:right w:val="none" w:sz="0" w:space="0" w:color="auto"/>
      </w:divBdr>
    </w:div>
    <w:div w:id="1875848342">
      <w:bodyDiv w:val="1"/>
      <w:marLeft w:val="0"/>
      <w:marRight w:val="0"/>
      <w:marTop w:val="0"/>
      <w:marBottom w:val="0"/>
      <w:divBdr>
        <w:top w:val="none" w:sz="0" w:space="0" w:color="auto"/>
        <w:left w:val="none" w:sz="0" w:space="0" w:color="auto"/>
        <w:bottom w:val="none" w:sz="0" w:space="0" w:color="auto"/>
        <w:right w:val="none" w:sz="0" w:space="0" w:color="auto"/>
      </w:divBdr>
    </w:div>
    <w:div w:id="1903835311">
      <w:bodyDiv w:val="1"/>
      <w:marLeft w:val="0"/>
      <w:marRight w:val="0"/>
      <w:marTop w:val="0"/>
      <w:marBottom w:val="0"/>
      <w:divBdr>
        <w:top w:val="none" w:sz="0" w:space="0" w:color="auto"/>
        <w:left w:val="none" w:sz="0" w:space="0" w:color="auto"/>
        <w:bottom w:val="none" w:sz="0" w:space="0" w:color="auto"/>
        <w:right w:val="none" w:sz="0" w:space="0" w:color="auto"/>
      </w:divBdr>
    </w:div>
    <w:div w:id="2081174044">
      <w:bodyDiv w:val="1"/>
      <w:marLeft w:val="0"/>
      <w:marRight w:val="0"/>
      <w:marTop w:val="0"/>
      <w:marBottom w:val="0"/>
      <w:divBdr>
        <w:top w:val="none" w:sz="0" w:space="0" w:color="auto"/>
        <w:left w:val="none" w:sz="0" w:space="0" w:color="auto"/>
        <w:bottom w:val="none" w:sz="0" w:space="0" w:color="auto"/>
        <w:right w:val="none" w:sz="0" w:space="0" w:color="auto"/>
      </w:divBdr>
    </w:div>
    <w:div w:id="2082292233">
      <w:bodyDiv w:val="1"/>
      <w:marLeft w:val="0"/>
      <w:marRight w:val="0"/>
      <w:marTop w:val="0"/>
      <w:marBottom w:val="0"/>
      <w:divBdr>
        <w:top w:val="none" w:sz="0" w:space="0" w:color="auto"/>
        <w:left w:val="none" w:sz="0" w:space="0" w:color="auto"/>
        <w:bottom w:val="none" w:sz="0" w:space="0" w:color="auto"/>
        <w:right w:val="none" w:sz="0" w:space="0" w:color="auto"/>
      </w:divBdr>
    </w:div>
    <w:div w:id="2085762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jf2.scjn.gob.mx/detalle/tesis/17990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23214E3FDD0E46AAE5B5C8F6314C30" ma:contentTypeVersion="4" ma:contentTypeDescription="Crear nuevo documento." ma:contentTypeScope="" ma:versionID="64ff530e5e55d0e0c082ac34c9431215">
  <xsd:schema xmlns:xsd="http://www.w3.org/2001/XMLSchema" xmlns:xs="http://www.w3.org/2001/XMLSchema" xmlns:p="http://schemas.microsoft.com/office/2006/metadata/properties" xmlns:ns3="6548c816-ea15-48f4-b14d-8bf69222fbfd" targetNamespace="http://schemas.microsoft.com/office/2006/metadata/properties" ma:root="true" ma:fieldsID="c800392b8201e218e5e53dacf74b0b73" ns3:_="">
    <xsd:import namespace="6548c816-ea15-48f4-b14d-8bf69222fb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c816-ea15-48f4-b14d-8bf69222f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F33E0-9AF3-4AFB-A8D7-9156BCBCB256}">
  <ds:schemaRefs>
    <ds:schemaRef ds:uri="http://schemas.microsoft.com/sharepoint/v3/contenttype/forms"/>
  </ds:schemaRefs>
</ds:datastoreItem>
</file>

<file path=customXml/itemProps2.xml><?xml version="1.0" encoding="utf-8"?>
<ds:datastoreItem xmlns:ds="http://schemas.openxmlformats.org/officeDocument/2006/customXml" ds:itemID="{8A2655D0-DEAC-4BD9-A119-3565F528F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c816-ea15-48f4-b14d-8bf69222f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1594EB-A162-4F6B-83C8-71D672629BE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261471-8EF4-6F40-BA4F-B85CAB7C3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60</Pages>
  <Words>19690</Words>
  <Characters>108295</Characters>
  <Application>Microsoft Office Word</Application>
  <DocSecurity>0</DocSecurity>
  <Lines>902</Lines>
  <Paragraphs>255</Paragraphs>
  <ScaleCrop>false</ScaleCrop>
  <HeadingPairs>
    <vt:vector size="2" baseType="variant">
      <vt:variant>
        <vt:lpstr>Título</vt:lpstr>
      </vt:variant>
      <vt:variant>
        <vt:i4>1</vt:i4>
      </vt:variant>
    </vt:vector>
  </HeadingPairs>
  <TitlesOfParts>
    <vt:vector size="1" baseType="lpstr">
      <vt:lpstr>AMPARO EN REVISIÓN 397/2007</vt:lpstr>
    </vt:vector>
  </TitlesOfParts>
  <Company>PODER JUDICIAL DE LA FEDERACION</Company>
  <LinksUpToDate>false</LinksUpToDate>
  <CharactersWithSpaces>127730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AMPARO EN REVISIÓN 397/2007</dc:title>
  <dc:subject/>
  <dc:creator>rlarac</dc:creator>
  <cp:keywords/>
  <cp:lastModifiedBy>ODETH KARLA FLORES PEREZ</cp:lastModifiedBy>
  <cp:revision>341</cp:revision>
  <cp:lastPrinted>2014-12-05T19:46:00Z</cp:lastPrinted>
  <dcterms:created xsi:type="dcterms:W3CDTF">2022-07-12T03:11:00Z</dcterms:created>
  <dcterms:modified xsi:type="dcterms:W3CDTF">2022-07-12T19:15:00Z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0x0101001223214E3FDD0E46AAE5B5C8F6314C30</vt:lpwstr>
  </property>
</Properties>
</file>