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E6484" w14:textId="7D68A4EA" w:rsidR="00E31C63" w:rsidRPr="00B31404" w:rsidRDefault="003C0701" w:rsidP="00853715">
      <w:pPr>
        <w:pStyle w:val="corte1datos"/>
        <w:ind w:left="2835"/>
        <w:jc w:val="both"/>
        <w:rPr>
          <w:caps w:val="0"/>
          <w:color w:val="FF0000"/>
          <w:sz w:val="26"/>
          <w:szCs w:val="26"/>
        </w:rPr>
      </w:pPr>
      <w:bookmarkStart w:id="0" w:name="_Hlk129943304"/>
      <w:r w:rsidRPr="00B31404">
        <w:rPr>
          <w:caps w:val="0"/>
          <w:sz w:val="26"/>
          <w:szCs w:val="26"/>
        </w:rPr>
        <w:t xml:space="preserve">DECLARATORIA GENERAL DE INCONSTITUCIONALIDAD </w:t>
      </w:r>
      <w:r w:rsidR="006A0A92" w:rsidRPr="00B31404">
        <w:rPr>
          <w:caps w:val="0"/>
          <w:sz w:val="26"/>
          <w:szCs w:val="26"/>
        </w:rPr>
        <w:t>8</w:t>
      </w:r>
      <w:r w:rsidR="00E567BC" w:rsidRPr="00B31404">
        <w:rPr>
          <w:caps w:val="0"/>
          <w:sz w:val="26"/>
          <w:szCs w:val="26"/>
        </w:rPr>
        <w:t>/</w:t>
      </w:r>
      <w:r w:rsidR="006A0A92" w:rsidRPr="00B31404">
        <w:rPr>
          <w:caps w:val="0"/>
          <w:sz w:val="26"/>
          <w:szCs w:val="26"/>
        </w:rPr>
        <w:t>2022</w:t>
      </w:r>
    </w:p>
    <w:p w14:paraId="0CF300BC" w14:textId="77777777" w:rsidR="009A0319" w:rsidRPr="00B31404" w:rsidRDefault="009A0319" w:rsidP="009A0319">
      <w:pPr>
        <w:pStyle w:val="corte1datos"/>
        <w:ind w:left="2835"/>
        <w:jc w:val="both"/>
        <w:rPr>
          <w:sz w:val="26"/>
          <w:szCs w:val="26"/>
        </w:rPr>
      </w:pPr>
      <w:r w:rsidRPr="00B31404">
        <w:rPr>
          <w:sz w:val="26"/>
          <w:szCs w:val="26"/>
        </w:rPr>
        <w:t>RELATIVA AL ARTÍCULO 98, FRACCIONES XI Y XII, DE LA LEY PARA LA PREVENCIÓN Y GESTIÓN INTEGRAL DE LOS RESIDUOS SÓLIDOS DEL ESTADO DE OAXACA</w:t>
      </w:r>
    </w:p>
    <w:p w14:paraId="1DABCC4D" w14:textId="562E816F" w:rsidR="008B4AE5" w:rsidRPr="00B31404" w:rsidRDefault="003C0701" w:rsidP="00853715">
      <w:pPr>
        <w:pStyle w:val="corte1datos"/>
        <w:ind w:left="2835"/>
        <w:jc w:val="both"/>
        <w:rPr>
          <w:sz w:val="26"/>
          <w:szCs w:val="26"/>
        </w:rPr>
      </w:pPr>
      <w:r w:rsidRPr="00B31404">
        <w:rPr>
          <w:bCs/>
          <w:caps w:val="0"/>
          <w:sz w:val="26"/>
          <w:szCs w:val="26"/>
        </w:rPr>
        <w:t xml:space="preserve">SOLICITANTE: </w:t>
      </w:r>
      <w:r w:rsidR="009A0319" w:rsidRPr="00B31404">
        <w:rPr>
          <w:bCs/>
          <w:caps w:val="0"/>
          <w:sz w:val="26"/>
          <w:szCs w:val="26"/>
        </w:rPr>
        <w:t>SEGUNDA</w:t>
      </w:r>
      <w:r w:rsidRPr="00B31404">
        <w:rPr>
          <w:bCs/>
          <w:caps w:val="0"/>
          <w:sz w:val="26"/>
          <w:szCs w:val="26"/>
        </w:rPr>
        <w:t xml:space="preserve"> SALA DE LA</w:t>
      </w:r>
      <w:r w:rsidR="00E758BB">
        <w:rPr>
          <w:sz w:val="26"/>
          <w:szCs w:val="26"/>
        </w:rPr>
        <w:t xml:space="preserve"> </w:t>
      </w:r>
      <w:r w:rsidRPr="00B31404">
        <w:rPr>
          <w:sz w:val="26"/>
          <w:szCs w:val="26"/>
        </w:rPr>
        <w:t>SUPREMA CORTE DE JUSTICIA DE LA NACIÓN</w:t>
      </w:r>
    </w:p>
    <w:bookmarkEnd w:id="0"/>
    <w:p w14:paraId="62C95E2B" w14:textId="77777777" w:rsidR="006E0A8E" w:rsidRPr="00B31404" w:rsidRDefault="006E0A8E" w:rsidP="00853715">
      <w:pPr>
        <w:pStyle w:val="CORTE2PONENTE0"/>
        <w:spacing w:line="276" w:lineRule="auto"/>
        <w:jc w:val="both"/>
        <w:rPr>
          <w:sz w:val="26"/>
          <w:szCs w:val="26"/>
        </w:rPr>
      </w:pPr>
    </w:p>
    <w:p w14:paraId="622E7A4D" w14:textId="77777777" w:rsidR="008B4AE5" w:rsidRPr="00B31404" w:rsidRDefault="008B4AE5" w:rsidP="00853715">
      <w:pPr>
        <w:pStyle w:val="CORTE2PONENTE0"/>
        <w:jc w:val="both"/>
        <w:rPr>
          <w:sz w:val="26"/>
          <w:szCs w:val="26"/>
        </w:rPr>
      </w:pPr>
      <w:r w:rsidRPr="00B31404">
        <w:rPr>
          <w:sz w:val="26"/>
          <w:szCs w:val="26"/>
        </w:rPr>
        <w:t>PONENTE: MINISTR</w:t>
      </w:r>
      <w:r w:rsidR="009A0319" w:rsidRPr="00B31404">
        <w:rPr>
          <w:sz w:val="26"/>
          <w:szCs w:val="26"/>
        </w:rPr>
        <w:t>O JAVIER LAYNEZ POTISEK</w:t>
      </w:r>
    </w:p>
    <w:p w14:paraId="2C16BE48" w14:textId="0DEC4600" w:rsidR="009A0319" w:rsidRPr="00B31404" w:rsidRDefault="008B4AE5" w:rsidP="009A0319">
      <w:pPr>
        <w:pStyle w:val="CORTE2PONENTE0"/>
        <w:jc w:val="both"/>
        <w:rPr>
          <w:sz w:val="26"/>
          <w:szCs w:val="26"/>
        </w:rPr>
      </w:pPr>
      <w:r w:rsidRPr="00B31404">
        <w:rPr>
          <w:sz w:val="26"/>
          <w:szCs w:val="26"/>
        </w:rPr>
        <w:t xml:space="preserve">SECRETARIO: </w:t>
      </w:r>
      <w:r w:rsidR="009A0319" w:rsidRPr="00B31404">
        <w:rPr>
          <w:sz w:val="26"/>
          <w:szCs w:val="26"/>
        </w:rPr>
        <w:t xml:space="preserve">GEOVANNI SANDOVAL OCHOA </w:t>
      </w:r>
    </w:p>
    <w:p w14:paraId="7F8E8F9E" w14:textId="77777777" w:rsidR="007D154D" w:rsidRPr="00B31404" w:rsidRDefault="007D154D" w:rsidP="00853715">
      <w:pPr>
        <w:pStyle w:val="CORTE2PONENTE0"/>
        <w:jc w:val="both"/>
        <w:rPr>
          <w:sz w:val="26"/>
          <w:szCs w:val="26"/>
        </w:rPr>
      </w:pPr>
      <w:r w:rsidRPr="00B31404">
        <w:rPr>
          <w:sz w:val="26"/>
          <w:szCs w:val="26"/>
        </w:rPr>
        <w:t xml:space="preserve">COLABORÓ: </w:t>
      </w:r>
      <w:r w:rsidR="009A0319" w:rsidRPr="00B31404">
        <w:rPr>
          <w:sz w:val="26"/>
          <w:szCs w:val="26"/>
        </w:rPr>
        <w:t>FRIDA VON BERTRAB CAMPUZANO</w:t>
      </w:r>
    </w:p>
    <w:p w14:paraId="1B289AD5" w14:textId="77777777" w:rsidR="006E0A8E" w:rsidRPr="00B31404" w:rsidRDefault="006E0A8E" w:rsidP="00853715">
      <w:pPr>
        <w:pStyle w:val="TEXTONORMAL"/>
        <w:ind w:firstLine="0"/>
        <w:rPr>
          <w:sz w:val="26"/>
          <w:szCs w:val="26"/>
        </w:rPr>
      </w:pPr>
    </w:p>
    <w:p w14:paraId="7FC8AFB9" w14:textId="77777777" w:rsidR="009A0319" w:rsidRPr="00B31404" w:rsidRDefault="009A0319" w:rsidP="009A0319">
      <w:pPr>
        <w:pStyle w:val="corte3centro"/>
        <w:ind w:right="-232"/>
        <w:rPr>
          <w:sz w:val="26"/>
          <w:szCs w:val="26"/>
        </w:rPr>
      </w:pPr>
      <w:r w:rsidRPr="00B31404">
        <w:rPr>
          <w:sz w:val="26"/>
          <w:szCs w:val="26"/>
        </w:rPr>
        <w:t xml:space="preserve">Í N D I C </w:t>
      </w:r>
      <w:proofErr w:type="gramStart"/>
      <w:r w:rsidRPr="00B31404">
        <w:rPr>
          <w:sz w:val="26"/>
          <w:szCs w:val="26"/>
        </w:rPr>
        <w:t>E  T</w:t>
      </w:r>
      <w:proofErr w:type="gramEnd"/>
      <w:r w:rsidRPr="00B31404">
        <w:rPr>
          <w:sz w:val="26"/>
          <w:szCs w:val="26"/>
        </w:rPr>
        <w:t xml:space="preserve"> E M Á T I C O  </w:t>
      </w:r>
    </w:p>
    <w:p w14:paraId="510A3DF3" w14:textId="5A904995" w:rsidR="009A0319" w:rsidRPr="006A0A92" w:rsidRDefault="009A0319" w:rsidP="009A0319">
      <w:pPr>
        <w:jc w:val="both"/>
        <w:rPr>
          <w:rFonts w:ascii="Arial" w:hAnsi="Arial" w:cs="Arial"/>
          <w:b/>
          <w:bCs/>
          <w:sz w:val="26"/>
          <w:szCs w:val="26"/>
        </w:rPr>
      </w:pPr>
      <w:r w:rsidRPr="006A0A92">
        <w:rPr>
          <w:rFonts w:ascii="Arial" w:hAnsi="Arial" w:cs="Arial"/>
          <w:b/>
          <w:bCs/>
          <w:sz w:val="26"/>
          <w:szCs w:val="26"/>
        </w:rPr>
        <w:t xml:space="preserve">Declaratoria general de inconstitucionalidad solicitada por la Presidenta de la Segunda Sala de la Suprema Corte de Justicia de la Nación, relativa al artículo 98, fracciones XI y XII, de la </w:t>
      </w:r>
      <w:r w:rsidR="00913815">
        <w:rPr>
          <w:rFonts w:ascii="Arial" w:hAnsi="Arial" w:cs="Arial"/>
          <w:b/>
          <w:bCs/>
          <w:sz w:val="26"/>
          <w:szCs w:val="26"/>
        </w:rPr>
        <w:t>L</w:t>
      </w:r>
      <w:r w:rsidRPr="006A0A92">
        <w:rPr>
          <w:rFonts w:ascii="Arial" w:hAnsi="Arial" w:cs="Arial"/>
          <w:b/>
          <w:bCs/>
          <w:sz w:val="26"/>
          <w:szCs w:val="26"/>
        </w:rPr>
        <w:t xml:space="preserve">ey para la prevención y gestión integral de los residuos sólidos del </w:t>
      </w:r>
      <w:r w:rsidR="00733D0A" w:rsidRPr="006A0A92">
        <w:rPr>
          <w:rFonts w:ascii="Arial" w:hAnsi="Arial" w:cs="Arial"/>
          <w:b/>
          <w:bCs/>
          <w:sz w:val="26"/>
          <w:szCs w:val="26"/>
        </w:rPr>
        <w:t xml:space="preserve">Estado </w:t>
      </w:r>
      <w:r w:rsidRPr="006A0A92">
        <w:rPr>
          <w:rFonts w:ascii="Arial" w:hAnsi="Arial" w:cs="Arial"/>
          <w:b/>
          <w:bCs/>
          <w:sz w:val="26"/>
          <w:szCs w:val="26"/>
        </w:rPr>
        <w:t>de Oaxaca</w:t>
      </w:r>
      <w:r w:rsidR="003E3CD6">
        <w:rPr>
          <w:rFonts w:ascii="Arial" w:hAnsi="Arial" w:cs="Arial"/>
          <w:b/>
          <w:bCs/>
          <w:sz w:val="26"/>
          <w:szCs w:val="26"/>
        </w:rPr>
        <w:t>.</w:t>
      </w:r>
    </w:p>
    <w:p w14:paraId="10F762EE" w14:textId="77777777" w:rsidR="009A0319" w:rsidRDefault="009A0319" w:rsidP="009A0319"/>
    <w:tbl>
      <w:tblPr>
        <w:tblW w:w="8965" w:type="dxa"/>
        <w:tblBorders>
          <w:top w:val="outset" w:sz="6" w:space="0" w:color="auto"/>
          <w:left w:val="outset" w:sz="6" w:space="0" w:color="auto"/>
          <w:bottom w:val="outset" w:sz="6" w:space="0" w:color="auto"/>
          <w:right w:val="outset" w:sz="6" w:space="0" w:color="auto"/>
        </w:tblBorders>
        <w:shd w:val="clear" w:color="auto" w:fill="FFFFFF" w:themeFill="background1"/>
        <w:tblCellMar>
          <w:left w:w="0" w:type="dxa"/>
          <w:right w:w="0" w:type="dxa"/>
        </w:tblCellMar>
        <w:tblLook w:val="04A0" w:firstRow="1" w:lastRow="0" w:firstColumn="1" w:lastColumn="0" w:noHBand="0" w:noVBand="1"/>
      </w:tblPr>
      <w:tblGrid>
        <w:gridCol w:w="509"/>
        <w:gridCol w:w="3736"/>
        <w:gridCol w:w="3685"/>
        <w:gridCol w:w="1035"/>
      </w:tblGrid>
      <w:tr w:rsidR="009A0319" w:rsidRPr="00C93119" w14:paraId="06E4E066" w14:textId="77777777" w:rsidTr="00F82725">
        <w:trPr>
          <w:trHeight w:val="630"/>
        </w:trPr>
        <w:tc>
          <w:tcPr>
            <w:tcW w:w="0" w:type="auto"/>
            <w:tcBorders>
              <w:top w:val="single" w:sz="6" w:space="0" w:color="auto"/>
              <w:left w:val="single" w:sz="6" w:space="0" w:color="auto"/>
              <w:bottom w:val="single" w:sz="6" w:space="0" w:color="auto"/>
              <w:right w:val="single" w:sz="6" w:space="0" w:color="auto"/>
            </w:tcBorders>
            <w:shd w:val="clear" w:color="auto" w:fill="FFFFFF" w:themeFill="background1"/>
            <w:vAlign w:val="center"/>
            <w:hideMark/>
          </w:tcPr>
          <w:p w14:paraId="7D9AFB28" w14:textId="77777777" w:rsidR="009A0319" w:rsidRPr="00900FA0" w:rsidRDefault="009A0319" w:rsidP="00DE5D24">
            <w:pPr>
              <w:textAlignment w:val="baseline"/>
              <w:rPr>
                <w:rFonts w:ascii="Arial" w:hAnsi="Arial" w:cs="Arial"/>
              </w:rPr>
            </w:pPr>
          </w:p>
        </w:tc>
        <w:tc>
          <w:tcPr>
            <w:tcW w:w="3736" w:type="dxa"/>
            <w:tcBorders>
              <w:top w:val="single" w:sz="6" w:space="0" w:color="auto"/>
              <w:left w:val="nil"/>
              <w:bottom w:val="single" w:sz="6" w:space="0" w:color="auto"/>
              <w:right w:val="single" w:sz="6" w:space="0" w:color="auto"/>
            </w:tcBorders>
            <w:shd w:val="clear" w:color="auto" w:fill="FFFFFF" w:themeFill="background1"/>
            <w:vAlign w:val="center"/>
            <w:hideMark/>
          </w:tcPr>
          <w:p w14:paraId="3DA21E4C" w14:textId="77777777" w:rsidR="009A0319" w:rsidRPr="00A532DB" w:rsidRDefault="009A0319" w:rsidP="00DE5D24">
            <w:pPr>
              <w:jc w:val="center"/>
              <w:textAlignment w:val="baseline"/>
              <w:rPr>
                <w:rFonts w:ascii="Arial" w:hAnsi="Arial" w:cs="Arial"/>
              </w:rPr>
            </w:pPr>
            <w:r w:rsidRPr="00A532DB">
              <w:rPr>
                <w:rFonts w:ascii="Arial" w:hAnsi="Arial" w:cs="Arial"/>
                <w:b/>
              </w:rPr>
              <w:t>APARTADO</w:t>
            </w:r>
          </w:p>
        </w:tc>
        <w:tc>
          <w:tcPr>
            <w:tcW w:w="3685" w:type="dxa"/>
            <w:tcBorders>
              <w:top w:val="single" w:sz="6" w:space="0" w:color="auto"/>
              <w:left w:val="nil"/>
              <w:bottom w:val="single" w:sz="6" w:space="0" w:color="auto"/>
              <w:right w:val="single" w:sz="6" w:space="0" w:color="auto"/>
            </w:tcBorders>
            <w:shd w:val="clear" w:color="auto" w:fill="FFFFFF" w:themeFill="background1"/>
            <w:vAlign w:val="center"/>
            <w:hideMark/>
          </w:tcPr>
          <w:p w14:paraId="0F7131B0" w14:textId="77777777" w:rsidR="009A0319" w:rsidRPr="00A532DB" w:rsidRDefault="009A0319" w:rsidP="00DE5D24">
            <w:pPr>
              <w:jc w:val="center"/>
              <w:textAlignment w:val="baseline"/>
              <w:rPr>
                <w:rFonts w:ascii="Arial" w:hAnsi="Arial" w:cs="Arial"/>
              </w:rPr>
            </w:pPr>
            <w:r w:rsidRPr="00A532DB">
              <w:rPr>
                <w:rFonts w:ascii="Arial" w:hAnsi="Arial" w:cs="Arial"/>
                <w:b/>
              </w:rPr>
              <w:t>DECISIÓN</w:t>
            </w:r>
          </w:p>
        </w:tc>
        <w:tc>
          <w:tcPr>
            <w:tcW w:w="1035" w:type="dxa"/>
            <w:tcBorders>
              <w:top w:val="single" w:sz="6" w:space="0" w:color="auto"/>
              <w:left w:val="nil"/>
              <w:bottom w:val="single" w:sz="6" w:space="0" w:color="auto"/>
              <w:right w:val="single" w:sz="6" w:space="0" w:color="auto"/>
            </w:tcBorders>
            <w:shd w:val="clear" w:color="auto" w:fill="FFFFFF" w:themeFill="background1"/>
            <w:vAlign w:val="center"/>
            <w:hideMark/>
          </w:tcPr>
          <w:p w14:paraId="048BEBE2" w14:textId="77777777" w:rsidR="009A0319" w:rsidRPr="00A532DB" w:rsidRDefault="009A0319" w:rsidP="00DE5D24">
            <w:pPr>
              <w:jc w:val="center"/>
              <w:textAlignment w:val="baseline"/>
              <w:rPr>
                <w:rFonts w:ascii="Arial" w:hAnsi="Arial" w:cs="Arial"/>
              </w:rPr>
            </w:pPr>
            <w:r w:rsidRPr="00A532DB">
              <w:rPr>
                <w:rFonts w:ascii="Arial" w:hAnsi="Arial" w:cs="Arial"/>
                <w:b/>
              </w:rPr>
              <w:t>PÁGS.</w:t>
            </w:r>
          </w:p>
        </w:tc>
      </w:tr>
      <w:tr w:rsidR="009A0319" w:rsidRPr="00C93119" w14:paraId="624AEA3A" w14:textId="77777777" w:rsidTr="00F82725">
        <w:trPr>
          <w:trHeight w:val="555"/>
        </w:trPr>
        <w:tc>
          <w:tcPr>
            <w:tcW w:w="0" w:type="auto"/>
            <w:tcBorders>
              <w:top w:val="nil"/>
              <w:left w:val="single" w:sz="6" w:space="0" w:color="auto"/>
              <w:bottom w:val="single" w:sz="6" w:space="0" w:color="auto"/>
              <w:right w:val="single" w:sz="6" w:space="0" w:color="auto"/>
            </w:tcBorders>
            <w:shd w:val="clear" w:color="auto" w:fill="FFFFFF" w:themeFill="background1"/>
            <w:vAlign w:val="center"/>
            <w:hideMark/>
          </w:tcPr>
          <w:p w14:paraId="15814B60" w14:textId="77777777" w:rsidR="009A0319" w:rsidRPr="00A532DB" w:rsidRDefault="009A0319" w:rsidP="00DE5D24">
            <w:pPr>
              <w:jc w:val="center"/>
              <w:textAlignment w:val="baseline"/>
              <w:rPr>
                <w:rFonts w:ascii="Arial" w:hAnsi="Arial" w:cs="Arial"/>
              </w:rPr>
            </w:pPr>
            <w:r w:rsidRPr="00A532DB">
              <w:rPr>
                <w:rFonts w:ascii="Arial" w:hAnsi="Arial" w:cs="Arial"/>
                <w:b/>
              </w:rPr>
              <w:t>I.</w:t>
            </w:r>
          </w:p>
        </w:tc>
        <w:tc>
          <w:tcPr>
            <w:tcW w:w="3736" w:type="dxa"/>
            <w:tcBorders>
              <w:top w:val="nil"/>
              <w:left w:val="nil"/>
              <w:bottom w:val="single" w:sz="6" w:space="0" w:color="auto"/>
              <w:right w:val="single" w:sz="6" w:space="0" w:color="auto"/>
            </w:tcBorders>
            <w:shd w:val="clear" w:color="auto" w:fill="FFFFFF" w:themeFill="background1"/>
            <w:vAlign w:val="center"/>
            <w:hideMark/>
          </w:tcPr>
          <w:p w14:paraId="1C355CB2" w14:textId="50542CB5" w:rsidR="009A0319" w:rsidRPr="00A532DB" w:rsidRDefault="000A4216" w:rsidP="00DE5D24">
            <w:pPr>
              <w:ind w:left="117" w:right="134"/>
              <w:textAlignment w:val="baseline"/>
              <w:rPr>
                <w:rFonts w:ascii="Arial" w:hAnsi="Arial" w:cs="Arial"/>
                <w:b/>
              </w:rPr>
            </w:pPr>
            <w:r>
              <w:rPr>
                <w:rFonts w:ascii="Arial" w:hAnsi="Arial" w:cs="Arial"/>
                <w:b/>
              </w:rPr>
              <w:t>ANTECEDENTES</w:t>
            </w:r>
          </w:p>
        </w:tc>
        <w:tc>
          <w:tcPr>
            <w:tcW w:w="3685" w:type="dxa"/>
            <w:tcBorders>
              <w:top w:val="nil"/>
              <w:left w:val="nil"/>
              <w:bottom w:val="single" w:sz="6" w:space="0" w:color="auto"/>
              <w:right w:val="single" w:sz="6" w:space="0" w:color="auto"/>
            </w:tcBorders>
            <w:shd w:val="clear" w:color="auto" w:fill="FFFFFF" w:themeFill="background1"/>
            <w:vAlign w:val="center"/>
            <w:hideMark/>
          </w:tcPr>
          <w:p w14:paraId="4631E2B1" w14:textId="7687FC5A" w:rsidR="009A0319" w:rsidRPr="00A532DB" w:rsidRDefault="009A0319" w:rsidP="00DE5D24">
            <w:pPr>
              <w:ind w:left="138" w:right="134"/>
              <w:jc w:val="both"/>
              <w:textAlignment w:val="baseline"/>
              <w:rPr>
                <w:rFonts w:ascii="Arial" w:hAnsi="Arial" w:cs="Arial"/>
              </w:rPr>
            </w:pPr>
            <w:r w:rsidRPr="00A532DB">
              <w:rPr>
                <w:rFonts w:ascii="Arial" w:hAnsi="Arial" w:cs="Arial"/>
              </w:rPr>
              <w:t xml:space="preserve">Se narran los antecedentes </w:t>
            </w:r>
            <w:r w:rsidR="00D1702D">
              <w:rPr>
                <w:rFonts w:ascii="Arial" w:hAnsi="Arial" w:cs="Arial"/>
              </w:rPr>
              <w:t xml:space="preserve">procesales </w:t>
            </w:r>
            <w:r w:rsidR="000A2761">
              <w:rPr>
                <w:rFonts w:ascii="Arial" w:hAnsi="Arial" w:cs="Arial"/>
              </w:rPr>
              <w:t>del asunto</w:t>
            </w:r>
          </w:p>
        </w:tc>
        <w:tc>
          <w:tcPr>
            <w:tcW w:w="1035" w:type="dxa"/>
            <w:tcBorders>
              <w:top w:val="nil"/>
              <w:left w:val="nil"/>
              <w:bottom w:val="single" w:sz="6" w:space="0" w:color="auto"/>
              <w:right w:val="single" w:sz="6" w:space="0" w:color="auto"/>
            </w:tcBorders>
            <w:shd w:val="clear" w:color="auto" w:fill="FFFFFF" w:themeFill="background1"/>
            <w:vAlign w:val="center"/>
            <w:hideMark/>
          </w:tcPr>
          <w:p w14:paraId="02D28BD4" w14:textId="290CD490" w:rsidR="009A0319" w:rsidRPr="00A532DB" w:rsidRDefault="00E90CD6" w:rsidP="00DE5D24">
            <w:pPr>
              <w:jc w:val="center"/>
              <w:textAlignment w:val="baseline"/>
              <w:rPr>
                <w:rFonts w:ascii="Arial" w:hAnsi="Arial" w:cs="Arial"/>
              </w:rPr>
            </w:pPr>
            <w:r>
              <w:rPr>
                <w:rFonts w:ascii="Arial" w:hAnsi="Arial" w:cs="Arial"/>
              </w:rPr>
              <w:t>1-2</w:t>
            </w:r>
          </w:p>
        </w:tc>
      </w:tr>
      <w:tr w:rsidR="009A0319" w:rsidRPr="00C93119" w14:paraId="743DF280" w14:textId="77777777" w:rsidTr="00F82725">
        <w:trPr>
          <w:trHeight w:val="870"/>
        </w:trPr>
        <w:tc>
          <w:tcPr>
            <w:tcW w:w="0" w:type="auto"/>
            <w:tcBorders>
              <w:top w:val="nil"/>
              <w:left w:val="single" w:sz="6" w:space="0" w:color="auto"/>
              <w:bottom w:val="single" w:sz="6" w:space="0" w:color="auto"/>
              <w:right w:val="single" w:sz="6" w:space="0" w:color="auto"/>
            </w:tcBorders>
            <w:shd w:val="clear" w:color="auto" w:fill="FFFFFF" w:themeFill="background1"/>
            <w:vAlign w:val="center"/>
            <w:hideMark/>
          </w:tcPr>
          <w:p w14:paraId="6F08A556" w14:textId="77777777" w:rsidR="009A0319" w:rsidRPr="00A532DB" w:rsidRDefault="009A0319" w:rsidP="00DE5D24">
            <w:pPr>
              <w:jc w:val="center"/>
              <w:textAlignment w:val="baseline"/>
              <w:rPr>
                <w:rFonts w:ascii="Arial" w:hAnsi="Arial" w:cs="Arial"/>
              </w:rPr>
            </w:pPr>
            <w:r w:rsidRPr="00A532DB">
              <w:rPr>
                <w:rFonts w:ascii="Arial" w:hAnsi="Arial" w:cs="Arial"/>
                <w:b/>
              </w:rPr>
              <w:t>II.</w:t>
            </w:r>
          </w:p>
        </w:tc>
        <w:tc>
          <w:tcPr>
            <w:tcW w:w="3736" w:type="dxa"/>
            <w:tcBorders>
              <w:top w:val="nil"/>
              <w:left w:val="nil"/>
              <w:bottom w:val="single" w:sz="6" w:space="0" w:color="auto"/>
              <w:right w:val="single" w:sz="6" w:space="0" w:color="auto"/>
            </w:tcBorders>
            <w:shd w:val="clear" w:color="auto" w:fill="FFFFFF" w:themeFill="background1"/>
            <w:vAlign w:val="center"/>
            <w:hideMark/>
          </w:tcPr>
          <w:p w14:paraId="39BBC529" w14:textId="74148429" w:rsidR="009A0319" w:rsidRPr="00A532DB" w:rsidRDefault="009A0319" w:rsidP="00DE5D24">
            <w:pPr>
              <w:ind w:left="117" w:right="134"/>
              <w:textAlignment w:val="baseline"/>
              <w:rPr>
                <w:rFonts w:ascii="Arial" w:hAnsi="Arial" w:cs="Arial"/>
                <w:b/>
              </w:rPr>
            </w:pPr>
            <w:r w:rsidRPr="00A532DB">
              <w:rPr>
                <w:rFonts w:ascii="Arial" w:hAnsi="Arial" w:cs="Arial"/>
                <w:b/>
              </w:rPr>
              <w:t>C</w:t>
            </w:r>
            <w:r w:rsidR="00A5532F">
              <w:rPr>
                <w:rFonts w:ascii="Arial" w:hAnsi="Arial" w:cs="Arial"/>
                <w:b/>
              </w:rPr>
              <w:t>OMPETENCIA</w:t>
            </w:r>
          </w:p>
        </w:tc>
        <w:tc>
          <w:tcPr>
            <w:tcW w:w="3685" w:type="dxa"/>
            <w:tcBorders>
              <w:top w:val="nil"/>
              <w:left w:val="nil"/>
              <w:bottom w:val="single" w:sz="6" w:space="0" w:color="auto"/>
              <w:right w:val="single" w:sz="6" w:space="0" w:color="auto"/>
            </w:tcBorders>
            <w:shd w:val="clear" w:color="auto" w:fill="FFFFFF" w:themeFill="background1"/>
            <w:vAlign w:val="center"/>
            <w:hideMark/>
          </w:tcPr>
          <w:p w14:paraId="7387858A" w14:textId="77777777" w:rsidR="009A0319" w:rsidRPr="00A532DB" w:rsidRDefault="009A0319" w:rsidP="00DE5D24">
            <w:pPr>
              <w:ind w:left="138" w:right="134"/>
              <w:jc w:val="both"/>
              <w:textAlignment w:val="baseline"/>
              <w:rPr>
                <w:rFonts w:ascii="Arial" w:hAnsi="Arial" w:cs="Arial"/>
              </w:rPr>
            </w:pPr>
            <w:r w:rsidRPr="00A532DB">
              <w:rPr>
                <w:rFonts w:ascii="Arial" w:hAnsi="Arial" w:cs="Arial"/>
              </w:rPr>
              <w:t>El Pleno de esta Suprema Corte de Justicia de la Nación es competente para conocer del presente asunto.</w:t>
            </w:r>
          </w:p>
        </w:tc>
        <w:tc>
          <w:tcPr>
            <w:tcW w:w="1035" w:type="dxa"/>
            <w:tcBorders>
              <w:top w:val="nil"/>
              <w:left w:val="nil"/>
              <w:bottom w:val="single" w:sz="6" w:space="0" w:color="auto"/>
              <w:right w:val="single" w:sz="6" w:space="0" w:color="auto"/>
            </w:tcBorders>
            <w:shd w:val="clear" w:color="auto" w:fill="FFFFFF" w:themeFill="background1"/>
            <w:vAlign w:val="center"/>
            <w:hideMark/>
          </w:tcPr>
          <w:p w14:paraId="311B028F" w14:textId="3231B514" w:rsidR="009A0319" w:rsidRPr="00A532DB" w:rsidRDefault="00E90CD6" w:rsidP="00DE5D24">
            <w:pPr>
              <w:jc w:val="center"/>
              <w:textAlignment w:val="baseline"/>
              <w:rPr>
                <w:rFonts w:ascii="Arial" w:hAnsi="Arial" w:cs="Arial"/>
              </w:rPr>
            </w:pPr>
            <w:r>
              <w:rPr>
                <w:rFonts w:ascii="Arial" w:hAnsi="Arial" w:cs="Arial"/>
              </w:rPr>
              <w:t>2-3</w:t>
            </w:r>
          </w:p>
        </w:tc>
      </w:tr>
      <w:tr w:rsidR="009A0319" w:rsidRPr="00C93119" w14:paraId="5A7B4481" w14:textId="77777777" w:rsidTr="00F82725">
        <w:trPr>
          <w:trHeight w:val="870"/>
        </w:trPr>
        <w:tc>
          <w:tcPr>
            <w:tcW w:w="0" w:type="auto"/>
            <w:tcBorders>
              <w:top w:val="nil"/>
              <w:left w:val="single" w:sz="6" w:space="0" w:color="auto"/>
              <w:bottom w:val="single" w:sz="6" w:space="0" w:color="auto"/>
              <w:right w:val="single" w:sz="6" w:space="0" w:color="auto"/>
            </w:tcBorders>
            <w:shd w:val="clear" w:color="auto" w:fill="FFFFFF" w:themeFill="background1"/>
            <w:vAlign w:val="center"/>
            <w:hideMark/>
          </w:tcPr>
          <w:p w14:paraId="078D0E71" w14:textId="77777777" w:rsidR="009A0319" w:rsidRPr="00A532DB" w:rsidRDefault="009A0319" w:rsidP="00DE5D24">
            <w:pPr>
              <w:jc w:val="center"/>
              <w:textAlignment w:val="baseline"/>
              <w:rPr>
                <w:rFonts w:ascii="Arial" w:hAnsi="Arial" w:cs="Arial"/>
              </w:rPr>
            </w:pPr>
            <w:r w:rsidRPr="00A532DB">
              <w:rPr>
                <w:rFonts w:ascii="Arial" w:hAnsi="Arial" w:cs="Arial"/>
                <w:b/>
              </w:rPr>
              <w:t>III.</w:t>
            </w:r>
          </w:p>
        </w:tc>
        <w:tc>
          <w:tcPr>
            <w:tcW w:w="3736" w:type="dxa"/>
            <w:tcBorders>
              <w:top w:val="nil"/>
              <w:left w:val="nil"/>
              <w:bottom w:val="single" w:sz="6" w:space="0" w:color="auto"/>
              <w:right w:val="single" w:sz="6" w:space="0" w:color="auto"/>
            </w:tcBorders>
            <w:shd w:val="clear" w:color="auto" w:fill="FFFFFF" w:themeFill="background1"/>
            <w:vAlign w:val="center"/>
            <w:hideMark/>
          </w:tcPr>
          <w:p w14:paraId="496FB4EE" w14:textId="77777777" w:rsidR="009A0319" w:rsidRPr="00A532DB" w:rsidRDefault="009A0319" w:rsidP="00DE5D24">
            <w:pPr>
              <w:ind w:left="117" w:right="134"/>
              <w:textAlignment w:val="baseline"/>
              <w:rPr>
                <w:rFonts w:ascii="Arial" w:hAnsi="Arial" w:cs="Arial"/>
                <w:b/>
              </w:rPr>
            </w:pPr>
            <w:r w:rsidRPr="00A532DB">
              <w:rPr>
                <w:rFonts w:ascii="Arial" w:hAnsi="Arial" w:cs="Arial"/>
                <w:b/>
              </w:rPr>
              <w:t>PROCEDENCIA</w:t>
            </w:r>
          </w:p>
        </w:tc>
        <w:tc>
          <w:tcPr>
            <w:tcW w:w="3685" w:type="dxa"/>
            <w:tcBorders>
              <w:top w:val="nil"/>
              <w:left w:val="nil"/>
              <w:bottom w:val="single" w:sz="6" w:space="0" w:color="auto"/>
              <w:right w:val="single" w:sz="6" w:space="0" w:color="auto"/>
            </w:tcBorders>
            <w:shd w:val="clear" w:color="auto" w:fill="FFFFFF" w:themeFill="background1"/>
            <w:vAlign w:val="center"/>
            <w:hideMark/>
          </w:tcPr>
          <w:p w14:paraId="5D7CEAEC" w14:textId="521F16D9" w:rsidR="009A0319" w:rsidRPr="00A532DB" w:rsidRDefault="00B13035" w:rsidP="00DE5D24">
            <w:pPr>
              <w:ind w:left="138" w:right="134"/>
              <w:jc w:val="both"/>
              <w:textAlignment w:val="baseline"/>
              <w:rPr>
                <w:rFonts w:ascii="Arial" w:hAnsi="Arial" w:cs="Arial"/>
              </w:rPr>
            </w:pPr>
            <w:r>
              <w:rPr>
                <w:rFonts w:ascii="Arial" w:hAnsi="Arial" w:cs="Arial"/>
              </w:rPr>
              <w:t xml:space="preserve">La </w:t>
            </w:r>
            <w:r w:rsidR="00A52A4D">
              <w:rPr>
                <w:rFonts w:ascii="Arial" w:hAnsi="Arial" w:cs="Arial"/>
              </w:rPr>
              <w:t>Declaratoria General de Inconstitucionalidad es</w:t>
            </w:r>
            <w:r w:rsidR="009A0319" w:rsidRPr="00A532DB">
              <w:rPr>
                <w:rFonts w:ascii="Arial" w:hAnsi="Arial" w:cs="Arial"/>
              </w:rPr>
              <w:t xml:space="preserve"> procedente.</w:t>
            </w:r>
          </w:p>
        </w:tc>
        <w:tc>
          <w:tcPr>
            <w:tcW w:w="1035" w:type="dxa"/>
            <w:tcBorders>
              <w:top w:val="nil"/>
              <w:left w:val="nil"/>
              <w:bottom w:val="single" w:sz="6" w:space="0" w:color="auto"/>
              <w:right w:val="single" w:sz="6" w:space="0" w:color="auto"/>
            </w:tcBorders>
            <w:shd w:val="clear" w:color="auto" w:fill="FFFFFF" w:themeFill="background1"/>
            <w:vAlign w:val="center"/>
            <w:hideMark/>
          </w:tcPr>
          <w:p w14:paraId="1C4D3F1F" w14:textId="445FCEE2" w:rsidR="009A0319" w:rsidRPr="00A532DB" w:rsidRDefault="00E90CD6" w:rsidP="00E90CD6">
            <w:pPr>
              <w:jc w:val="center"/>
              <w:textAlignment w:val="baseline"/>
              <w:rPr>
                <w:rFonts w:ascii="Arial" w:hAnsi="Arial" w:cs="Arial"/>
              </w:rPr>
            </w:pPr>
            <w:r>
              <w:rPr>
                <w:rFonts w:ascii="Arial" w:hAnsi="Arial" w:cs="Arial"/>
              </w:rPr>
              <w:t>3-4</w:t>
            </w:r>
          </w:p>
        </w:tc>
      </w:tr>
      <w:tr w:rsidR="009A0319" w:rsidRPr="00C93119" w14:paraId="4F83A308" w14:textId="77777777" w:rsidTr="00F82725">
        <w:trPr>
          <w:trHeight w:val="495"/>
        </w:trPr>
        <w:tc>
          <w:tcPr>
            <w:tcW w:w="0" w:type="auto"/>
            <w:tcBorders>
              <w:top w:val="nil"/>
              <w:left w:val="single" w:sz="6" w:space="0" w:color="auto"/>
              <w:bottom w:val="single" w:sz="6" w:space="0" w:color="auto"/>
              <w:right w:val="single" w:sz="6" w:space="0" w:color="auto"/>
            </w:tcBorders>
            <w:shd w:val="clear" w:color="auto" w:fill="FFFFFF" w:themeFill="background1"/>
            <w:vAlign w:val="center"/>
            <w:hideMark/>
          </w:tcPr>
          <w:p w14:paraId="45FFE433" w14:textId="77777777" w:rsidR="009A0319" w:rsidRPr="00A532DB" w:rsidRDefault="009A0319" w:rsidP="00DE5D24">
            <w:pPr>
              <w:jc w:val="center"/>
              <w:textAlignment w:val="baseline"/>
              <w:rPr>
                <w:rFonts w:ascii="Arial" w:hAnsi="Arial" w:cs="Arial"/>
              </w:rPr>
            </w:pPr>
            <w:r w:rsidRPr="00A532DB">
              <w:rPr>
                <w:rFonts w:ascii="Arial" w:hAnsi="Arial" w:cs="Arial"/>
                <w:b/>
              </w:rPr>
              <w:t>IV.</w:t>
            </w:r>
          </w:p>
        </w:tc>
        <w:tc>
          <w:tcPr>
            <w:tcW w:w="3736" w:type="dxa"/>
            <w:tcBorders>
              <w:top w:val="nil"/>
              <w:left w:val="nil"/>
              <w:bottom w:val="single" w:sz="6" w:space="0" w:color="auto"/>
              <w:right w:val="single" w:sz="6" w:space="0" w:color="auto"/>
            </w:tcBorders>
            <w:shd w:val="clear" w:color="auto" w:fill="FFFFFF" w:themeFill="background1"/>
            <w:vAlign w:val="center"/>
            <w:hideMark/>
          </w:tcPr>
          <w:p w14:paraId="04E2627B" w14:textId="77777777" w:rsidR="009A0319" w:rsidRPr="00A532DB" w:rsidRDefault="009A0319" w:rsidP="00DE5D24">
            <w:pPr>
              <w:ind w:left="117" w:right="134"/>
              <w:textAlignment w:val="baseline"/>
              <w:rPr>
                <w:rFonts w:ascii="Arial" w:hAnsi="Arial" w:cs="Arial"/>
                <w:b/>
              </w:rPr>
            </w:pPr>
            <w:r w:rsidRPr="00A532DB">
              <w:rPr>
                <w:rFonts w:ascii="Arial" w:hAnsi="Arial" w:cs="Arial"/>
                <w:b/>
              </w:rPr>
              <w:t>LEGITIMACIÓN</w:t>
            </w:r>
          </w:p>
        </w:tc>
        <w:tc>
          <w:tcPr>
            <w:tcW w:w="3685" w:type="dxa"/>
            <w:tcBorders>
              <w:top w:val="nil"/>
              <w:left w:val="nil"/>
              <w:bottom w:val="single" w:sz="6" w:space="0" w:color="auto"/>
              <w:right w:val="single" w:sz="6" w:space="0" w:color="auto"/>
            </w:tcBorders>
            <w:shd w:val="clear" w:color="auto" w:fill="FFFFFF" w:themeFill="background1"/>
            <w:vAlign w:val="center"/>
            <w:hideMark/>
          </w:tcPr>
          <w:p w14:paraId="7BE8B603" w14:textId="51C53951" w:rsidR="009A0319" w:rsidRPr="00A532DB" w:rsidRDefault="00A52A4D" w:rsidP="00DE5D24">
            <w:pPr>
              <w:ind w:left="138" w:right="134"/>
              <w:jc w:val="both"/>
              <w:textAlignment w:val="baseline"/>
              <w:rPr>
                <w:rFonts w:ascii="Arial" w:hAnsi="Arial" w:cs="Arial"/>
              </w:rPr>
            </w:pPr>
            <w:r>
              <w:rPr>
                <w:rFonts w:ascii="Arial" w:hAnsi="Arial" w:cs="Arial"/>
              </w:rPr>
              <w:t xml:space="preserve">La Declaratoria General de Inconstitucionalidad </w:t>
            </w:r>
            <w:r w:rsidR="009A0319" w:rsidRPr="00A532DB">
              <w:rPr>
                <w:rFonts w:ascii="Arial" w:hAnsi="Arial" w:cs="Arial"/>
              </w:rPr>
              <w:t xml:space="preserve">fue </w:t>
            </w:r>
            <w:r w:rsidR="00791A6B">
              <w:rPr>
                <w:rFonts w:ascii="Arial" w:hAnsi="Arial" w:cs="Arial"/>
              </w:rPr>
              <w:t>formulada</w:t>
            </w:r>
            <w:r w:rsidR="009A0319" w:rsidRPr="00A532DB">
              <w:rPr>
                <w:rFonts w:ascii="Arial" w:hAnsi="Arial" w:cs="Arial"/>
              </w:rPr>
              <w:t xml:space="preserve"> por parte legitimada.</w:t>
            </w:r>
          </w:p>
        </w:tc>
        <w:tc>
          <w:tcPr>
            <w:tcW w:w="1035" w:type="dxa"/>
            <w:tcBorders>
              <w:top w:val="nil"/>
              <w:left w:val="nil"/>
              <w:bottom w:val="single" w:sz="6" w:space="0" w:color="auto"/>
              <w:right w:val="single" w:sz="6" w:space="0" w:color="auto"/>
            </w:tcBorders>
            <w:shd w:val="clear" w:color="auto" w:fill="FFFFFF" w:themeFill="background1"/>
            <w:vAlign w:val="center"/>
            <w:hideMark/>
          </w:tcPr>
          <w:p w14:paraId="299B8D2C" w14:textId="2A90804E" w:rsidR="009A0319" w:rsidRPr="00A532DB" w:rsidRDefault="00E90CD6" w:rsidP="00DE5D24">
            <w:pPr>
              <w:jc w:val="center"/>
              <w:textAlignment w:val="baseline"/>
              <w:rPr>
                <w:rFonts w:ascii="Arial" w:hAnsi="Arial" w:cs="Arial"/>
              </w:rPr>
            </w:pPr>
            <w:r>
              <w:rPr>
                <w:rFonts w:ascii="Arial" w:hAnsi="Arial" w:cs="Arial"/>
              </w:rPr>
              <w:t>4</w:t>
            </w:r>
          </w:p>
        </w:tc>
      </w:tr>
      <w:tr w:rsidR="009A0319" w:rsidRPr="00C93119" w14:paraId="7092E012" w14:textId="77777777" w:rsidTr="00F82725">
        <w:trPr>
          <w:trHeight w:val="540"/>
        </w:trPr>
        <w:tc>
          <w:tcPr>
            <w:tcW w:w="0" w:type="auto"/>
            <w:tcBorders>
              <w:top w:val="nil"/>
              <w:left w:val="single" w:sz="6" w:space="0" w:color="auto"/>
              <w:bottom w:val="single" w:sz="6" w:space="0" w:color="auto"/>
              <w:right w:val="single" w:sz="6" w:space="0" w:color="auto"/>
            </w:tcBorders>
            <w:shd w:val="clear" w:color="auto" w:fill="FFFFFF" w:themeFill="background1"/>
            <w:vAlign w:val="center"/>
            <w:hideMark/>
          </w:tcPr>
          <w:p w14:paraId="08123FC7" w14:textId="77777777" w:rsidR="009A0319" w:rsidRPr="00A532DB" w:rsidRDefault="009A0319" w:rsidP="00DE5D24">
            <w:pPr>
              <w:jc w:val="center"/>
              <w:textAlignment w:val="baseline"/>
              <w:rPr>
                <w:rFonts w:ascii="Arial" w:hAnsi="Arial" w:cs="Arial"/>
              </w:rPr>
            </w:pPr>
            <w:r w:rsidRPr="00A532DB">
              <w:rPr>
                <w:rFonts w:ascii="Arial" w:hAnsi="Arial" w:cs="Arial"/>
                <w:b/>
              </w:rPr>
              <w:t>V.</w:t>
            </w:r>
          </w:p>
        </w:tc>
        <w:tc>
          <w:tcPr>
            <w:tcW w:w="3736" w:type="dxa"/>
            <w:tcBorders>
              <w:top w:val="nil"/>
              <w:left w:val="nil"/>
              <w:bottom w:val="single" w:sz="6" w:space="0" w:color="auto"/>
              <w:right w:val="single" w:sz="6" w:space="0" w:color="auto"/>
            </w:tcBorders>
            <w:shd w:val="clear" w:color="auto" w:fill="FFFFFF" w:themeFill="background1"/>
            <w:vAlign w:val="center"/>
            <w:hideMark/>
          </w:tcPr>
          <w:p w14:paraId="3F256EEA" w14:textId="0DBC69B6" w:rsidR="009A0319" w:rsidRPr="00A532DB" w:rsidRDefault="00DD08AE" w:rsidP="00DE5D24">
            <w:pPr>
              <w:ind w:left="117" w:right="134"/>
              <w:textAlignment w:val="baseline"/>
              <w:rPr>
                <w:rFonts w:ascii="Arial" w:hAnsi="Arial" w:cs="Arial"/>
                <w:b/>
              </w:rPr>
            </w:pPr>
            <w:r>
              <w:rPr>
                <w:rFonts w:ascii="Arial" w:hAnsi="Arial" w:cs="Arial"/>
                <w:b/>
              </w:rPr>
              <w:t>ELEMENTOS NECESARIOS PARA RESOLVER</w:t>
            </w:r>
          </w:p>
        </w:tc>
        <w:tc>
          <w:tcPr>
            <w:tcW w:w="3685" w:type="dxa"/>
            <w:tcBorders>
              <w:top w:val="nil"/>
              <w:left w:val="nil"/>
              <w:bottom w:val="single" w:sz="6" w:space="0" w:color="auto"/>
              <w:right w:val="single" w:sz="6" w:space="0" w:color="auto"/>
            </w:tcBorders>
            <w:shd w:val="clear" w:color="auto" w:fill="FFFFFF" w:themeFill="background1"/>
            <w:vAlign w:val="center"/>
            <w:hideMark/>
          </w:tcPr>
          <w:p w14:paraId="1A1CD4A3" w14:textId="72E3EE3D" w:rsidR="009A0319" w:rsidRPr="00A532DB" w:rsidRDefault="00A52A4D" w:rsidP="00DE5D24">
            <w:pPr>
              <w:ind w:left="138" w:right="134"/>
              <w:jc w:val="both"/>
              <w:textAlignment w:val="baseline"/>
              <w:rPr>
                <w:rFonts w:ascii="Arial" w:hAnsi="Arial" w:cs="Arial"/>
              </w:rPr>
            </w:pPr>
            <w:r w:rsidRPr="00A52A4D">
              <w:rPr>
                <w:rFonts w:ascii="Arial" w:hAnsi="Arial" w:cs="Arial"/>
              </w:rPr>
              <w:t>Se sintetiza el procedimiento previo a la declaratoria general de inconstitucionalidad</w:t>
            </w:r>
            <w:r w:rsidR="002673B2">
              <w:rPr>
                <w:rFonts w:ascii="Arial" w:hAnsi="Arial" w:cs="Arial"/>
              </w:rPr>
              <w:t>.</w:t>
            </w:r>
            <w:r w:rsidRPr="00A52A4D">
              <w:rPr>
                <w:rFonts w:ascii="Arial" w:hAnsi="Arial" w:cs="Arial"/>
              </w:rPr>
              <w:t xml:space="preserve"> </w:t>
            </w:r>
          </w:p>
        </w:tc>
        <w:tc>
          <w:tcPr>
            <w:tcW w:w="1035" w:type="dxa"/>
            <w:tcBorders>
              <w:top w:val="nil"/>
              <w:left w:val="nil"/>
              <w:bottom w:val="single" w:sz="6" w:space="0" w:color="auto"/>
              <w:right w:val="single" w:sz="6" w:space="0" w:color="auto"/>
            </w:tcBorders>
            <w:shd w:val="clear" w:color="auto" w:fill="FFFFFF" w:themeFill="background1"/>
            <w:vAlign w:val="center"/>
            <w:hideMark/>
          </w:tcPr>
          <w:p w14:paraId="5F162B95" w14:textId="21BB0A4C" w:rsidR="009A0319" w:rsidRPr="00A532DB" w:rsidRDefault="00E90CD6" w:rsidP="00DE5D24">
            <w:pPr>
              <w:jc w:val="center"/>
              <w:textAlignment w:val="baseline"/>
              <w:rPr>
                <w:rFonts w:ascii="Arial" w:hAnsi="Arial" w:cs="Arial"/>
              </w:rPr>
            </w:pPr>
            <w:r>
              <w:rPr>
                <w:rFonts w:ascii="Arial" w:hAnsi="Arial" w:cs="Arial"/>
              </w:rPr>
              <w:t>4-10</w:t>
            </w:r>
          </w:p>
        </w:tc>
      </w:tr>
      <w:tr w:rsidR="00AF6FF3" w:rsidRPr="00C93119" w14:paraId="4D82CBF1" w14:textId="77777777" w:rsidTr="00F1737A">
        <w:trPr>
          <w:trHeight w:val="540"/>
        </w:trPr>
        <w:tc>
          <w:tcPr>
            <w:tcW w:w="0" w:type="auto"/>
            <w:tcBorders>
              <w:top w:val="nil"/>
              <w:left w:val="single" w:sz="6" w:space="0" w:color="auto"/>
              <w:bottom w:val="single" w:sz="6" w:space="0" w:color="auto"/>
              <w:right w:val="single" w:sz="6" w:space="0" w:color="auto"/>
            </w:tcBorders>
            <w:shd w:val="clear" w:color="auto" w:fill="FFFFFF" w:themeFill="background1"/>
            <w:vAlign w:val="center"/>
            <w:hideMark/>
          </w:tcPr>
          <w:p w14:paraId="4DAB16C9" w14:textId="77777777" w:rsidR="00AF6FF3" w:rsidRPr="00A532DB" w:rsidRDefault="00AF6FF3" w:rsidP="00DE5D24">
            <w:pPr>
              <w:jc w:val="center"/>
              <w:textAlignment w:val="baseline"/>
              <w:rPr>
                <w:rFonts w:ascii="Arial" w:hAnsi="Arial" w:cs="Arial"/>
              </w:rPr>
            </w:pPr>
            <w:r w:rsidRPr="00A532DB">
              <w:rPr>
                <w:rFonts w:ascii="Arial" w:hAnsi="Arial" w:cs="Arial"/>
                <w:b/>
              </w:rPr>
              <w:t>VI.</w:t>
            </w:r>
          </w:p>
        </w:tc>
        <w:tc>
          <w:tcPr>
            <w:tcW w:w="7421" w:type="dxa"/>
            <w:gridSpan w:val="2"/>
            <w:tcBorders>
              <w:top w:val="nil"/>
              <w:left w:val="nil"/>
              <w:bottom w:val="single" w:sz="6" w:space="0" w:color="auto"/>
              <w:right w:val="single" w:sz="6" w:space="0" w:color="auto"/>
            </w:tcBorders>
            <w:shd w:val="clear" w:color="auto" w:fill="FFFFFF" w:themeFill="background1"/>
            <w:vAlign w:val="center"/>
            <w:hideMark/>
          </w:tcPr>
          <w:p w14:paraId="129BC006" w14:textId="6ACCFD97" w:rsidR="00AF6FF3" w:rsidRPr="00A532DB" w:rsidRDefault="00AF6FF3" w:rsidP="00DE5D24">
            <w:pPr>
              <w:ind w:left="138" w:right="134"/>
              <w:jc w:val="both"/>
              <w:textAlignment w:val="baseline"/>
              <w:rPr>
                <w:rFonts w:ascii="Arial" w:hAnsi="Arial" w:cs="Arial"/>
              </w:rPr>
            </w:pPr>
            <w:r w:rsidRPr="00A532DB">
              <w:rPr>
                <w:rFonts w:ascii="Arial" w:hAnsi="Arial" w:cs="Arial"/>
                <w:b/>
              </w:rPr>
              <w:t>ESTUDIO DE FONDO</w:t>
            </w:r>
            <w:r w:rsidRPr="00A532DB" w:rsidDel="00DD08AE">
              <w:rPr>
                <w:rFonts w:ascii="Arial" w:hAnsi="Arial" w:cs="Arial"/>
                <w:b/>
              </w:rPr>
              <w:t xml:space="preserve"> </w:t>
            </w:r>
          </w:p>
        </w:tc>
        <w:tc>
          <w:tcPr>
            <w:tcW w:w="1035" w:type="dxa"/>
            <w:tcBorders>
              <w:top w:val="nil"/>
              <w:left w:val="nil"/>
              <w:bottom w:val="single" w:sz="6" w:space="0" w:color="auto"/>
              <w:right w:val="single" w:sz="6" w:space="0" w:color="auto"/>
            </w:tcBorders>
            <w:shd w:val="clear" w:color="auto" w:fill="FFFFFF" w:themeFill="background1"/>
            <w:vAlign w:val="center"/>
            <w:hideMark/>
          </w:tcPr>
          <w:p w14:paraId="7C225E26" w14:textId="10B918AC" w:rsidR="00AF6FF3" w:rsidRPr="00A532DB" w:rsidRDefault="00AF6FF3" w:rsidP="00DE5D24">
            <w:pPr>
              <w:jc w:val="center"/>
              <w:textAlignment w:val="baseline"/>
              <w:rPr>
                <w:rFonts w:ascii="Arial" w:hAnsi="Arial" w:cs="Arial"/>
              </w:rPr>
            </w:pPr>
            <w:r>
              <w:rPr>
                <w:rFonts w:ascii="Arial" w:hAnsi="Arial" w:cs="Arial"/>
              </w:rPr>
              <w:t>10</w:t>
            </w:r>
          </w:p>
        </w:tc>
      </w:tr>
      <w:tr w:rsidR="00E2475E" w:rsidRPr="00C93119" w14:paraId="618AD7C4" w14:textId="77777777" w:rsidTr="00F82725">
        <w:trPr>
          <w:trHeight w:val="540"/>
        </w:trPr>
        <w:tc>
          <w:tcPr>
            <w:tcW w:w="0" w:type="auto"/>
            <w:tcBorders>
              <w:top w:val="nil"/>
              <w:left w:val="single" w:sz="6" w:space="0" w:color="auto"/>
              <w:bottom w:val="single" w:sz="6" w:space="0" w:color="auto"/>
              <w:right w:val="single" w:sz="6" w:space="0" w:color="auto"/>
            </w:tcBorders>
            <w:shd w:val="clear" w:color="auto" w:fill="FFFFFF" w:themeFill="background1"/>
            <w:vAlign w:val="center"/>
          </w:tcPr>
          <w:p w14:paraId="64C43DC4" w14:textId="2C0B52B6" w:rsidR="00E2475E" w:rsidRPr="00A532DB" w:rsidRDefault="005720B5" w:rsidP="00DE5D24">
            <w:pPr>
              <w:jc w:val="center"/>
              <w:textAlignment w:val="baseline"/>
              <w:rPr>
                <w:rFonts w:ascii="Arial" w:hAnsi="Arial" w:cs="Arial"/>
                <w:b/>
              </w:rPr>
            </w:pPr>
            <w:r>
              <w:rPr>
                <w:rFonts w:ascii="Arial" w:hAnsi="Arial" w:cs="Arial"/>
                <w:b/>
              </w:rPr>
              <w:t>VI</w:t>
            </w:r>
            <w:r w:rsidR="00BA32C6">
              <w:rPr>
                <w:rFonts w:ascii="Arial" w:hAnsi="Arial" w:cs="Arial"/>
                <w:b/>
              </w:rPr>
              <w:t>.1</w:t>
            </w:r>
          </w:p>
        </w:tc>
        <w:tc>
          <w:tcPr>
            <w:tcW w:w="3736" w:type="dxa"/>
            <w:tcBorders>
              <w:top w:val="nil"/>
              <w:left w:val="nil"/>
              <w:bottom w:val="single" w:sz="6" w:space="0" w:color="auto"/>
              <w:right w:val="single" w:sz="6" w:space="0" w:color="auto"/>
            </w:tcBorders>
            <w:shd w:val="clear" w:color="auto" w:fill="FFFFFF" w:themeFill="background1"/>
            <w:vAlign w:val="center"/>
          </w:tcPr>
          <w:p w14:paraId="57826BA2" w14:textId="56CBD973" w:rsidR="00E2475E" w:rsidRPr="00A532DB" w:rsidRDefault="00C82B73" w:rsidP="00BA32C6">
            <w:pPr>
              <w:ind w:left="117" w:right="134"/>
              <w:jc w:val="both"/>
              <w:textAlignment w:val="baseline"/>
              <w:rPr>
                <w:rFonts w:ascii="Arial" w:hAnsi="Arial" w:cs="Arial"/>
                <w:b/>
              </w:rPr>
            </w:pPr>
            <w:r w:rsidRPr="00BA32C6">
              <w:rPr>
                <w:rFonts w:ascii="Arial" w:hAnsi="Arial" w:cs="Arial"/>
                <w:b/>
              </w:rPr>
              <w:t>Requisitos para la declaratoria general de inconstitucionalidad.</w:t>
            </w:r>
          </w:p>
        </w:tc>
        <w:tc>
          <w:tcPr>
            <w:tcW w:w="3685" w:type="dxa"/>
            <w:tcBorders>
              <w:top w:val="nil"/>
              <w:left w:val="nil"/>
              <w:bottom w:val="single" w:sz="6" w:space="0" w:color="auto"/>
              <w:right w:val="single" w:sz="6" w:space="0" w:color="auto"/>
            </w:tcBorders>
            <w:shd w:val="clear" w:color="auto" w:fill="FFFFFF" w:themeFill="background1"/>
            <w:vAlign w:val="center"/>
          </w:tcPr>
          <w:p w14:paraId="7E62AF7A" w14:textId="77777777" w:rsidR="00E2475E" w:rsidRDefault="003D07E3" w:rsidP="00DE5D24">
            <w:pPr>
              <w:ind w:left="138" w:right="134"/>
              <w:jc w:val="both"/>
              <w:textAlignment w:val="baseline"/>
              <w:rPr>
                <w:rFonts w:ascii="Arial" w:hAnsi="Arial" w:cs="Arial"/>
                <w:i/>
                <w:iCs/>
              </w:rPr>
            </w:pPr>
            <w:r w:rsidRPr="003D07E3">
              <w:rPr>
                <w:rFonts w:ascii="Arial" w:hAnsi="Arial" w:cs="Arial"/>
                <w:b/>
                <w:bCs/>
                <w:i/>
                <w:iCs/>
              </w:rPr>
              <w:t>Criterio jurídico o ratio decidendi:</w:t>
            </w:r>
            <w:r w:rsidRPr="003D07E3">
              <w:rPr>
                <w:rFonts w:ascii="Arial" w:hAnsi="Arial" w:cs="Arial"/>
              </w:rPr>
              <w:t xml:space="preserve"> </w:t>
            </w:r>
            <w:r w:rsidRPr="00791A6B">
              <w:rPr>
                <w:rFonts w:ascii="Arial" w:hAnsi="Arial" w:cs="Arial"/>
                <w:i/>
                <w:iCs/>
              </w:rPr>
              <w:t>Con fundamento en el artículo 107, fracción II de la Constitución General, se declara la inconstitucionalidad general de las fracciones XI y XII del artículo 98 de la Ley para la Prevención y Gestión Integral de los Residuos Sólidos para el Estado de Oaxaca, en virtud de que, ha transcurrido en exceso el plazo de 90 (noventa) días sin que el Congreso de Oaxaca haya superado el problema de inconstitucionalidad.</w:t>
            </w:r>
          </w:p>
          <w:p w14:paraId="3F5E5223" w14:textId="77777777" w:rsidR="00791A6B" w:rsidRDefault="00791A6B" w:rsidP="00DE5D24">
            <w:pPr>
              <w:ind w:left="138" w:right="134"/>
              <w:jc w:val="both"/>
              <w:textAlignment w:val="baseline"/>
              <w:rPr>
                <w:rFonts w:ascii="Arial" w:hAnsi="Arial" w:cs="Arial"/>
              </w:rPr>
            </w:pPr>
          </w:p>
          <w:p w14:paraId="4168011D" w14:textId="5AFF539F" w:rsidR="00791A6B" w:rsidRPr="00791A6B" w:rsidRDefault="00C82B73" w:rsidP="00DE5D24">
            <w:pPr>
              <w:ind w:left="138" w:right="134"/>
              <w:jc w:val="both"/>
              <w:textAlignment w:val="baseline"/>
              <w:rPr>
                <w:rFonts w:ascii="Arial" w:hAnsi="Arial" w:cs="Arial"/>
              </w:rPr>
            </w:pPr>
            <w:r>
              <w:rPr>
                <w:rFonts w:ascii="Arial" w:hAnsi="Arial" w:cs="Arial"/>
              </w:rPr>
              <w:lastRenderedPageBreak/>
              <w:t xml:space="preserve">Se </w:t>
            </w:r>
            <w:r w:rsidR="001D691C">
              <w:rPr>
                <w:rFonts w:ascii="Arial" w:hAnsi="Arial" w:cs="Arial"/>
              </w:rPr>
              <w:t>expulsan del ordenamiento jurídico las disposiciones mencionadas.</w:t>
            </w:r>
          </w:p>
        </w:tc>
        <w:tc>
          <w:tcPr>
            <w:tcW w:w="1035" w:type="dxa"/>
            <w:tcBorders>
              <w:top w:val="nil"/>
              <w:left w:val="nil"/>
              <w:bottom w:val="single" w:sz="6" w:space="0" w:color="auto"/>
              <w:right w:val="single" w:sz="6" w:space="0" w:color="auto"/>
            </w:tcBorders>
            <w:shd w:val="clear" w:color="auto" w:fill="FFFFFF" w:themeFill="background1"/>
            <w:vAlign w:val="center"/>
          </w:tcPr>
          <w:p w14:paraId="4DFF9884" w14:textId="12F5F919" w:rsidR="00E2475E" w:rsidRPr="00A532DB" w:rsidRDefault="00E90CD6" w:rsidP="00DE5D24">
            <w:pPr>
              <w:jc w:val="center"/>
              <w:textAlignment w:val="baseline"/>
              <w:rPr>
                <w:rFonts w:ascii="Arial" w:hAnsi="Arial" w:cs="Arial"/>
              </w:rPr>
            </w:pPr>
            <w:r>
              <w:rPr>
                <w:rFonts w:ascii="Arial" w:hAnsi="Arial" w:cs="Arial"/>
              </w:rPr>
              <w:lastRenderedPageBreak/>
              <w:t>10-14</w:t>
            </w:r>
          </w:p>
        </w:tc>
      </w:tr>
      <w:tr w:rsidR="00AF6FF3" w:rsidRPr="00C93119" w14:paraId="0E6D01A9" w14:textId="77777777" w:rsidTr="00E85EE9">
        <w:trPr>
          <w:trHeight w:val="870"/>
        </w:trPr>
        <w:tc>
          <w:tcPr>
            <w:tcW w:w="0" w:type="auto"/>
            <w:tcBorders>
              <w:top w:val="nil"/>
              <w:left w:val="single" w:sz="6" w:space="0" w:color="auto"/>
              <w:bottom w:val="single" w:sz="6" w:space="0" w:color="auto"/>
              <w:right w:val="single" w:sz="6" w:space="0" w:color="auto"/>
            </w:tcBorders>
            <w:shd w:val="clear" w:color="auto" w:fill="FFFFFF" w:themeFill="background1"/>
            <w:vAlign w:val="center"/>
            <w:hideMark/>
          </w:tcPr>
          <w:p w14:paraId="2DD6CB5F" w14:textId="77777777" w:rsidR="00AF6FF3" w:rsidRPr="00A532DB" w:rsidRDefault="00AF6FF3" w:rsidP="00DE5D24">
            <w:pPr>
              <w:jc w:val="center"/>
              <w:textAlignment w:val="baseline"/>
              <w:rPr>
                <w:rFonts w:ascii="Arial" w:hAnsi="Arial" w:cs="Arial"/>
              </w:rPr>
            </w:pPr>
            <w:r w:rsidRPr="00A532DB">
              <w:rPr>
                <w:rFonts w:ascii="Arial" w:hAnsi="Arial" w:cs="Arial"/>
                <w:b/>
              </w:rPr>
              <w:t>VII.</w:t>
            </w:r>
          </w:p>
        </w:tc>
        <w:tc>
          <w:tcPr>
            <w:tcW w:w="7421" w:type="dxa"/>
            <w:gridSpan w:val="2"/>
            <w:tcBorders>
              <w:top w:val="nil"/>
              <w:left w:val="nil"/>
              <w:bottom w:val="single" w:sz="6" w:space="0" w:color="auto"/>
              <w:right w:val="single" w:sz="6" w:space="0" w:color="auto"/>
            </w:tcBorders>
            <w:shd w:val="clear" w:color="auto" w:fill="FFFFFF" w:themeFill="background1"/>
            <w:vAlign w:val="center"/>
            <w:hideMark/>
          </w:tcPr>
          <w:p w14:paraId="7DB166C6" w14:textId="27F71ED3" w:rsidR="00AF6FF3" w:rsidRPr="00A532DB" w:rsidRDefault="00AF6FF3" w:rsidP="00DE5D24">
            <w:pPr>
              <w:ind w:left="138" w:right="134"/>
              <w:jc w:val="both"/>
              <w:textAlignment w:val="baseline"/>
              <w:rPr>
                <w:rFonts w:ascii="Arial" w:hAnsi="Arial" w:cs="Arial"/>
              </w:rPr>
            </w:pPr>
            <w:r w:rsidRPr="00A532DB">
              <w:rPr>
                <w:rFonts w:ascii="Arial" w:hAnsi="Arial" w:cs="Arial"/>
                <w:b/>
              </w:rPr>
              <w:t>E</w:t>
            </w:r>
            <w:r>
              <w:rPr>
                <w:rFonts w:ascii="Arial" w:hAnsi="Arial" w:cs="Arial"/>
                <w:b/>
              </w:rPr>
              <w:t>FECTOS</w:t>
            </w:r>
          </w:p>
        </w:tc>
        <w:tc>
          <w:tcPr>
            <w:tcW w:w="1035" w:type="dxa"/>
            <w:tcBorders>
              <w:top w:val="nil"/>
              <w:left w:val="nil"/>
              <w:bottom w:val="single" w:sz="6" w:space="0" w:color="auto"/>
              <w:right w:val="single" w:sz="6" w:space="0" w:color="auto"/>
            </w:tcBorders>
            <w:shd w:val="clear" w:color="auto" w:fill="FFFFFF" w:themeFill="background1"/>
            <w:vAlign w:val="center"/>
            <w:hideMark/>
          </w:tcPr>
          <w:p w14:paraId="19C0A455" w14:textId="30662D2D" w:rsidR="00AF6FF3" w:rsidRPr="00A532DB" w:rsidRDefault="00AF6FF3" w:rsidP="00DE5D24">
            <w:pPr>
              <w:jc w:val="center"/>
              <w:textAlignment w:val="baseline"/>
              <w:rPr>
                <w:rFonts w:ascii="Arial" w:hAnsi="Arial" w:cs="Arial"/>
              </w:rPr>
            </w:pPr>
            <w:r>
              <w:rPr>
                <w:rFonts w:ascii="Arial" w:hAnsi="Arial" w:cs="Arial"/>
              </w:rPr>
              <w:t>14</w:t>
            </w:r>
          </w:p>
        </w:tc>
      </w:tr>
      <w:tr w:rsidR="00047E06" w:rsidRPr="00C93119" w14:paraId="2FCE6E36" w14:textId="77777777" w:rsidTr="00F82725">
        <w:trPr>
          <w:trHeight w:val="870"/>
        </w:trPr>
        <w:tc>
          <w:tcPr>
            <w:tcW w:w="0" w:type="auto"/>
            <w:tcBorders>
              <w:top w:val="nil"/>
              <w:left w:val="single" w:sz="6" w:space="0" w:color="auto"/>
              <w:bottom w:val="single" w:sz="6" w:space="0" w:color="auto"/>
              <w:right w:val="single" w:sz="6" w:space="0" w:color="auto"/>
            </w:tcBorders>
            <w:shd w:val="clear" w:color="auto" w:fill="FFFFFF" w:themeFill="background1"/>
            <w:vAlign w:val="center"/>
          </w:tcPr>
          <w:p w14:paraId="129CBD21" w14:textId="77C36285" w:rsidR="00047E06" w:rsidRPr="00A532DB" w:rsidRDefault="00047E06" w:rsidP="00DE5D24">
            <w:pPr>
              <w:jc w:val="center"/>
              <w:textAlignment w:val="baseline"/>
              <w:rPr>
                <w:rFonts w:ascii="Arial" w:hAnsi="Arial" w:cs="Arial"/>
                <w:b/>
              </w:rPr>
            </w:pPr>
            <w:r>
              <w:rPr>
                <w:rFonts w:ascii="Arial" w:hAnsi="Arial" w:cs="Arial"/>
                <w:b/>
              </w:rPr>
              <w:t>VII.1</w:t>
            </w:r>
          </w:p>
        </w:tc>
        <w:tc>
          <w:tcPr>
            <w:tcW w:w="3736" w:type="dxa"/>
            <w:tcBorders>
              <w:top w:val="nil"/>
              <w:left w:val="nil"/>
              <w:bottom w:val="single" w:sz="6" w:space="0" w:color="auto"/>
              <w:right w:val="single" w:sz="6" w:space="0" w:color="auto"/>
            </w:tcBorders>
            <w:shd w:val="clear" w:color="auto" w:fill="FFFFFF" w:themeFill="background1"/>
            <w:vAlign w:val="bottom"/>
          </w:tcPr>
          <w:p w14:paraId="2210610C" w14:textId="0E6DB718" w:rsidR="00047E06" w:rsidRPr="00047E06" w:rsidRDefault="005657B9" w:rsidP="00D62077">
            <w:pPr>
              <w:pStyle w:val="TEXTONORMAL"/>
              <w:spacing w:after="240" w:line="240" w:lineRule="auto"/>
              <w:ind w:firstLine="0"/>
              <w:rPr>
                <w:rFonts w:eastAsia="Calibri"/>
                <w:b/>
                <w:bCs/>
                <w:sz w:val="26"/>
                <w:szCs w:val="26"/>
              </w:rPr>
            </w:pPr>
            <w:r w:rsidRPr="002A0393">
              <w:rPr>
                <w:rFonts w:eastAsia="Calibri"/>
                <w:b/>
                <w:bCs/>
                <w:sz w:val="26"/>
                <w:szCs w:val="26"/>
              </w:rPr>
              <w:t>Fecha en que surtirá efectos la presente declaratoria</w:t>
            </w:r>
            <w:r>
              <w:rPr>
                <w:rFonts w:eastAsia="Calibri"/>
                <w:b/>
                <w:bCs/>
                <w:sz w:val="26"/>
                <w:szCs w:val="26"/>
              </w:rPr>
              <w:t xml:space="preserve"> general de inconstitucionalidad</w:t>
            </w:r>
          </w:p>
        </w:tc>
        <w:tc>
          <w:tcPr>
            <w:tcW w:w="3685" w:type="dxa"/>
            <w:tcBorders>
              <w:top w:val="nil"/>
              <w:left w:val="nil"/>
              <w:bottom w:val="single" w:sz="6" w:space="0" w:color="auto"/>
              <w:right w:val="single" w:sz="6" w:space="0" w:color="auto"/>
            </w:tcBorders>
            <w:shd w:val="clear" w:color="auto" w:fill="FFFFFF" w:themeFill="background1"/>
            <w:vAlign w:val="center"/>
          </w:tcPr>
          <w:p w14:paraId="6967DCD4" w14:textId="781CE07F" w:rsidR="00047E06" w:rsidRPr="00A532DB" w:rsidRDefault="005657B9" w:rsidP="00DE5D24">
            <w:pPr>
              <w:ind w:left="138" w:right="134"/>
              <w:jc w:val="both"/>
              <w:textAlignment w:val="baseline"/>
              <w:rPr>
                <w:rFonts w:ascii="Arial" w:hAnsi="Arial" w:cs="Arial"/>
              </w:rPr>
            </w:pPr>
            <w:r>
              <w:rPr>
                <w:rFonts w:ascii="Arial" w:hAnsi="Arial" w:cs="Arial"/>
              </w:rPr>
              <w:t>S</w:t>
            </w:r>
            <w:r w:rsidR="00184BF0" w:rsidRPr="00184BF0">
              <w:rPr>
                <w:rFonts w:ascii="Arial" w:hAnsi="Arial" w:cs="Arial"/>
              </w:rPr>
              <w:t>urtirá efectos generales a partir de la notificación de los puntos resolutivos de esta sentencia al Congreso del Estado de Oaxaca y no tendrá efectos retroactivos</w:t>
            </w:r>
            <w:r w:rsidR="00184BF0">
              <w:rPr>
                <w:rFonts w:ascii="Arial" w:hAnsi="Arial" w:cs="Arial"/>
              </w:rPr>
              <w:t>.</w:t>
            </w:r>
          </w:p>
        </w:tc>
        <w:tc>
          <w:tcPr>
            <w:tcW w:w="1035" w:type="dxa"/>
            <w:tcBorders>
              <w:top w:val="nil"/>
              <w:left w:val="nil"/>
              <w:bottom w:val="single" w:sz="6" w:space="0" w:color="auto"/>
              <w:right w:val="single" w:sz="6" w:space="0" w:color="auto"/>
            </w:tcBorders>
            <w:shd w:val="clear" w:color="auto" w:fill="FFFFFF" w:themeFill="background1"/>
            <w:vAlign w:val="center"/>
          </w:tcPr>
          <w:p w14:paraId="508F9831" w14:textId="051CB767" w:rsidR="00047E06" w:rsidRPr="00A532DB" w:rsidRDefault="005B49CE" w:rsidP="00DE5D24">
            <w:pPr>
              <w:jc w:val="center"/>
              <w:textAlignment w:val="baseline"/>
              <w:rPr>
                <w:rFonts w:ascii="Arial" w:hAnsi="Arial" w:cs="Arial"/>
              </w:rPr>
            </w:pPr>
            <w:r>
              <w:rPr>
                <w:rFonts w:ascii="Arial" w:hAnsi="Arial" w:cs="Arial"/>
              </w:rPr>
              <w:t>1</w:t>
            </w:r>
            <w:r w:rsidR="00F125A6">
              <w:rPr>
                <w:rFonts w:ascii="Arial" w:hAnsi="Arial" w:cs="Arial"/>
              </w:rPr>
              <w:t>5-16</w:t>
            </w:r>
          </w:p>
        </w:tc>
      </w:tr>
      <w:tr w:rsidR="00047E06" w:rsidRPr="00C93119" w14:paraId="3E4AA710" w14:textId="77777777" w:rsidTr="00F82725">
        <w:trPr>
          <w:trHeight w:val="870"/>
        </w:trPr>
        <w:tc>
          <w:tcPr>
            <w:tcW w:w="0" w:type="auto"/>
            <w:tcBorders>
              <w:top w:val="nil"/>
              <w:left w:val="single" w:sz="6" w:space="0" w:color="auto"/>
              <w:bottom w:val="single" w:sz="6" w:space="0" w:color="auto"/>
              <w:right w:val="single" w:sz="6" w:space="0" w:color="auto"/>
            </w:tcBorders>
            <w:shd w:val="clear" w:color="auto" w:fill="FFFFFF" w:themeFill="background1"/>
            <w:vAlign w:val="center"/>
          </w:tcPr>
          <w:p w14:paraId="690FE2B3" w14:textId="20A3F30D" w:rsidR="00047E06" w:rsidRPr="00A532DB" w:rsidRDefault="00047E06" w:rsidP="00DE5D24">
            <w:pPr>
              <w:jc w:val="center"/>
              <w:textAlignment w:val="baseline"/>
              <w:rPr>
                <w:rFonts w:ascii="Arial" w:hAnsi="Arial" w:cs="Arial"/>
                <w:b/>
              </w:rPr>
            </w:pPr>
            <w:r>
              <w:rPr>
                <w:rFonts w:ascii="Arial" w:hAnsi="Arial" w:cs="Arial"/>
                <w:b/>
              </w:rPr>
              <w:t>VII.2</w:t>
            </w:r>
          </w:p>
        </w:tc>
        <w:tc>
          <w:tcPr>
            <w:tcW w:w="3736" w:type="dxa"/>
            <w:tcBorders>
              <w:top w:val="nil"/>
              <w:left w:val="nil"/>
              <w:bottom w:val="single" w:sz="6" w:space="0" w:color="auto"/>
              <w:right w:val="single" w:sz="6" w:space="0" w:color="auto"/>
            </w:tcBorders>
            <w:shd w:val="clear" w:color="auto" w:fill="FFFFFF" w:themeFill="background1"/>
            <w:vAlign w:val="center"/>
          </w:tcPr>
          <w:p w14:paraId="2178CA3E" w14:textId="240640A1" w:rsidR="00047E06" w:rsidRPr="00A532DB" w:rsidRDefault="005657B9" w:rsidP="005657B9">
            <w:pPr>
              <w:ind w:right="134"/>
              <w:jc w:val="both"/>
              <w:textAlignment w:val="baseline"/>
              <w:rPr>
                <w:rFonts w:ascii="Arial" w:hAnsi="Arial" w:cs="Arial"/>
                <w:b/>
              </w:rPr>
            </w:pPr>
            <w:r w:rsidRPr="00D62077">
              <w:rPr>
                <w:rFonts w:ascii="Arial" w:hAnsi="Arial" w:cs="Arial"/>
                <w:b/>
              </w:rPr>
              <w:t>Alcances y condiciones de la declaratoria general de inconstitucionalidad</w:t>
            </w:r>
          </w:p>
        </w:tc>
        <w:tc>
          <w:tcPr>
            <w:tcW w:w="3685" w:type="dxa"/>
            <w:tcBorders>
              <w:top w:val="nil"/>
              <w:left w:val="nil"/>
              <w:bottom w:val="single" w:sz="6" w:space="0" w:color="auto"/>
              <w:right w:val="single" w:sz="6" w:space="0" w:color="auto"/>
            </w:tcBorders>
            <w:shd w:val="clear" w:color="auto" w:fill="FFFFFF" w:themeFill="background1"/>
            <w:vAlign w:val="center"/>
          </w:tcPr>
          <w:p w14:paraId="31F35E80" w14:textId="297D434A" w:rsidR="00047E06" w:rsidRPr="00A532DB" w:rsidRDefault="00693FBA" w:rsidP="00DE5D24">
            <w:pPr>
              <w:ind w:left="138" w:right="134"/>
              <w:jc w:val="both"/>
              <w:textAlignment w:val="baseline"/>
              <w:rPr>
                <w:rFonts w:ascii="Arial" w:hAnsi="Arial" w:cs="Arial"/>
              </w:rPr>
            </w:pPr>
            <w:r>
              <w:rPr>
                <w:rFonts w:ascii="Arial" w:hAnsi="Arial" w:cs="Arial"/>
              </w:rPr>
              <w:t>S</w:t>
            </w:r>
            <w:r w:rsidRPr="00693FBA">
              <w:rPr>
                <w:rFonts w:ascii="Arial" w:hAnsi="Arial" w:cs="Arial"/>
              </w:rPr>
              <w:t>e ordena a los órganos jurisdiccionales federales resolver conforme a la presente declaratoria general de inconstitucionalidad y la jurisprudencia por precedente establecida por la Segunda Sala de la Suprema Corte de Justicia de la Nación.</w:t>
            </w:r>
          </w:p>
        </w:tc>
        <w:tc>
          <w:tcPr>
            <w:tcW w:w="1035" w:type="dxa"/>
            <w:tcBorders>
              <w:top w:val="nil"/>
              <w:left w:val="nil"/>
              <w:bottom w:val="single" w:sz="6" w:space="0" w:color="auto"/>
              <w:right w:val="single" w:sz="6" w:space="0" w:color="auto"/>
            </w:tcBorders>
            <w:shd w:val="clear" w:color="auto" w:fill="FFFFFF" w:themeFill="background1"/>
            <w:vAlign w:val="center"/>
          </w:tcPr>
          <w:p w14:paraId="607D3442" w14:textId="3CF4A66F" w:rsidR="00047E06" w:rsidRPr="00A532DB" w:rsidRDefault="005B49CE" w:rsidP="00DE5D24">
            <w:pPr>
              <w:jc w:val="center"/>
              <w:textAlignment w:val="baseline"/>
              <w:rPr>
                <w:rFonts w:ascii="Arial" w:hAnsi="Arial" w:cs="Arial"/>
              </w:rPr>
            </w:pPr>
            <w:r>
              <w:rPr>
                <w:rFonts w:ascii="Arial" w:hAnsi="Arial" w:cs="Arial"/>
              </w:rPr>
              <w:t>16</w:t>
            </w:r>
          </w:p>
        </w:tc>
      </w:tr>
      <w:tr w:rsidR="009A0319" w:rsidRPr="00900FA0" w14:paraId="0C1161AC" w14:textId="77777777" w:rsidTr="00F82725">
        <w:trPr>
          <w:trHeight w:val="870"/>
        </w:trPr>
        <w:tc>
          <w:tcPr>
            <w:tcW w:w="0" w:type="auto"/>
            <w:tcBorders>
              <w:top w:val="nil"/>
              <w:left w:val="single" w:sz="6" w:space="0" w:color="auto"/>
              <w:bottom w:val="single" w:sz="6" w:space="0" w:color="auto"/>
              <w:right w:val="single" w:sz="6" w:space="0" w:color="auto"/>
            </w:tcBorders>
            <w:shd w:val="clear" w:color="auto" w:fill="FFFFFF" w:themeFill="background1"/>
            <w:vAlign w:val="center"/>
            <w:hideMark/>
          </w:tcPr>
          <w:p w14:paraId="6BC4E593" w14:textId="77777777" w:rsidR="009A0319" w:rsidRPr="00A532DB" w:rsidRDefault="009A0319" w:rsidP="00DE5D24">
            <w:pPr>
              <w:jc w:val="center"/>
              <w:textAlignment w:val="baseline"/>
              <w:rPr>
                <w:rFonts w:ascii="Arial" w:hAnsi="Arial" w:cs="Arial"/>
              </w:rPr>
            </w:pPr>
            <w:r w:rsidRPr="00A532DB">
              <w:rPr>
                <w:rFonts w:ascii="Arial" w:hAnsi="Arial" w:cs="Arial"/>
                <w:b/>
              </w:rPr>
              <w:t>VIII.</w:t>
            </w:r>
          </w:p>
        </w:tc>
        <w:tc>
          <w:tcPr>
            <w:tcW w:w="3736" w:type="dxa"/>
            <w:tcBorders>
              <w:top w:val="nil"/>
              <w:left w:val="nil"/>
              <w:bottom w:val="single" w:sz="6" w:space="0" w:color="auto"/>
              <w:right w:val="single" w:sz="6" w:space="0" w:color="auto"/>
            </w:tcBorders>
            <w:shd w:val="clear" w:color="auto" w:fill="FFFFFF" w:themeFill="background1"/>
            <w:vAlign w:val="center"/>
            <w:hideMark/>
          </w:tcPr>
          <w:p w14:paraId="7BA827BE" w14:textId="77777777" w:rsidR="009A0319" w:rsidRPr="00A532DB" w:rsidRDefault="009A0319" w:rsidP="00DE5D24">
            <w:pPr>
              <w:ind w:left="117" w:right="134"/>
              <w:textAlignment w:val="baseline"/>
              <w:rPr>
                <w:rFonts w:ascii="Arial" w:hAnsi="Arial" w:cs="Arial"/>
                <w:b/>
              </w:rPr>
            </w:pPr>
            <w:r w:rsidRPr="00A532DB">
              <w:rPr>
                <w:rFonts w:ascii="Arial" w:hAnsi="Arial" w:cs="Arial"/>
                <w:b/>
              </w:rPr>
              <w:t xml:space="preserve">DECISIÓN </w:t>
            </w:r>
          </w:p>
        </w:tc>
        <w:tc>
          <w:tcPr>
            <w:tcW w:w="3685" w:type="dxa"/>
            <w:tcBorders>
              <w:top w:val="nil"/>
              <w:left w:val="nil"/>
              <w:bottom w:val="single" w:sz="6" w:space="0" w:color="auto"/>
              <w:right w:val="single" w:sz="6" w:space="0" w:color="auto"/>
            </w:tcBorders>
            <w:shd w:val="clear" w:color="auto" w:fill="FFFFFF" w:themeFill="background1"/>
            <w:vAlign w:val="center"/>
            <w:hideMark/>
          </w:tcPr>
          <w:p w14:paraId="12D4F13F" w14:textId="71873F01" w:rsidR="005F2A08" w:rsidRPr="005F2A08" w:rsidRDefault="005F2A08" w:rsidP="00A11030">
            <w:pPr>
              <w:spacing w:after="120"/>
              <w:ind w:left="136" w:right="136"/>
              <w:jc w:val="both"/>
              <w:textAlignment w:val="baseline"/>
              <w:rPr>
                <w:rFonts w:ascii="Arial" w:hAnsi="Arial" w:cs="Arial"/>
              </w:rPr>
            </w:pPr>
            <w:r w:rsidRPr="002A0393">
              <w:rPr>
                <w:rFonts w:ascii="Arial" w:hAnsi="Arial" w:cs="Arial"/>
                <w:b/>
                <w:bCs/>
              </w:rPr>
              <w:t>PRIMERO.</w:t>
            </w:r>
            <w:r w:rsidRPr="005F2A08">
              <w:rPr>
                <w:rFonts w:ascii="Arial" w:hAnsi="Arial" w:cs="Arial"/>
              </w:rPr>
              <w:t xml:space="preserve"> Es procedente y fundada la presente declaratoria general de inconstitucionalidad.</w:t>
            </w:r>
          </w:p>
          <w:p w14:paraId="0CDAD496" w14:textId="57663AF6" w:rsidR="005F2A08" w:rsidRPr="005F2A08" w:rsidRDefault="005F2A08" w:rsidP="00A11030">
            <w:pPr>
              <w:spacing w:after="120"/>
              <w:ind w:left="136" w:right="136"/>
              <w:jc w:val="both"/>
              <w:textAlignment w:val="baseline"/>
              <w:rPr>
                <w:rFonts w:ascii="Arial" w:hAnsi="Arial" w:cs="Arial"/>
              </w:rPr>
            </w:pPr>
            <w:r w:rsidRPr="002A0393">
              <w:rPr>
                <w:rFonts w:ascii="Arial" w:hAnsi="Arial" w:cs="Arial"/>
                <w:b/>
                <w:bCs/>
              </w:rPr>
              <w:t>SEGUNDO.</w:t>
            </w:r>
            <w:r w:rsidRPr="005F2A08">
              <w:rPr>
                <w:rFonts w:ascii="Arial" w:hAnsi="Arial" w:cs="Arial"/>
              </w:rPr>
              <w:t xml:space="preserve"> Se declara la inconstitucionalidad de las fracciones XI y XII del artículo 98 de la Ley para la Prevención y Gestión Integral de los Residuos Sólidos del Estado de Oaxaca, la cual surtirá efectos generales a partir de la notificación de estos puntos resolutivos al Congreso del Estado de Oaxaca.</w:t>
            </w:r>
          </w:p>
          <w:p w14:paraId="421A3E72" w14:textId="77777777" w:rsidR="005F2A08" w:rsidRPr="005F2A08" w:rsidRDefault="005F2A08" w:rsidP="00A11030">
            <w:pPr>
              <w:spacing w:after="120"/>
              <w:ind w:left="136" w:right="136"/>
              <w:jc w:val="both"/>
              <w:textAlignment w:val="baseline"/>
              <w:rPr>
                <w:rFonts w:ascii="Arial" w:hAnsi="Arial" w:cs="Arial"/>
              </w:rPr>
            </w:pPr>
            <w:r w:rsidRPr="002A0393">
              <w:rPr>
                <w:rFonts w:ascii="Arial" w:hAnsi="Arial" w:cs="Arial"/>
                <w:b/>
                <w:bCs/>
              </w:rPr>
              <w:t>TERCERO.</w:t>
            </w:r>
            <w:r w:rsidRPr="005F2A08">
              <w:rPr>
                <w:rFonts w:ascii="Arial" w:hAnsi="Arial" w:cs="Arial"/>
              </w:rPr>
              <w:t xml:space="preserve"> Notifíquese esta sentencia al Congreso y al Periódico </w:t>
            </w:r>
          </w:p>
          <w:p w14:paraId="6C1DBF6C" w14:textId="60C2ABF0" w:rsidR="005F2A08" w:rsidRPr="005F2A08" w:rsidRDefault="005F2A08" w:rsidP="00A11030">
            <w:pPr>
              <w:spacing w:after="120"/>
              <w:ind w:left="136" w:right="136"/>
              <w:jc w:val="both"/>
              <w:textAlignment w:val="baseline"/>
              <w:rPr>
                <w:rFonts w:ascii="Arial" w:hAnsi="Arial" w:cs="Arial"/>
              </w:rPr>
            </w:pPr>
            <w:r w:rsidRPr="005F2A08">
              <w:rPr>
                <w:rFonts w:ascii="Arial" w:hAnsi="Arial" w:cs="Arial"/>
              </w:rPr>
              <w:t>Oficial, ambos del Estado de Oaxaca para los efectos precisados en el apartado VII de esta resolución.</w:t>
            </w:r>
          </w:p>
          <w:p w14:paraId="3588B3E8" w14:textId="4C458F24" w:rsidR="009A0319" w:rsidRPr="002A0393" w:rsidRDefault="005F2A08" w:rsidP="00A11030">
            <w:pPr>
              <w:spacing w:after="120"/>
              <w:ind w:left="136" w:right="136"/>
              <w:jc w:val="both"/>
              <w:textAlignment w:val="baseline"/>
              <w:rPr>
                <w:rFonts w:ascii="Arial" w:hAnsi="Arial" w:cs="Arial"/>
              </w:rPr>
            </w:pPr>
            <w:r w:rsidRPr="002A0393">
              <w:rPr>
                <w:rFonts w:ascii="Arial" w:hAnsi="Arial" w:cs="Arial"/>
                <w:b/>
                <w:bCs/>
              </w:rPr>
              <w:t>CUARTO.</w:t>
            </w:r>
            <w:r w:rsidRPr="005F2A08">
              <w:rPr>
                <w:rFonts w:ascii="Arial" w:hAnsi="Arial" w:cs="Arial"/>
              </w:rPr>
              <w:t xml:space="preserve"> Publíquese esta resolución en el Diario Oficial de la Federación, así como en el Semanario Judicial de la Federación y su Gaceta.</w:t>
            </w:r>
          </w:p>
        </w:tc>
        <w:tc>
          <w:tcPr>
            <w:tcW w:w="1035" w:type="dxa"/>
            <w:tcBorders>
              <w:top w:val="nil"/>
              <w:left w:val="nil"/>
              <w:bottom w:val="single" w:sz="6" w:space="0" w:color="auto"/>
              <w:right w:val="single" w:sz="6" w:space="0" w:color="auto"/>
            </w:tcBorders>
            <w:shd w:val="clear" w:color="auto" w:fill="FFFFFF" w:themeFill="background1"/>
            <w:vAlign w:val="center"/>
            <w:hideMark/>
          </w:tcPr>
          <w:p w14:paraId="586A9635" w14:textId="7C4E2B92" w:rsidR="009A0319" w:rsidRPr="00900FA0" w:rsidRDefault="005B49CE" w:rsidP="00B13035">
            <w:pPr>
              <w:jc w:val="center"/>
              <w:textAlignment w:val="baseline"/>
              <w:rPr>
                <w:rFonts w:ascii="Arial" w:hAnsi="Arial" w:cs="Arial"/>
              </w:rPr>
            </w:pPr>
            <w:r>
              <w:rPr>
                <w:rFonts w:ascii="Arial" w:hAnsi="Arial" w:cs="Arial"/>
              </w:rPr>
              <w:t>16</w:t>
            </w:r>
            <w:r w:rsidR="00F125A6">
              <w:rPr>
                <w:rFonts w:ascii="Arial" w:hAnsi="Arial" w:cs="Arial"/>
              </w:rPr>
              <w:t>-17</w:t>
            </w:r>
          </w:p>
        </w:tc>
      </w:tr>
    </w:tbl>
    <w:p w14:paraId="0E96F2E3" w14:textId="00627635" w:rsidR="009A0319" w:rsidRDefault="009A0319" w:rsidP="002A0393">
      <w:pPr>
        <w:pStyle w:val="corte1datos"/>
        <w:tabs>
          <w:tab w:val="left" w:pos="2816"/>
        </w:tabs>
        <w:ind w:left="0"/>
        <w:jc w:val="both"/>
        <w:rPr>
          <w:rFonts w:cs="Arial"/>
          <w:b w:val="0"/>
          <w:caps w:val="0"/>
          <w:sz w:val="24"/>
        </w:rPr>
      </w:pPr>
    </w:p>
    <w:p w14:paraId="11DCC4FA" w14:textId="4FF0B280" w:rsidR="00844C6E" w:rsidRPr="002A0393" w:rsidRDefault="00844C6E" w:rsidP="002A0393">
      <w:pPr>
        <w:sectPr w:rsidR="00844C6E" w:rsidRPr="002A0393" w:rsidSect="00DE5D24">
          <w:headerReference w:type="default" r:id="rId8"/>
          <w:footerReference w:type="even" r:id="rId9"/>
          <w:footerReference w:type="default" r:id="rId10"/>
          <w:footerReference w:type="first" r:id="rId11"/>
          <w:footnotePr>
            <w:numRestart w:val="eachSect"/>
          </w:footnotePr>
          <w:pgSz w:w="12242" w:h="20163"/>
          <w:pgMar w:top="1134" w:right="1610" w:bottom="1134" w:left="1701" w:header="709" w:footer="1515" w:gutter="0"/>
          <w:pgNumType w:fmt="upperRoman" w:start="1"/>
          <w:cols w:space="708"/>
          <w:titlePg/>
          <w:docGrid w:linePitch="381"/>
        </w:sectPr>
      </w:pPr>
    </w:p>
    <w:p w14:paraId="5D7D54DB" w14:textId="78CD4E0A" w:rsidR="00E72CE6" w:rsidRPr="00B31404" w:rsidRDefault="00E72CE6" w:rsidP="00E72CE6">
      <w:pPr>
        <w:pStyle w:val="corte1datos"/>
        <w:ind w:left="2835"/>
        <w:jc w:val="both"/>
        <w:rPr>
          <w:caps w:val="0"/>
          <w:color w:val="FF0000"/>
          <w:sz w:val="26"/>
          <w:szCs w:val="26"/>
        </w:rPr>
      </w:pPr>
      <w:r w:rsidRPr="00B31404">
        <w:rPr>
          <w:caps w:val="0"/>
          <w:sz w:val="26"/>
          <w:szCs w:val="26"/>
        </w:rPr>
        <w:lastRenderedPageBreak/>
        <w:t xml:space="preserve">DECLARATORIA GENERAL DE INCONSTITUCIONALIDAD </w:t>
      </w:r>
      <w:r w:rsidR="006A0A92" w:rsidRPr="00B31404">
        <w:rPr>
          <w:caps w:val="0"/>
          <w:sz w:val="26"/>
          <w:szCs w:val="26"/>
        </w:rPr>
        <w:t>8</w:t>
      </w:r>
      <w:r w:rsidRPr="00B31404">
        <w:rPr>
          <w:caps w:val="0"/>
          <w:sz w:val="26"/>
          <w:szCs w:val="26"/>
        </w:rPr>
        <w:t>/</w:t>
      </w:r>
      <w:r w:rsidR="006A0A92" w:rsidRPr="00B31404">
        <w:rPr>
          <w:caps w:val="0"/>
          <w:sz w:val="26"/>
          <w:szCs w:val="26"/>
        </w:rPr>
        <w:t>2022</w:t>
      </w:r>
    </w:p>
    <w:p w14:paraId="2C2D2B94" w14:textId="3FEE0476" w:rsidR="00E72CE6" w:rsidRPr="00B31404" w:rsidRDefault="00E72CE6" w:rsidP="00E72CE6">
      <w:pPr>
        <w:pStyle w:val="corte1datos"/>
        <w:ind w:left="2835"/>
        <w:jc w:val="both"/>
        <w:rPr>
          <w:sz w:val="26"/>
          <w:szCs w:val="26"/>
        </w:rPr>
      </w:pPr>
      <w:r w:rsidRPr="00B31404">
        <w:rPr>
          <w:sz w:val="26"/>
          <w:szCs w:val="26"/>
        </w:rPr>
        <w:t xml:space="preserve">RELATIVA AL ARTÍCULO 98, FRACCIONES XI Y XII, </w:t>
      </w:r>
      <w:bookmarkStart w:id="1" w:name="_Hlk129948068"/>
      <w:r w:rsidRPr="00B31404">
        <w:rPr>
          <w:sz w:val="26"/>
          <w:szCs w:val="26"/>
        </w:rPr>
        <w:t>DE LA LEY PARA LA PREVENCIÓN Y GESTIÓN INTEGRAL DE LOS RESIDUOS SÓLIDOS DEL ESTADO DE OAXACA</w:t>
      </w:r>
    </w:p>
    <w:bookmarkEnd w:id="1"/>
    <w:p w14:paraId="445FF989" w14:textId="743FC45F" w:rsidR="00E72CE6" w:rsidRPr="00B31404" w:rsidRDefault="00E72CE6" w:rsidP="00E72CE6">
      <w:pPr>
        <w:pStyle w:val="corte1datos"/>
        <w:ind w:left="2835"/>
        <w:jc w:val="both"/>
        <w:rPr>
          <w:sz w:val="26"/>
          <w:szCs w:val="26"/>
        </w:rPr>
      </w:pPr>
      <w:r w:rsidRPr="00B31404">
        <w:rPr>
          <w:bCs/>
          <w:caps w:val="0"/>
          <w:sz w:val="26"/>
          <w:szCs w:val="26"/>
        </w:rPr>
        <w:t>SOLICITANTE: SEGUNDA SALA DE LA</w:t>
      </w:r>
      <w:r w:rsidR="00E758BB">
        <w:rPr>
          <w:sz w:val="26"/>
          <w:szCs w:val="26"/>
        </w:rPr>
        <w:t xml:space="preserve"> </w:t>
      </w:r>
      <w:r w:rsidRPr="00B31404">
        <w:rPr>
          <w:sz w:val="26"/>
          <w:szCs w:val="26"/>
        </w:rPr>
        <w:t>SUPREMA CORTE DE JUSTICIA DE LA NACIÓN</w:t>
      </w:r>
    </w:p>
    <w:p w14:paraId="30F4DE41" w14:textId="77777777" w:rsidR="00E72CE6" w:rsidRPr="00E72CE6" w:rsidRDefault="00E72CE6" w:rsidP="00E72CE6">
      <w:pPr>
        <w:tabs>
          <w:tab w:val="left" w:pos="7227"/>
        </w:tabs>
        <w:spacing w:before="240"/>
        <w:jc w:val="both"/>
        <w:rPr>
          <w:rFonts w:ascii="Arial" w:eastAsia="Calibri" w:hAnsi="Arial" w:cs="Arial"/>
          <w:sz w:val="16"/>
          <w:szCs w:val="16"/>
          <w:lang w:eastAsia="es-MX"/>
        </w:rPr>
      </w:pPr>
      <w:r w:rsidRPr="00E72CE6">
        <w:rPr>
          <w:rFonts w:ascii="Arial" w:eastAsia="Calibri" w:hAnsi="Arial" w:cs="Arial"/>
          <w:sz w:val="16"/>
          <w:szCs w:val="16"/>
          <w:lang w:eastAsia="es-MX"/>
        </w:rPr>
        <w:t>VISTO BUENO</w:t>
      </w:r>
    </w:p>
    <w:p w14:paraId="3CFF2327" w14:textId="77777777" w:rsidR="00E72CE6" w:rsidRPr="00E72CE6" w:rsidRDefault="00E72CE6" w:rsidP="00E72CE6">
      <w:pPr>
        <w:tabs>
          <w:tab w:val="left" w:pos="7309"/>
        </w:tabs>
        <w:spacing w:line="276" w:lineRule="auto"/>
        <w:jc w:val="both"/>
        <w:rPr>
          <w:rFonts w:ascii="Arial" w:eastAsia="Calibri" w:hAnsi="Arial" w:cs="Arial"/>
          <w:sz w:val="16"/>
          <w:szCs w:val="16"/>
          <w:lang w:eastAsia="en-US"/>
        </w:rPr>
      </w:pPr>
      <w:r w:rsidRPr="00E72CE6">
        <w:rPr>
          <w:rFonts w:ascii="Arial" w:eastAsia="Calibri" w:hAnsi="Arial" w:cs="Arial"/>
          <w:sz w:val="16"/>
          <w:szCs w:val="16"/>
          <w:lang w:eastAsia="en-US"/>
        </w:rPr>
        <w:t>SR. MINISTRO</w:t>
      </w:r>
    </w:p>
    <w:p w14:paraId="22F46A35" w14:textId="77777777" w:rsidR="00E72CE6" w:rsidRPr="00B31404" w:rsidRDefault="00E72CE6" w:rsidP="00E72CE6">
      <w:pPr>
        <w:pStyle w:val="CORTE2PONENTE0"/>
        <w:jc w:val="both"/>
        <w:rPr>
          <w:sz w:val="26"/>
          <w:szCs w:val="26"/>
        </w:rPr>
      </w:pPr>
      <w:r w:rsidRPr="00B31404">
        <w:rPr>
          <w:sz w:val="26"/>
          <w:szCs w:val="26"/>
        </w:rPr>
        <w:t>PONENTE: MINISTRO JAVIER LAYNEZ POTISEK</w:t>
      </w:r>
    </w:p>
    <w:p w14:paraId="159B4155" w14:textId="77777777" w:rsidR="00E72CE6" w:rsidRDefault="00E72CE6" w:rsidP="00E72CE6">
      <w:pPr>
        <w:pStyle w:val="CORTE2PONENTE0"/>
        <w:jc w:val="both"/>
        <w:rPr>
          <w:sz w:val="28"/>
          <w:szCs w:val="28"/>
        </w:rPr>
      </w:pPr>
    </w:p>
    <w:p w14:paraId="002617B3" w14:textId="77777777" w:rsidR="00E72CE6" w:rsidRPr="00E72CE6" w:rsidRDefault="00E72CE6" w:rsidP="00E72CE6">
      <w:pPr>
        <w:spacing w:line="276" w:lineRule="auto"/>
        <w:jc w:val="both"/>
        <w:rPr>
          <w:rFonts w:ascii="Arial" w:eastAsia="Calibri" w:hAnsi="Arial" w:cs="Arial"/>
          <w:sz w:val="16"/>
          <w:szCs w:val="16"/>
          <w:lang w:eastAsia="en-US"/>
        </w:rPr>
      </w:pPr>
      <w:r w:rsidRPr="00E72CE6">
        <w:rPr>
          <w:rFonts w:ascii="Arial" w:eastAsia="Calibri" w:hAnsi="Arial" w:cs="Arial"/>
          <w:sz w:val="16"/>
          <w:szCs w:val="16"/>
          <w:lang w:eastAsia="en-US"/>
        </w:rPr>
        <w:t>COTEJÓ</w:t>
      </w:r>
    </w:p>
    <w:p w14:paraId="5067DBE2" w14:textId="77777777" w:rsidR="00E72CE6" w:rsidRPr="00B31404" w:rsidRDefault="00E72CE6" w:rsidP="00E72CE6">
      <w:pPr>
        <w:pStyle w:val="CORTE2PONENTE0"/>
        <w:jc w:val="both"/>
        <w:rPr>
          <w:sz w:val="26"/>
          <w:szCs w:val="26"/>
        </w:rPr>
      </w:pPr>
      <w:r w:rsidRPr="00B31404">
        <w:rPr>
          <w:sz w:val="26"/>
          <w:szCs w:val="26"/>
        </w:rPr>
        <w:t xml:space="preserve">SECRETARIO: GEOVANNI SANDOVAL OCHOA </w:t>
      </w:r>
    </w:p>
    <w:p w14:paraId="3B6B4D3D" w14:textId="77777777" w:rsidR="00E72CE6" w:rsidRPr="00B31404" w:rsidRDefault="00E72CE6" w:rsidP="00E72CE6">
      <w:pPr>
        <w:pStyle w:val="CORTE2PONENTE0"/>
        <w:jc w:val="both"/>
        <w:rPr>
          <w:sz w:val="26"/>
          <w:szCs w:val="26"/>
        </w:rPr>
      </w:pPr>
      <w:r w:rsidRPr="00B31404">
        <w:rPr>
          <w:sz w:val="26"/>
          <w:szCs w:val="26"/>
        </w:rPr>
        <w:t>COLABORÓ: FRIDA VON BERTRAB CAMPUZANO</w:t>
      </w:r>
    </w:p>
    <w:p w14:paraId="1E7EE0BF" w14:textId="77777777" w:rsidR="00853715" w:rsidRPr="008462EB" w:rsidRDefault="00853715" w:rsidP="00853715">
      <w:pPr>
        <w:spacing w:line="360" w:lineRule="auto"/>
        <w:jc w:val="both"/>
        <w:rPr>
          <w:rFonts w:ascii="Arial" w:hAnsi="Arial"/>
          <w:b/>
          <w:caps/>
          <w:sz w:val="28"/>
          <w:szCs w:val="28"/>
          <w:lang w:val="es-ES_tradnl" w:eastAsia="es-MX"/>
        </w:rPr>
      </w:pPr>
    </w:p>
    <w:p w14:paraId="0480D316" w14:textId="77777777" w:rsidR="008B4AE5" w:rsidRPr="00B31404" w:rsidRDefault="008B4AE5" w:rsidP="00E61E6A">
      <w:pPr>
        <w:pStyle w:val="TEXTONORMAL"/>
        <w:ind w:firstLine="0"/>
        <w:rPr>
          <w:sz w:val="26"/>
          <w:szCs w:val="26"/>
        </w:rPr>
      </w:pPr>
      <w:r w:rsidRPr="00B31404">
        <w:rPr>
          <w:sz w:val="26"/>
          <w:szCs w:val="26"/>
        </w:rPr>
        <w:t xml:space="preserve">Ciudad de México. </w:t>
      </w:r>
      <w:r w:rsidR="00E72CE6" w:rsidRPr="00B31404">
        <w:rPr>
          <w:sz w:val="26"/>
          <w:szCs w:val="26"/>
        </w:rPr>
        <w:t>Acuerdo de</w:t>
      </w:r>
      <w:r w:rsidRPr="00B31404">
        <w:rPr>
          <w:sz w:val="26"/>
          <w:szCs w:val="26"/>
        </w:rPr>
        <w:t>l Tribunal Pleno de la Suprema Corte de Justicia de la Nación, en sesión correspondiente a</w:t>
      </w:r>
      <w:r w:rsidR="00E72CE6" w:rsidRPr="00B31404">
        <w:rPr>
          <w:sz w:val="26"/>
          <w:szCs w:val="26"/>
        </w:rPr>
        <w:t xml:space="preserve"> </w:t>
      </w:r>
      <w:r w:rsidRPr="00B31404">
        <w:rPr>
          <w:sz w:val="26"/>
          <w:szCs w:val="26"/>
        </w:rPr>
        <w:t>l</w:t>
      </w:r>
      <w:r w:rsidR="00E72CE6" w:rsidRPr="00B31404">
        <w:rPr>
          <w:sz w:val="26"/>
          <w:szCs w:val="26"/>
        </w:rPr>
        <w:t>a</w:t>
      </w:r>
      <w:r w:rsidRPr="00B31404">
        <w:rPr>
          <w:sz w:val="26"/>
          <w:szCs w:val="26"/>
        </w:rPr>
        <w:t xml:space="preserve"> </w:t>
      </w:r>
      <w:r w:rsidR="00E72CE6" w:rsidRPr="00B31404">
        <w:rPr>
          <w:sz w:val="26"/>
          <w:szCs w:val="26"/>
        </w:rPr>
        <w:t>sesión del</w:t>
      </w:r>
      <w:r w:rsidRPr="00B31404">
        <w:rPr>
          <w:sz w:val="26"/>
          <w:szCs w:val="26"/>
        </w:rPr>
        <w:t xml:space="preserve"> día </w:t>
      </w:r>
      <w:r w:rsidR="00E72CE6" w:rsidRPr="00B31404">
        <w:rPr>
          <w:sz w:val="26"/>
          <w:szCs w:val="26"/>
        </w:rPr>
        <w:t>[…]</w:t>
      </w:r>
      <w:r w:rsidRPr="00B31404">
        <w:rPr>
          <w:sz w:val="26"/>
          <w:szCs w:val="26"/>
        </w:rPr>
        <w:t>, emite la siguiente:</w:t>
      </w:r>
    </w:p>
    <w:p w14:paraId="5D2EA258" w14:textId="77777777" w:rsidR="008B4AE5" w:rsidRPr="00B31404" w:rsidRDefault="008B4AE5" w:rsidP="00E31C63">
      <w:pPr>
        <w:pStyle w:val="TEXTONORMAL"/>
        <w:ind w:firstLine="0"/>
        <w:rPr>
          <w:sz w:val="26"/>
          <w:szCs w:val="26"/>
        </w:rPr>
      </w:pPr>
    </w:p>
    <w:p w14:paraId="61170260" w14:textId="77777777" w:rsidR="008B4AE5" w:rsidRPr="00B31404" w:rsidRDefault="0054148A" w:rsidP="00E31C63">
      <w:pPr>
        <w:pStyle w:val="TEXTONORMAL"/>
        <w:ind w:firstLine="0"/>
        <w:jc w:val="center"/>
        <w:rPr>
          <w:b/>
          <w:sz w:val="26"/>
          <w:szCs w:val="26"/>
        </w:rPr>
      </w:pPr>
      <w:r w:rsidRPr="00B31404">
        <w:rPr>
          <w:b/>
          <w:sz w:val="26"/>
          <w:szCs w:val="26"/>
        </w:rPr>
        <w:t>DECLARATORIA GENERAL DE INCONSTITUCIONALIDAD</w:t>
      </w:r>
    </w:p>
    <w:p w14:paraId="4AC3191B" w14:textId="77777777" w:rsidR="008B4AE5" w:rsidRPr="00B31404" w:rsidRDefault="008B4AE5" w:rsidP="00E31C63">
      <w:pPr>
        <w:pStyle w:val="TEXTONORMAL"/>
        <w:ind w:firstLine="0"/>
        <w:rPr>
          <w:sz w:val="26"/>
          <w:szCs w:val="26"/>
        </w:rPr>
      </w:pPr>
    </w:p>
    <w:p w14:paraId="56D6395F" w14:textId="777A32BE" w:rsidR="00E31C63" w:rsidRPr="00B31404" w:rsidRDefault="006B2896" w:rsidP="00B31404">
      <w:pPr>
        <w:pStyle w:val="TEXTONORMAL"/>
        <w:spacing w:after="240"/>
        <w:ind w:firstLine="0"/>
        <w:rPr>
          <w:b/>
          <w:sz w:val="26"/>
          <w:szCs w:val="26"/>
        </w:rPr>
      </w:pPr>
      <w:r w:rsidRPr="00B31404">
        <w:rPr>
          <w:sz w:val="26"/>
          <w:szCs w:val="26"/>
          <w:lang w:val="es-ES_tradnl"/>
        </w:rPr>
        <w:t>D</w:t>
      </w:r>
      <w:r w:rsidR="0025108A" w:rsidRPr="00B31404">
        <w:rPr>
          <w:sz w:val="26"/>
          <w:szCs w:val="26"/>
          <w:lang w:val="es-ES_tradnl"/>
        </w:rPr>
        <w:t xml:space="preserve">erivada de la </w:t>
      </w:r>
      <w:r w:rsidR="00E7576C" w:rsidRPr="00B31404">
        <w:rPr>
          <w:sz w:val="26"/>
          <w:szCs w:val="26"/>
          <w:lang w:val="es-ES_tradnl"/>
        </w:rPr>
        <w:t xml:space="preserve">jurisprudencia </w:t>
      </w:r>
      <w:r w:rsidR="00E72CE6" w:rsidRPr="00B31404">
        <w:rPr>
          <w:sz w:val="26"/>
          <w:szCs w:val="26"/>
          <w:lang w:val="es-ES_tradnl"/>
        </w:rPr>
        <w:t xml:space="preserve">por precedentes </w:t>
      </w:r>
      <w:r w:rsidR="00572EF3">
        <w:rPr>
          <w:sz w:val="26"/>
          <w:szCs w:val="26"/>
          <w:lang w:val="es-ES_tradnl"/>
        </w:rPr>
        <w:t>establecida</w:t>
      </w:r>
      <w:r w:rsidR="00572EF3" w:rsidRPr="00B31404">
        <w:rPr>
          <w:sz w:val="26"/>
          <w:szCs w:val="26"/>
          <w:lang w:val="es-ES_tradnl"/>
        </w:rPr>
        <w:t xml:space="preserve"> </w:t>
      </w:r>
      <w:r w:rsidR="00E7576C" w:rsidRPr="00B31404">
        <w:rPr>
          <w:sz w:val="26"/>
          <w:szCs w:val="26"/>
          <w:lang w:val="es-ES_tradnl"/>
        </w:rPr>
        <w:t xml:space="preserve">por </w:t>
      </w:r>
      <w:r w:rsidR="005A4214" w:rsidRPr="00B31404">
        <w:rPr>
          <w:sz w:val="26"/>
          <w:szCs w:val="26"/>
          <w:lang w:val="es-ES_tradnl"/>
        </w:rPr>
        <w:t xml:space="preserve">la </w:t>
      </w:r>
      <w:r w:rsidR="00E72CE6" w:rsidRPr="00B31404">
        <w:rPr>
          <w:sz w:val="26"/>
          <w:szCs w:val="26"/>
          <w:lang w:val="es-ES_tradnl"/>
        </w:rPr>
        <w:t>Segunda</w:t>
      </w:r>
      <w:r w:rsidR="0025108A" w:rsidRPr="00B31404">
        <w:rPr>
          <w:sz w:val="26"/>
          <w:szCs w:val="26"/>
          <w:lang w:val="es-ES_tradnl"/>
        </w:rPr>
        <w:t xml:space="preserve"> Sala de la Suprema Corte de Justicia de la Nación</w:t>
      </w:r>
      <w:r w:rsidR="000340A4" w:rsidRPr="00B31404">
        <w:rPr>
          <w:sz w:val="26"/>
          <w:szCs w:val="26"/>
          <w:lang w:val="es-ES_tradnl"/>
        </w:rPr>
        <w:t xml:space="preserve"> </w:t>
      </w:r>
      <w:r w:rsidR="00357E7D" w:rsidRPr="00B31404">
        <w:rPr>
          <w:sz w:val="26"/>
          <w:szCs w:val="26"/>
          <w:lang w:val="es-ES_tradnl"/>
        </w:rPr>
        <w:t xml:space="preserve">al </w:t>
      </w:r>
      <w:bookmarkStart w:id="2" w:name="_Hlk130556127"/>
      <w:r w:rsidR="00357E7D" w:rsidRPr="00B31404">
        <w:rPr>
          <w:sz w:val="26"/>
          <w:szCs w:val="26"/>
          <w:lang w:val="es-ES_tradnl"/>
        </w:rPr>
        <w:t>resolver por unanimidad de cuatro votos los amparos en revisión 173/2022</w:t>
      </w:r>
      <w:r w:rsidR="00FC214F">
        <w:rPr>
          <w:rStyle w:val="Refdenotaalpie"/>
          <w:sz w:val="26"/>
          <w:szCs w:val="26"/>
          <w:lang w:val="es-ES_tradnl"/>
        </w:rPr>
        <w:footnoteReference w:id="2"/>
      </w:r>
      <w:r w:rsidR="00357E7D" w:rsidRPr="00B31404">
        <w:rPr>
          <w:sz w:val="26"/>
          <w:szCs w:val="26"/>
          <w:lang w:val="es-ES_tradnl"/>
        </w:rPr>
        <w:t xml:space="preserve"> y 230/2022</w:t>
      </w:r>
      <w:r w:rsidR="00FC214F">
        <w:rPr>
          <w:rStyle w:val="Refdenotaalpie"/>
          <w:sz w:val="26"/>
          <w:szCs w:val="26"/>
          <w:lang w:val="es-ES_tradnl"/>
        </w:rPr>
        <w:footnoteReference w:id="3"/>
      </w:r>
      <w:r w:rsidR="00357E7D" w:rsidRPr="00B31404">
        <w:rPr>
          <w:sz w:val="26"/>
          <w:szCs w:val="26"/>
          <w:lang w:val="es-ES_tradnl"/>
        </w:rPr>
        <w:t xml:space="preserve">, en los que </w:t>
      </w:r>
      <w:r w:rsidR="00CE1F07">
        <w:rPr>
          <w:sz w:val="26"/>
          <w:szCs w:val="26"/>
          <w:lang w:val="es-ES_tradnl"/>
        </w:rPr>
        <w:t>declaró</w:t>
      </w:r>
      <w:r w:rsidR="00CE1F07" w:rsidRPr="00B31404">
        <w:rPr>
          <w:sz w:val="26"/>
          <w:szCs w:val="26"/>
          <w:lang w:val="es-ES_tradnl"/>
        </w:rPr>
        <w:t xml:space="preserve"> </w:t>
      </w:r>
      <w:r w:rsidR="00357E7D" w:rsidRPr="00B31404">
        <w:rPr>
          <w:sz w:val="26"/>
          <w:szCs w:val="26"/>
          <w:lang w:val="es-ES_tradnl"/>
        </w:rPr>
        <w:t>la inconstitucionalidad del artículo 98, fracciones XI y XII, de la Ley para la Prevención y Gestión Integral de los Residuos Sólidos del Estado de Oaxaca.</w:t>
      </w:r>
      <w:bookmarkEnd w:id="2"/>
    </w:p>
    <w:p w14:paraId="57858178" w14:textId="1D82E3B8" w:rsidR="008B4AE5" w:rsidRPr="00B31404" w:rsidRDefault="008B4AE5" w:rsidP="00B31404">
      <w:pPr>
        <w:pStyle w:val="TEXTONORMAL"/>
        <w:spacing w:after="240"/>
        <w:ind w:firstLine="0"/>
        <w:jc w:val="center"/>
        <w:rPr>
          <w:sz w:val="26"/>
          <w:szCs w:val="26"/>
        </w:rPr>
      </w:pPr>
      <w:r w:rsidRPr="00B31404">
        <w:rPr>
          <w:b/>
          <w:sz w:val="26"/>
          <w:szCs w:val="26"/>
        </w:rPr>
        <w:t xml:space="preserve">I. </w:t>
      </w:r>
      <w:r w:rsidR="00BD1350" w:rsidRPr="00B31404">
        <w:rPr>
          <w:b/>
          <w:sz w:val="26"/>
          <w:szCs w:val="26"/>
        </w:rPr>
        <w:t>ANTECEDENTES</w:t>
      </w:r>
    </w:p>
    <w:p w14:paraId="29652A6E" w14:textId="197E23BF" w:rsidR="00EB3329" w:rsidRPr="00B31404" w:rsidRDefault="00AC697F" w:rsidP="00B31404">
      <w:pPr>
        <w:pStyle w:val="TEXTONORMAL"/>
        <w:numPr>
          <w:ilvl w:val="0"/>
          <w:numId w:val="3"/>
        </w:numPr>
        <w:spacing w:after="240"/>
        <w:ind w:left="0" w:hanging="567"/>
        <w:rPr>
          <w:sz w:val="26"/>
          <w:szCs w:val="26"/>
        </w:rPr>
      </w:pPr>
      <w:r w:rsidRPr="00B31404">
        <w:rPr>
          <w:b/>
          <w:sz w:val="26"/>
          <w:szCs w:val="26"/>
        </w:rPr>
        <w:t>Solicitud</w:t>
      </w:r>
      <w:r w:rsidR="00D866EC" w:rsidRPr="00B31404">
        <w:rPr>
          <w:b/>
          <w:sz w:val="26"/>
          <w:szCs w:val="26"/>
        </w:rPr>
        <w:t xml:space="preserve">. </w:t>
      </w:r>
      <w:r w:rsidR="00D866EC" w:rsidRPr="00B31404">
        <w:rPr>
          <w:sz w:val="26"/>
          <w:szCs w:val="26"/>
        </w:rPr>
        <w:t xml:space="preserve">Mediante oficio </w:t>
      </w:r>
      <w:r w:rsidR="002D363E" w:rsidRPr="00B31404">
        <w:rPr>
          <w:sz w:val="26"/>
          <w:szCs w:val="26"/>
        </w:rPr>
        <w:t>presentado</w:t>
      </w:r>
      <w:r w:rsidR="00D866EC" w:rsidRPr="00B31404">
        <w:rPr>
          <w:sz w:val="26"/>
          <w:szCs w:val="26"/>
        </w:rPr>
        <w:t xml:space="preserve"> el </w:t>
      </w:r>
      <w:r w:rsidR="00357E7D" w:rsidRPr="00B31404">
        <w:rPr>
          <w:sz w:val="26"/>
          <w:szCs w:val="26"/>
        </w:rPr>
        <w:t>trece</w:t>
      </w:r>
      <w:r w:rsidR="002D363E" w:rsidRPr="00B31404">
        <w:rPr>
          <w:sz w:val="26"/>
          <w:szCs w:val="26"/>
        </w:rPr>
        <w:t xml:space="preserve"> de </w:t>
      </w:r>
      <w:r w:rsidR="00357E7D" w:rsidRPr="00B31404">
        <w:rPr>
          <w:sz w:val="26"/>
          <w:szCs w:val="26"/>
        </w:rPr>
        <w:t>octubre</w:t>
      </w:r>
      <w:r w:rsidR="002D363E" w:rsidRPr="00B31404">
        <w:rPr>
          <w:sz w:val="26"/>
          <w:szCs w:val="26"/>
        </w:rPr>
        <w:t xml:space="preserve"> de </w:t>
      </w:r>
      <w:r w:rsidR="00A7542E" w:rsidRPr="00B31404">
        <w:rPr>
          <w:sz w:val="26"/>
          <w:szCs w:val="26"/>
        </w:rPr>
        <w:t>d</w:t>
      </w:r>
      <w:r w:rsidR="00357E7D" w:rsidRPr="00B31404">
        <w:rPr>
          <w:sz w:val="26"/>
          <w:szCs w:val="26"/>
        </w:rPr>
        <w:t>os</w:t>
      </w:r>
      <w:r w:rsidR="002D363E" w:rsidRPr="00B31404">
        <w:rPr>
          <w:sz w:val="26"/>
          <w:szCs w:val="26"/>
        </w:rPr>
        <w:t xml:space="preserve"> mil </w:t>
      </w:r>
      <w:r w:rsidR="00357E7D" w:rsidRPr="00B31404">
        <w:rPr>
          <w:sz w:val="26"/>
          <w:szCs w:val="26"/>
        </w:rPr>
        <w:t>veintidós</w:t>
      </w:r>
      <w:r w:rsidR="002D363E" w:rsidRPr="00B31404">
        <w:rPr>
          <w:sz w:val="26"/>
          <w:szCs w:val="26"/>
        </w:rPr>
        <w:t xml:space="preserve"> en la Oficina de Certificación Judicial y Correspondencia de la Suprema Corte de Justicia de la Nación, la </w:t>
      </w:r>
      <w:r w:rsidR="002D363E" w:rsidRPr="00B31404">
        <w:rPr>
          <w:bCs/>
          <w:sz w:val="26"/>
          <w:szCs w:val="26"/>
        </w:rPr>
        <w:t xml:space="preserve">Ministra </w:t>
      </w:r>
      <w:r w:rsidR="00610B32" w:rsidRPr="00B31404">
        <w:rPr>
          <w:bCs/>
          <w:sz w:val="26"/>
          <w:szCs w:val="26"/>
        </w:rPr>
        <w:t>Presidenta de la Segunda Sala, Yasmín Esquivel Mossa,</w:t>
      </w:r>
      <w:r w:rsidR="002D363E" w:rsidRPr="00B31404">
        <w:rPr>
          <w:bCs/>
          <w:sz w:val="26"/>
          <w:szCs w:val="26"/>
        </w:rPr>
        <w:t xml:space="preserve"> </w:t>
      </w:r>
      <w:r w:rsidR="00122226" w:rsidRPr="00B31404">
        <w:rPr>
          <w:bCs/>
          <w:sz w:val="26"/>
          <w:szCs w:val="26"/>
        </w:rPr>
        <w:t xml:space="preserve">con fundamento en </w:t>
      </w:r>
      <w:r w:rsidR="00236889" w:rsidRPr="00361817">
        <w:rPr>
          <w:bCs/>
          <w:sz w:val="26"/>
          <w:szCs w:val="26"/>
        </w:rPr>
        <w:t>e</w:t>
      </w:r>
      <w:r w:rsidR="00122226" w:rsidRPr="00B31404">
        <w:rPr>
          <w:bCs/>
          <w:sz w:val="26"/>
          <w:szCs w:val="26"/>
        </w:rPr>
        <w:t xml:space="preserve">l artículo 107, fracción II, párrafos </w:t>
      </w:r>
      <w:r w:rsidR="00EB3329" w:rsidRPr="00B31404">
        <w:rPr>
          <w:bCs/>
          <w:sz w:val="26"/>
          <w:szCs w:val="26"/>
        </w:rPr>
        <w:t>segundo</w:t>
      </w:r>
      <w:r w:rsidR="00BA7DB3" w:rsidRPr="00B31404">
        <w:rPr>
          <w:bCs/>
          <w:sz w:val="26"/>
          <w:szCs w:val="26"/>
        </w:rPr>
        <w:t xml:space="preserve"> y </w:t>
      </w:r>
      <w:r w:rsidR="00122226" w:rsidRPr="00B31404">
        <w:rPr>
          <w:bCs/>
          <w:sz w:val="26"/>
          <w:szCs w:val="26"/>
        </w:rPr>
        <w:t>tercer</w:t>
      </w:r>
      <w:r w:rsidR="00BA7DB3" w:rsidRPr="00B31404">
        <w:rPr>
          <w:bCs/>
          <w:sz w:val="26"/>
          <w:szCs w:val="26"/>
        </w:rPr>
        <w:t xml:space="preserve">o de la Constitución </w:t>
      </w:r>
      <w:r w:rsidR="00236889" w:rsidRPr="00361817">
        <w:rPr>
          <w:bCs/>
          <w:sz w:val="26"/>
          <w:szCs w:val="26"/>
        </w:rPr>
        <w:t>General</w:t>
      </w:r>
      <w:r w:rsidR="00BA7DB3" w:rsidRPr="00B31404">
        <w:rPr>
          <w:bCs/>
          <w:sz w:val="26"/>
          <w:szCs w:val="26"/>
        </w:rPr>
        <w:t xml:space="preserve">; 231 y 232 de la Ley de Amparo, </w:t>
      </w:r>
      <w:r w:rsidR="00D866EC" w:rsidRPr="00B31404">
        <w:rPr>
          <w:bCs/>
          <w:sz w:val="26"/>
          <w:szCs w:val="26"/>
        </w:rPr>
        <w:t>com</w:t>
      </w:r>
      <w:r w:rsidR="00D866EC" w:rsidRPr="00B31404">
        <w:rPr>
          <w:sz w:val="26"/>
          <w:szCs w:val="26"/>
        </w:rPr>
        <w:t>unicó a</w:t>
      </w:r>
      <w:r w:rsidR="00236889" w:rsidRPr="00361817">
        <w:rPr>
          <w:sz w:val="26"/>
          <w:szCs w:val="26"/>
        </w:rPr>
        <w:t xml:space="preserve"> </w:t>
      </w:r>
      <w:r w:rsidR="00D866EC" w:rsidRPr="00B31404">
        <w:rPr>
          <w:sz w:val="26"/>
          <w:szCs w:val="26"/>
        </w:rPr>
        <w:t>l</w:t>
      </w:r>
      <w:r w:rsidR="00236889" w:rsidRPr="00361817">
        <w:rPr>
          <w:sz w:val="26"/>
          <w:szCs w:val="26"/>
        </w:rPr>
        <w:t>a</w:t>
      </w:r>
      <w:r w:rsidR="00D866EC" w:rsidRPr="00B31404">
        <w:rPr>
          <w:sz w:val="26"/>
          <w:szCs w:val="26"/>
        </w:rPr>
        <w:t xml:space="preserve"> </w:t>
      </w:r>
      <w:r w:rsidR="00236889" w:rsidRPr="00361817">
        <w:rPr>
          <w:sz w:val="26"/>
          <w:szCs w:val="26"/>
        </w:rPr>
        <w:t xml:space="preserve">Presidencia </w:t>
      </w:r>
      <w:r w:rsidR="00D866EC" w:rsidRPr="00B31404">
        <w:rPr>
          <w:sz w:val="26"/>
          <w:szCs w:val="26"/>
        </w:rPr>
        <w:t xml:space="preserve">de </w:t>
      </w:r>
      <w:r w:rsidR="00236889" w:rsidRPr="00361817">
        <w:rPr>
          <w:sz w:val="26"/>
          <w:szCs w:val="26"/>
        </w:rPr>
        <w:t xml:space="preserve">este Alto </w:t>
      </w:r>
      <w:r w:rsidR="00236889" w:rsidRPr="00361817">
        <w:rPr>
          <w:sz w:val="26"/>
          <w:szCs w:val="26"/>
        </w:rPr>
        <w:lastRenderedPageBreak/>
        <w:t>Tribunal</w:t>
      </w:r>
      <w:r w:rsidR="00361817" w:rsidRPr="00361817">
        <w:rPr>
          <w:sz w:val="26"/>
          <w:szCs w:val="26"/>
        </w:rPr>
        <w:t xml:space="preserve"> que la Segunda Sala </w:t>
      </w:r>
      <w:r w:rsidR="000F0DF5" w:rsidRPr="00B31404">
        <w:rPr>
          <w:sz w:val="26"/>
          <w:szCs w:val="26"/>
        </w:rPr>
        <w:t xml:space="preserve">resolvió </w:t>
      </w:r>
      <w:r w:rsidR="00EB3329" w:rsidRPr="00B31404">
        <w:rPr>
          <w:sz w:val="26"/>
          <w:szCs w:val="26"/>
        </w:rPr>
        <w:t xml:space="preserve">por unanimidad </w:t>
      </w:r>
      <w:r w:rsidR="00361817">
        <w:rPr>
          <w:sz w:val="26"/>
          <w:szCs w:val="26"/>
        </w:rPr>
        <w:t>declarar</w:t>
      </w:r>
      <w:r w:rsidR="00EB3329" w:rsidRPr="00B31404">
        <w:rPr>
          <w:sz w:val="26"/>
          <w:szCs w:val="26"/>
        </w:rPr>
        <w:t xml:space="preserve"> la inconstitucionalidad del artículo 98, fracciones XI y XII, de la Ley para la Prevención y Gestión Integral de los Residuos Sólidos del Estado de Oaxaca</w:t>
      </w:r>
      <w:r w:rsidR="000F0DF5" w:rsidRPr="00B31404">
        <w:rPr>
          <w:sz w:val="26"/>
          <w:szCs w:val="26"/>
        </w:rPr>
        <w:t>.</w:t>
      </w:r>
    </w:p>
    <w:p w14:paraId="52D7F7CF" w14:textId="74787F54" w:rsidR="00F13E77" w:rsidRPr="003E3583" w:rsidRDefault="00743B01" w:rsidP="00102449">
      <w:pPr>
        <w:pStyle w:val="TEXTONORMAL"/>
        <w:numPr>
          <w:ilvl w:val="0"/>
          <w:numId w:val="3"/>
        </w:numPr>
        <w:spacing w:after="240"/>
        <w:ind w:left="0"/>
        <w:rPr>
          <w:bCs/>
          <w:sz w:val="26"/>
          <w:szCs w:val="26"/>
        </w:rPr>
      </w:pPr>
      <w:r w:rsidRPr="00B31404">
        <w:rPr>
          <w:b/>
          <w:sz w:val="26"/>
          <w:szCs w:val="26"/>
        </w:rPr>
        <w:t>Admisión</w:t>
      </w:r>
      <w:r w:rsidR="003767B2" w:rsidRPr="002A0393">
        <w:rPr>
          <w:b/>
          <w:bCs/>
          <w:sz w:val="26"/>
          <w:szCs w:val="26"/>
        </w:rPr>
        <w:t>.</w:t>
      </w:r>
      <w:r w:rsidR="003767B2" w:rsidRPr="00B31404">
        <w:rPr>
          <w:sz w:val="26"/>
          <w:szCs w:val="26"/>
        </w:rPr>
        <w:t xml:space="preserve"> </w:t>
      </w:r>
      <w:r w:rsidR="00D866EC" w:rsidRPr="00B31404">
        <w:rPr>
          <w:sz w:val="26"/>
          <w:szCs w:val="26"/>
        </w:rPr>
        <w:t xml:space="preserve">Por acuerdo de </w:t>
      </w:r>
      <w:r w:rsidR="000A534F" w:rsidRPr="00B31404">
        <w:rPr>
          <w:sz w:val="26"/>
          <w:szCs w:val="26"/>
        </w:rPr>
        <w:t>diecisiete de octubre de dos mil</w:t>
      </w:r>
      <w:r w:rsidR="004F3B34" w:rsidRPr="00B31404">
        <w:rPr>
          <w:sz w:val="26"/>
          <w:szCs w:val="26"/>
        </w:rPr>
        <w:t xml:space="preserve"> </w:t>
      </w:r>
      <w:r w:rsidR="000A534F" w:rsidRPr="00B31404">
        <w:rPr>
          <w:sz w:val="26"/>
          <w:szCs w:val="26"/>
        </w:rPr>
        <w:t>veintidós</w:t>
      </w:r>
      <w:r w:rsidR="00FB317A" w:rsidRPr="00B31404">
        <w:rPr>
          <w:sz w:val="26"/>
          <w:szCs w:val="26"/>
        </w:rPr>
        <w:t xml:space="preserve">, el Presidente de la Suprema Corte de Justicia de la Nación </w:t>
      </w:r>
      <w:r w:rsidR="00114C03" w:rsidRPr="00B31404">
        <w:rPr>
          <w:sz w:val="26"/>
          <w:szCs w:val="26"/>
        </w:rPr>
        <w:t>ordenó la formación y registro d</w:t>
      </w:r>
      <w:r w:rsidR="00D866EC" w:rsidRPr="00B31404">
        <w:rPr>
          <w:sz w:val="26"/>
          <w:szCs w:val="26"/>
        </w:rPr>
        <w:t xml:space="preserve">el expediente </w:t>
      </w:r>
      <w:r w:rsidR="00D866EC" w:rsidRPr="00B31404">
        <w:rPr>
          <w:bCs/>
          <w:sz w:val="26"/>
          <w:szCs w:val="26"/>
        </w:rPr>
        <w:t xml:space="preserve">declaratoria general de inconstitucionalidad </w:t>
      </w:r>
      <w:r w:rsidR="005B4094" w:rsidRPr="00B31404">
        <w:rPr>
          <w:bCs/>
          <w:sz w:val="26"/>
          <w:szCs w:val="26"/>
        </w:rPr>
        <w:t>8</w:t>
      </w:r>
      <w:r w:rsidR="003767B2" w:rsidRPr="00B31404">
        <w:rPr>
          <w:bCs/>
          <w:sz w:val="26"/>
          <w:szCs w:val="26"/>
        </w:rPr>
        <w:t>/20</w:t>
      </w:r>
      <w:r w:rsidR="005B4094" w:rsidRPr="00B31404">
        <w:rPr>
          <w:bCs/>
          <w:sz w:val="26"/>
          <w:szCs w:val="26"/>
        </w:rPr>
        <w:t>22</w:t>
      </w:r>
      <w:r w:rsidR="00667B07">
        <w:rPr>
          <w:bCs/>
          <w:sz w:val="26"/>
          <w:szCs w:val="26"/>
        </w:rPr>
        <w:t>;</w:t>
      </w:r>
      <w:r w:rsidR="00FB317A" w:rsidRPr="00B31404">
        <w:rPr>
          <w:bCs/>
          <w:sz w:val="26"/>
          <w:szCs w:val="26"/>
        </w:rPr>
        <w:t xml:space="preserve"> </w:t>
      </w:r>
      <w:r w:rsidR="006E5384">
        <w:rPr>
          <w:bCs/>
          <w:sz w:val="26"/>
          <w:szCs w:val="26"/>
        </w:rPr>
        <w:t xml:space="preserve">lo </w:t>
      </w:r>
      <w:r w:rsidR="00667B07">
        <w:rPr>
          <w:bCs/>
          <w:sz w:val="26"/>
          <w:szCs w:val="26"/>
        </w:rPr>
        <w:t>t</w:t>
      </w:r>
      <w:r w:rsidR="00ED5989" w:rsidRPr="003E3583">
        <w:rPr>
          <w:bCs/>
          <w:sz w:val="26"/>
          <w:szCs w:val="26"/>
        </w:rPr>
        <w:t xml:space="preserve">urnó a la ponencia del </w:t>
      </w:r>
      <w:r w:rsidR="00667B07">
        <w:rPr>
          <w:bCs/>
          <w:sz w:val="26"/>
          <w:szCs w:val="26"/>
        </w:rPr>
        <w:t>Ministro</w:t>
      </w:r>
      <w:r w:rsidR="00ED5989" w:rsidRPr="003E3583">
        <w:rPr>
          <w:bCs/>
          <w:sz w:val="26"/>
          <w:szCs w:val="26"/>
        </w:rPr>
        <w:t xml:space="preserve"> Javier Laynez Potisek y </w:t>
      </w:r>
      <w:r w:rsidR="003E3583" w:rsidRPr="003E3583">
        <w:rPr>
          <w:bCs/>
          <w:sz w:val="26"/>
          <w:szCs w:val="26"/>
        </w:rPr>
        <w:t xml:space="preserve">con </w:t>
      </w:r>
      <w:r w:rsidR="007226F6" w:rsidRPr="00B31404">
        <w:rPr>
          <w:bCs/>
          <w:sz w:val="26"/>
          <w:szCs w:val="26"/>
        </w:rPr>
        <w:t xml:space="preserve">copia certificada de las resoluciones dictadas en los amparos en revisión 173/2022 y 230/2022 </w:t>
      </w:r>
      <w:r w:rsidR="007B112E" w:rsidRPr="00B31404">
        <w:rPr>
          <w:bCs/>
          <w:sz w:val="26"/>
          <w:szCs w:val="26"/>
        </w:rPr>
        <w:t>o</w:t>
      </w:r>
      <w:r w:rsidR="00432A01" w:rsidRPr="00B31404">
        <w:rPr>
          <w:bCs/>
          <w:sz w:val="26"/>
          <w:szCs w:val="26"/>
        </w:rPr>
        <w:t xml:space="preserve">rdenó notificar </w:t>
      </w:r>
      <w:r w:rsidR="00D866EC" w:rsidRPr="00B31404">
        <w:rPr>
          <w:bCs/>
          <w:sz w:val="26"/>
          <w:szCs w:val="26"/>
        </w:rPr>
        <w:t>al</w:t>
      </w:r>
      <w:r w:rsidR="007B112E" w:rsidRPr="00B31404">
        <w:rPr>
          <w:bCs/>
          <w:sz w:val="26"/>
          <w:szCs w:val="26"/>
        </w:rPr>
        <w:t xml:space="preserve"> </w:t>
      </w:r>
      <w:r w:rsidR="00D866EC" w:rsidRPr="00B31404">
        <w:rPr>
          <w:bCs/>
          <w:sz w:val="26"/>
          <w:szCs w:val="26"/>
        </w:rPr>
        <w:t xml:space="preserve">Congreso </w:t>
      </w:r>
      <w:r w:rsidR="0074336A" w:rsidRPr="00B31404">
        <w:rPr>
          <w:bCs/>
          <w:sz w:val="26"/>
          <w:szCs w:val="26"/>
        </w:rPr>
        <w:t xml:space="preserve">del Estado de Oaxaca </w:t>
      </w:r>
      <w:r w:rsidR="00AD7AC0">
        <w:rPr>
          <w:bCs/>
          <w:sz w:val="26"/>
          <w:szCs w:val="26"/>
        </w:rPr>
        <w:t xml:space="preserve"> para </w:t>
      </w:r>
      <w:r w:rsidR="00102449">
        <w:rPr>
          <w:bCs/>
          <w:sz w:val="26"/>
          <w:szCs w:val="26"/>
        </w:rPr>
        <w:t xml:space="preserve">los efectos del plazo de </w:t>
      </w:r>
      <w:r w:rsidR="003E3583">
        <w:rPr>
          <w:bCs/>
          <w:sz w:val="26"/>
          <w:szCs w:val="26"/>
        </w:rPr>
        <w:t xml:space="preserve">90 (noventa) días </w:t>
      </w:r>
      <w:r w:rsidR="00102449">
        <w:rPr>
          <w:bCs/>
          <w:sz w:val="26"/>
          <w:szCs w:val="26"/>
        </w:rPr>
        <w:t xml:space="preserve">a que se refiere </w:t>
      </w:r>
      <w:r w:rsidR="00802768">
        <w:rPr>
          <w:bCs/>
          <w:sz w:val="26"/>
          <w:szCs w:val="26"/>
        </w:rPr>
        <w:t>el</w:t>
      </w:r>
      <w:r w:rsidR="00102449">
        <w:rPr>
          <w:bCs/>
          <w:sz w:val="26"/>
          <w:szCs w:val="26"/>
        </w:rPr>
        <w:t xml:space="preserve"> artículo 107</w:t>
      </w:r>
      <w:r w:rsidR="00E30F3B">
        <w:rPr>
          <w:bCs/>
          <w:sz w:val="26"/>
          <w:szCs w:val="26"/>
        </w:rPr>
        <w:t>, fracción II, párrafo tercero de la Constitución General.</w:t>
      </w:r>
    </w:p>
    <w:p w14:paraId="02BDA459" w14:textId="2D7AE96F" w:rsidR="008B4AE5" w:rsidRPr="00B31404" w:rsidRDefault="008B4AE5" w:rsidP="00B31404">
      <w:pPr>
        <w:pStyle w:val="TEXTONORMAL"/>
        <w:spacing w:after="240"/>
        <w:ind w:firstLine="0"/>
        <w:jc w:val="center"/>
        <w:rPr>
          <w:sz w:val="26"/>
          <w:szCs w:val="26"/>
        </w:rPr>
      </w:pPr>
      <w:r w:rsidRPr="00B31404">
        <w:rPr>
          <w:b/>
          <w:sz w:val="26"/>
          <w:szCs w:val="26"/>
        </w:rPr>
        <w:t>II. CO</w:t>
      </w:r>
      <w:r w:rsidR="00C35707" w:rsidRPr="00B31404">
        <w:rPr>
          <w:b/>
          <w:sz w:val="26"/>
          <w:szCs w:val="26"/>
        </w:rPr>
        <w:t>MPETENCIA</w:t>
      </w:r>
      <w:r w:rsidR="00CE3D68" w:rsidRPr="00B31404">
        <w:rPr>
          <w:b/>
          <w:sz w:val="26"/>
          <w:szCs w:val="26"/>
        </w:rPr>
        <w:t xml:space="preserve"> </w:t>
      </w:r>
    </w:p>
    <w:p w14:paraId="55BD2233" w14:textId="6A612ACA" w:rsidR="00713F11" w:rsidRPr="00B31404" w:rsidRDefault="008462EB" w:rsidP="00B31404">
      <w:pPr>
        <w:pStyle w:val="TEXTONORMAL"/>
        <w:numPr>
          <w:ilvl w:val="0"/>
          <w:numId w:val="3"/>
        </w:numPr>
        <w:spacing w:after="240"/>
        <w:ind w:left="0" w:hanging="567"/>
        <w:rPr>
          <w:sz w:val="26"/>
          <w:szCs w:val="26"/>
        </w:rPr>
      </w:pPr>
      <w:r w:rsidRPr="00B31404">
        <w:rPr>
          <w:sz w:val="26"/>
          <w:szCs w:val="26"/>
        </w:rPr>
        <w:t>Este Tribunal Pleno de la Suprema Corte de Justicia de la Nación es competente para conocer de esta declaratoria general de inconstitucionalidad</w:t>
      </w:r>
      <w:r w:rsidR="002629AC">
        <w:rPr>
          <w:sz w:val="26"/>
          <w:szCs w:val="26"/>
        </w:rPr>
        <w:t>,</w:t>
      </w:r>
      <w:r w:rsidRPr="00B31404">
        <w:rPr>
          <w:sz w:val="26"/>
          <w:szCs w:val="26"/>
        </w:rPr>
        <w:t xml:space="preserve"> de conformidad con el </w:t>
      </w:r>
      <w:bookmarkStart w:id="3" w:name="_Hlk129865327"/>
      <w:r w:rsidRPr="00B31404">
        <w:rPr>
          <w:sz w:val="26"/>
          <w:szCs w:val="26"/>
        </w:rPr>
        <w:t xml:space="preserve">artículo 107, fracción II, </w:t>
      </w:r>
      <w:r w:rsidR="00397A86" w:rsidRPr="00B31404">
        <w:rPr>
          <w:sz w:val="26"/>
          <w:szCs w:val="26"/>
        </w:rPr>
        <w:t>párrafos segundo y tercero</w:t>
      </w:r>
      <w:r w:rsidRPr="00B31404">
        <w:rPr>
          <w:sz w:val="26"/>
          <w:szCs w:val="26"/>
        </w:rPr>
        <w:t>, de la Constitución General</w:t>
      </w:r>
      <w:r w:rsidRPr="00B31404">
        <w:rPr>
          <w:rStyle w:val="Refdenotaalpie"/>
          <w:sz w:val="26"/>
          <w:szCs w:val="26"/>
        </w:rPr>
        <w:footnoteReference w:id="4"/>
      </w:r>
      <w:r w:rsidRPr="00B31404">
        <w:rPr>
          <w:sz w:val="26"/>
          <w:szCs w:val="26"/>
        </w:rPr>
        <w:t>,</w:t>
      </w:r>
      <w:r w:rsidR="001A555F" w:rsidRPr="00B31404">
        <w:rPr>
          <w:sz w:val="26"/>
          <w:szCs w:val="26"/>
        </w:rPr>
        <w:t xml:space="preserve"> </w:t>
      </w:r>
      <w:r w:rsidRPr="00B31404">
        <w:rPr>
          <w:sz w:val="26"/>
          <w:szCs w:val="26"/>
        </w:rPr>
        <w:t>en relación con los artículos 231 y 232 de la Ley de Amparo</w:t>
      </w:r>
      <w:r w:rsidRPr="00B31404">
        <w:rPr>
          <w:rStyle w:val="Refdenotaalpie"/>
          <w:sz w:val="26"/>
          <w:szCs w:val="26"/>
        </w:rPr>
        <w:footnoteReference w:id="5"/>
      </w:r>
      <w:r w:rsidRPr="00B31404">
        <w:rPr>
          <w:sz w:val="26"/>
          <w:szCs w:val="26"/>
        </w:rPr>
        <w:t xml:space="preserve">, 10, fracción </w:t>
      </w:r>
      <w:r w:rsidR="00752993">
        <w:rPr>
          <w:sz w:val="26"/>
          <w:szCs w:val="26"/>
        </w:rPr>
        <w:t>V</w:t>
      </w:r>
      <w:r w:rsidRPr="00B31404">
        <w:rPr>
          <w:sz w:val="26"/>
          <w:szCs w:val="26"/>
        </w:rPr>
        <w:t xml:space="preserve">, de la Ley </w:t>
      </w:r>
      <w:r w:rsidRPr="00B31404">
        <w:rPr>
          <w:sz w:val="26"/>
          <w:szCs w:val="26"/>
        </w:rPr>
        <w:lastRenderedPageBreak/>
        <w:t xml:space="preserve">Orgánica del Poder Judicial </w:t>
      </w:r>
      <w:bookmarkEnd w:id="3"/>
      <w:r w:rsidRPr="00B31404">
        <w:rPr>
          <w:sz w:val="26"/>
          <w:szCs w:val="26"/>
        </w:rPr>
        <w:t>de la Federación</w:t>
      </w:r>
      <w:r w:rsidRPr="00B31404">
        <w:rPr>
          <w:rStyle w:val="Refdenotaalpie"/>
          <w:sz w:val="26"/>
          <w:szCs w:val="26"/>
        </w:rPr>
        <w:footnoteReference w:id="6"/>
      </w:r>
      <w:r w:rsidR="00B2713A" w:rsidRPr="00B31404">
        <w:rPr>
          <w:sz w:val="26"/>
          <w:szCs w:val="26"/>
        </w:rPr>
        <w:t>,</w:t>
      </w:r>
      <w:r w:rsidRPr="00B31404">
        <w:rPr>
          <w:sz w:val="26"/>
          <w:szCs w:val="26"/>
        </w:rPr>
        <w:t xml:space="preserve"> y en el punto sexto del Acuerdo General Plenario 15/2013</w:t>
      </w:r>
      <w:r w:rsidRPr="00B31404">
        <w:rPr>
          <w:rStyle w:val="Refdenotaalpie"/>
          <w:sz w:val="26"/>
          <w:szCs w:val="26"/>
        </w:rPr>
        <w:footnoteReference w:id="7"/>
      </w:r>
      <w:r w:rsidRPr="00B31404">
        <w:rPr>
          <w:sz w:val="26"/>
          <w:szCs w:val="26"/>
        </w:rPr>
        <w:t xml:space="preserve">, </w:t>
      </w:r>
      <w:r w:rsidR="001B4992" w:rsidRPr="00B31404">
        <w:rPr>
          <w:sz w:val="26"/>
          <w:szCs w:val="26"/>
        </w:rPr>
        <w:t>que entró en vigor el nueve</w:t>
      </w:r>
      <w:r w:rsidRPr="00B31404">
        <w:rPr>
          <w:sz w:val="26"/>
          <w:szCs w:val="26"/>
        </w:rPr>
        <w:t xml:space="preserve"> de octubre de dos mil trece.</w:t>
      </w:r>
    </w:p>
    <w:p w14:paraId="0EB088E1" w14:textId="1B4DCE8A" w:rsidR="00E6694C" w:rsidRPr="0038744D" w:rsidRDefault="00292A24" w:rsidP="0038744D">
      <w:pPr>
        <w:pStyle w:val="TEXTONORMAL"/>
        <w:numPr>
          <w:ilvl w:val="0"/>
          <w:numId w:val="3"/>
        </w:numPr>
        <w:spacing w:after="240"/>
        <w:ind w:left="0"/>
        <w:rPr>
          <w:sz w:val="26"/>
          <w:szCs w:val="26"/>
        </w:rPr>
      </w:pPr>
      <w:r w:rsidRPr="0038744D">
        <w:rPr>
          <w:sz w:val="26"/>
          <w:szCs w:val="26"/>
        </w:rPr>
        <w:t>Es importante aclara</w:t>
      </w:r>
      <w:r w:rsidR="0038744D">
        <w:rPr>
          <w:sz w:val="26"/>
          <w:szCs w:val="26"/>
        </w:rPr>
        <w:t>r</w:t>
      </w:r>
      <w:r w:rsidRPr="0038744D">
        <w:rPr>
          <w:sz w:val="26"/>
          <w:szCs w:val="26"/>
        </w:rPr>
        <w:t xml:space="preserve"> que pese a la </w:t>
      </w:r>
      <w:r w:rsidR="005600F0" w:rsidRPr="0038744D">
        <w:rPr>
          <w:sz w:val="26"/>
          <w:szCs w:val="26"/>
        </w:rPr>
        <w:t>reforma constitucional de once de marzo de dos mil veintiuno,</w:t>
      </w:r>
      <w:r w:rsidR="00D1070F" w:rsidRPr="00B31404">
        <w:rPr>
          <w:sz w:val="26"/>
          <w:szCs w:val="26"/>
        </w:rPr>
        <w:t xml:space="preserve"> el Acuerdo General 15/2013</w:t>
      </w:r>
      <w:r w:rsidR="00D21697" w:rsidRPr="0038744D">
        <w:rPr>
          <w:sz w:val="26"/>
          <w:szCs w:val="26"/>
        </w:rPr>
        <w:t xml:space="preserve"> del Pleno de la Suprema Corte de Justicia de la Nación </w:t>
      </w:r>
      <w:r w:rsidR="007748A8" w:rsidRPr="00B31404">
        <w:rPr>
          <w:sz w:val="26"/>
          <w:szCs w:val="26"/>
        </w:rPr>
        <w:t xml:space="preserve">sigue </w:t>
      </w:r>
      <w:r w:rsidR="003E3D4F">
        <w:rPr>
          <w:sz w:val="26"/>
          <w:szCs w:val="26"/>
        </w:rPr>
        <w:t>siendo</w:t>
      </w:r>
      <w:r w:rsidR="003E3D4F" w:rsidRPr="00B31404">
        <w:rPr>
          <w:sz w:val="26"/>
          <w:szCs w:val="26"/>
        </w:rPr>
        <w:t xml:space="preserve"> </w:t>
      </w:r>
      <w:r w:rsidR="007748A8" w:rsidRPr="00B31404">
        <w:rPr>
          <w:sz w:val="26"/>
          <w:szCs w:val="26"/>
        </w:rPr>
        <w:t xml:space="preserve">aplicable </w:t>
      </w:r>
      <w:r w:rsidR="00D17499" w:rsidRPr="00B31404">
        <w:rPr>
          <w:sz w:val="26"/>
          <w:szCs w:val="26"/>
        </w:rPr>
        <w:t xml:space="preserve">en lo relativo al procedimiento para la declaratoria general de inconstitucionalidad en todo lo que no se oponga a lo establecido en la Constitución </w:t>
      </w:r>
      <w:r w:rsidR="003E3D4F">
        <w:rPr>
          <w:sz w:val="26"/>
          <w:szCs w:val="26"/>
        </w:rPr>
        <w:t>General</w:t>
      </w:r>
      <w:r w:rsidR="00D17499" w:rsidRPr="00B31404">
        <w:rPr>
          <w:sz w:val="26"/>
          <w:szCs w:val="26"/>
        </w:rPr>
        <w:t xml:space="preserve"> y la Ley de Amparo vigentes.</w:t>
      </w:r>
    </w:p>
    <w:p w14:paraId="0B0A9DF9" w14:textId="0F941F11" w:rsidR="00314214" w:rsidRPr="00B31404" w:rsidRDefault="00314214" w:rsidP="00B31404">
      <w:pPr>
        <w:pStyle w:val="TEXTONORMAL"/>
        <w:numPr>
          <w:ilvl w:val="0"/>
          <w:numId w:val="3"/>
        </w:numPr>
        <w:spacing w:after="240"/>
        <w:ind w:left="0"/>
        <w:rPr>
          <w:sz w:val="26"/>
          <w:szCs w:val="26"/>
          <w:highlight w:val="yellow"/>
        </w:rPr>
      </w:pPr>
      <w:r w:rsidRPr="00B31404">
        <w:rPr>
          <w:sz w:val="26"/>
          <w:szCs w:val="26"/>
          <w:highlight w:val="yellow"/>
        </w:rPr>
        <w:t xml:space="preserve">Estas consideraciones [no] son vinculantes al haber sido votadas por una [mayoría/minoría] de [x] votos. </w:t>
      </w:r>
    </w:p>
    <w:p w14:paraId="50D9DD4A" w14:textId="79067696" w:rsidR="002D281E" w:rsidRPr="00B31404" w:rsidRDefault="00A102F9" w:rsidP="00B31404">
      <w:pPr>
        <w:pStyle w:val="TEXTONORMAL"/>
        <w:spacing w:after="240"/>
        <w:ind w:firstLine="0"/>
        <w:jc w:val="center"/>
        <w:rPr>
          <w:sz w:val="26"/>
          <w:szCs w:val="26"/>
        </w:rPr>
      </w:pPr>
      <w:r w:rsidRPr="00B31404">
        <w:rPr>
          <w:b/>
          <w:bCs/>
          <w:sz w:val="26"/>
          <w:szCs w:val="26"/>
        </w:rPr>
        <w:t xml:space="preserve">III. </w:t>
      </w:r>
      <w:r w:rsidR="00E6694C" w:rsidRPr="00B31404">
        <w:rPr>
          <w:b/>
          <w:bCs/>
          <w:sz w:val="26"/>
          <w:szCs w:val="26"/>
        </w:rPr>
        <w:t>PROCEDENCIA</w:t>
      </w:r>
    </w:p>
    <w:p w14:paraId="38758B93" w14:textId="7C8383E5" w:rsidR="00CC0BAD" w:rsidRPr="00B31404" w:rsidRDefault="0033430C" w:rsidP="00B31404">
      <w:pPr>
        <w:pStyle w:val="TEXTONORMAL"/>
        <w:numPr>
          <w:ilvl w:val="0"/>
          <w:numId w:val="3"/>
        </w:numPr>
        <w:spacing w:after="240"/>
        <w:ind w:left="0" w:hanging="567"/>
        <w:rPr>
          <w:sz w:val="26"/>
          <w:szCs w:val="26"/>
        </w:rPr>
      </w:pPr>
      <w:r w:rsidRPr="00B31404">
        <w:rPr>
          <w:bCs/>
          <w:sz w:val="26"/>
          <w:szCs w:val="26"/>
        </w:rPr>
        <w:t>L</w:t>
      </w:r>
      <w:r w:rsidR="002D281E" w:rsidRPr="00B31404">
        <w:rPr>
          <w:sz w:val="26"/>
          <w:szCs w:val="26"/>
        </w:rPr>
        <w:t xml:space="preserve">a declaratoria general de inconstitucionalidad es procedente porque </w:t>
      </w:r>
      <w:r w:rsidR="00705546" w:rsidRPr="00B31404">
        <w:rPr>
          <w:sz w:val="26"/>
          <w:szCs w:val="26"/>
        </w:rPr>
        <w:t xml:space="preserve">la Segunda Sala de la Suprema Corte de Justicia de la Nación </w:t>
      </w:r>
      <w:r w:rsidR="00C219A8" w:rsidRPr="00B31404">
        <w:rPr>
          <w:sz w:val="26"/>
          <w:szCs w:val="26"/>
        </w:rPr>
        <w:t>en los amparo</w:t>
      </w:r>
      <w:r w:rsidR="005B58A0">
        <w:rPr>
          <w:sz w:val="26"/>
          <w:szCs w:val="26"/>
        </w:rPr>
        <w:t>s</w:t>
      </w:r>
      <w:r w:rsidR="00C219A8" w:rsidRPr="00B31404">
        <w:rPr>
          <w:sz w:val="26"/>
          <w:szCs w:val="26"/>
        </w:rPr>
        <w:t xml:space="preserve"> en revisión 173/</w:t>
      </w:r>
      <w:r w:rsidR="00EE6B5F" w:rsidRPr="00B31404">
        <w:rPr>
          <w:sz w:val="26"/>
          <w:szCs w:val="26"/>
        </w:rPr>
        <w:t xml:space="preserve">2022 y 230/2022 estableció jurisprudencia por precedente </w:t>
      </w:r>
      <w:r w:rsidR="000F2CAB" w:rsidRPr="00B31404">
        <w:rPr>
          <w:sz w:val="26"/>
          <w:szCs w:val="26"/>
        </w:rPr>
        <w:t xml:space="preserve">en los que determinó la inconstitucionalidad de las fracciones XI y XII del artículo 98 de la Ley para la Prevención y Gestión Integral de los Residuos Sólidos del Estado de Oaxaca </w:t>
      </w:r>
      <w:r w:rsidR="0077152C" w:rsidRPr="00B31404">
        <w:rPr>
          <w:sz w:val="26"/>
          <w:szCs w:val="26"/>
        </w:rPr>
        <w:t xml:space="preserve">que </w:t>
      </w:r>
      <w:r w:rsidR="00CA4623" w:rsidRPr="00B31404">
        <w:rPr>
          <w:sz w:val="26"/>
          <w:szCs w:val="26"/>
        </w:rPr>
        <w:t xml:space="preserve">establecen la prohibición </w:t>
      </w:r>
      <w:r w:rsidR="00CA4623" w:rsidRPr="00B31404">
        <w:rPr>
          <w:sz w:val="26"/>
          <w:szCs w:val="26"/>
        </w:rPr>
        <w:lastRenderedPageBreak/>
        <w:t>para vender</w:t>
      </w:r>
      <w:r w:rsidR="00E63D4B" w:rsidRPr="00B31404">
        <w:rPr>
          <w:sz w:val="26"/>
          <w:szCs w:val="26"/>
        </w:rPr>
        <w:t xml:space="preserve">, </w:t>
      </w:r>
      <w:r w:rsidR="00CA4623" w:rsidRPr="00B31404">
        <w:rPr>
          <w:sz w:val="26"/>
          <w:szCs w:val="26"/>
        </w:rPr>
        <w:t>distribuir, emplear</w:t>
      </w:r>
      <w:r w:rsidR="000716FC" w:rsidRPr="00B31404">
        <w:rPr>
          <w:sz w:val="26"/>
          <w:szCs w:val="26"/>
        </w:rPr>
        <w:t xml:space="preserve"> o usar</w:t>
      </w:r>
      <w:r w:rsidR="00E63D4B" w:rsidRPr="00B31404">
        <w:rPr>
          <w:sz w:val="26"/>
          <w:szCs w:val="26"/>
        </w:rPr>
        <w:t xml:space="preserve"> envases</w:t>
      </w:r>
      <w:r w:rsidR="000716FC" w:rsidRPr="00B31404">
        <w:rPr>
          <w:sz w:val="26"/>
          <w:szCs w:val="26"/>
        </w:rPr>
        <w:t>,</w:t>
      </w:r>
      <w:r w:rsidR="00E63D4B" w:rsidRPr="00B31404">
        <w:rPr>
          <w:sz w:val="26"/>
          <w:szCs w:val="26"/>
        </w:rPr>
        <w:t xml:space="preserve"> embalajes</w:t>
      </w:r>
      <w:r w:rsidR="000716FC" w:rsidRPr="00B31404">
        <w:rPr>
          <w:sz w:val="26"/>
          <w:szCs w:val="26"/>
        </w:rPr>
        <w:t xml:space="preserve"> u otros productos de un solo uso, elaborados </w:t>
      </w:r>
      <w:r w:rsidR="00E63D4B" w:rsidRPr="00B31404">
        <w:rPr>
          <w:sz w:val="26"/>
          <w:szCs w:val="26"/>
        </w:rPr>
        <w:t>con tereftalato de polietileno</w:t>
      </w:r>
      <w:r w:rsidR="00F30DC1" w:rsidRPr="00B31404">
        <w:rPr>
          <w:sz w:val="26"/>
          <w:szCs w:val="26"/>
        </w:rPr>
        <w:t xml:space="preserve"> (PET)</w:t>
      </w:r>
      <w:r w:rsidR="00E63D4B" w:rsidRPr="00B31404">
        <w:rPr>
          <w:sz w:val="26"/>
          <w:szCs w:val="26"/>
        </w:rPr>
        <w:t xml:space="preserve"> o poliestireno expandido</w:t>
      </w:r>
      <w:r w:rsidR="00F30DC1" w:rsidRPr="00B31404">
        <w:rPr>
          <w:sz w:val="26"/>
          <w:szCs w:val="26"/>
        </w:rPr>
        <w:t xml:space="preserve"> (unicel)</w:t>
      </w:r>
      <w:r w:rsidR="00E63D4B" w:rsidRPr="00B31404">
        <w:rPr>
          <w:sz w:val="26"/>
          <w:szCs w:val="26"/>
        </w:rPr>
        <w:t>.</w:t>
      </w:r>
    </w:p>
    <w:p w14:paraId="6C15425B" w14:textId="7085EB79" w:rsidR="005433D1" w:rsidRPr="006A0A92" w:rsidRDefault="002D281E" w:rsidP="008513E1">
      <w:pPr>
        <w:pStyle w:val="TEXTONORMAL"/>
        <w:numPr>
          <w:ilvl w:val="0"/>
          <w:numId w:val="3"/>
        </w:numPr>
        <w:spacing w:after="240"/>
        <w:ind w:left="0" w:hanging="567"/>
        <w:rPr>
          <w:sz w:val="26"/>
          <w:szCs w:val="26"/>
        </w:rPr>
      </w:pPr>
      <w:r w:rsidRPr="00B31404">
        <w:rPr>
          <w:sz w:val="26"/>
          <w:szCs w:val="26"/>
        </w:rPr>
        <w:t>Al respecto</w:t>
      </w:r>
      <w:r w:rsidR="00716406" w:rsidRPr="00B31404">
        <w:rPr>
          <w:sz w:val="26"/>
          <w:szCs w:val="26"/>
        </w:rPr>
        <w:t>,</w:t>
      </w:r>
      <w:r w:rsidRPr="00B31404">
        <w:rPr>
          <w:sz w:val="26"/>
          <w:szCs w:val="26"/>
        </w:rPr>
        <w:t xml:space="preserve"> </w:t>
      </w:r>
      <w:r w:rsidR="003B78A0" w:rsidRPr="00B31404">
        <w:rPr>
          <w:sz w:val="26"/>
          <w:szCs w:val="26"/>
        </w:rPr>
        <w:t xml:space="preserve">es importante </w:t>
      </w:r>
      <w:r w:rsidR="00261967">
        <w:rPr>
          <w:sz w:val="26"/>
          <w:szCs w:val="26"/>
        </w:rPr>
        <w:t>mencionar</w:t>
      </w:r>
      <w:r w:rsidRPr="00B31404">
        <w:rPr>
          <w:sz w:val="26"/>
          <w:szCs w:val="26"/>
        </w:rPr>
        <w:t xml:space="preserve"> que </w:t>
      </w:r>
      <w:r w:rsidR="003D189F" w:rsidRPr="00B31404">
        <w:rPr>
          <w:sz w:val="26"/>
          <w:szCs w:val="26"/>
        </w:rPr>
        <w:t>l</w:t>
      </w:r>
      <w:r w:rsidR="003B78A0" w:rsidRPr="00B31404">
        <w:rPr>
          <w:sz w:val="26"/>
          <w:szCs w:val="26"/>
        </w:rPr>
        <w:t xml:space="preserve">as disposiciones </w:t>
      </w:r>
      <w:r w:rsidR="00261967">
        <w:rPr>
          <w:sz w:val="26"/>
          <w:szCs w:val="26"/>
        </w:rPr>
        <w:t>legales</w:t>
      </w:r>
      <w:r w:rsidR="003D189F" w:rsidRPr="00B31404">
        <w:rPr>
          <w:sz w:val="26"/>
          <w:szCs w:val="26"/>
        </w:rPr>
        <w:t xml:space="preserve"> </w:t>
      </w:r>
      <w:r w:rsidR="003B78A0" w:rsidRPr="00B31404">
        <w:rPr>
          <w:sz w:val="26"/>
          <w:szCs w:val="26"/>
        </w:rPr>
        <w:t xml:space="preserve">declaradas inconstitucionales </w:t>
      </w:r>
      <w:r w:rsidRPr="00B31404">
        <w:rPr>
          <w:sz w:val="26"/>
          <w:szCs w:val="26"/>
        </w:rPr>
        <w:t>no corresponde</w:t>
      </w:r>
      <w:r w:rsidR="003D189F" w:rsidRPr="00B31404">
        <w:rPr>
          <w:sz w:val="26"/>
          <w:szCs w:val="26"/>
        </w:rPr>
        <w:t>n</w:t>
      </w:r>
      <w:r w:rsidRPr="00B31404">
        <w:rPr>
          <w:sz w:val="26"/>
          <w:szCs w:val="26"/>
        </w:rPr>
        <w:t xml:space="preserve"> a la materia tributaria.</w:t>
      </w:r>
    </w:p>
    <w:p w14:paraId="32DA8782" w14:textId="41B6BD49" w:rsidR="008513E1" w:rsidRPr="00B31404" w:rsidRDefault="008513E1" w:rsidP="00B31404">
      <w:pPr>
        <w:pStyle w:val="TEXTONORMAL"/>
        <w:numPr>
          <w:ilvl w:val="0"/>
          <w:numId w:val="3"/>
        </w:numPr>
        <w:spacing w:after="240"/>
        <w:ind w:left="0" w:hanging="567"/>
        <w:rPr>
          <w:sz w:val="26"/>
          <w:szCs w:val="26"/>
          <w:highlight w:val="yellow"/>
        </w:rPr>
      </w:pPr>
      <w:r w:rsidRPr="00B31404">
        <w:rPr>
          <w:sz w:val="26"/>
          <w:szCs w:val="26"/>
          <w:highlight w:val="yellow"/>
        </w:rPr>
        <w:t xml:space="preserve">Estas consideraciones [no] son vinculantes al haber sido votadas por una [mayoría/minoría] de [x] votos. </w:t>
      </w:r>
    </w:p>
    <w:p w14:paraId="684DA8E1" w14:textId="0A97E5DC" w:rsidR="0033430C" w:rsidRPr="00B31404" w:rsidRDefault="0033430C" w:rsidP="00B31404">
      <w:pPr>
        <w:pStyle w:val="TEXTONORMAL"/>
        <w:spacing w:after="240"/>
        <w:ind w:firstLine="0"/>
        <w:jc w:val="center"/>
        <w:rPr>
          <w:b/>
          <w:bCs/>
          <w:sz w:val="26"/>
          <w:szCs w:val="26"/>
        </w:rPr>
      </w:pPr>
      <w:r w:rsidRPr="00B31404">
        <w:rPr>
          <w:b/>
          <w:bCs/>
          <w:sz w:val="26"/>
          <w:szCs w:val="26"/>
        </w:rPr>
        <w:t>IV. LEGITIMACIÓN</w:t>
      </w:r>
    </w:p>
    <w:p w14:paraId="4AFBF2AA" w14:textId="12F93909" w:rsidR="00F25412" w:rsidRPr="006A0A92" w:rsidRDefault="002855B1" w:rsidP="008513E1">
      <w:pPr>
        <w:pStyle w:val="TEXTONORMAL"/>
        <w:numPr>
          <w:ilvl w:val="0"/>
          <w:numId w:val="3"/>
        </w:numPr>
        <w:spacing w:after="240"/>
        <w:ind w:left="0"/>
        <w:rPr>
          <w:sz w:val="26"/>
          <w:szCs w:val="26"/>
        </w:rPr>
      </w:pPr>
      <w:r w:rsidRPr="00B31404">
        <w:rPr>
          <w:sz w:val="26"/>
          <w:szCs w:val="26"/>
        </w:rPr>
        <w:t>La declaratoria general de inconstitucionalidad fue formulada por parte legítima</w:t>
      </w:r>
      <w:r w:rsidR="00F64DEB">
        <w:rPr>
          <w:sz w:val="26"/>
          <w:szCs w:val="26"/>
        </w:rPr>
        <w:t xml:space="preserve"> ya que inició a solicitud de</w:t>
      </w:r>
      <w:r w:rsidRPr="00B31404">
        <w:rPr>
          <w:sz w:val="26"/>
          <w:szCs w:val="26"/>
        </w:rPr>
        <w:t xml:space="preserve"> la Presidenta de la </w:t>
      </w:r>
      <w:r w:rsidR="003B78A0" w:rsidRPr="00B31404">
        <w:rPr>
          <w:sz w:val="26"/>
          <w:szCs w:val="26"/>
        </w:rPr>
        <w:t xml:space="preserve">Segunda Sala </w:t>
      </w:r>
      <w:r w:rsidRPr="00B31404">
        <w:rPr>
          <w:sz w:val="26"/>
          <w:szCs w:val="26"/>
        </w:rPr>
        <w:t>de esta Suprema Corte de Justicia de la Nación, de conformidad con lo dispuesto en los artículos 23</w:t>
      </w:r>
      <w:r w:rsidR="004E2D17" w:rsidRPr="00B31404">
        <w:rPr>
          <w:sz w:val="26"/>
          <w:szCs w:val="26"/>
        </w:rPr>
        <w:t>1</w:t>
      </w:r>
      <w:r w:rsidR="008D2929">
        <w:rPr>
          <w:sz w:val="26"/>
          <w:szCs w:val="26"/>
        </w:rPr>
        <w:t xml:space="preserve"> y 232</w:t>
      </w:r>
      <w:r w:rsidRPr="00B31404">
        <w:rPr>
          <w:sz w:val="26"/>
          <w:szCs w:val="26"/>
        </w:rPr>
        <w:t xml:space="preserve"> de la Ley de Amparo y 2</w:t>
      </w:r>
      <w:r w:rsidR="00D46A81" w:rsidRPr="00B31404">
        <w:rPr>
          <w:sz w:val="26"/>
          <w:szCs w:val="26"/>
        </w:rPr>
        <w:t>4</w:t>
      </w:r>
      <w:r w:rsidRPr="00B31404">
        <w:rPr>
          <w:sz w:val="26"/>
          <w:szCs w:val="26"/>
        </w:rPr>
        <w:t>, fracción VII, de la Ley Orgánica del Poder Judicial de la Federación</w:t>
      </w:r>
      <w:r w:rsidRPr="00B31404">
        <w:rPr>
          <w:rStyle w:val="Refdenotaalpie"/>
          <w:sz w:val="26"/>
          <w:szCs w:val="26"/>
        </w:rPr>
        <w:footnoteReference w:id="8"/>
      </w:r>
      <w:r w:rsidRPr="00B31404">
        <w:rPr>
          <w:sz w:val="26"/>
          <w:szCs w:val="26"/>
        </w:rPr>
        <w:t>, en relación con el punto tercero del Acuerdo General Plenario 15/2013</w:t>
      </w:r>
      <w:r w:rsidRPr="00B31404">
        <w:rPr>
          <w:rStyle w:val="Refdenotaalpie"/>
          <w:sz w:val="26"/>
          <w:szCs w:val="26"/>
        </w:rPr>
        <w:footnoteReference w:id="9"/>
      </w:r>
      <w:r w:rsidRPr="00B31404">
        <w:rPr>
          <w:sz w:val="26"/>
          <w:szCs w:val="26"/>
        </w:rPr>
        <w:t>.</w:t>
      </w:r>
    </w:p>
    <w:p w14:paraId="13C5029A" w14:textId="63E2CAC8" w:rsidR="008513E1" w:rsidRPr="00B31404" w:rsidRDefault="008513E1" w:rsidP="00B31404">
      <w:pPr>
        <w:pStyle w:val="TEXTONORMAL"/>
        <w:numPr>
          <w:ilvl w:val="0"/>
          <w:numId w:val="3"/>
        </w:numPr>
        <w:spacing w:after="240"/>
        <w:ind w:left="0" w:hanging="567"/>
        <w:rPr>
          <w:sz w:val="26"/>
          <w:szCs w:val="26"/>
          <w:highlight w:val="yellow"/>
        </w:rPr>
      </w:pPr>
      <w:r w:rsidRPr="006A0A92">
        <w:rPr>
          <w:sz w:val="26"/>
          <w:szCs w:val="26"/>
          <w:highlight w:val="yellow"/>
        </w:rPr>
        <w:t xml:space="preserve">Estas consideraciones [no] son vinculantes al haber sido votadas por una [mayoría/minoría] de [x] votos. </w:t>
      </w:r>
    </w:p>
    <w:p w14:paraId="7F901396" w14:textId="3DCAF77C" w:rsidR="0033430C" w:rsidRPr="00B31404" w:rsidRDefault="00C33633" w:rsidP="00B31404">
      <w:pPr>
        <w:pStyle w:val="TEXTONORMAL"/>
        <w:spacing w:after="240"/>
        <w:ind w:firstLine="0"/>
        <w:jc w:val="center"/>
        <w:rPr>
          <w:b/>
          <w:bCs/>
          <w:sz w:val="26"/>
          <w:szCs w:val="26"/>
        </w:rPr>
      </w:pPr>
      <w:r w:rsidRPr="00B31404">
        <w:rPr>
          <w:b/>
          <w:bCs/>
          <w:sz w:val="26"/>
          <w:szCs w:val="26"/>
        </w:rPr>
        <w:t>V. ELEMENTOS</w:t>
      </w:r>
      <w:r w:rsidR="00B65D2C" w:rsidRPr="006A0A92">
        <w:rPr>
          <w:b/>
          <w:bCs/>
          <w:sz w:val="26"/>
          <w:szCs w:val="26"/>
        </w:rPr>
        <w:t xml:space="preserve"> NECESARIOS PARA RESOLVER</w:t>
      </w:r>
    </w:p>
    <w:p w14:paraId="70D20496" w14:textId="2368E571" w:rsidR="00B26D79" w:rsidRDefault="002B7660" w:rsidP="00B31404">
      <w:pPr>
        <w:pStyle w:val="TEXTONORMAL"/>
        <w:numPr>
          <w:ilvl w:val="0"/>
          <w:numId w:val="3"/>
        </w:numPr>
        <w:spacing w:after="240"/>
        <w:ind w:left="-142" w:hanging="425"/>
        <w:rPr>
          <w:sz w:val="26"/>
          <w:szCs w:val="26"/>
        </w:rPr>
      </w:pPr>
      <w:r w:rsidRPr="006A0A92">
        <w:rPr>
          <w:bCs/>
          <w:sz w:val="26"/>
          <w:szCs w:val="26"/>
        </w:rPr>
        <w:t>Se sintetiza</w:t>
      </w:r>
      <w:r w:rsidR="00791ED6" w:rsidRPr="006A0A92">
        <w:rPr>
          <w:bCs/>
          <w:sz w:val="26"/>
          <w:szCs w:val="26"/>
        </w:rPr>
        <w:t xml:space="preserve"> el procedimiento previo a la </w:t>
      </w:r>
      <w:r w:rsidR="008F4268" w:rsidRPr="006A0A92">
        <w:rPr>
          <w:bCs/>
          <w:sz w:val="26"/>
          <w:szCs w:val="26"/>
        </w:rPr>
        <w:t>declaratoria general de inconstitucionalidad</w:t>
      </w:r>
      <w:r w:rsidR="00616AA8" w:rsidRPr="00B31404">
        <w:rPr>
          <w:sz w:val="26"/>
          <w:szCs w:val="26"/>
        </w:rPr>
        <w:t>:</w:t>
      </w:r>
    </w:p>
    <w:p w14:paraId="355ADDFD" w14:textId="722D3E47" w:rsidR="007F47D9" w:rsidRPr="00B31404" w:rsidRDefault="007F47D9" w:rsidP="00B31404">
      <w:pPr>
        <w:pStyle w:val="TEXTONORMAL"/>
        <w:numPr>
          <w:ilvl w:val="0"/>
          <w:numId w:val="3"/>
        </w:numPr>
        <w:spacing w:after="240"/>
        <w:ind w:left="-142" w:hanging="425"/>
        <w:rPr>
          <w:sz w:val="26"/>
          <w:szCs w:val="26"/>
        </w:rPr>
      </w:pPr>
      <w:r>
        <w:rPr>
          <w:sz w:val="26"/>
          <w:szCs w:val="26"/>
        </w:rPr>
        <w:t xml:space="preserve">En este apartado </w:t>
      </w:r>
      <w:r w:rsidR="00397865">
        <w:rPr>
          <w:sz w:val="26"/>
          <w:szCs w:val="26"/>
        </w:rPr>
        <w:t xml:space="preserve">únicamente </w:t>
      </w:r>
      <w:r>
        <w:rPr>
          <w:sz w:val="26"/>
          <w:szCs w:val="26"/>
        </w:rPr>
        <w:t xml:space="preserve">se </w:t>
      </w:r>
      <w:r w:rsidR="00F72D97">
        <w:rPr>
          <w:sz w:val="26"/>
          <w:szCs w:val="26"/>
        </w:rPr>
        <w:t xml:space="preserve">resumen </w:t>
      </w:r>
      <w:r w:rsidR="00B31D64">
        <w:rPr>
          <w:sz w:val="26"/>
          <w:szCs w:val="26"/>
        </w:rPr>
        <w:t>l</w:t>
      </w:r>
      <w:r w:rsidR="00B5405F">
        <w:rPr>
          <w:sz w:val="26"/>
          <w:szCs w:val="26"/>
        </w:rPr>
        <w:t xml:space="preserve">os antecedentes y </w:t>
      </w:r>
      <w:r w:rsidR="00267539">
        <w:rPr>
          <w:sz w:val="26"/>
          <w:szCs w:val="26"/>
        </w:rPr>
        <w:t>consideraciones</w:t>
      </w:r>
      <w:r w:rsidR="00B5405F">
        <w:rPr>
          <w:sz w:val="26"/>
          <w:szCs w:val="26"/>
        </w:rPr>
        <w:t xml:space="preserve"> del </w:t>
      </w:r>
      <w:r w:rsidR="000D5746">
        <w:rPr>
          <w:sz w:val="26"/>
          <w:szCs w:val="26"/>
        </w:rPr>
        <w:t>amparo en revisión 173/2022</w:t>
      </w:r>
      <w:r w:rsidR="007F22C0">
        <w:rPr>
          <w:sz w:val="26"/>
          <w:szCs w:val="26"/>
        </w:rPr>
        <w:t xml:space="preserve"> </w:t>
      </w:r>
      <w:r w:rsidR="00CD7C60">
        <w:rPr>
          <w:sz w:val="26"/>
          <w:szCs w:val="26"/>
        </w:rPr>
        <w:t>por</w:t>
      </w:r>
      <w:r w:rsidR="007F22C0">
        <w:rPr>
          <w:sz w:val="26"/>
          <w:szCs w:val="26"/>
        </w:rPr>
        <w:t>que constituye el primer precedente fallado por la Segunda Sala de la Suprema Corte de Justicia de la Nación</w:t>
      </w:r>
      <w:r w:rsidR="00B5405F">
        <w:rPr>
          <w:sz w:val="26"/>
          <w:szCs w:val="26"/>
        </w:rPr>
        <w:t xml:space="preserve">; sin embargo, </w:t>
      </w:r>
      <w:r w:rsidR="00B82303">
        <w:rPr>
          <w:sz w:val="26"/>
          <w:szCs w:val="26"/>
        </w:rPr>
        <w:t>conviene aclarar</w:t>
      </w:r>
      <w:r w:rsidR="009C2258">
        <w:rPr>
          <w:sz w:val="26"/>
          <w:szCs w:val="26"/>
        </w:rPr>
        <w:t xml:space="preserve"> que </w:t>
      </w:r>
      <w:r w:rsidR="00267539">
        <w:rPr>
          <w:sz w:val="26"/>
          <w:szCs w:val="26"/>
        </w:rPr>
        <w:t xml:space="preserve">esas mismas </w:t>
      </w:r>
      <w:r w:rsidR="00267539">
        <w:rPr>
          <w:sz w:val="26"/>
          <w:szCs w:val="26"/>
        </w:rPr>
        <w:lastRenderedPageBreak/>
        <w:t xml:space="preserve">razones </w:t>
      </w:r>
      <w:r w:rsidR="00B82303">
        <w:rPr>
          <w:sz w:val="26"/>
          <w:szCs w:val="26"/>
        </w:rPr>
        <w:t>también fueron sostenidas por la Segunda Sala al resolver el amparo en revisión 230/2022.</w:t>
      </w:r>
    </w:p>
    <w:p w14:paraId="21DFB6E6" w14:textId="4CBB2580" w:rsidR="00DD163E" w:rsidRPr="00B31404" w:rsidRDefault="008D2253" w:rsidP="00B31404">
      <w:pPr>
        <w:pStyle w:val="TEXTONORMAL"/>
        <w:numPr>
          <w:ilvl w:val="0"/>
          <w:numId w:val="3"/>
        </w:numPr>
        <w:spacing w:after="240"/>
        <w:ind w:left="-142" w:hanging="425"/>
        <w:rPr>
          <w:sz w:val="26"/>
          <w:szCs w:val="26"/>
        </w:rPr>
      </w:pPr>
      <w:r w:rsidRPr="00B31404">
        <w:rPr>
          <w:sz w:val="26"/>
          <w:szCs w:val="26"/>
        </w:rPr>
        <w:t xml:space="preserve">Mediante </w:t>
      </w:r>
      <w:r w:rsidR="00F72D97">
        <w:rPr>
          <w:sz w:val="26"/>
          <w:szCs w:val="26"/>
        </w:rPr>
        <w:t>d</w:t>
      </w:r>
      <w:r w:rsidR="008F5A5D" w:rsidRPr="00B31404">
        <w:rPr>
          <w:sz w:val="26"/>
          <w:szCs w:val="26"/>
        </w:rPr>
        <w:t>ecreto 629</w:t>
      </w:r>
      <w:r w:rsidR="0049503F" w:rsidRPr="00B31404">
        <w:rPr>
          <w:sz w:val="26"/>
          <w:szCs w:val="26"/>
        </w:rPr>
        <w:t>,</w:t>
      </w:r>
      <w:r w:rsidR="00641E0D" w:rsidRPr="00B31404">
        <w:rPr>
          <w:sz w:val="26"/>
          <w:szCs w:val="26"/>
        </w:rPr>
        <w:t xml:space="preserve"> </w:t>
      </w:r>
      <w:r w:rsidR="00F70AE7" w:rsidRPr="00B31404">
        <w:rPr>
          <w:sz w:val="26"/>
          <w:szCs w:val="26"/>
        </w:rPr>
        <w:t xml:space="preserve">publicado </w:t>
      </w:r>
      <w:r w:rsidR="00033198" w:rsidRPr="00B31404">
        <w:rPr>
          <w:sz w:val="26"/>
          <w:szCs w:val="26"/>
        </w:rPr>
        <w:t xml:space="preserve">el veintidós de junio de dos mil diecinueve </w:t>
      </w:r>
      <w:r w:rsidR="00F70AE7" w:rsidRPr="00B31404">
        <w:rPr>
          <w:sz w:val="26"/>
          <w:szCs w:val="26"/>
        </w:rPr>
        <w:t xml:space="preserve">en el </w:t>
      </w:r>
      <w:r w:rsidR="00B82303" w:rsidRPr="00B82303">
        <w:rPr>
          <w:sz w:val="26"/>
          <w:szCs w:val="26"/>
        </w:rPr>
        <w:t>Periódico Oficial</w:t>
      </w:r>
      <w:r w:rsidR="00150ECF" w:rsidRPr="00B31404">
        <w:rPr>
          <w:sz w:val="26"/>
          <w:szCs w:val="26"/>
        </w:rPr>
        <w:t xml:space="preserve"> </w:t>
      </w:r>
      <w:r w:rsidR="00033198" w:rsidRPr="00B31404">
        <w:rPr>
          <w:sz w:val="26"/>
          <w:szCs w:val="26"/>
        </w:rPr>
        <w:t>de Oaxaca</w:t>
      </w:r>
      <w:r w:rsidR="0049503F" w:rsidRPr="00B31404">
        <w:rPr>
          <w:sz w:val="26"/>
          <w:szCs w:val="26"/>
        </w:rPr>
        <w:t>,</w:t>
      </w:r>
      <w:r w:rsidR="008F5A5D" w:rsidRPr="00B31404">
        <w:rPr>
          <w:sz w:val="26"/>
          <w:szCs w:val="26"/>
        </w:rPr>
        <w:t xml:space="preserve"> se reform</w:t>
      </w:r>
      <w:r w:rsidR="005749C8" w:rsidRPr="00B31404">
        <w:rPr>
          <w:sz w:val="26"/>
          <w:szCs w:val="26"/>
        </w:rPr>
        <w:t xml:space="preserve">aron </w:t>
      </w:r>
      <w:r w:rsidR="00DD163E" w:rsidRPr="00B31404">
        <w:rPr>
          <w:sz w:val="26"/>
          <w:szCs w:val="26"/>
        </w:rPr>
        <w:t xml:space="preserve">las fracciones XI y XII </w:t>
      </w:r>
      <w:r w:rsidR="006D6462">
        <w:rPr>
          <w:sz w:val="26"/>
          <w:szCs w:val="26"/>
        </w:rPr>
        <w:t>del</w:t>
      </w:r>
      <w:r w:rsidR="00DD163E" w:rsidRPr="00B31404">
        <w:rPr>
          <w:sz w:val="26"/>
          <w:szCs w:val="26"/>
        </w:rPr>
        <w:t xml:space="preserve"> artículo 98 de la Ley para la Prevención y Gestión Integral de los Residuos Sólidos</w:t>
      </w:r>
      <w:r w:rsidR="00F72D97">
        <w:rPr>
          <w:sz w:val="26"/>
          <w:szCs w:val="26"/>
        </w:rPr>
        <w:t xml:space="preserve"> </w:t>
      </w:r>
      <w:r w:rsidR="005669A2">
        <w:rPr>
          <w:sz w:val="26"/>
          <w:szCs w:val="26"/>
        </w:rPr>
        <w:t>para el Estado de</w:t>
      </w:r>
      <w:r w:rsidR="00F72D97">
        <w:rPr>
          <w:sz w:val="26"/>
          <w:szCs w:val="26"/>
        </w:rPr>
        <w:t xml:space="preserve"> Oaxaca</w:t>
      </w:r>
      <w:r w:rsidR="00DD163E" w:rsidRPr="00B31404">
        <w:rPr>
          <w:sz w:val="26"/>
          <w:szCs w:val="26"/>
        </w:rPr>
        <w:t>.</w:t>
      </w:r>
    </w:p>
    <w:p w14:paraId="285E8BFE" w14:textId="4834E34E" w:rsidR="00DE4349" w:rsidRPr="00B31404" w:rsidRDefault="00590643" w:rsidP="00B31404">
      <w:pPr>
        <w:pStyle w:val="TEXTONORMAL"/>
        <w:numPr>
          <w:ilvl w:val="0"/>
          <w:numId w:val="3"/>
        </w:numPr>
        <w:spacing w:after="240"/>
        <w:ind w:left="-142" w:hanging="425"/>
        <w:rPr>
          <w:sz w:val="26"/>
          <w:szCs w:val="26"/>
        </w:rPr>
      </w:pPr>
      <w:r w:rsidRPr="00B31404">
        <w:rPr>
          <w:sz w:val="26"/>
          <w:szCs w:val="26"/>
        </w:rPr>
        <w:t xml:space="preserve">En contra de </w:t>
      </w:r>
      <w:r w:rsidR="00265844">
        <w:rPr>
          <w:sz w:val="26"/>
          <w:szCs w:val="26"/>
        </w:rPr>
        <w:t xml:space="preserve">la </w:t>
      </w:r>
      <w:r w:rsidRPr="00B31404">
        <w:rPr>
          <w:sz w:val="26"/>
          <w:szCs w:val="26"/>
        </w:rPr>
        <w:t>publicación</w:t>
      </w:r>
      <w:r w:rsidR="00B82303">
        <w:rPr>
          <w:sz w:val="26"/>
          <w:szCs w:val="26"/>
        </w:rPr>
        <w:t>,</w:t>
      </w:r>
      <w:r w:rsidRPr="00B31404">
        <w:rPr>
          <w:sz w:val="26"/>
          <w:szCs w:val="26"/>
        </w:rPr>
        <w:t xml:space="preserve"> </w:t>
      </w:r>
      <w:r w:rsidR="003D3001" w:rsidRPr="00B31404">
        <w:rPr>
          <w:sz w:val="26"/>
          <w:szCs w:val="26"/>
        </w:rPr>
        <w:t xml:space="preserve">una persona moral </w:t>
      </w:r>
      <w:r w:rsidR="000B07DB">
        <w:rPr>
          <w:sz w:val="26"/>
          <w:szCs w:val="26"/>
        </w:rPr>
        <w:t>promovió</w:t>
      </w:r>
      <w:r w:rsidR="003D3001" w:rsidRPr="00B31404">
        <w:rPr>
          <w:sz w:val="26"/>
          <w:szCs w:val="26"/>
        </w:rPr>
        <w:t xml:space="preserve"> un juicio de amparo </w:t>
      </w:r>
      <w:r w:rsidR="00265844">
        <w:rPr>
          <w:sz w:val="26"/>
          <w:szCs w:val="26"/>
        </w:rPr>
        <w:t xml:space="preserve">indirecto </w:t>
      </w:r>
      <w:r w:rsidR="003D3001" w:rsidRPr="00B31404">
        <w:rPr>
          <w:sz w:val="26"/>
          <w:szCs w:val="26"/>
        </w:rPr>
        <w:t>en que solicit</w:t>
      </w:r>
      <w:r w:rsidR="000B07DB">
        <w:rPr>
          <w:sz w:val="26"/>
          <w:szCs w:val="26"/>
        </w:rPr>
        <w:t>ó</w:t>
      </w:r>
      <w:r w:rsidR="003D3001" w:rsidRPr="00B31404">
        <w:rPr>
          <w:sz w:val="26"/>
          <w:szCs w:val="26"/>
        </w:rPr>
        <w:t xml:space="preserve"> </w:t>
      </w:r>
      <w:r w:rsidR="00265844">
        <w:rPr>
          <w:sz w:val="26"/>
          <w:szCs w:val="26"/>
        </w:rPr>
        <w:t>la</w:t>
      </w:r>
      <w:r w:rsidR="003D3001" w:rsidRPr="00B31404">
        <w:rPr>
          <w:sz w:val="26"/>
          <w:szCs w:val="26"/>
        </w:rPr>
        <w:t xml:space="preserve"> protección</w:t>
      </w:r>
      <w:r w:rsidR="006D6462">
        <w:rPr>
          <w:sz w:val="26"/>
          <w:szCs w:val="26"/>
        </w:rPr>
        <w:t xml:space="preserve"> constitucional</w:t>
      </w:r>
      <w:r w:rsidR="003D3001" w:rsidRPr="00B31404">
        <w:rPr>
          <w:sz w:val="26"/>
          <w:szCs w:val="26"/>
        </w:rPr>
        <w:t xml:space="preserve"> contra las autoridades y por los actos </w:t>
      </w:r>
      <w:r w:rsidR="00867791" w:rsidRPr="00B31404">
        <w:rPr>
          <w:sz w:val="26"/>
          <w:szCs w:val="26"/>
        </w:rPr>
        <w:t>siguientes:</w:t>
      </w:r>
    </w:p>
    <w:p w14:paraId="737749C8" w14:textId="77777777" w:rsidR="00867791" w:rsidRPr="00B31404" w:rsidRDefault="00867791" w:rsidP="00B31404">
      <w:pPr>
        <w:pStyle w:val="Prrafodelista"/>
        <w:ind w:left="567"/>
        <w:rPr>
          <w:rFonts w:ascii="Arial" w:hAnsi="Arial" w:cs="Arial"/>
          <w:b/>
          <w:bCs/>
          <w:sz w:val="26"/>
          <w:szCs w:val="26"/>
        </w:rPr>
      </w:pPr>
      <w:r w:rsidRPr="00B31404">
        <w:rPr>
          <w:rFonts w:ascii="Arial" w:hAnsi="Arial" w:cs="Arial"/>
          <w:b/>
          <w:bCs/>
          <w:sz w:val="26"/>
          <w:szCs w:val="26"/>
        </w:rPr>
        <w:t>Autoridades responsables:</w:t>
      </w:r>
    </w:p>
    <w:p w14:paraId="42566967" w14:textId="77777777" w:rsidR="00867791" w:rsidRPr="00B31404" w:rsidRDefault="00867791" w:rsidP="00B31404">
      <w:pPr>
        <w:numPr>
          <w:ilvl w:val="1"/>
          <w:numId w:val="37"/>
        </w:numPr>
        <w:tabs>
          <w:tab w:val="left" w:pos="142"/>
        </w:tabs>
        <w:ind w:left="567" w:hanging="425"/>
        <w:jc w:val="both"/>
        <w:rPr>
          <w:rFonts w:ascii="Arial" w:hAnsi="Arial" w:cs="Arial"/>
          <w:bCs/>
          <w:i/>
          <w:sz w:val="26"/>
          <w:szCs w:val="26"/>
        </w:rPr>
      </w:pPr>
      <w:r w:rsidRPr="00B31404">
        <w:rPr>
          <w:rFonts w:ascii="Arial" w:hAnsi="Arial" w:cs="Arial"/>
          <w:bCs/>
          <w:iCs/>
          <w:sz w:val="26"/>
          <w:szCs w:val="26"/>
        </w:rPr>
        <w:t>Gobernador del Estado de Oaxaca.</w:t>
      </w:r>
    </w:p>
    <w:p w14:paraId="0816760E" w14:textId="77777777" w:rsidR="00867791" w:rsidRPr="00B31404" w:rsidRDefault="00867791" w:rsidP="00B31404">
      <w:pPr>
        <w:numPr>
          <w:ilvl w:val="1"/>
          <w:numId w:val="37"/>
        </w:numPr>
        <w:tabs>
          <w:tab w:val="left" w:pos="142"/>
        </w:tabs>
        <w:ind w:left="567" w:hanging="425"/>
        <w:jc w:val="both"/>
        <w:rPr>
          <w:rFonts w:ascii="Arial" w:hAnsi="Arial" w:cs="Arial"/>
          <w:bCs/>
          <w:i/>
          <w:sz w:val="26"/>
          <w:szCs w:val="26"/>
        </w:rPr>
      </w:pPr>
      <w:r w:rsidRPr="00B31404">
        <w:rPr>
          <w:rFonts w:ascii="Arial" w:hAnsi="Arial" w:cs="Arial"/>
          <w:bCs/>
          <w:iCs/>
          <w:sz w:val="26"/>
          <w:szCs w:val="26"/>
        </w:rPr>
        <w:t>Sexagésima Cuarta Legislatura del Estado de Oaxaca.</w:t>
      </w:r>
    </w:p>
    <w:p w14:paraId="60BB9E32" w14:textId="77777777" w:rsidR="00867791" w:rsidRPr="00B31404" w:rsidRDefault="00867791" w:rsidP="00B31404">
      <w:pPr>
        <w:numPr>
          <w:ilvl w:val="1"/>
          <w:numId w:val="37"/>
        </w:numPr>
        <w:tabs>
          <w:tab w:val="left" w:pos="142"/>
        </w:tabs>
        <w:ind w:left="567" w:hanging="425"/>
        <w:jc w:val="both"/>
        <w:rPr>
          <w:rFonts w:ascii="Arial" w:hAnsi="Arial" w:cs="Arial"/>
          <w:bCs/>
          <w:i/>
          <w:sz w:val="26"/>
          <w:szCs w:val="26"/>
        </w:rPr>
      </w:pPr>
      <w:r w:rsidRPr="00B31404">
        <w:rPr>
          <w:rFonts w:ascii="Arial" w:hAnsi="Arial" w:cs="Arial"/>
          <w:bCs/>
          <w:iCs/>
          <w:sz w:val="26"/>
          <w:szCs w:val="26"/>
        </w:rPr>
        <w:t>Director del Periódico Oficial del Estado de Oaxaca.</w:t>
      </w:r>
    </w:p>
    <w:p w14:paraId="18B0DD53" w14:textId="77777777" w:rsidR="00867791" w:rsidRPr="00B31404" w:rsidRDefault="00867791" w:rsidP="00B31404">
      <w:pPr>
        <w:numPr>
          <w:ilvl w:val="1"/>
          <w:numId w:val="37"/>
        </w:numPr>
        <w:tabs>
          <w:tab w:val="left" w:pos="142"/>
        </w:tabs>
        <w:ind w:left="567" w:hanging="425"/>
        <w:jc w:val="both"/>
        <w:rPr>
          <w:rFonts w:ascii="Arial" w:hAnsi="Arial" w:cs="Arial"/>
          <w:bCs/>
          <w:iCs/>
          <w:sz w:val="26"/>
          <w:szCs w:val="26"/>
        </w:rPr>
      </w:pPr>
      <w:r w:rsidRPr="00B31404">
        <w:rPr>
          <w:rFonts w:ascii="Arial" w:hAnsi="Arial" w:cs="Arial"/>
          <w:bCs/>
          <w:iCs/>
          <w:sz w:val="26"/>
          <w:szCs w:val="26"/>
        </w:rPr>
        <w:t>Instituto Estatal de Ecología de Oaxaca.</w:t>
      </w:r>
    </w:p>
    <w:p w14:paraId="542787FA" w14:textId="77777777" w:rsidR="00867791" w:rsidRPr="00B31404" w:rsidRDefault="00867791" w:rsidP="00B31404">
      <w:pPr>
        <w:numPr>
          <w:ilvl w:val="1"/>
          <w:numId w:val="37"/>
        </w:numPr>
        <w:tabs>
          <w:tab w:val="left" w:pos="142"/>
        </w:tabs>
        <w:ind w:left="567" w:hanging="425"/>
        <w:jc w:val="both"/>
        <w:rPr>
          <w:rFonts w:ascii="Arial" w:hAnsi="Arial" w:cs="Arial"/>
          <w:bCs/>
          <w:iCs/>
          <w:sz w:val="26"/>
          <w:szCs w:val="26"/>
        </w:rPr>
      </w:pPr>
      <w:r w:rsidRPr="00B31404">
        <w:rPr>
          <w:rFonts w:ascii="Arial" w:hAnsi="Arial" w:cs="Arial"/>
          <w:bCs/>
          <w:iCs/>
          <w:sz w:val="26"/>
          <w:szCs w:val="26"/>
        </w:rPr>
        <w:t>Secretaría del Medio Ambiente, Energías y Desarrollo Sustentable del Estado de Oaxaca.</w:t>
      </w:r>
    </w:p>
    <w:p w14:paraId="0B985EF6" w14:textId="77777777" w:rsidR="00867791" w:rsidRPr="00B31404" w:rsidRDefault="00867791" w:rsidP="00B31404">
      <w:pPr>
        <w:numPr>
          <w:ilvl w:val="1"/>
          <w:numId w:val="37"/>
        </w:numPr>
        <w:tabs>
          <w:tab w:val="left" w:pos="142"/>
        </w:tabs>
        <w:ind w:left="567" w:hanging="425"/>
        <w:jc w:val="both"/>
        <w:rPr>
          <w:rFonts w:ascii="Arial" w:hAnsi="Arial" w:cs="Arial"/>
          <w:bCs/>
          <w:iCs/>
          <w:sz w:val="26"/>
          <w:szCs w:val="26"/>
        </w:rPr>
      </w:pPr>
      <w:r w:rsidRPr="00B31404">
        <w:rPr>
          <w:rFonts w:ascii="Arial" w:hAnsi="Arial" w:cs="Arial"/>
          <w:bCs/>
          <w:iCs/>
          <w:sz w:val="26"/>
          <w:szCs w:val="26"/>
        </w:rPr>
        <w:t>Los quinientos setenta (570) Ayuntamientos del Estado de Oaxaca.</w:t>
      </w:r>
    </w:p>
    <w:p w14:paraId="6F7FAE60" w14:textId="77777777" w:rsidR="00867791" w:rsidRPr="00B31404" w:rsidRDefault="00867791" w:rsidP="00B31404">
      <w:pPr>
        <w:tabs>
          <w:tab w:val="left" w:pos="142"/>
        </w:tabs>
        <w:ind w:left="567"/>
        <w:rPr>
          <w:rFonts w:ascii="Arial" w:hAnsi="Arial" w:cs="Arial"/>
          <w:b/>
          <w:iCs/>
          <w:sz w:val="26"/>
          <w:szCs w:val="26"/>
        </w:rPr>
      </w:pPr>
    </w:p>
    <w:p w14:paraId="10517CC2" w14:textId="77777777" w:rsidR="00867791" w:rsidRPr="00B31404" w:rsidRDefault="00867791" w:rsidP="00B31404">
      <w:pPr>
        <w:tabs>
          <w:tab w:val="left" w:pos="142"/>
        </w:tabs>
        <w:ind w:left="567"/>
        <w:rPr>
          <w:rFonts w:ascii="Arial" w:hAnsi="Arial" w:cs="Arial"/>
          <w:b/>
          <w:iCs/>
          <w:sz w:val="26"/>
          <w:szCs w:val="26"/>
        </w:rPr>
      </w:pPr>
      <w:r w:rsidRPr="00B31404">
        <w:rPr>
          <w:rFonts w:ascii="Arial" w:hAnsi="Arial" w:cs="Arial"/>
          <w:b/>
          <w:iCs/>
          <w:sz w:val="26"/>
          <w:szCs w:val="26"/>
        </w:rPr>
        <w:t>Actos Reclamados:</w:t>
      </w:r>
    </w:p>
    <w:p w14:paraId="40628BEC" w14:textId="67AC4176" w:rsidR="00265844" w:rsidRPr="00B31404" w:rsidRDefault="00867791" w:rsidP="00867791">
      <w:pPr>
        <w:numPr>
          <w:ilvl w:val="0"/>
          <w:numId w:val="38"/>
        </w:numPr>
        <w:tabs>
          <w:tab w:val="left" w:pos="142"/>
        </w:tabs>
        <w:ind w:left="567"/>
        <w:jc w:val="both"/>
        <w:rPr>
          <w:rFonts w:ascii="Arial" w:hAnsi="Arial" w:cs="Arial"/>
          <w:bCs/>
          <w:iCs/>
          <w:sz w:val="26"/>
          <w:szCs w:val="26"/>
        </w:rPr>
      </w:pPr>
      <w:r w:rsidRPr="00B31404">
        <w:rPr>
          <w:rFonts w:ascii="Arial" w:hAnsi="Arial" w:cs="Arial"/>
          <w:bCs/>
          <w:iCs/>
          <w:sz w:val="26"/>
          <w:szCs w:val="26"/>
        </w:rPr>
        <w:t xml:space="preserve">De las identificadas con los números </w:t>
      </w:r>
      <w:r w:rsidRPr="00B31404">
        <w:rPr>
          <w:rFonts w:ascii="Arial" w:hAnsi="Arial" w:cs="Arial"/>
          <w:b/>
          <w:iCs/>
          <w:sz w:val="26"/>
          <w:szCs w:val="26"/>
        </w:rPr>
        <w:t>(1)</w:t>
      </w:r>
      <w:r w:rsidRPr="00B31404">
        <w:rPr>
          <w:rFonts w:ascii="Arial" w:hAnsi="Arial" w:cs="Arial"/>
          <w:bCs/>
          <w:iCs/>
          <w:sz w:val="26"/>
          <w:szCs w:val="26"/>
        </w:rPr>
        <w:t>,</w:t>
      </w:r>
      <w:r w:rsidRPr="00B31404">
        <w:rPr>
          <w:rFonts w:ascii="Arial" w:hAnsi="Arial" w:cs="Arial"/>
          <w:b/>
          <w:iCs/>
          <w:sz w:val="26"/>
          <w:szCs w:val="26"/>
        </w:rPr>
        <w:t xml:space="preserve"> (2)</w:t>
      </w:r>
      <w:r w:rsidRPr="00B31404">
        <w:rPr>
          <w:rFonts w:ascii="Arial" w:hAnsi="Arial" w:cs="Arial"/>
          <w:bCs/>
          <w:iCs/>
          <w:sz w:val="26"/>
          <w:szCs w:val="26"/>
        </w:rPr>
        <w:t xml:space="preserve"> y </w:t>
      </w:r>
      <w:r w:rsidRPr="00B31404">
        <w:rPr>
          <w:rFonts w:ascii="Arial" w:hAnsi="Arial" w:cs="Arial"/>
          <w:b/>
          <w:iCs/>
          <w:sz w:val="26"/>
          <w:szCs w:val="26"/>
        </w:rPr>
        <w:t>(3)</w:t>
      </w:r>
      <w:r w:rsidRPr="00B31404">
        <w:rPr>
          <w:rFonts w:ascii="Arial" w:hAnsi="Arial" w:cs="Arial"/>
          <w:bCs/>
          <w:iCs/>
          <w:sz w:val="26"/>
          <w:szCs w:val="26"/>
        </w:rPr>
        <w:t xml:space="preserve"> se reclamó la discusión, aprobación y expedición del Decreto 629 por el que se reformó el primer párrafo del artículo 4; segundo párrafo del artículo 68; el artículo 99; y la fracción I del artículo 107 y se adiciona una fracción XXIX al artículo 8 recorriéndose la subsecuente pasando a ser la fracción XXX; los párrafos segundo y tercero al artículo 28, el artículo 68 Bis; y las fracciones XI y XII al artículo 98; de la Ley para la Prevención y Gestión Integral de los Residuos Sólidos.</w:t>
      </w:r>
    </w:p>
    <w:p w14:paraId="465D37B5" w14:textId="50EF3F9A" w:rsidR="00867791" w:rsidRPr="002A0393" w:rsidRDefault="00867791" w:rsidP="002A0393">
      <w:pPr>
        <w:numPr>
          <w:ilvl w:val="0"/>
          <w:numId w:val="38"/>
        </w:numPr>
        <w:tabs>
          <w:tab w:val="left" w:pos="142"/>
        </w:tabs>
        <w:spacing w:after="240"/>
        <w:ind w:left="567" w:hanging="357"/>
        <w:jc w:val="both"/>
        <w:rPr>
          <w:rFonts w:ascii="Arial" w:hAnsi="Arial" w:cs="Arial"/>
          <w:sz w:val="26"/>
          <w:szCs w:val="26"/>
        </w:rPr>
      </w:pPr>
      <w:r w:rsidRPr="002A0393">
        <w:rPr>
          <w:rFonts w:ascii="Arial" w:hAnsi="Arial" w:cs="Arial"/>
          <w:bCs/>
          <w:iCs/>
          <w:sz w:val="26"/>
          <w:szCs w:val="26"/>
        </w:rPr>
        <w:t xml:space="preserve">De las identificadas con los números </w:t>
      </w:r>
      <w:r w:rsidRPr="002A0393">
        <w:rPr>
          <w:rFonts w:ascii="Arial" w:hAnsi="Arial" w:cs="Arial"/>
          <w:b/>
          <w:iCs/>
          <w:sz w:val="26"/>
          <w:szCs w:val="26"/>
        </w:rPr>
        <w:t>(4)</w:t>
      </w:r>
      <w:r w:rsidRPr="002A0393">
        <w:rPr>
          <w:rFonts w:ascii="Arial" w:hAnsi="Arial" w:cs="Arial"/>
          <w:bCs/>
          <w:iCs/>
          <w:sz w:val="26"/>
          <w:szCs w:val="26"/>
        </w:rPr>
        <w:t>,</w:t>
      </w:r>
      <w:r w:rsidRPr="002A0393">
        <w:rPr>
          <w:rFonts w:ascii="Arial" w:hAnsi="Arial" w:cs="Arial"/>
          <w:b/>
          <w:iCs/>
          <w:sz w:val="26"/>
          <w:szCs w:val="26"/>
        </w:rPr>
        <w:t xml:space="preserve"> (5)</w:t>
      </w:r>
      <w:r w:rsidRPr="002A0393">
        <w:rPr>
          <w:rFonts w:ascii="Arial" w:hAnsi="Arial" w:cs="Arial"/>
          <w:bCs/>
          <w:iCs/>
          <w:sz w:val="26"/>
          <w:szCs w:val="26"/>
        </w:rPr>
        <w:t xml:space="preserve"> y </w:t>
      </w:r>
      <w:r w:rsidRPr="002A0393">
        <w:rPr>
          <w:rFonts w:ascii="Arial" w:hAnsi="Arial" w:cs="Arial"/>
          <w:b/>
          <w:iCs/>
          <w:sz w:val="26"/>
          <w:szCs w:val="26"/>
        </w:rPr>
        <w:t>(6)</w:t>
      </w:r>
      <w:r w:rsidRPr="002A0393">
        <w:rPr>
          <w:rFonts w:ascii="Arial" w:hAnsi="Arial" w:cs="Arial"/>
          <w:bCs/>
          <w:iCs/>
          <w:sz w:val="26"/>
          <w:szCs w:val="26"/>
        </w:rPr>
        <w:t xml:space="preserve"> se reclamó la aplicación del Decreto 629 en perjuicio de la quejosa. </w:t>
      </w:r>
    </w:p>
    <w:p w14:paraId="4AA3791C" w14:textId="7E62774A" w:rsidR="00837D91" w:rsidRPr="00B31404" w:rsidRDefault="00696B6E" w:rsidP="00B31404">
      <w:pPr>
        <w:pStyle w:val="TEXTONORMAL"/>
        <w:numPr>
          <w:ilvl w:val="0"/>
          <w:numId w:val="3"/>
        </w:numPr>
        <w:spacing w:after="240"/>
        <w:ind w:left="0" w:hanging="567"/>
        <w:rPr>
          <w:sz w:val="26"/>
          <w:szCs w:val="26"/>
        </w:rPr>
      </w:pPr>
      <w:r w:rsidRPr="00B31404">
        <w:rPr>
          <w:sz w:val="26"/>
          <w:szCs w:val="26"/>
        </w:rPr>
        <w:t>El juicio de amparo</w:t>
      </w:r>
      <w:r w:rsidR="002657C1" w:rsidRPr="00B31404">
        <w:rPr>
          <w:sz w:val="26"/>
          <w:szCs w:val="26"/>
        </w:rPr>
        <w:t xml:space="preserve"> lo</w:t>
      </w:r>
      <w:r w:rsidRPr="00B31404">
        <w:rPr>
          <w:sz w:val="26"/>
          <w:szCs w:val="26"/>
        </w:rPr>
        <w:t xml:space="preserve"> </w:t>
      </w:r>
      <w:r w:rsidR="00C14DE2" w:rsidRPr="00B31404">
        <w:rPr>
          <w:sz w:val="26"/>
          <w:szCs w:val="26"/>
        </w:rPr>
        <w:t>conoció el Juzgado Décimo de Distrito en el Estado de Oaxaca</w:t>
      </w:r>
      <w:r w:rsidR="006D4A6E">
        <w:rPr>
          <w:sz w:val="26"/>
          <w:szCs w:val="26"/>
        </w:rPr>
        <w:t>,</w:t>
      </w:r>
      <w:r w:rsidR="0099292C" w:rsidRPr="00B31404">
        <w:rPr>
          <w:sz w:val="26"/>
          <w:szCs w:val="26"/>
        </w:rPr>
        <w:t xml:space="preserve"> qui</w:t>
      </w:r>
      <w:r w:rsidR="006D4A6E">
        <w:rPr>
          <w:sz w:val="26"/>
          <w:szCs w:val="26"/>
        </w:rPr>
        <w:t>e</w:t>
      </w:r>
      <w:r w:rsidR="0099292C" w:rsidRPr="00B31404">
        <w:rPr>
          <w:sz w:val="26"/>
          <w:szCs w:val="26"/>
        </w:rPr>
        <w:t>n desechó la demanda contra los actos reclamados</w:t>
      </w:r>
      <w:r w:rsidR="00A51199" w:rsidRPr="00B31404">
        <w:rPr>
          <w:sz w:val="26"/>
          <w:szCs w:val="26"/>
        </w:rPr>
        <w:t xml:space="preserve"> </w:t>
      </w:r>
      <w:r w:rsidR="004B52D3" w:rsidRPr="00B31404">
        <w:rPr>
          <w:sz w:val="26"/>
          <w:szCs w:val="26"/>
        </w:rPr>
        <w:t xml:space="preserve">a los </w:t>
      </w:r>
      <w:r w:rsidR="00A51199" w:rsidRPr="00B31404">
        <w:rPr>
          <w:sz w:val="26"/>
          <w:szCs w:val="26"/>
        </w:rPr>
        <w:t>quinientos setenta (570) municipios del Estado de Oaxaca</w:t>
      </w:r>
      <w:r w:rsidR="00E83E6D" w:rsidRPr="00B31404">
        <w:rPr>
          <w:sz w:val="26"/>
          <w:szCs w:val="26"/>
        </w:rPr>
        <w:t xml:space="preserve"> y</w:t>
      </w:r>
      <w:r w:rsidR="005900BC" w:rsidRPr="00B31404">
        <w:rPr>
          <w:sz w:val="26"/>
          <w:szCs w:val="26"/>
        </w:rPr>
        <w:t xml:space="preserve"> </w:t>
      </w:r>
      <w:r w:rsidR="006D4A6E">
        <w:rPr>
          <w:sz w:val="26"/>
          <w:szCs w:val="26"/>
        </w:rPr>
        <w:t xml:space="preserve">la </w:t>
      </w:r>
      <w:r w:rsidR="00E83E6D" w:rsidRPr="00B31404">
        <w:rPr>
          <w:sz w:val="26"/>
          <w:szCs w:val="26"/>
        </w:rPr>
        <w:t>a</w:t>
      </w:r>
      <w:r w:rsidR="005900BC" w:rsidRPr="00B31404">
        <w:rPr>
          <w:sz w:val="26"/>
          <w:szCs w:val="26"/>
        </w:rPr>
        <w:t>dmitió por cuanto ve al resto</w:t>
      </w:r>
      <w:r w:rsidR="004B52D3" w:rsidRPr="00B31404">
        <w:rPr>
          <w:sz w:val="26"/>
          <w:szCs w:val="26"/>
        </w:rPr>
        <w:t xml:space="preserve"> </w:t>
      </w:r>
      <w:r w:rsidR="00E83E6D" w:rsidRPr="00B31404">
        <w:rPr>
          <w:sz w:val="26"/>
          <w:szCs w:val="26"/>
        </w:rPr>
        <w:t xml:space="preserve">de los actos reclamados </w:t>
      </w:r>
      <w:r w:rsidR="002657C1" w:rsidRPr="00B31404">
        <w:rPr>
          <w:sz w:val="26"/>
          <w:szCs w:val="26"/>
        </w:rPr>
        <w:t>y</w:t>
      </w:r>
      <w:r w:rsidR="00E83E6D" w:rsidRPr="00B31404">
        <w:rPr>
          <w:sz w:val="26"/>
          <w:szCs w:val="26"/>
        </w:rPr>
        <w:t xml:space="preserve"> las autoridades responsables.</w:t>
      </w:r>
    </w:p>
    <w:p w14:paraId="0F9C2A37" w14:textId="155FC65A" w:rsidR="00837D91" w:rsidRPr="00B31404" w:rsidRDefault="002657C1" w:rsidP="00B31404">
      <w:pPr>
        <w:pStyle w:val="TEXTONORMAL"/>
        <w:numPr>
          <w:ilvl w:val="0"/>
          <w:numId w:val="3"/>
        </w:numPr>
        <w:spacing w:after="240"/>
        <w:ind w:left="0" w:hanging="567"/>
        <w:rPr>
          <w:sz w:val="26"/>
          <w:szCs w:val="26"/>
        </w:rPr>
      </w:pPr>
      <w:r w:rsidRPr="00B31404">
        <w:rPr>
          <w:sz w:val="26"/>
          <w:szCs w:val="26"/>
        </w:rPr>
        <w:t>E</w:t>
      </w:r>
      <w:r w:rsidR="00837D91" w:rsidRPr="00B31404">
        <w:rPr>
          <w:sz w:val="26"/>
          <w:szCs w:val="26"/>
        </w:rPr>
        <w:t xml:space="preserve">l treinta y uno de diciembre de dos mil veinte dictó sentencia en la que, por un lado, declaró la inexistencia del Instituto Estatal de Ecología de </w:t>
      </w:r>
      <w:r w:rsidR="00837D91" w:rsidRPr="00B31404">
        <w:rPr>
          <w:sz w:val="26"/>
          <w:szCs w:val="26"/>
        </w:rPr>
        <w:lastRenderedPageBreak/>
        <w:t xml:space="preserve">Oaxaca y </w:t>
      </w:r>
      <w:r w:rsidR="00837D91" w:rsidRPr="00B31404">
        <w:rPr>
          <w:b/>
          <w:bCs/>
          <w:sz w:val="26"/>
          <w:szCs w:val="26"/>
        </w:rPr>
        <w:t>sobreseyó</w:t>
      </w:r>
      <w:r w:rsidR="00837D91" w:rsidRPr="00B31404">
        <w:rPr>
          <w:sz w:val="26"/>
          <w:szCs w:val="26"/>
        </w:rPr>
        <w:t xml:space="preserve"> respecto de los actos reclamados a la Secretaría del Medio Ambiente, Energías y Desarrollo Sustentable del Estado de Oaxaca. Por otro lado, </w:t>
      </w:r>
      <w:r w:rsidR="00837D91" w:rsidRPr="00B31404">
        <w:rPr>
          <w:b/>
          <w:bCs/>
          <w:sz w:val="26"/>
          <w:szCs w:val="26"/>
        </w:rPr>
        <w:t>negó</w:t>
      </w:r>
      <w:r w:rsidR="00837D91" w:rsidRPr="00B31404">
        <w:rPr>
          <w:sz w:val="26"/>
          <w:szCs w:val="26"/>
        </w:rPr>
        <w:t xml:space="preserve"> el amparo contra los actos reclamados al Gobernador, Congreso y Director del Periódico Oficial, todos del Estado de Oaxaca.</w:t>
      </w:r>
    </w:p>
    <w:p w14:paraId="7A085467" w14:textId="3CF1C154" w:rsidR="00E83E6D" w:rsidRPr="00B31404" w:rsidRDefault="004B7A3F" w:rsidP="00B31404">
      <w:pPr>
        <w:pStyle w:val="TEXTONORMAL"/>
        <w:numPr>
          <w:ilvl w:val="0"/>
          <w:numId w:val="3"/>
        </w:numPr>
        <w:spacing w:after="240"/>
        <w:ind w:left="0" w:hanging="567"/>
        <w:rPr>
          <w:sz w:val="26"/>
          <w:szCs w:val="26"/>
        </w:rPr>
      </w:pPr>
      <w:r w:rsidRPr="00B31404">
        <w:rPr>
          <w:sz w:val="26"/>
          <w:szCs w:val="26"/>
        </w:rPr>
        <w:t>Inconforme con la resolución, la quejosa in</w:t>
      </w:r>
      <w:r w:rsidR="00723168" w:rsidRPr="00B31404">
        <w:rPr>
          <w:sz w:val="26"/>
          <w:szCs w:val="26"/>
        </w:rPr>
        <w:t>t</w:t>
      </w:r>
      <w:r w:rsidRPr="00B31404">
        <w:rPr>
          <w:sz w:val="26"/>
          <w:szCs w:val="26"/>
        </w:rPr>
        <w:t>erpuso recurso de revisión</w:t>
      </w:r>
      <w:r w:rsidR="00596B54" w:rsidRPr="00B31404">
        <w:rPr>
          <w:sz w:val="26"/>
          <w:szCs w:val="26"/>
        </w:rPr>
        <w:t xml:space="preserve"> el cual correspondió conocer al </w:t>
      </w:r>
      <w:bookmarkStart w:id="4" w:name="_Hlk86246930"/>
      <w:r w:rsidR="007D3B97" w:rsidRPr="00B31404">
        <w:rPr>
          <w:sz w:val="26"/>
          <w:szCs w:val="26"/>
        </w:rPr>
        <w:t>Segundo Tribunal Colegiado en Materias Civil y Administrativa del Decimotercer Circuito</w:t>
      </w:r>
      <w:bookmarkEnd w:id="4"/>
      <w:r w:rsidR="007D3B97" w:rsidRPr="00B31404">
        <w:rPr>
          <w:sz w:val="26"/>
          <w:szCs w:val="26"/>
        </w:rPr>
        <w:t xml:space="preserve"> </w:t>
      </w:r>
      <w:r w:rsidR="004435DC" w:rsidRPr="00B31404">
        <w:rPr>
          <w:sz w:val="26"/>
          <w:szCs w:val="26"/>
        </w:rPr>
        <w:t xml:space="preserve">quien confirmó el sobreseimiento respecto del acto atribuido a la Secretaría del Medio Ambiente, Energías y Desarrollo Sustentable del Estado de Oaxaca y, por otro, dejó a salvo </w:t>
      </w:r>
      <w:r w:rsidR="00D83AAF" w:rsidRPr="00B31404">
        <w:rPr>
          <w:bCs/>
          <w:sz w:val="26"/>
          <w:szCs w:val="26"/>
        </w:rPr>
        <w:t xml:space="preserve">la jurisdicción de este Alto Tribunal, </w:t>
      </w:r>
      <w:r w:rsidR="006D50DB">
        <w:rPr>
          <w:bCs/>
          <w:sz w:val="26"/>
          <w:szCs w:val="26"/>
        </w:rPr>
        <w:t xml:space="preserve">y </w:t>
      </w:r>
      <w:r w:rsidR="00D83AAF" w:rsidRPr="00B31404">
        <w:rPr>
          <w:bCs/>
          <w:sz w:val="26"/>
          <w:szCs w:val="26"/>
        </w:rPr>
        <w:t>orden</w:t>
      </w:r>
      <w:r w:rsidR="006D50DB">
        <w:rPr>
          <w:bCs/>
          <w:sz w:val="26"/>
          <w:szCs w:val="26"/>
        </w:rPr>
        <w:t>ó</w:t>
      </w:r>
      <w:r w:rsidR="00D83AAF" w:rsidRPr="00B31404">
        <w:rPr>
          <w:bCs/>
          <w:sz w:val="26"/>
          <w:szCs w:val="26"/>
        </w:rPr>
        <w:t xml:space="preserve"> se remitieran los autos para resolver sobre la constitucionalidad del decreto impugnado.</w:t>
      </w:r>
    </w:p>
    <w:p w14:paraId="37B7E754" w14:textId="175F9577" w:rsidR="00D83AAF" w:rsidRPr="00B31404" w:rsidRDefault="00E912AE" w:rsidP="00B31404">
      <w:pPr>
        <w:pStyle w:val="TEXTONORMAL"/>
        <w:numPr>
          <w:ilvl w:val="0"/>
          <w:numId w:val="3"/>
        </w:numPr>
        <w:spacing w:after="240"/>
        <w:ind w:left="0" w:hanging="567"/>
        <w:rPr>
          <w:sz w:val="26"/>
          <w:szCs w:val="26"/>
        </w:rPr>
      </w:pPr>
      <w:r w:rsidRPr="00B31404">
        <w:rPr>
          <w:sz w:val="26"/>
          <w:szCs w:val="26"/>
        </w:rPr>
        <w:t xml:space="preserve">El amparo fue radicado </w:t>
      </w:r>
      <w:r w:rsidR="000B7B79" w:rsidRPr="00B31404">
        <w:rPr>
          <w:sz w:val="26"/>
          <w:szCs w:val="26"/>
        </w:rPr>
        <w:t>en la Suprema Corte de Justicia de Nación bajo el expediente 173/2022</w:t>
      </w:r>
      <w:r w:rsidR="002657C1" w:rsidRPr="00B31404">
        <w:rPr>
          <w:sz w:val="26"/>
          <w:szCs w:val="26"/>
        </w:rPr>
        <w:t xml:space="preserve"> y</w:t>
      </w:r>
      <w:r w:rsidR="000B7B79" w:rsidRPr="00B31404">
        <w:rPr>
          <w:sz w:val="26"/>
          <w:szCs w:val="26"/>
        </w:rPr>
        <w:t xml:space="preserve"> resuelto por la Segunda Sala </w:t>
      </w:r>
      <w:r w:rsidR="0081400C" w:rsidRPr="00B31404">
        <w:rPr>
          <w:sz w:val="26"/>
          <w:szCs w:val="26"/>
        </w:rPr>
        <w:t xml:space="preserve">en sesión </w:t>
      </w:r>
      <w:r w:rsidR="007B49F7" w:rsidRPr="00B31404">
        <w:rPr>
          <w:sz w:val="26"/>
          <w:szCs w:val="26"/>
        </w:rPr>
        <w:t>de diecisiete de agosto de dos mil veintidós</w:t>
      </w:r>
      <w:r w:rsidR="006D50DB">
        <w:rPr>
          <w:sz w:val="26"/>
          <w:szCs w:val="26"/>
        </w:rPr>
        <w:t>,</w:t>
      </w:r>
      <w:r w:rsidR="007B49F7" w:rsidRPr="00B31404">
        <w:rPr>
          <w:sz w:val="26"/>
          <w:szCs w:val="26"/>
        </w:rPr>
        <w:t xml:space="preserve"> en el sentido de </w:t>
      </w:r>
      <w:r w:rsidR="00FA303A" w:rsidRPr="00B31404">
        <w:rPr>
          <w:sz w:val="26"/>
          <w:szCs w:val="26"/>
        </w:rPr>
        <w:t xml:space="preserve">revocar la sentencia recurrida y conceder </w:t>
      </w:r>
      <w:r w:rsidR="00F64453" w:rsidRPr="00B31404">
        <w:rPr>
          <w:sz w:val="26"/>
          <w:szCs w:val="26"/>
        </w:rPr>
        <w:t>la</w:t>
      </w:r>
      <w:r w:rsidR="00FA303A" w:rsidRPr="00B31404">
        <w:rPr>
          <w:sz w:val="26"/>
          <w:szCs w:val="26"/>
        </w:rPr>
        <w:t xml:space="preserve"> protección</w:t>
      </w:r>
      <w:r w:rsidR="00F64453" w:rsidRPr="00B31404">
        <w:rPr>
          <w:sz w:val="26"/>
          <w:szCs w:val="26"/>
        </w:rPr>
        <w:t xml:space="preserve"> constitucional</w:t>
      </w:r>
      <w:r w:rsidR="00FA303A" w:rsidRPr="00B31404">
        <w:rPr>
          <w:sz w:val="26"/>
          <w:szCs w:val="26"/>
        </w:rPr>
        <w:t xml:space="preserve"> </w:t>
      </w:r>
      <w:r w:rsidR="00586201" w:rsidRPr="00B31404">
        <w:rPr>
          <w:sz w:val="26"/>
          <w:szCs w:val="26"/>
        </w:rPr>
        <w:t>a la quejosa en contra</w:t>
      </w:r>
      <w:r w:rsidR="00400896" w:rsidRPr="00B31404">
        <w:rPr>
          <w:sz w:val="26"/>
          <w:szCs w:val="26"/>
        </w:rPr>
        <w:t xml:space="preserve"> </w:t>
      </w:r>
      <w:r w:rsidR="00400896" w:rsidRPr="00B31404">
        <w:rPr>
          <w:rFonts w:eastAsia="Arial"/>
          <w:sz w:val="26"/>
          <w:szCs w:val="26"/>
        </w:rPr>
        <w:t>de las fracciones XI y XII del artículo 98 de la Ley para la Prevención y Gestión Integral de los Residuos Sólidos del Estado de Oaxaca, así como sus actos futuros de aplicación</w:t>
      </w:r>
      <w:r w:rsidR="00F64453" w:rsidRPr="00B31404">
        <w:rPr>
          <w:rStyle w:val="Refdenotaalpie"/>
          <w:rFonts w:eastAsia="Arial"/>
          <w:sz w:val="26"/>
          <w:szCs w:val="26"/>
        </w:rPr>
        <w:footnoteReference w:id="10"/>
      </w:r>
      <w:r w:rsidR="00762394" w:rsidRPr="00B31404">
        <w:rPr>
          <w:rFonts w:eastAsia="Arial"/>
          <w:sz w:val="26"/>
          <w:szCs w:val="26"/>
        </w:rPr>
        <w:t>.</w:t>
      </w:r>
    </w:p>
    <w:p w14:paraId="65EB2C64" w14:textId="78B7B918" w:rsidR="00C6772E" w:rsidRPr="00B31404" w:rsidRDefault="00CD3AE4" w:rsidP="00B31404">
      <w:pPr>
        <w:pStyle w:val="TEXTONORMAL"/>
        <w:numPr>
          <w:ilvl w:val="0"/>
          <w:numId w:val="3"/>
        </w:numPr>
        <w:spacing w:after="240"/>
        <w:ind w:left="0" w:hanging="567"/>
        <w:rPr>
          <w:sz w:val="26"/>
          <w:szCs w:val="26"/>
        </w:rPr>
      </w:pPr>
      <w:r w:rsidRPr="00B31404">
        <w:rPr>
          <w:rFonts w:eastAsia="Arial"/>
          <w:sz w:val="26"/>
          <w:szCs w:val="26"/>
        </w:rPr>
        <w:t>L</w:t>
      </w:r>
      <w:r w:rsidR="00127E66" w:rsidRPr="00B31404">
        <w:rPr>
          <w:rFonts w:eastAsia="Arial"/>
          <w:sz w:val="26"/>
          <w:szCs w:val="26"/>
        </w:rPr>
        <w:t xml:space="preserve">a Segunda Sala de la Suprema Corte de Justicia de la Nación </w:t>
      </w:r>
      <w:r w:rsidR="00C6772E" w:rsidRPr="00B31404">
        <w:rPr>
          <w:rFonts w:eastAsia="Arial"/>
          <w:sz w:val="26"/>
          <w:szCs w:val="26"/>
        </w:rPr>
        <w:t>estableció</w:t>
      </w:r>
      <w:r w:rsidR="00CD233E" w:rsidRPr="00B31404">
        <w:rPr>
          <w:rFonts w:eastAsia="Arial"/>
          <w:sz w:val="26"/>
          <w:szCs w:val="26"/>
        </w:rPr>
        <w:t xml:space="preserve"> como</w:t>
      </w:r>
      <w:r w:rsidRPr="00B31404">
        <w:rPr>
          <w:rFonts w:eastAsia="Arial"/>
          <w:sz w:val="26"/>
          <w:szCs w:val="26"/>
        </w:rPr>
        <w:t xml:space="preserve"> criterio jurídico o</w:t>
      </w:r>
      <w:r w:rsidR="00CD233E" w:rsidRPr="00B31404">
        <w:rPr>
          <w:rFonts w:eastAsia="Arial"/>
          <w:sz w:val="26"/>
          <w:szCs w:val="26"/>
        </w:rPr>
        <w:t xml:space="preserve"> </w:t>
      </w:r>
      <w:r w:rsidR="00CD233E" w:rsidRPr="00B31404">
        <w:rPr>
          <w:rFonts w:eastAsia="Arial"/>
          <w:i/>
          <w:iCs/>
          <w:sz w:val="26"/>
          <w:szCs w:val="26"/>
        </w:rPr>
        <w:t>ratio decidendi</w:t>
      </w:r>
      <w:r w:rsidR="00C6772E" w:rsidRPr="00B31404">
        <w:rPr>
          <w:rFonts w:eastAsia="Arial"/>
          <w:i/>
          <w:iCs/>
          <w:sz w:val="26"/>
          <w:szCs w:val="26"/>
        </w:rPr>
        <w:t xml:space="preserve"> </w:t>
      </w:r>
      <w:r w:rsidRPr="00B31404">
        <w:rPr>
          <w:rFonts w:eastAsia="Arial"/>
          <w:sz w:val="26"/>
          <w:szCs w:val="26"/>
        </w:rPr>
        <w:t xml:space="preserve">el </w:t>
      </w:r>
      <w:r w:rsidR="00C6772E" w:rsidRPr="00B31404">
        <w:rPr>
          <w:rFonts w:eastAsia="Arial"/>
          <w:sz w:val="26"/>
          <w:szCs w:val="26"/>
        </w:rPr>
        <w:t>siguiente:</w:t>
      </w:r>
      <w:r w:rsidR="00CD233E" w:rsidRPr="00B31404">
        <w:rPr>
          <w:rFonts w:eastAsia="Arial"/>
          <w:sz w:val="26"/>
          <w:szCs w:val="26"/>
        </w:rPr>
        <w:t xml:space="preserve"> </w:t>
      </w:r>
    </w:p>
    <w:p w14:paraId="6F4AD898" w14:textId="72B77130" w:rsidR="00762394" w:rsidRPr="00B31404" w:rsidRDefault="00B52889" w:rsidP="00B31404">
      <w:pPr>
        <w:pStyle w:val="TEXTONORMAL"/>
        <w:spacing w:after="240" w:line="240" w:lineRule="auto"/>
        <w:ind w:left="567" w:firstLine="0"/>
        <w:rPr>
          <w:rFonts w:eastAsia="Arial"/>
          <w:sz w:val="26"/>
          <w:szCs w:val="26"/>
        </w:rPr>
      </w:pPr>
      <w:r w:rsidRPr="00B31404">
        <w:rPr>
          <w:rFonts w:eastAsia="Arial"/>
          <w:b/>
          <w:bCs/>
          <w:sz w:val="26"/>
          <w:szCs w:val="26"/>
        </w:rPr>
        <w:t xml:space="preserve">Criterio jurídico o </w:t>
      </w:r>
      <w:r w:rsidRPr="00B31404">
        <w:rPr>
          <w:rFonts w:eastAsia="Arial"/>
          <w:b/>
          <w:bCs/>
          <w:i/>
          <w:iCs/>
          <w:sz w:val="26"/>
          <w:szCs w:val="26"/>
        </w:rPr>
        <w:t>ratio decidenci</w:t>
      </w:r>
      <w:r w:rsidRPr="00B31404">
        <w:rPr>
          <w:rFonts w:eastAsia="Arial"/>
          <w:b/>
          <w:bCs/>
          <w:sz w:val="26"/>
          <w:szCs w:val="26"/>
        </w:rPr>
        <w:t>:</w:t>
      </w:r>
      <w:r w:rsidRPr="00B31404">
        <w:rPr>
          <w:rFonts w:eastAsia="Arial"/>
          <w:sz w:val="26"/>
          <w:szCs w:val="26"/>
        </w:rPr>
        <w:t xml:space="preserve"> </w:t>
      </w:r>
      <w:r w:rsidR="00C6772E" w:rsidRPr="00B31404">
        <w:rPr>
          <w:rFonts w:eastAsia="Arial"/>
          <w:sz w:val="26"/>
          <w:szCs w:val="26"/>
        </w:rPr>
        <w:t>L</w:t>
      </w:r>
      <w:r w:rsidR="00CD233E" w:rsidRPr="00B31404">
        <w:rPr>
          <w:rFonts w:eastAsia="Arial"/>
          <w:sz w:val="26"/>
          <w:szCs w:val="26"/>
        </w:rPr>
        <w:t xml:space="preserve">a prohibición de vender, distribuir, emplear o usar envases, embalajes u otros </w:t>
      </w:r>
      <w:r w:rsidR="001E542D" w:rsidRPr="00B31404">
        <w:rPr>
          <w:rFonts w:eastAsia="Arial"/>
          <w:sz w:val="26"/>
          <w:szCs w:val="26"/>
        </w:rPr>
        <w:t>productos de un solo uso, elaborados con PET o unicel es inconstitucional. Por un lado,</w:t>
      </w:r>
      <w:r w:rsidR="00C6772E" w:rsidRPr="00B31404">
        <w:rPr>
          <w:rFonts w:eastAsia="Arial"/>
          <w:sz w:val="26"/>
          <w:szCs w:val="26"/>
        </w:rPr>
        <w:t xml:space="preserve"> no se encuentra </w:t>
      </w:r>
      <w:r w:rsidR="00C47BEB" w:rsidRPr="00B31404">
        <w:rPr>
          <w:rFonts w:eastAsia="Arial"/>
          <w:sz w:val="26"/>
          <w:szCs w:val="26"/>
        </w:rPr>
        <w:t>dentro de las facultades que le fueron atribuidas a las entidades federativas y, por el otro, no se ajusta a lo dispuesto por la Ley General para la Prevención y Gestión Integral de los Residuos y la política nacional en materia de gestión integral de residuos de manejo especial.</w:t>
      </w:r>
    </w:p>
    <w:p w14:paraId="010F1D6B" w14:textId="127CB675" w:rsidR="003F0504" w:rsidRPr="00B31404" w:rsidRDefault="00D61980" w:rsidP="00B31404">
      <w:pPr>
        <w:pStyle w:val="TEXTONORMAL"/>
        <w:numPr>
          <w:ilvl w:val="0"/>
          <w:numId w:val="3"/>
        </w:numPr>
        <w:spacing w:after="240"/>
        <w:ind w:left="0" w:hanging="567"/>
        <w:rPr>
          <w:sz w:val="26"/>
          <w:szCs w:val="26"/>
        </w:rPr>
      </w:pPr>
      <w:r w:rsidRPr="00B31404">
        <w:rPr>
          <w:sz w:val="26"/>
          <w:szCs w:val="26"/>
        </w:rPr>
        <w:t xml:space="preserve">Respecto </w:t>
      </w:r>
      <w:r w:rsidR="002F4B69" w:rsidRPr="00B31404">
        <w:rPr>
          <w:sz w:val="26"/>
          <w:szCs w:val="26"/>
        </w:rPr>
        <w:t xml:space="preserve">al </w:t>
      </w:r>
      <w:r w:rsidR="00C0655C" w:rsidRPr="00B31404">
        <w:rPr>
          <w:sz w:val="26"/>
          <w:szCs w:val="26"/>
          <w:lang w:val="es-ES"/>
        </w:rPr>
        <w:t xml:space="preserve">tereftalato de polietileno (PET) y poliestireno expandido (unicel), la Segunda Sala </w:t>
      </w:r>
      <w:r w:rsidR="000527F2" w:rsidRPr="00B31404">
        <w:rPr>
          <w:sz w:val="26"/>
          <w:szCs w:val="26"/>
          <w:lang w:val="es-ES"/>
        </w:rPr>
        <w:t xml:space="preserve">señaló que es competencia de la federación </w:t>
      </w:r>
      <w:r w:rsidR="000527F2" w:rsidRPr="00B31404">
        <w:rPr>
          <w:sz w:val="26"/>
          <w:szCs w:val="26"/>
          <w:lang w:val="es-ES"/>
        </w:rPr>
        <w:lastRenderedPageBreak/>
        <w:t xml:space="preserve">expedir la Normas Oficiales Mexicanas que establezcan, entre otros, los criterios de eficiencia ambiental y tecnológica que deben cumplir los materiales con los que se elaborarán productos, envases, empaques y embalajes de plástico y poliestireno expandido que al desecharse se convierten en residuos. </w:t>
      </w:r>
      <w:r w:rsidR="006E2BCC" w:rsidRPr="00B31404">
        <w:rPr>
          <w:sz w:val="26"/>
          <w:szCs w:val="26"/>
          <w:lang w:val="es-ES"/>
        </w:rPr>
        <w:t>Dichas normas deberán considerar los principios de reducción, reciclaje y reutilización en el manejo de éstos.</w:t>
      </w:r>
    </w:p>
    <w:p w14:paraId="78AB87D9" w14:textId="04829396" w:rsidR="001C4B55" w:rsidRPr="00B31404" w:rsidRDefault="004733C2" w:rsidP="00B31404">
      <w:pPr>
        <w:pStyle w:val="TEXTONORMAL"/>
        <w:numPr>
          <w:ilvl w:val="0"/>
          <w:numId w:val="3"/>
        </w:numPr>
        <w:spacing w:after="240"/>
        <w:ind w:left="0" w:hanging="567"/>
        <w:rPr>
          <w:sz w:val="26"/>
          <w:szCs w:val="26"/>
        </w:rPr>
      </w:pPr>
      <w:r w:rsidRPr="00B31404">
        <w:rPr>
          <w:sz w:val="26"/>
          <w:szCs w:val="26"/>
          <w:lang w:val="es-ES"/>
        </w:rPr>
        <w:t>Asimismo, la Sala h</w:t>
      </w:r>
      <w:r w:rsidR="003F0504" w:rsidRPr="00B31404">
        <w:rPr>
          <w:sz w:val="26"/>
          <w:szCs w:val="26"/>
          <w:lang w:val="es-ES"/>
        </w:rPr>
        <w:t>izo especial mención del artículo 100</w:t>
      </w:r>
      <w:r w:rsidR="00A14DC1" w:rsidRPr="00B31404">
        <w:rPr>
          <w:sz w:val="26"/>
          <w:szCs w:val="26"/>
          <w:lang w:val="es-ES"/>
        </w:rPr>
        <w:t xml:space="preserve"> de la Ley General para la Prevención y Gestión Integral de los Residuos </w:t>
      </w:r>
      <w:r w:rsidR="00A27A17" w:rsidRPr="00B31404">
        <w:rPr>
          <w:sz w:val="26"/>
          <w:szCs w:val="26"/>
          <w:lang w:val="es-ES"/>
        </w:rPr>
        <w:t>el cual prevé, de manera expresa, qué actividades son las que las entidades federativas pueden prohibir con motivo de la prevención y manejo integral de residuos sólidos urbanos y de manejo especial</w:t>
      </w:r>
      <w:r w:rsidR="001C4B55" w:rsidRPr="00B31404">
        <w:rPr>
          <w:sz w:val="26"/>
          <w:szCs w:val="26"/>
          <w:lang w:val="es-ES"/>
        </w:rPr>
        <w:t>.</w:t>
      </w:r>
    </w:p>
    <w:p w14:paraId="00D51740" w14:textId="219282CB" w:rsidR="00045616" w:rsidRPr="00B31404" w:rsidRDefault="00045616" w:rsidP="00B31404">
      <w:pPr>
        <w:pStyle w:val="TEXTONORMAL"/>
        <w:numPr>
          <w:ilvl w:val="0"/>
          <w:numId w:val="3"/>
        </w:numPr>
        <w:spacing w:after="240"/>
        <w:ind w:left="0" w:hanging="567"/>
        <w:rPr>
          <w:sz w:val="26"/>
          <w:szCs w:val="26"/>
        </w:rPr>
      </w:pPr>
      <w:r w:rsidRPr="00B31404">
        <w:rPr>
          <w:sz w:val="26"/>
          <w:szCs w:val="26"/>
        </w:rPr>
        <w:t>Una vez explicado el marco jurídico previsto en el artículo 73, fracción XXIX-G de la Constitución General,</w:t>
      </w:r>
      <w:r w:rsidR="006D50DB">
        <w:rPr>
          <w:sz w:val="26"/>
          <w:szCs w:val="26"/>
        </w:rPr>
        <w:t xml:space="preserve"> en</w:t>
      </w:r>
      <w:r w:rsidRPr="00B31404">
        <w:rPr>
          <w:sz w:val="26"/>
          <w:szCs w:val="26"/>
        </w:rPr>
        <w:t xml:space="preserve"> la Ley General del Equilibrio Ecológico y la Protección al Ambiente y</w:t>
      </w:r>
      <w:r w:rsidR="00BD0282">
        <w:rPr>
          <w:sz w:val="26"/>
          <w:szCs w:val="26"/>
        </w:rPr>
        <w:t xml:space="preserve"> en</w:t>
      </w:r>
      <w:r w:rsidRPr="00B31404">
        <w:rPr>
          <w:sz w:val="26"/>
          <w:szCs w:val="26"/>
        </w:rPr>
        <w:t xml:space="preserve"> la Ley General para la Prevención y Gestión Integral de los Residuos</w:t>
      </w:r>
      <w:r w:rsidR="006D50DB">
        <w:rPr>
          <w:sz w:val="26"/>
          <w:szCs w:val="26"/>
        </w:rPr>
        <w:t xml:space="preserve">, la Sala </w:t>
      </w:r>
      <w:r w:rsidRPr="00B31404">
        <w:rPr>
          <w:sz w:val="26"/>
          <w:szCs w:val="26"/>
        </w:rPr>
        <w:t>concluyó que la Federación es quien se encarga de definir la política ambiental del país, para lo cual se le faculta expedir Normas Oficiales Mexicanas y el Programa Nacional para la Prevención y Gestión Integral de los Residuos; instrumentos por medio de los cuales se establecen las bases para la reducción, reciclaje y reutilización en el manejo de estos.</w:t>
      </w:r>
    </w:p>
    <w:p w14:paraId="5150D118" w14:textId="44CE5B50" w:rsidR="00200711" w:rsidRPr="00B31404" w:rsidRDefault="00045616" w:rsidP="00B31404">
      <w:pPr>
        <w:pStyle w:val="TEXTONORMAL"/>
        <w:numPr>
          <w:ilvl w:val="0"/>
          <w:numId w:val="3"/>
        </w:numPr>
        <w:spacing w:after="240"/>
        <w:ind w:left="0" w:hanging="567"/>
        <w:rPr>
          <w:sz w:val="26"/>
          <w:szCs w:val="26"/>
        </w:rPr>
      </w:pPr>
      <w:r w:rsidRPr="00B31404">
        <w:rPr>
          <w:sz w:val="26"/>
          <w:szCs w:val="26"/>
        </w:rPr>
        <w:t xml:space="preserve">Específicamente, a los </w:t>
      </w:r>
      <w:r w:rsidR="002153D7" w:rsidRPr="00B31404">
        <w:rPr>
          <w:sz w:val="26"/>
          <w:szCs w:val="26"/>
        </w:rPr>
        <w:t>productos derivados</w:t>
      </w:r>
      <w:r w:rsidRPr="00B31404">
        <w:rPr>
          <w:sz w:val="26"/>
          <w:szCs w:val="26"/>
        </w:rPr>
        <w:t xml:space="preserve"> del tereftalato de polietileno (PET) y poliestireno expandido (unicel) se les denomina residuos sólidos urbanos y son considerados de manejo especial, </w:t>
      </w:r>
      <w:r w:rsidR="002153D7" w:rsidRPr="00B31404">
        <w:rPr>
          <w:sz w:val="26"/>
          <w:szCs w:val="26"/>
        </w:rPr>
        <w:t>por los que,</w:t>
      </w:r>
      <w:r w:rsidRPr="00B31404">
        <w:rPr>
          <w:sz w:val="26"/>
          <w:szCs w:val="26"/>
        </w:rPr>
        <w:t xml:space="preserve"> las leyes generales asignan competencia exclusiva a la Federación a través de la Secretaría de Medio Ambiente y Recursos Naturales, en coordinación con las de Economía y de Salud para expedir Normas Oficiales Mexicanas que contengan los criterios de eficiencia ambiental y tecnológica que deben cumplir los materiales con los que se </w:t>
      </w:r>
      <w:r w:rsidR="002153D7" w:rsidRPr="00B31404">
        <w:rPr>
          <w:sz w:val="26"/>
          <w:szCs w:val="26"/>
        </w:rPr>
        <w:t>deben elaborar</w:t>
      </w:r>
      <w:r w:rsidRPr="00B31404">
        <w:rPr>
          <w:sz w:val="26"/>
          <w:szCs w:val="26"/>
        </w:rPr>
        <w:t xml:space="preserve"> productos, envases, empaques y embalajes de dichos materiales.</w:t>
      </w:r>
    </w:p>
    <w:p w14:paraId="45F225B8" w14:textId="7C670374" w:rsidR="009F494B" w:rsidRPr="00B31404" w:rsidRDefault="00FF4483" w:rsidP="00B31404">
      <w:pPr>
        <w:pStyle w:val="TEXTONORMAL"/>
        <w:numPr>
          <w:ilvl w:val="0"/>
          <w:numId w:val="3"/>
        </w:numPr>
        <w:spacing w:after="240"/>
        <w:ind w:left="0" w:hanging="567"/>
        <w:rPr>
          <w:sz w:val="26"/>
          <w:szCs w:val="26"/>
        </w:rPr>
      </w:pPr>
      <w:r w:rsidRPr="00B31404">
        <w:rPr>
          <w:sz w:val="26"/>
          <w:szCs w:val="26"/>
          <w:lang w:val="es-ES"/>
        </w:rPr>
        <w:lastRenderedPageBreak/>
        <w:t>En relación con</w:t>
      </w:r>
      <w:r w:rsidR="00767ED6" w:rsidRPr="00B31404">
        <w:rPr>
          <w:sz w:val="26"/>
          <w:szCs w:val="26"/>
          <w:lang w:val="es-ES"/>
        </w:rPr>
        <w:t xml:space="preserve"> las entidades federativas,</w:t>
      </w:r>
      <w:r w:rsidRPr="00B31404">
        <w:rPr>
          <w:sz w:val="26"/>
          <w:szCs w:val="26"/>
          <w:lang w:val="es-ES"/>
        </w:rPr>
        <w:t xml:space="preserve"> </w:t>
      </w:r>
      <w:r w:rsidR="00D21D0E" w:rsidRPr="00B31404">
        <w:rPr>
          <w:sz w:val="26"/>
          <w:szCs w:val="26"/>
          <w:lang w:val="es-ES"/>
        </w:rPr>
        <w:t xml:space="preserve">la Segunda Sala </w:t>
      </w:r>
      <w:r w:rsidRPr="00B31404">
        <w:rPr>
          <w:sz w:val="26"/>
          <w:szCs w:val="26"/>
          <w:lang w:val="es-ES"/>
        </w:rPr>
        <w:t>afirmó que</w:t>
      </w:r>
      <w:r w:rsidR="00767ED6" w:rsidRPr="00B31404">
        <w:rPr>
          <w:sz w:val="26"/>
          <w:szCs w:val="26"/>
          <w:lang w:val="es-ES"/>
        </w:rPr>
        <w:t xml:space="preserve"> a ellas les corresponde dirigir la política ambiental estatal, pero en estricto apego a las competencias precisadas por la ley general, pues al tratarse de una actividad concurrente, éstas únicamente </w:t>
      </w:r>
      <w:r w:rsidR="00D21D0E" w:rsidRPr="00B31404">
        <w:rPr>
          <w:sz w:val="26"/>
          <w:szCs w:val="26"/>
          <w:lang w:val="es-ES"/>
        </w:rPr>
        <w:t>pueden</w:t>
      </w:r>
      <w:r w:rsidR="00767ED6" w:rsidRPr="00B31404">
        <w:rPr>
          <w:sz w:val="26"/>
          <w:szCs w:val="26"/>
          <w:lang w:val="es-ES"/>
        </w:rPr>
        <w:t xml:space="preserve"> actuar conforme a los límites previstos en la ley marco.</w:t>
      </w:r>
      <w:r w:rsidR="00200711" w:rsidRPr="00B31404">
        <w:rPr>
          <w:sz w:val="26"/>
          <w:szCs w:val="26"/>
          <w:lang w:val="es-ES"/>
        </w:rPr>
        <w:t xml:space="preserve"> Destacándose que las actividades que </w:t>
      </w:r>
      <w:r w:rsidR="00F34831" w:rsidRPr="00B31404">
        <w:rPr>
          <w:sz w:val="26"/>
          <w:szCs w:val="26"/>
          <w:lang w:val="es-ES"/>
        </w:rPr>
        <w:t>los estados de la República</w:t>
      </w:r>
      <w:r w:rsidR="00200711" w:rsidRPr="00B31404">
        <w:rPr>
          <w:sz w:val="26"/>
          <w:szCs w:val="26"/>
          <w:lang w:val="es-ES"/>
        </w:rPr>
        <w:t xml:space="preserve"> expresamente se encuentran facultad</w:t>
      </w:r>
      <w:r w:rsidR="00F34831" w:rsidRPr="00B31404">
        <w:rPr>
          <w:sz w:val="26"/>
          <w:szCs w:val="26"/>
          <w:lang w:val="es-ES"/>
        </w:rPr>
        <w:t>o</w:t>
      </w:r>
      <w:r w:rsidR="00200711" w:rsidRPr="00B31404">
        <w:rPr>
          <w:sz w:val="26"/>
          <w:szCs w:val="26"/>
          <w:lang w:val="es-ES"/>
        </w:rPr>
        <w:t>s para prohibir son aquellas relacionadas con verter e incinerar residuos, así como la apertura de tiraderos a cielo abierto</w:t>
      </w:r>
      <w:r w:rsidR="00F34831" w:rsidRPr="00B31404">
        <w:rPr>
          <w:sz w:val="26"/>
          <w:szCs w:val="26"/>
          <w:lang w:val="es-ES"/>
        </w:rPr>
        <w:t>,</w:t>
      </w:r>
      <w:r w:rsidR="00200711" w:rsidRPr="00B31404">
        <w:rPr>
          <w:sz w:val="26"/>
          <w:szCs w:val="26"/>
          <w:lang w:val="es-ES"/>
        </w:rPr>
        <w:t xml:space="preserve"> </w:t>
      </w:r>
      <w:r w:rsidR="00F34831" w:rsidRPr="00B31404">
        <w:rPr>
          <w:sz w:val="26"/>
          <w:szCs w:val="26"/>
          <w:lang w:val="es-ES"/>
        </w:rPr>
        <w:t>es decir</w:t>
      </w:r>
      <w:r w:rsidR="00200711" w:rsidRPr="00B31404">
        <w:rPr>
          <w:sz w:val="26"/>
          <w:szCs w:val="26"/>
          <w:lang w:val="es-ES"/>
        </w:rPr>
        <w:t>, no se les otorga una facultad mayor de prohibición.</w:t>
      </w:r>
    </w:p>
    <w:p w14:paraId="1CE91A7E" w14:textId="55706BD0" w:rsidR="009F494B" w:rsidRPr="00B31404" w:rsidRDefault="009F494B" w:rsidP="00B31404">
      <w:pPr>
        <w:pStyle w:val="TEXTONORMAL"/>
        <w:numPr>
          <w:ilvl w:val="0"/>
          <w:numId w:val="3"/>
        </w:numPr>
        <w:spacing w:after="240"/>
        <w:ind w:left="0" w:hanging="567"/>
        <w:rPr>
          <w:sz w:val="26"/>
          <w:szCs w:val="26"/>
        </w:rPr>
      </w:pPr>
      <w:r w:rsidRPr="00B31404">
        <w:rPr>
          <w:sz w:val="26"/>
          <w:szCs w:val="26"/>
        </w:rPr>
        <w:t xml:space="preserve">Se explicó que la política ambiental estatal, al tratarse de una materia concurrente, debe ajustar su actuar a la política ambiental federal fijada en las leyes marco, así como en las Normas Oficiales Mexicanas y </w:t>
      </w:r>
      <w:r w:rsidR="000B7F65">
        <w:rPr>
          <w:sz w:val="26"/>
          <w:szCs w:val="26"/>
        </w:rPr>
        <w:t>e</w:t>
      </w:r>
      <w:r w:rsidRPr="00B31404">
        <w:rPr>
          <w:sz w:val="26"/>
          <w:szCs w:val="26"/>
        </w:rPr>
        <w:t>l Programa Nacional para la Prevención y Gestión Integral de los Residuos.</w:t>
      </w:r>
    </w:p>
    <w:p w14:paraId="129DFAFC" w14:textId="68C52AE3" w:rsidR="00FF4483" w:rsidRPr="00B31404" w:rsidRDefault="00184E0E" w:rsidP="00B31404">
      <w:pPr>
        <w:pStyle w:val="TEXTONORMAL"/>
        <w:numPr>
          <w:ilvl w:val="0"/>
          <w:numId w:val="3"/>
        </w:numPr>
        <w:spacing w:after="240"/>
        <w:ind w:left="0" w:hanging="567"/>
        <w:rPr>
          <w:sz w:val="26"/>
          <w:szCs w:val="26"/>
        </w:rPr>
      </w:pPr>
      <w:r w:rsidRPr="00B31404">
        <w:rPr>
          <w:sz w:val="26"/>
          <w:szCs w:val="26"/>
        </w:rPr>
        <w:t>L</w:t>
      </w:r>
      <w:r w:rsidR="004B381D" w:rsidRPr="00B31404">
        <w:rPr>
          <w:sz w:val="26"/>
          <w:szCs w:val="26"/>
        </w:rPr>
        <w:t>a Segunda Sala</w:t>
      </w:r>
      <w:r w:rsidR="003A4425" w:rsidRPr="00B31404">
        <w:rPr>
          <w:sz w:val="26"/>
          <w:szCs w:val="26"/>
        </w:rPr>
        <w:t>,</w:t>
      </w:r>
      <w:r w:rsidR="004B381D" w:rsidRPr="00B31404">
        <w:rPr>
          <w:sz w:val="26"/>
          <w:szCs w:val="26"/>
        </w:rPr>
        <w:t xml:space="preserve"> </w:t>
      </w:r>
      <w:r w:rsidR="003A4425" w:rsidRPr="00B31404">
        <w:rPr>
          <w:sz w:val="26"/>
          <w:szCs w:val="26"/>
        </w:rPr>
        <w:t xml:space="preserve">en su resolución, </w:t>
      </w:r>
      <w:r w:rsidR="004B381D" w:rsidRPr="00B31404">
        <w:rPr>
          <w:sz w:val="26"/>
          <w:szCs w:val="26"/>
        </w:rPr>
        <w:t xml:space="preserve">acudió a las Normas Oficiales Mexicanas </w:t>
      </w:r>
      <w:r w:rsidR="003C235B" w:rsidRPr="00B31404">
        <w:rPr>
          <w:sz w:val="26"/>
          <w:szCs w:val="26"/>
        </w:rPr>
        <w:t xml:space="preserve">expedidas respecto a la utilización de envases de plástico y poliestireno expandido, para verificar si </w:t>
      </w:r>
      <w:r w:rsidR="000258E4" w:rsidRPr="00B31404">
        <w:rPr>
          <w:sz w:val="26"/>
          <w:szCs w:val="26"/>
        </w:rPr>
        <w:t>establecían alguna prohibición para su uso por parte de la Federación o cláusula que habilite a las entidades federativas para prohibir su utilización en envases, embalajes, empaques u otros productos, estrictamente relacionados con alimentos y bebidas.</w:t>
      </w:r>
    </w:p>
    <w:p w14:paraId="6DAE6331" w14:textId="34073AA9" w:rsidR="00195452" w:rsidRPr="00B31404" w:rsidRDefault="00195452" w:rsidP="00B31404">
      <w:pPr>
        <w:pStyle w:val="corte4fondo"/>
        <w:numPr>
          <w:ilvl w:val="0"/>
          <w:numId w:val="3"/>
        </w:numPr>
        <w:spacing w:after="240"/>
        <w:ind w:left="0" w:hanging="567"/>
        <w:rPr>
          <w:sz w:val="26"/>
          <w:szCs w:val="26"/>
          <w:lang w:val="es-ES"/>
        </w:rPr>
      </w:pPr>
      <w:r w:rsidRPr="00B31404">
        <w:rPr>
          <w:rFonts w:cs="Arial"/>
          <w:sz w:val="26"/>
          <w:szCs w:val="26"/>
        </w:rPr>
        <w:t>Las Normas Oficiales Mexicanas analizadas fueron las siguientes:</w:t>
      </w:r>
    </w:p>
    <w:p w14:paraId="58511EEA" w14:textId="21677452" w:rsidR="00045616" w:rsidRPr="00B31404" w:rsidRDefault="007E4D70" w:rsidP="00B31404">
      <w:pPr>
        <w:pStyle w:val="TEXTONORMAL"/>
        <w:numPr>
          <w:ilvl w:val="0"/>
          <w:numId w:val="40"/>
        </w:numPr>
        <w:spacing w:line="240" w:lineRule="auto"/>
        <w:ind w:left="714" w:hanging="357"/>
        <w:rPr>
          <w:b/>
          <w:bCs/>
          <w:sz w:val="26"/>
          <w:szCs w:val="26"/>
        </w:rPr>
      </w:pPr>
      <w:r w:rsidRPr="00B31404">
        <w:rPr>
          <w:b/>
          <w:bCs/>
          <w:sz w:val="26"/>
          <w:szCs w:val="26"/>
        </w:rPr>
        <w:t>Norma Oficial Mexicana NOM-251-SSA1-2009, “Prácticas de higiene para el proceso de alimentos, bebidas o suplementos alimenticios”.</w:t>
      </w:r>
    </w:p>
    <w:p w14:paraId="2FC12527" w14:textId="77777777" w:rsidR="004929CE" w:rsidRPr="00B31404" w:rsidRDefault="004929CE" w:rsidP="00B31404">
      <w:pPr>
        <w:numPr>
          <w:ilvl w:val="0"/>
          <w:numId w:val="40"/>
        </w:numPr>
        <w:ind w:left="714" w:hanging="357"/>
        <w:jc w:val="both"/>
        <w:textAlignment w:val="baseline"/>
        <w:rPr>
          <w:rFonts w:ascii="Arial" w:hAnsi="Arial" w:cs="Arial"/>
          <w:b/>
          <w:bCs/>
          <w:sz w:val="26"/>
          <w:szCs w:val="26"/>
        </w:rPr>
      </w:pPr>
      <w:r w:rsidRPr="00B31404">
        <w:rPr>
          <w:rFonts w:ascii="Arial" w:hAnsi="Arial" w:cs="Arial"/>
          <w:b/>
          <w:bCs/>
          <w:sz w:val="26"/>
          <w:szCs w:val="26"/>
        </w:rPr>
        <w:t>Norma Oficial Mexicana NOM-161-SEMARNAT-2011 “Que establece los criterios para clasificar a los Residuos de Manejo Especial y determinar cuáles están sujetos a Plan de Manejo; el listado de los mismos, el procedimiento para la inclusión o exclusión a dicho listado; así como los elementos y procedimientos para la formulación de los planes de manejo”.</w:t>
      </w:r>
    </w:p>
    <w:p w14:paraId="0877EEED" w14:textId="69EA7A41" w:rsidR="007E4D70" w:rsidRPr="00B31404" w:rsidRDefault="000F73C1" w:rsidP="00B31404">
      <w:pPr>
        <w:pStyle w:val="TEXTONORMAL"/>
        <w:numPr>
          <w:ilvl w:val="0"/>
          <w:numId w:val="40"/>
        </w:numPr>
        <w:spacing w:line="240" w:lineRule="auto"/>
        <w:ind w:left="714" w:hanging="357"/>
        <w:rPr>
          <w:b/>
          <w:bCs/>
          <w:sz w:val="26"/>
          <w:szCs w:val="26"/>
        </w:rPr>
      </w:pPr>
      <w:r w:rsidRPr="00B31404">
        <w:rPr>
          <w:b/>
          <w:bCs/>
          <w:sz w:val="26"/>
          <w:szCs w:val="26"/>
        </w:rPr>
        <w:t>Norma Oficial Mexicana NOM-218-SSA1-2011 “Productos y servicios. Bebidas saborizadas no alcohólicas, sus congelados, productos concentrados para prepararlas y bebidas adicionadas con cafeína. Especificaciones y disposiciones sanitarias. Métodos de prueba”.</w:t>
      </w:r>
    </w:p>
    <w:p w14:paraId="667176A2" w14:textId="4916E8BA" w:rsidR="000F73C1" w:rsidRPr="00B31404" w:rsidRDefault="008E51C2" w:rsidP="00B31404">
      <w:pPr>
        <w:pStyle w:val="TEXTONORMAL"/>
        <w:numPr>
          <w:ilvl w:val="0"/>
          <w:numId w:val="40"/>
        </w:numPr>
        <w:spacing w:line="240" w:lineRule="auto"/>
        <w:ind w:left="714" w:hanging="357"/>
        <w:rPr>
          <w:b/>
          <w:bCs/>
          <w:sz w:val="26"/>
          <w:szCs w:val="26"/>
        </w:rPr>
      </w:pPr>
      <w:r w:rsidRPr="00B31404">
        <w:rPr>
          <w:b/>
          <w:bCs/>
          <w:sz w:val="26"/>
          <w:szCs w:val="26"/>
        </w:rPr>
        <w:lastRenderedPageBreak/>
        <w:t>Norma Oficial Mexicana NOM-201-SSA1-2015 “Productos y servicios. Agua y hielo para consumo humano, envasados y a granel. Especificaciones sanitarias”.</w:t>
      </w:r>
    </w:p>
    <w:p w14:paraId="77CA5BF4" w14:textId="0E0EB66B" w:rsidR="00A84526" w:rsidRPr="00B31404" w:rsidRDefault="00A84526" w:rsidP="00B31404">
      <w:pPr>
        <w:pStyle w:val="TEXTONORMAL"/>
        <w:numPr>
          <w:ilvl w:val="0"/>
          <w:numId w:val="40"/>
        </w:numPr>
        <w:spacing w:after="240" w:line="240" w:lineRule="auto"/>
        <w:rPr>
          <w:b/>
          <w:bCs/>
          <w:sz w:val="26"/>
          <w:szCs w:val="26"/>
        </w:rPr>
      </w:pPr>
      <w:r w:rsidRPr="00B31404">
        <w:rPr>
          <w:b/>
          <w:bCs/>
          <w:sz w:val="26"/>
          <w:szCs w:val="26"/>
        </w:rPr>
        <w:t>Norma Oficial Mexicana NOM-173-SE-2021, “Jugos, agua de coco, néctares, bebidas no alcohólicas con contenido de vegetal o fruta u hortaliza y bebidas saborizadas no alcohólicas preenvasadas- Denominaciones - Especificaciones - Información comercial y métodos de prueba”.</w:t>
      </w:r>
    </w:p>
    <w:p w14:paraId="25B4092D" w14:textId="6C34F3EC" w:rsidR="002A0A87" w:rsidRPr="00B31404" w:rsidRDefault="00E16795" w:rsidP="00B31404">
      <w:pPr>
        <w:pStyle w:val="TEXTONORMAL"/>
        <w:numPr>
          <w:ilvl w:val="0"/>
          <w:numId w:val="3"/>
        </w:numPr>
        <w:spacing w:after="240"/>
        <w:ind w:left="0" w:hanging="567"/>
        <w:rPr>
          <w:sz w:val="26"/>
          <w:szCs w:val="26"/>
        </w:rPr>
      </w:pPr>
      <w:r w:rsidRPr="00B31404">
        <w:rPr>
          <w:sz w:val="26"/>
          <w:szCs w:val="26"/>
        </w:rPr>
        <w:t xml:space="preserve">A </w:t>
      </w:r>
      <w:r w:rsidR="00EA7EAC" w:rsidRPr="00B31404">
        <w:rPr>
          <w:sz w:val="26"/>
          <w:szCs w:val="26"/>
        </w:rPr>
        <w:t>partir del análisis de</w:t>
      </w:r>
      <w:r w:rsidRPr="00B31404">
        <w:rPr>
          <w:sz w:val="26"/>
          <w:szCs w:val="26"/>
        </w:rPr>
        <w:t xml:space="preserve"> las Normas Oficiales Mexicanas </w:t>
      </w:r>
      <w:r w:rsidR="00BC3F11" w:rsidRPr="00B31404">
        <w:rPr>
          <w:sz w:val="26"/>
          <w:szCs w:val="26"/>
        </w:rPr>
        <w:t>se concluyó que la Federación se ha decantado por permitir el uso</w:t>
      </w:r>
      <w:r w:rsidR="00E82CEF" w:rsidRPr="00B31404">
        <w:rPr>
          <w:sz w:val="26"/>
          <w:szCs w:val="26"/>
        </w:rPr>
        <w:t xml:space="preserve"> de tereftalato de polietileno (PET) y poliestireno expandido (unicel), otorgándoles el mismo tratamiento que</w:t>
      </w:r>
      <w:r w:rsidR="00D33E98">
        <w:rPr>
          <w:sz w:val="26"/>
          <w:szCs w:val="26"/>
        </w:rPr>
        <w:t xml:space="preserve"> </w:t>
      </w:r>
      <w:r w:rsidR="00E82CEF" w:rsidRPr="00B31404">
        <w:rPr>
          <w:sz w:val="26"/>
          <w:szCs w:val="26"/>
        </w:rPr>
        <w:t>aquellos provenientes del papel, cartón y vidrio; esto es, la política ambiental se encuentra dirigida a reducir, reciclar y reutilizar el material, a través de mecanismos que permitan cumplir</w:t>
      </w:r>
      <w:r w:rsidR="00EA7EAC" w:rsidRPr="00B31404">
        <w:rPr>
          <w:sz w:val="26"/>
          <w:szCs w:val="26"/>
        </w:rPr>
        <w:t xml:space="preserve"> el objetivo</w:t>
      </w:r>
      <w:r w:rsidR="00E82CEF" w:rsidRPr="00B31404">
        <w:rPr>
          <w:sz w:val="26"/>
          <w:szCs w:val="26"/>
        </w:rPr>
        <w:t xml:space="preserve"> </w:t>
      </w:r>
      <w:r w:rsidR="00F86267" w:rsidRPr="00B31404">
        <w:rPr>
          <w:sz w:val="26"/>
          <w:szCs w:val="26"/>
        </w:rPr>
        <w:t>de manera eficaz y eficiente.</w:t>
      </w:r>
    </w:p>
    <w:p w14:paraId="0EE23A10" w14:textId="425B20CB" w:rsidR="00F86267" w:rsidRPr="00B31404" w:rsidRDefault="00B852E4" w:rsidP="00B31404">
      <w:pPr>
        <w:pStyle w:val="TEXTONORMAL"/>
        <w:numPr>
          <w:ilvl w:val="0"/>
          <w:numId w:val="3"/>
        </w:numPr>
        <w:spacing w:after="240"/>
        <w:ind w:left="0" w:hanging="567"/>
        <w:rPr>
          <w:sz w:val="26"/>
          <w:szCs w:val="26"/>
        </w:rPr>
      </w:pPr>
      <w:r w:rsidRPr="00B31404">
        <w:rPr>
          <w:sz w:val="26"/>
          <w:szCs w:val="26"/>
        </w:rPr>
        <w:t>De ahí que la Federación lejos de prohibir su uso, lo regula y proyecta a un sentido de reciclaje y reutilización considerándolo como de manejo especial, cuando provengan de tiendas de autoservicio, centrales de abasto, mercados públicos y ambulantes.</w:t>
      </w:r>
    </w:p>
    <w:p w14:paraId="411275B2" w14:textId="58BDD1F3" w:rsidR="00B852E4" w:rsidRPr="00B31404" w:rsidRDefault="00EA7EAC" w:rsidP="00B31404">
      <w:pPr>
        <w:pStyle w:val="TEXTONORMAL"/>
        <w:numPr>
          <w:ilvl w:val="0"/>
          <w:numId w:val="3"/>
        </w:numPr>
        <w:spacing w:after="240"/>
        <w:ind w:left="0" w:hanging="567"/>
        <w:rPr>
          <w:sz w:val="26"/>
          <w:szCs w:val="26"/>
        </w:rPr>
      </w:pPr>
      <w:r w:rsidRPr="00B31404">
        <w:rPr>
          <w:sz w:val="26"/>
          <w:szCs w:val="26"/>
        </w:rPr>
        <w:t>Asimismo, l</w:t>
      </w:r>
      <w:r w:rsidR="00DC4E02" w:rsidRPr="00B31404">
        <w:rPr>
          <w:sz w:val="26"/>
          <w:szCs w:val="26"/>
        </w:rPr>
        <w:t xml:space="preserve">a Segunda Sala tomó en </w:t>
      </w:r>
      <w:r w:rsidRPr="00B31404">
        <w:rPr>
          <w:sz w:val="26"/>
          <w:szCs w:val="26"/>
        </w:rPr>
        <w:t>consideración</w:t>
      </w:r>
      <w:r w:rsidR="00DC4E02" w:rsidRPr="00B31404">
        <w:rPr>
          <w:sz w:val="26"/>
          <w:szCs w:val="26"/>
        </w:rPr>
        <w:t xml:space="preserve"> que la prohibición a que se refieren las fracciones declaradas inconstitucionales son un mecanismo de prevención y reducción de un residuo sólido urbano de manejo especial; sin embargo, con ello se invade la competencia derivada de </w:t>
      </w:r>
      <w:r w:rsidR="00B8748D" w:rsidRPr="00B31404">
        <w:rPr>
          <w:sz w:val="26"/>
          <w:szCs w:val="26"/>
        </w:rPr>
        <w:t>la facultad concurrente, pues la norma local no puede restringir el uso de un material cuya regulación en cuan</w:t>
      </w:r>
      <w:r w:rsidRPr="00B31404">
        <w:rPr>
          <w:sz w:val="26"/>
          <w:szCs w:val="26"/>
        </w:rPr>
        <w:t>t</w:t>
      </w:r>
      <w:r w:rsidR="00B8748D" w:rsidRPr="00B31404">
        <w:rPr>
          <w:sz w:val="26"/>
          <w:szCs w:val="26"/>
        </w:rPr>
        <w:t>o a su disposición, reciclaje y reutilización está expresamente establecida en le</w:t>
      </w:r>
      <w:r w:rsidR="00CC1F6B" w:rsidRPr="00B31404">
        <w:rPr>
          <w:sz w:val="26"/>
          <w:szCs w:val="26"/>
        </w:rPr>
        <w:t>y</w:t>
      </w:r>
      <w:r w:rsidR="00B8748D" w:rsidRPr="00B31404">
        <w:rPr>
          <w:sz w:val="26"/>
          <w:szCs w:val="26"/>
        </w:rPr>
        <w:t xml:space="preserve">es </w:t>
      </w:r>
      <w:r w:rsidR="00CC1F6B" w:rsidRPr="00B31404">
        <w:rPr>
          <w:sz w:val="26"/>
          <w:szCs w:val="26"/>
        </w:rPr>
        <w:t>generales a favor de la Federación.</w:t>
      </w:r>
    </w:p>
    <w:p w14:paraId="1B678ECE" w14:textId="756BE4BA" w:rsidR="00B24BBE" w:rsidRPr="00B31404" w:rsidRDefault="00B24BBE" w:rsidP="008513E1">
      <w:pPr>
        <w:pStyle w:val="TEXTONORMAL"/>
        <w:numPr>
          <w:ilvl w:val="0"/>
          <w:numId w:val="3"/>
        </w:numPr>
        <w:spacing w:after="240"/>
        <w:ind w:left="0" w:hanging="567"/>
        <w:rPr>
          <w:sz w:val="26"/>
          <w:szCs w:val="26"/>
        </w:rPr>
      </w:pPr>
      <w:r w:rsidRPr="00B31404">
        <w:rPr>
          <w:sz w:val="26"/>
          <w:szCs w:val="26"/>
        </w:rPr>
        <w:t xml:space="preserve">Por lo anterior, concluyó que el decreto 629 impugnado es inconstitucional en las partes que prohíbe vender, </w:t>
      </w:r>
      <w:r w:rsidR="00E65192" w:rsidRPr="00B31404">
        <w:rPr>
          <w:sz w:val="26"/>
          <w:szCs w:val="26"/>
        </w:rPr>
        <w:t xml:space="preserve">distribuir o emplear envases, embalajes u otros productos de un solo uso, elaborados con PET o unicel ya que contraviene la distribución de competencias establecidas en la Ley General para la Prevención y Gestión Integral de los Residuos y, por tanto, </w:t>
      </w:r>
      <w:r w:rsidR="00E65192" w:rsidRPr="00B31404">
        <w:rPr>
          <w:sz w:val="26"/>
          <w:szCs w:val="26"/>
        </w:rPr>
        <w:lastRenderedPageBreak/>
        <w:t>es violatorio de los artículos 14 y 16, en relación con los artículos 73, fracción XXIX-G, 124 y 133 de la Constitución General.</w:t>
      </w:r>
    </w:p>
    <w:p w14:paraId="674C70FB" w14:textId="75B143CC" w:rsidR="008513E1" w:rsidRPr="00B31404" w:rsidRDefault="008513E1" w:rsidP="00B31404">
      <w:pPr>
        <w:pStyle w:val="TEXTONORMAL"/>
        <w:numPr>
          <w:ilvl w:val="0"/>
          <w:numId w:val="3"/>
        </w:numPr>
        <w:spacing w:after="240"/>
        <w:ind w:left="0" w:hanging="567"/>
        <w:rPr>
          <w:sz w:val="26"/>
          <w:szCs w:val="26"/>
          <w:highlight w:val="yellow"/>
        </w:rPr>
      </w:pPr>
      <w:r w:rsidRPr="00B31404">
        <w:rPr>
          <w:sz w:val="26"/>
          <w:szCs w:val="26"/>
          <w:highlight w:val="yellow"/>
        </w:rPr>
        <w:t xml:space="preserve">Estas consideraciones [no] son vinculantes al haber sido votadas por una [mayoría/minoría] de [x] votos. </w:t>
      </w:r>
    </w:p>
    <w:p w14:paraId="0F33DCE3" w14:textId="1C13E7C0" w:rsidR="008C560F" w:rsidRPr="00B31404" w:rsidRDefault="005124F2" w:rsidP="00B31404">
      <w:pPr>
        <w:pStyle w:val="TEXTONORMAL"/>
        <w:spacing w:after="240"/>
        <w:ind w:hanging="567"/>
        <w:jc w:val="center"/>
        <w:rPr>
          <w:b/>
          <w:bCs/>
          <w:sz w:val="26"/>
          <w:szCs w:val="26"/>
        </w:rPr>
      </w:pPr>
      <w:r w:rsidRPr="00B31404">
        <w:rPr>
          <w:b/>
          <w:bCs/>
          <w:sz w:val="26"/>
          <w:szCs w:val="26"/>
        </w:rPr>
        <w:t>VI. ESTUDIO DE FONDO</w:t>
      </w:r>
    </w:p>
    <w:p w14:paraId="1D5A1BD5" w14:textId="03A9FB97" w:rsidR="00DD35DC" w:rsidRPr="00B31404" w:rsidRDefault="0016620D">
      <w:pPr>
        <w:pStyle w:val="TEXTONORMAL"/>
        <w:numPr>
          <w:ilvl w:val="0"/>
          <w:numId w:val="3"/>
        </w:numPr>
        <w:spacing w:after="240"/>
        <w:ind w:left="0" w:hanging="567"/>
        <w:rPr>
          <w:i/>
          <w:iCs/>
          <w:sz w:val="26"/>
          <w:szCs w:val="26"/>
        </w:rPr>
      </w:pPr>
      <w:r w:rsidRPr="00B31404">
        <w:rPr>
          <w:b/>
          <w:bCs/>
          <w:sz w:val="26"/>
          <w:szCs w:val="26"/>
        </w:rPr>
        <w:t>Criterio</w:t>
      </w:r>
      <w:r w:rsidR="001918C0" w:rsidRPr="00B31404">
        <w:rPr>
          <w:b/>
          <w:bCs/>
          <w:sz w:val="26"/>
          <w:szCs w:val="26"/>
        </w:rPr>
        <w:t xml:space="preserve"> jurídico</w:t>
      </w:r>
      <w:r w:rsidRPr="00B31404">
        <w:rPr>
          <w:b/>
          <w:bCs/>
          <w:sz w:val="26"/>
          <w:szCs w:val="26"/>
        </w:rPr>
        <w:t xml:space="preserve"> o </w:t>
      </w:r>
      <w:r w:rsidRPr="00B31404">
        <w:rPr>
          <w:b/>
          <w:bCs/>
          <w:i/>
          <w:iCs/>
          <w:sz w:val="26"/>
          <w:szCs w:val="26"/>
        </w:rPr>
        <w:t>ratio d</w:t>
      </w:r>
      <w:r w:rsidR="00122D83" w:rsidRPr="00B31404">
        <w:rPr>
          <w:b/>
          <w:bCs/>
          <w:i/>
          <w:iCs/>
          <w:sz w:val="26"/>
          <w:szCs w:val="26"/>
        </w:rPr>
        <w:t>ecidendi</w:t>
      </w:r>
      <w:r w:rsidR="00122D83" w:rsidRPr="00B31404">
        <w:rPr>
          <w:b/>
          <w:bCs/>
          <w:sz w:val="26"/>
          <w:szCs w:val="26"/>
        </w:rPr>
        <w:t>:</w:t>
      </w:r>
      <w:r w:rsidR="00122D83" w:rsidRPr="00B31404">
        <w:rPr>
          <w:sz w:val="26"/>
          <w:szCs w:val="26"/>
        </w:rPr>
        <w:t xml:space="preserve"> </w:t>
      </w:r>
      <w:r w:rsidR="00B2422A" w:rsidRPr="00B31404">
        <w:rPr>
          <w:i/>
          <w:iCs/>
          <w:sz w:val="26"/>
          <w:szCs w:val="26"/>
        </w:rPr>
        <w:t xml:space="preserve">Con fundamento en el artículo 107, fracción II de la Constitución General, se </w:t>
      </w:r>
      <w:r w:rsidR="00DD35DC" w:rsidRPr="00B31404">
        <w:rPr>
          <w:i/>
          <w:iCs/>
          <w:sz w:val="26"/>
          <w:szCs w:val="26"/>
        </w:rPr>
        <w:t xml:space="preserve">declara la inconstitucionalidad general de las fracciones XI y XII del artículo 98 de la Ley para la Prevención y Gestión Integral de los Residuos Sólidos </w:t>
      </w:r>
      <w:r w:rsidR="00E167F2">
        <w:rPr>
          <w:i/>
          <w:iCs/>
          <w:sz w:val="26"/>
          <w:szCs w:val="26"/>
        </w:rPr>
        <w:t>para el</w:t>
      </w:r>
      <w:r w:rsidR="00E167F2" w:rsidRPr="00B31404">
        <w:rPr>
          <w:i/>
          <w:iCs/>
          <w:sz w:val="26"/>
          <w:szCs w:val="26"/>
        </w:rPr>
        <w:t xml:space="preserve"> </w:t>
      </w:r>
      <w:r w:rsidR="00DD35DC" w:rsidRPr="00B31404">
        <w:rPr>
          <w:i/>
          <w:iCs/>
          <w:sz w:val="26"/>
          <w:szCs w:val="26"/>
        </w:rPr>
        <w:t>Estado de Oaxaca</w:t>
      </w:r>
      <w:r w:rsidR="00B2422A" w:rsidRPr="00B31404">
        <w:rPr>
          <w:i/>
          <w:iCs/>
          <w:sz w:val="26"/>
          <w:szCs w:val="26"/>
        </w:rPr>
        <w:t>,</w:t>
      </w:r>
      <w:r w:rsidR="00DD35DC" w:rsidRPr="00B31404">
        <w:rPr>
          <w:i/>
          <w:iCs/>
          <w:sz w:val="26"/>
          <w:szCs w:val="26"/>
        </w:rPr>
        <w:t xml:space="preserve"> en virtud de que</w:t>
      </w:r>
      <w:r w:rsidR="00B2422A" w:rsidRPr="00B31404">
        <w:rPr>
          <w:i/>
          <w:iCs/>
          <w:sz w:val="26"/>
          <w:szCs w:val="26"/>
        </w:rPr>
        <w:t>,</w:t>
      </w:r>
      <w:r w:rsidR="00DD35DC" w:rsidRPr="00B31404">
        <w:rPr>
          <w:i/>
          <w:iCs/>
          <w:sz w:val="26"/>
          <w:szCs w:val="26"/>
        </w:rPr>
        <w:t xml:space="preserve"> </w:t>
      </w:r>
      <w:r w:rsidR="00B2422A" w:rsidRPr="00B31404">
        <w:rPr>
          <w:i/>
          <w:iCs/>
          <w:sz w:val="26"/>
          <w:szCs w:val="26"/>
        </w:rPr>
        <w:t>ha transcurrido en exceso el plazo de 90 (noventa) días sin que el Congreso de Oaxaca haya superado el problema de inconstitucionalidad</w:t>
      </w:r>
      <w:r w:rsidR="00303AEC" w:rsidRPr="00B31404">
        <w:rPr>
          <w:i/>
          <w:iCs/>
          <w:sz w:val="26"/>
          <w:szCs w:val="26"/>
        </w:rPr>
        <w:t>.</w:t>
      </w:r>
    </w:p>
    <w:p w14:paraId="6E023F6D" w14:textId="7725F229" w:rsidR="001918C0" w:rsidRPr="00B31404" w:rsidRDefault="00066E16" w:rsidP="00B31404">
      <w:pPr>
        <w:pStyle w:val="TEXTONORMAL"/>
        <w:spacing w:after="240"/>
        <w:ind w:firstLine="0"/>
        <w:rPr>
          <w:sz w:val="26"/>
          <w:szCs w:val="26"/>
        </w:rPr>
      </w:pPr>
      <w:r>
        <w:rPr>
          <w:b/>
          <w:bCs/>
          <w:sz w:val="26"/>
          <w:szCs w:val="26"/>
        </w:rPr>
        <w:t xml:space="preserve">VI.1 </w:t>
      </w:r>
      <w:r w:rsidR="001918C0" w:rsidRPr="00B31404">
        <w:rPr>
          <w:b/>
          <w:bCs/>
          <w:sz w:val="26"/>
          <w:szCs w:val="26"/>
        </w:rPr>
        <w:t>Requisitos para la declaratoria general de inconstitucionalidad.</w:t>
      </w:r>
    </w:p>
    <w:p w14:paraId="3B539014" w14:textId="655E65BD" w:rsidR="00CD3E98" w:rsidRPr="00B31404" w:rsidRDefault="00803031" w:rsidP="00B31404">
      <w:pPr>
        <w:pStyle w:val="TEXTONORMAL"/>
        <w:numPr>
          <w:ilvl w:val="0"/>
          <w:numId w:val="3"/>
        </w:numPr>
        <w:spacing w:after="240"/>
        <w:ind w:left="0" w:hanging="567"/>
        <w:rPr>
          <w:sz w:val="26"/>
          <w:szCs w:val="26"/>
        </w:rPr>
      </w:pPr>
      <w:r w:rsidRPr="00B31404">
        <w:rPr>
          <w:sz w:val="26"/>
          <w:szCs w:val="26"/>
        </w:rPr>
        <w:t xml:space="preserve">De conformidad con </w:t>
      </w:r>
      <w:r w:rsidR="00C066AF" w:rsidRPr="00B31404">
        <w:rPr>
          <w:sz w:val="26"/>
          <w:szCs w:val="26"/>
        </w:rPr>
        <w:t>el artículo 107, fracción II</w:t>
      </w:r>
      <w:r w:rsidR="00BE51DD" w:rsidRPr="00B31404">
        <w:rPr>
          <w:sz w:val="26"/>
          <w:szCs w:val="26"/>
        </w:rPr>
        <w:t>,</w:t>
      </w:r>
      <w:r w:rsidR="00C066AF" w:rsidRPr="00B31404">
        <w:rPr>
          <w:sz w:val="26"/>
          <w:szCs w:val="26"/>
        </w:rPr>
        <w:t xml:space="preserve"> de la Constitución</w:t>
      </w:r>
      <w:r w:rsidR="00F459EF" w:rsidRPr="00B31404">
        <w:rPr>
          <w:sz w:val="26"/>
          <w:szCs w:val="26"/>
        </w:rPr>
        <w:t xml:space="preserve"> General</w:t>
      </w:r>
      <w:r w:rsidR="00F459EF" w:rsidRPr="00B31404">
        <w:rPr>
          <w:rStyle w:val="Refdenotaalpie"/>
          <w:sz w:val="26"/>
          <w:szCs w:val="26"/>
        </w:rPr>
        <w:footnoteReference w:id="11"/>
      </w:r>
      <w:r w:rsidR="00F459EF" w:rsidRPr="00B31404">
        <w:rPr>
          <w:sz w:val="26"/>
          <w:szCs w:val="26"/>
        </w:rPr>
        <w:t>,</w:t>
      </w:r>
      <w:r w:rsidR="005D3E38" w:rsidRPr="00B31404">
        <w:rPr>
          <w:sz w:val="26"/>
          <w:szCs w:val="26"/>
        </w:rPr>
        <w:t xml:space="preserve"> </w:t>
      </w:r>
      <w:r w:rsidR="00CD3E98" w:rsidRPr="00B31404">
        <w:rPr>
          <w:sz w:val="26"/>
          <w:szCs w:val="26"/>
        </w:rPr>
        <w:t xml:space="preserve">cuando la Suprema Corte de Justicia de la Nación </w:t>
      </w:r>
      <w:r w:rsidR="00C66A41" w:rsidRPr="00B31404">
        <w:rPr>
          <w:sz w:val="26"/>
          <w:szCs w:val="26"/>
        </w:rPr>
        <w:t>establezca jurisprudencia por precedente en la que determine la inconstitucionalidad de una norma general, su Presidente lo notificará a la autoridad emisora.</w:t>
      </w:r>
    </w:p>
    <w:p w14:paraId="79E440EF" w14:textId="3A22B3F7" w:rsidR="00EA4034" w:rsidRPr="00B31404" w:rsidRDefault="0035132B" w:rsidP="00B31404">
      <w:pPr>
        <w:pStyle w:val="TEXTONORMAL"/>
        <w:numPr>
          <w:ilvl w:val="0"/>
          <w:numId w:val="3"/>
        </w:numPr>
        <w:spacing w:after="240"/>
        <w:ind w:left="0" w:hanging="567"/>
        <w:rPr>
          <w:sz w:val="26"/>
          <w:szCs w:val="26"/>
        </w:rPr>
      </w:pPr>
      <w:r w:rsidRPr="00B31404">
        <w:rPr>
          <w:rStyle w:val="corte4fondoCar2"/>
          <w:sz w:val="26"/>
          <w:szCs w:val="26"/>
          <w:lang w:val="es-MX"/>
        </w:rPr>
        <w:t>Asimismo, d</w:t>
      </w:r>
      <w:r w:rsidR="00E10CAF" w:rsidRPr="00B31404">
        <w:rPr>
          <w:rStyle w:val="corte4fondoCar2"/>
          <w:sz w:val="26"/>
          <w:szCs w:val="26"/>
          <w:lang w:val="es-MX"/>
        </w:rPr>
        <w:t xml:space="preserve">e acuerdo con el artículo 223 de la Ley de Amparo </w:t>
      </w:r>
      <w:r w:rsidR="009F6E14" w:rsidRPr="00B31404">
        <w:rPr>
          <w:rStyle w:val="corte4fondoCar2"/>
          <w:sz w:val="26"/>
          <w:szCs w:val="26"/>
          <w:lang w:val="es-MX"/>
        </w:rPr>
        <w:t xml:space="preserve">son jurisprudencia por precedentes obligatorios, </w:t>
      </w:r>
      <w:r w:rsidR="00E10CAF" w:rsidRPr="00B31404">
        <w:rPr>
          <w:rStyle w:val="corte4fondoCar2"/>
          <w:sz w:val="26"/>
          <w:szCs w:val="26"/>
          <w:lang w:val="es-MX"/>
        </w:rPr>
        <w:t xml:space="preserve">las razones que justifican las decisiones contenidas en las sentencias que dicten las </w:t>
      </w:r>
      <w:r w:rsidR="00DD00B8">
        <w:rPr>
          <w:rStyle w:val="corte4fondoCar2"/>
          <w:sz w:val="26"/>
          <w:szCs w:val="26"/>
          <w:lang w:val="es-MX"/>
        </w:rPr>
        <w:t>S</w:t>
      </w:r>
      <w:r w:rsidR="00E10CAF" w:rsidRPr="00B31404">
        <w:rPr>
          <w:rStyle w:val="corte4fondoCar2"/>
          <w:sz w:val="26"/>
          <w:szCs w:val="26"/>
          <w:lang w:val="es-MX"/>
        </w:rPr>
        <w:t xml:space="preserve">alas de la </w:t>
      </w:r>
      <w:r w:rsidR="00E10CAF" w:rsidRPr="00B31404">
        <w:rPr>
          <w:rStyle w:val="corte4fondoCar2"/>
          <w:sz w:val="26"/>
          <w:szCs w:val="26"/>
          <w:lang w:val="es-MX"/>
        </w:rPr>
        <w:lastRenderedPageBreak/>
        <w:t xml:space="preserve">Suprema Corte de Justicia de la Nación </w:t>
      </w:r>
      <w:r w:rsidR="00304E1A" w:rsidRPr="00B31404">
        <w:rPr>
          <w:rStyle w:val="corte4fondoCar2"/>
          <w:sz w:val="26"/>
          <w:szCs w:val="26"/>
          <w:lang w:val="es-MX"/>
        </w:rPr>
        <w:t xml:space="preserve">cuando sean </w:t>
      </w:r>
      <w:r w:rsidR="009F6E14" w:rsidRPr="00B31404">
        <w:rPr>
          <w:rStyle w:val="corte4fondoCar2"/>
          <w:sz w:val="26"/>
          <w:szCs w:val="26"/>
          <w:lang w:val="es-MX"/>
        </w:rPr>
        <w:t xml:space="preserve">adoptadas </w:t>
      </w:r>
      <w:r w:rsidR="00304E1A" w:rsidRPr="00B31404">
        <w:rPr>
          <w:rStyle w:val="corte4fondoCar2"/>
          <w:sz w:val="26"/>
          <w:szCs w:val="26"/>
          <w:lang w:val="es-MX"/>
        </w:rPr>
        <w:t>por mayoría de cuatro votos</w:t>
      </w:r>
      <w:r w:rsidR="009F6E14" w:rsidRPr="00B31404">
        <w:rPr>
          <w:rStyle w:val="corte4fondoCar2"/>
          <w:sz w:val="26"/>
          <w:szCs w:val="26"/>
          <w:lang w:val="es-MX"/>
        </w:rPr>
        <w:t>.</w:t>
      </w:r>
    </w:p>
    <w:p w14:paraId="7FC53A74" w14:textId="2B2589DA" w:rsidR="009F6E14" w:rsidRPr="00B31404" w:rsidRDefault="00031FE8" w:rsidP="00B31404">
      <w:pPr>
        <w:pStyle w:val="TEXTONORMAL"/>
        <w:numPr>
          <w:ilvl w:val="0"/>
          <w:numId w:val="3"/>
        </w:numPr>
        <w:spacing w:after="240"/>
        <w:ind w:left="0" w:hanging="567"/>
        <w:rPr>
          <w:sz w:val="26"/>
          <w:szCs w:val="26"/>
        </w:rPr>
      </w:pPr>
      <w:r w:rsidRPr="00B31404">
        <w:rPr>
          <w:sz w:val="26"/>
          <w:szCs w:val="26"/>
        </w:rPr>
        <w:t xml:space="preserve">El amparo indirecto en revisión 173/2022 en el que se declaró la </w:t>
      </w:r>
      <w:r w:rsidR="003B4FD8" w:rsidRPr="00B31404">
        <w:rPr>
          <w:sz w:val="26"/>
          <w:szCs w:val="26"/>
        </w:rPr>
        <w:t>inconstitucionalidad</w:t>
      </w:r>
      <w:r w:rsidRPr="00B31404">
        <w:rPr>
          <w:sz w:val="26"/>
          <w:szCs w:val="26"/>
        </w:rPr>
        <w:t xml:space="preserve"> de las fracciones XI y </w:t>
      </w:r>
      <w:r w:rsidR="003B4FD8" w:rsidRPr="00B31404">
        <w:rPr>
          <w:sz w:val="26"/>
          <w:szCs w:val="26"/>
        </w:rPr>
        <w:t>X</w:t>
      </w:r>
      <w:r w:rsidRPr="00B31404">
        <w:rPr>
          <w:sz w:val="26"/>
          <w:szCs w:val="26"/>
        </w:rPr>
        <w:t>II</w:t>
      </w:r>
      <w:r w:rsidR="00F934CD" w:rsidRPr="00B31404">
        <w:rPr>
          <w:sz w:val="26"/>
          <w:szCs w:val="26"/>
        </w:rPr>
        <w:t xml:space="preserve"> del artículo 98</w:t>
      </w:r>
      <w:r w:rsidRPr="00B31404">
        <w:rPr>
          <w:sz w:val="26"/>
          <w:szCs w:val="26"/>
        </w:rPr>
        <w:t xml:space="preserve"> de la Ley para la Prevención y Gestión Integral de los Residuos Sólidos </w:t>
      </w:r>
      <w:r w:rsidR="003A5FB3">
        <w:rPr>
          <w:sz w:val="26"/>
          <w:szCs w:val="26"/>
        </w:rPr>
        <w:t>para el</w:t>
      </w:r>
      <w:r w:rsidR="003A5FB3" w:rsidRPr="00B31404">
        <w:rPr>
          <w:sz w:val="26"/>
          <w:szCs w:val="26"/>
        </w:rPr>
        <w:t xml:space="preserve"> </w:t>
      </w:r>
      <w:r w:rsidRPr="00B31404">
        <w:rPr>
          <w:sz w:val="26"/>
          <w:szCs w:val="26"/>
        </w:rPr>
        <w:t xml:space="preserve">Estado de Oaxaca </w:t>
      </w:r>
      <w:r w:rsidR="00960DCB" w:rsidRPr="00B31404">
        <w:rPr>
          <w:sz w:val="26"/>
          <w:szCs w:val="26"/>
        </w:rPr>
        <w:t xml:space="preserve">se resolvió por </w:t>
      </w:r>
      <w:r w:rsidR="003156F9" w:rsidRPr="00B31404">
        <w:rPr>
          <w:sz w:val="26"/>
          <w:szCs w:val="26"/>
        </w:rPr>
        <w:t>unanimidad de cuatro votos</w:t>
      </w:r>
      <w:r w:rsidR="006817D9" w:rsidRPr="00B31404">
        <w:rPr>
          <w:sz w:val="26"/>
          <w:szCs w:val="26"/>
        </w:rPr>
        <w:t>, por lo que,</w:t>
      </w:r>
      <w:r w:rsidR="00F934CD" w:rsidRPr="00B31404">
        <w:rPr>
          <w:sz w:val="26"/>
          <w:szCs w:val="26"/>
        </w:rPr>
        <w:t xml:space="preserve"> sus razones</w:t>
      </w:r>
      <w:r w:rsidR="006817D9" w:rsidRPr="00B31404">
        <w:rPr>
          <w:sz w:val="26"/>
          <w:szCs w:val="26"/>
        </w:rPr>
        <w:t xml:space="preserve"> </w:t>
      </w:r>
      <w:r w:rsidR="00726117" w:rsidRPr="00B31404">
        <w:rPr>
          <w:sz w:val="26"/>
          <w:szCs w:val="26"/>
        </w:rPr>
        <w:t>constituyen</w:t>
      </w:r>
      <w:r w:rsidR="00E119C9" w:rsidRPr="00B31404">
        <w:rPr>
          <w:sz w:val="26"/>
          <w:szCs w:val="26"/>
        </w:rPr>
        <w:t xml:space="preserve"> jurisprudencia por precedente obligatorio.</w:t>
      </w:r>
    </w:p>
    <w:p w14:paraId="27357B15" w14:textId="19FF707F" w:rsidR="005D3E38" w:rsidRPr="00B31404" w:rsidRDefault="00E119C9" w:rsidP="00B31404">
      <w:pPr>
        <w:pStyle w:val="TEXTONORMAL"/>
        <w:numPr>
          <w:ilvl w:val="0"/>
          <w:numId w:val="3"/>
        </w:numPr>
        <w:spacing w:after="240"/>
        <w:ind w:left="0" w:hanging="567"/>
        <w:rPr>
          <w:sz w:val="26"/>
          <w:szCs w:val="26"/>
        </w:rPr>
      </w:pPr>
      <w:r w:rsidRPr="00B31404">
        <w:rPr>
          <w:sz w:val="26"/>
          <w:szCs w:val="26"/>
        </w:rPr>
        <w:t xml:space="preserve">En ese </w:t>
      </w:r>
      <w:r w:rsidR="009B5116" w:rsidRPr="00B31404">
        <w:rPr>
          <w:sz w:val="26"/>
          <w:szCs w:val="26"/>
        </w:rPr>
        <w:t>sentido</w:t>
      </w:r>
      <w:r w:rsidRPr="00B31404">
        <w:rPr>
          <w:sz w:val="26"/>
          <w:szCs w:val="26"/>
        </w:rPr>
        <w:t xml:space="preserve">, </w:t>
      </w:r>
      <w:r w:rsidR="00EB4736" w:rsidRPr="00B31404">
        <w:rPr>
          <w:sz w:val="26"/>
          <w:szCs w:val="26"/>
        </w:rPr>
        <w:t xml:space="preserve">atendiendo </w:t>
      </w:r>
      <w:r w:rsidR="00715247" w:rsidRPr="00B31404">
        <w:rPr>
          <w:sz w:val="26"/>
          <w:szCs w:val="26"/>
        </w:rPr>
        <w:t>los</w:t>
      </w:r>
      <w:r w:rsidR="00EB4736" w:rsidRPr="00B31404">
        <w:rPr>
          <w:sz w:val="26"/>
          <w:szCs w:val="26"/>
        </w:rPr>
        <w:t xml:space="preserve"> artículo</w:t>
      </w:r>
      <w:r w:rsidR="00715247" w:rsidRPr="00B31404">
        <w:rPr>
          <w:sz w:val="26"/>
          <w:szCs w:val="26"/>
        </w:rPr>
        <w:t>s</w:t>
      </w:r>
      <w:r w:rsidR="00EB4736" w:rsidRPr="00B31404">
        <w:rPr>
          <w:sz w:val="26"/>
          <w:szCs w:val="26"/>
        </w:rPr>
        <w:t xml:space="preserve"> 231 y </w:t>
      </w:r>
      <w:r w:rsidR="00A25918" w:rsidRPr="00B31404">
        <w:rPr>
          <w:sz w:val="26"/>
          <w:szCs w:val="26"/>
        </w:rPr>
        <w:t xml:space="preserve">232 de la Ley de Amparo, </w:t>
      </w:r>
      <w:r w:rsidR="00BE7F20" w:rsidRPr="00B31404">
        <w:rPr>
          <w:sz w:val="26"/>
          <w:szCs w:val="26"/>
        </w:rPr>
        <w:t xml:space="preserve">cuando el Pleno o las </w:t>
      </w:r>
      <w:r w:rsidR="00715EFD">
        <w:rPr>
          <w:sz w:val="26"/>
          <w:szCs w:val="26"/>
        </w:rPr>
        <w:t>S</w:t>
      </w:r>
      <w:r w:rsidR="00BE7F20" w:rsidRPr="00B31404">
        <w:rPr>
          <w:sz w:val="26"/>
          <w:szCs w:val="26"/>
        </w:rPr>
        <w:t xml:space="preserve">alas resuelvan la inconstitucionalidad </w:t>
      </w:r>
      <w:r w:rsidR="000661C8" w:rsidRPr="00B31404">
        <w:rPr>
          <w:sz w:val="26"/>
          <w:szCs w:val="26"/>
        </w:rPr>
        <w:t>o establezcan jurisprudencia en la que determinen la inconstitucionalidad de una norma general, se procederá a la notificación a que se refiere el tercer párrafo de la fracción II del artículo 107 de la Constitución General.</w:t>
      </w:r>
    </w:p>
    <w:p w14:paraId="6C78C95C" w14:textId="3DF671D1" w:rsidR="00C066AF" w:rsidRPr="00B31404" w:rsidRDefault="005E7C21" w:rsidP="00B31404">
      <w:pPr>
        <w:pStyle w:val="TEXTONORMAL"/>
        <w:numPr>
          <w:ilvl w:val="0"/>
          <w:numId w:val="3"/>
        </w:numPr>
        <w:spacing w:after="240"/>
        <w:ind w:left="0" w:hanging="567"/>
        <w:rPr>
          <w:sz w:val="26"/>
          <w:szCs w:val="26"/>
        </w:rPr>
      </w:pPr>
      <w:r w:rsidRPr="00B31404">
        <w:rPr>
          <w:sz w:val="26"/>
          <w:szCs w:val="26"/>
        </w:rPr>
        <w:t xml:space="preserve">El veintisiete de </w:t>
      </w:r>
      <w:r w:rsidR="00D4304D" w:rsidRPr="00B31404">
        <w:rPr>
          <w:sz w:val="26"/>
          <w:szCs w:val="26"/>
        </w:rPr>
        <w:t xml:space="preserve">octubre de dos mil veintidós se notificó </w:t>
      </w:r>
      <w:r w:rsidR="00715EFD">
        <w:rPr>
          <w:sz w:val="26"/>
          <w:szCs w:val="26"/>
        </w:rPr>
        <w:t xml:space="preserve">en </w:t>
      </w:r>
      <w:r w:rsidR="00D4304D" w:rsidRPr="00B31404">
        <w:rPr>
          <w:sz w:val="26"/>
          <w:szCs w:val="26"/>
        </w:rPr>
        <w:t xml:space="preserve">Oficialía de Partes del </w:t>
      </w:r>
      <w:r w:rsidR="0096703D" w:rsidRPr="00B31404">
        <w:rPr>
          <w:sz w:val="26"/>
          <w:szCs w:val="26"/>
        </w:rPr>
        <w:t xml:space="preserve">Congreso del Estado de Oaxaca la admisión a trámite de la declaratoria general de inconstitucionalidad </w:t>
      </w:r>
      <w:r w:rsidR="00A545FF" w:rsidRPr="00B31404">
        <w:rPr>
          <w:sz w:val="26"/>
          <w:szCs w:val="26"/>
        </w:rPr>
        <w:t>planteada por la Segunda Sala de la Suprema Corte de Justicia de la Nación</w:t>
      </w:r>
      <w:r w:rsidR="004D147C" w:rsidRPr="00B31404">
        <w:rPr>
          <w:rStyle w:val="Refdenotaalpie"/>
          <w:sz w:val="26"/>
          <w:szCs w:val="26"/>
        </w:rPr>
        <w:footnoteReference w:id="12"/>
      </w:r>
      <w:r w:rsidR="00594997" w:rsidRPr="00B31404">
        <w:rPr>
          <w:sz w:val="26"/>
          <w:szCs w:val="26"/>
        </w:rPr>
        <w:t>.</w:t>
      </w:r>
      <w:r w:rsidR="00FB58A6" w:rsidRPr="00B31404">
        <w:rPr>
          <w:sz w:val="26"/>
          <w:szCs w:val="26"/>
        </w:rPr>
        <w:t xml:space="preserve"> Asimismo, </w:t>
      </w:r>
      <w:r w:rsidR="004617B5">
        <w:rPr>
          <w:sz w:val="26"/>
          <w:szCs w:val="26"/>
        </w:rPr>
        <w:t xml:space="preserve">se </w:t>
      </w:r>
      <w:r w:rsidR="00BA32DE">
        <w:rPr>
          <w:sz w:val="26"/>
          <w:szCs w:val="26"/>
        </w:rPr>
        <w:t xml:space="preserve">entregó </w:t>
      </w:r>
      <w:r w:rsidR="00FB58A6" w:rsidRPr="00B31404">
        <w:rPr>
          <w:sz w:val="26"/>
          <w:szCs w:val="26"/>
        </w:rPr>
        <w:t xml:space="preserve">copia certificada de las resoluciones dictadas en los amparos en revisión </w:t>
      </w:r>
      <w:r w:rsidR="007F028D" w:rsidRPr="00B31404">
        <w:rPr>
          <w:sz w:val="26"/>
          <w:szCs w:val="26"/>
        </w:rPr>
        <w:t xml:space="preserve">173/2022 y 230/2022 </w:t>
      </w:r>
      <w:r w:rsidR="009E2180">
        <w:rPr>
          <w:sz w:val="26"/>
          <w:szCs w:val="26"/>
        </w:rPr>
        <w:t>que contienen las razones por las que</w:t>
      </w:r>
      <w:r w:rsidR="007F028D" w:rsidRPr="00B31404">
        <w:rPr>
          <w:sz w:val="26"/>
          <w:szCs w:val="26"/>
        </w:rPr>
        <w:t xml:space="preserve"> declaró la inconstitucionalidad del artículo 98, fracciones XI y XII</w:t>
      </w:r>
      <w:r w:rsidR="00BA32DE">
        <w:rPr>
          <w:sz w:val="26"/>
          <w:szCs w:val="26"/>
        </w:rPr>
        <w:t>,</w:t>
      </w:r>
      <w:r w:rsidR="007F028D" w:rsidRPr="00B31404">
        <w:rPr>
          <w:sz w:val="26"/>
          <w:szCs w:val="26"/>
        </w:rPr>
        <w:t xml:space="preserve"> de la Ley para la Prevención y Gestión Integral de los Residuos Sólidos del Estado de </w:t>
      </w:r>
      <w:r w:rsidR="00500218" w:rsidRPr="00B31404">
        <w:rPr>
          <w:sz w:val="26"/>
          <w:szCs w:val="26"/>
        </w:rPr>
        <w:t>Oaxaca, para los efectos del plazo de</w:t>
      </w:r>
      <w:r w:rsidR="00726117" w:rsidRPr="00B31404">
        <w:rPr>
          <w:sz w:val="26"/>
          <w:szCs w:val="26"/>
        </w:rPr>
        <w:t xml:space="preserve"> 90</w:t>
      </w:r>
      <w:r w:rsidR="00500218" w:rsidRPr="00B31404">
        <w:rPr>
          <w:sz w:val="26"/>
          <w:szCs w:val="26"/>
        </w:rPr>
        <w:t xml:space="preserve"> </w:t>
      </w:r>
      <w:r w:rsidR="00726117" w:rsidRPr="00B31404">
        <w:rPr>
          <w:sz w:val="26"/>
          <w:szCs w:val="26"/>
        </w:rPr>
        <w:t>(</w:t>
      </w:r>
      <w:r w:rsidR="00500218" w:rsidRPr="00B31404">
        <w:rPr>
          <w:sz w:val="26"/>
          <w:szCs w:val="26"/>
        </w:rPr>
        <w:t>noventa</w:t>
      </w:r>
      <w:r w:rsidR="00726117" w:rsidRPr="00B31404">
        <w:rPr>
          <w:sz w:val="26"/>
          <w:szCs w:val="26"/>
        </w:rPr>
        <w:t>)</w:t>
      </w:r>
      <w:r w:rsidR="00500218" w:rsidRPr="00B31404">
        <w:rPr>
          <w:sz w:val="26"/>
          <w:szCs w:val="26"/>
        </w:rPr>
        <w:t xml:space="preserve"> días a que se refieren los artículos 107, fracción II, párrafo tercero</w:t>
      </w:r>
      <w:r w:rsidR="00BA32DE">
        <w:rPr>
          <w:sz w:val="26"/>
          <w:szCs w:val="26"/>
        </w:rPr>
        <w:t>,</w:t>
      </w:r>
      <w:r w:rsidR="00500218" w:rsidRPr="00B31404">
        <w:rPr>
          <w:sz w:val="26"/>
          <w:szCs w:val="26"/>
        </w:rPr>
        <w:t xml:space="preserve"> de la Constitución General y 232</w:t>
      </w:r>
      <w:r w:rsidR="004E5D6A" w:rsidRPr="00B31404">
        <w:rPr>
          <w:sz w:val="26"/>
          <w:szCs w:val="26"/>
        </w:rPr>
        <w:t xml:space="preserve"> de la Ley de Amparo.</w:t>
      </w:r>
    </w:p>
    <w:p w14:paraId="204C6464" w14:textId="3279262F" w:rsidR="001047DF" w:rsidRPr="00B31404" w:rsidRDefault="004E5D6A" w:rsidP="00B31404">
      <w:pPr>
        <w:pStyle w:val="TEXTONORMAL"/>
        <w:numPr>
          <w:ilvl w:val="0"/>
          <w:numId w:val="3"/>
        </w:numPr>
        <w:spacing w:after="240"/>
        <w:ind w:left="0" w:hanging="567"/>
        <w:rPr>
          <w:sz w:val="26"/>
          <w:szCs w:val="26"/>
        </w:rPr>
      </w:pPr>
      <w:r w:rsidRPr="00B31404">
        <w:rPr>
          <w:sz w:val="26"/>
          <w:szCs w:val="26"/>
        </w:rPr>
        <w:t xml:space="preserve">Cabe mencionar que al día de esta resolución el Congreso de Oaxaca no ha </w:t>
      </w:r>
      <w:r w:rsidR="008A723C" w:rsidRPr="00B31404">
        <w:rPr>
          <w:sz w:val="26"/>
          <w:szCs w:val="26"/>
        </w:rPr>
        <w:t xml:space="preserve">modificado </w:t>
      </w:r>
      <w:r w:rsidR="00B01634" w:rsidRPr="00B31404">
        <w:rPr>
          <w:sz w:val="26"/>
          <w:szCs w:val="26"/>
        </w:rPr>
        <w:t xml:space="preserve">o derogado </w:t>
      </w:r>
      <w:r w:rsidR="008A723C" w:rsidRPr="00B31404">
        <w:rPr>
          <w:sz w:val="26"/>
          <w:szCs w:val="26"/>
        </w:rPr>
        <w:t xml:space="preserve">las disposiciones legales objeto de esta </w:t>
      </w:r>
      <w:r w:rsidR="00B01634" w:rsidRPr="00B31404">
        <w:rPr>
          <w:sz w:val="26"/>
          <w:szCs w:val="26"/>
        </w:rPr>
        <w:t>declaratoria general de inconstitucionalidad</w:t>
      </w:r>
      <w:r w:rsidR="008A723C" w:rsidRPr="00B31404">
        <w:rPr>
          <w:sz w:val="26"/>
          <w:szCs w:val="26"/>
        </w:rPr>
        <w:t xml:space="preserve">, </w:t>
      </w:r>
      <w:r w:rsidR="00B01634" w:rsidRPr="00B31404">
        <w:rPr>
          <w:sz w:val="26"/>
          <w:szCs w:val="26"/>
        </w:rPr>
        <w:t>por lo que</w:t>
      </w:r>
      <w:r w:rsidR="008A723C" w:rsidRPr="00B31404">
        <w:rPr>
          <w:sz w:val="26"/>
          <w:szCs w:val="26"/>
        </w:rPr>
        <w:t xml:space="preserve"> </w:t>
      </w:r>
      <w:r w:rsidR="00D15BD3" w:rsidRPr="00B31404">
        <w:rPr>
          <w:sz w:val="26"/>
          <w:szCs w:val="26"/>
        </w:rPr>
        <w:t xml:space="preserve">hasta este momento </w:t>
      </w:r>
      <w:r w:rsidR="00B01634" w:rsidRPr="00B31404">
        <w:rPr>
          <w:sz w:val="26"/>
          <w:szCs w:val="26"/>
        </w:rPr>
        <w:t xml:space="preserve">es </w:t>
      </w:r>
      <w:r w:rsidR="00900045" w:rsidRPr="00B31404">
        <w:rPr>
          <w:sz w:val="26"/>
          <w:szCs w:val="26"/>
        </w:rPr>
        <w:t>indudable</w:t>
      </w:r>
      <w:r w:rsidR="00B01634" w:rsidRPr="00B31404">
        <w:rPr>
          <w:sz w:val="26"/>
          <w:szCs w:val="26"/>
        </w:rPr>
        <w:t xml:space="preserve"> que no se </w:t>
      </w:r>
      <w:r w:rsidR="008A723C" w:rsidRPr="00B31404">
        <w:rPr>
          <w:sz w:val="26"/>
          <w:szCs w:val="26"/>
        </w:rPr>
        <w:t>ha superado el problema de inconstitucionalidad.</w:t>
      </w:r>
    </w:p>
    <w:p w14:paraId="5295DE16" w14:textId="2FD3F3AD" w:rsidR="00E25F1A" w:rsidRPr="00B31404" w:rsidRDefault="00015219" w:rsidP="00B31404">
      <w:pPr>
        <w:pStyle w:val="TEXTONORMAL"/>
        <w:numPr>
          <w:ilvl w:val="0"/>
          <w:numId w:val="3"/>
        </w:numPr>
        <w:spacing w:after="240"/>
        <w:ind w:left="0" w:hanging="567"/>
        <w:rPr>
          <w:sz w:val="26"/>
          <w:szCs w:val="26"/>
        </w:rPr>
      </w:pPr>
      <w:r w:rsidRPr="00B31404">
        <w:rPr>
          <w:sz w:val="26"/>
          <w:szCs w:val="26"/>
        </w:rPr>
        <w:lastRenderedPageBreak/>
        <w:t xml:space="preserve">Ahora bien, </w:t>
      </w:r>
      <w:r w:rsidR="00EE091D" w:rsidRPr="00B31404">
        <w:rPr>
          <w:sz w:val="26"/>
          <w:szCs w:val="26"/>
        </w:rPr>
        <w:t>previo a declarar la inconstitucionalidad general de</w:t>
      </w:r>
      <w:r w:rsidR="00FA141C" w:rsidRPr="00B31404">
        <w:rPr>
          <w:sz w:val="26"/>
          <w:szCs w:val="26"/>
        </w:rPr>
        <w:t xml:space="preserve"> las disposiciones </w:t>
      </w:r>
      <w:r w:rsidR="004036F0" w:rsidRPr="00B31404">
        <w:rPr>
          <w:sz w:val="26"/>
          <w:szCs w:val="26"/>
        </w:rPr>
        <w:t xml:space="preserve">legales </w:t>
      </w:r>
      <w:r w:rsidR="00FA141C" w:rsidRPr="00B31404">
        <w:rPr>
          <w:sz w:val="26"/>
          <w:szCs w:val="26"/>
        </w:rPr>
        <w:t xml:space="preserve">mencionadas es necesario </w:t>
      </w:r>
      <w:r w:rsidR="00B616B1" w:rsidRPr="00B31404">
        <w:rPr>
          <w:sz w:val="26"/>
          <w:szCs w:val="26"/>
        </w:rPr>
        <w:t>verificar</w:t>
      </w:r>
      <w:r w:rsidR="0052209B" w:rsidRPr="00B31404">
        <w:rPr>
          <w:sz w:val="26"/>
          <w:szCs w:val="26"/>
        </w:rPr>
        <w:t xml:space="preserve"> que</w:t>
      </w:r>
      <w:r w:rsidR="00B616B1" w:rsidRPr="00B31404">
        <w:rPr>
          <w:sz w:val="26"/>
          <w:szCs w:val="26"/>
        </w:rPr>
        <w:t xml:space="preserve"> </w:t>
      </w:r>
      <w:r w:rsidR="00152382" w:rsidRPr="00B31404">
        <w:rPr>
          <w:sz w:val="26"/>
          <w:szCs w:val="26"/>
        </w:rPr>
        <w:t xml:space="preserve">una vez notificado </w:t>
      </w:r>
      <w:r w:rsidR="00876524" w:rsidRPr="00B31404">
        <w:rPr>
          <w:sz w:val="26"/>
          <w:szCs w:val="26"/>
        </w:rPr>
        <w:t>al Congreso de Oaxaca ha</w:t>
      </w:r>
      <w:r w:rsidR="0052209B" w:rsidRPr="00B31404">
        <w:rPr>
          <w:sz w:val="26"/>
          <w:szCs w:val="26"/>
        </w:rPr>
        <w:t>n</w:t>
      </w:r>
      <w:r w:rsidR="00876524" w:rsidRPr="00B31404">
        <w:rPr>
          <w:sz w:val="26"/>
          <w:szCs w:val="26"/>
        </w:rPr>
        <w:t xml:space="preserve"> transcurrido</w:t>
      </w:r>
      <w:r w:rsidR="004036F0" w:rsidRPr="00B31404">
        <w:rPr>
          <w:sz w:val="26"/>
          <w:szCs w:val="26"/>
        </w:rPr>
        <w:t xml:space="preserve"> los</w:t>
      </w:r>
      <w:r w:rsidR="00876524" w:rsidRPr="00B31404">
        <w:rPr>
          <w:sz w:val="26"/>
          <w:szCs w:val="26"/>
        </w:rPr>
        <w:t xml:space="preserve"> 90</w:t>
      </w:r>
      <w:r w:rsidR="004036F0" w:rsidRPr="00B31404">
        <w:rPr>
          <w:sz w:val="26"/>
          <w:szCs w:val="26"/>
        </w:rPr>
        <w:t xml:space="preserve"> (noventa)</w:t>
      </w:r>
      <w:r w:rsidR="00876524" w:rsidRPr="00B31404">
        <w:rPr>
          <w:sz w:val="26"/>
          <w:szCs w:val="26"/>
        </w:rPr>
        <w:t xml:space="preserve"> días</w:t>
      </w:r>
      <w:r w:rsidR="0052209B" w:rsidRPr="00B31404">
        <w:rPr>
          <w:sz w:val="26"/>
          <w:szCs w:val="26"/>
        </w:rPr>
        <w:t xml:space="preserve"> </w:t>
      </w:r>
      <w:r w:rsidR="002C17BF" w:rsidRPr="00B31404">
        <w:rPr>
          <w:sz w:val="26"/>
          <w:szCs w:val="26"/>
        </w:rPr>
        <w:t>a que refiere</w:t>
      </w:r>
      <w:r w:rsidR="0053414C" w:rsidRPr="00B31404">
        <w:rPr>
          <w:sz w:val="26"/>
          <w:szCs w:val="26"/>
        </w:rPr>
        <w:t xml:space="preserve"> el artículo </w:t>
      </w:r>
      <w:r w:rsidR="00111655" w:rsidRPr="00B31404">
        <w:rPr>
          <w:sz w:val="26"/>
          <w:szCs w:val="26"/>
        </w:rPr>
        <w:t>232 de la Ley de Amparo</w:t>
      </w:r>
      <w:r w:rsidR="002133CE" w:rsidRPr="00B31404">
        <w:rPr>
          <w:rStyle w:val="Refdenotaalpie"/>
          <w:sz w:val="26"/>
          <w:szCs w:val="26"/>
        </w:rPr>
        <w:footnoteReference w:id="13"/>
      </w:r>
      <w:r w:rsidR="00111655" w:rsidRPr="00B31404">
        <w:rPr>
          <w:sz w:val="26"/>
          <w:szCs w:val="26"/>
        </w:rPr>
        <w:t>.</w:t>
      </w:r>
    </w:p>
    <w:p w14:paraId="2AE98C20" w14:textId="4FF03DE1" w:rsidR="007A051E" w:rsidRPr="00B31404" w:rsidRDefault="00D03BFC" w:rsidP="00B31404">
      <w:pPr>
        <w:pStyle w:val="TEXTONORMAL"/>
        <w:numPr>
          <w:ilvl w:val="0"/>
          <w:numId w:val="3"/>
        </w:numPr>
        <w:spacing w:after="240"/>
        <w:ind w:left="0" w:hanging="567"/>
        <w:rPr>
          <w:sz w:val="26"/>
          <w:szCs w:val="26"/>
        </w:rPr>
      </w:pPr>
      <w:r w:rsidRPr="00B31404">
        <w:rPr>
          <w:sz w:val="26"/>
          <w:szCs w:val="26"/>
        </w:rPr>
        <w:t xml:space="preserve">Es importante </w:t>
      </w:r>
      <w:r w:rsidR="0009018A" w:rsidRPr="00B31404">
        <w:rPr>
          <w:sz w:val="26"/>
          <w:szCs w:val="26"/>
        </w:rPr>
        <w:t xml:space="preserve">hacer notar que por tratarse de un Congreso </w:t>
      </w:r>
      <w:r w:rsidR="005A6561" w:rsidRPr="00B31404">
        <w:rPr>
          <w:sz w:val="26"/>
          <w:szCs w:val="26"/>
        </w:rPr>
        <w:t xml:space="preserve">local </w:t>
      </w:r>
      <w:r w:rsidR="00A4619D" w:rsidRPr="00B31404">
        <w:rPr>
          <w:sz w:val="26"/>
          <w:szCs w:val="26"/>
        </w:rPr>
        <w:t>el plazo de 90</w:t>
      </w:r>
      <w:r w:rsidR="00062F0D" w:rsidRPr="00B31404">
        <w:rPr>
          <w:sz w:val="26"/>
          <w:szCs w:val="26"/>
        </w:rPr>
        <w:t xml:space="preserve"> (noventa)</w:t>
      </w:r>
      <w:r w:rsidR="004036F0" w:rsidRPr="00B31404">
        <w:rPr>
          <w:sz w:val="26"/>
          <w:szCs w:val="26"/>
        </w:rPr>
        <w:t xml:space="preserve"> días</w:t>
      </w:r>
      <w:r w:rsidR="00A4619D" w:rsidRPr="00B31404">
        <w:rPr>
          <w:sz w:val="26"/>
          <w:szCs w:val="26"/>
        </w:rPr>
        <w:t xml:space="preserve"> debe computarse dentro de los días </w:t>
      </w:r>
      <w:r w:rsidR="00EA6877">
        <w:rPr>
          <w:sz w:val="26"/>
          <w:szCs w:val="26"/>
        </w:rPr>
        <w:t>útiles</w:t>
      </w:r>
      <w:r w:rsidR="00A4619D" w:rsidRPr="00B31404">
        <w:rPr>
          <w:sz w:val="26"/>
          <w:szCs w:val="26"/>
        </w:rPr>
        <w:t xml:space="preserve"> de los </w:t>
      </w:r>
      <w:r w:rsidR="00E25F1A" w:rsidRPr="00B31404">
        <w:rPr>
          <w:sz w:val="26"/>
          <w:szCs w:val="26"/>
        </w:rPr>
        <w:t xml:space="preserve">periodos ordinarios de sesiones </w:t>
      </w:r>
      <w:r w:rsidR="006628B2" w:rsidRPr="00B31404">
        <w:rPr>
          <w:sz w:val="26"/>
          <w:szCs w:val="26"/>
        </w:rPr>
        <w:t>previsto</w:t>
      </w:r>
      <w:r w:rsidR="00FF784F" w:rsidRPr="00B31404">
        <w:rPr>
          <w:sz w:val="26"/>
          <w:szCs w:val="26"/>
        </w:rPr>
        <w:t>s</w:t>
      </w:r>
      <w:r w:rsidR="006628B2" w:rsidRPr="00B31404">
        <w:rPr>
          <w:sz w:val="26"/>
          <w:szCs w:val="26"/>
        </w:rPr>
        <w:t xml:space="preserve"> en la</w:t>
      </w:r>
      <w:r w:rsidR="003D74EA" w:rsidRPr="00B31404">
        <w:rPr>
          <w:sz w:val="26"/>
          <w:szCs w:val="26"/>
        </w:rPr>
        <w:t>s</w:t>
      </w:r>
      <w:r w:rsidR="006628B2" w:rsidRPr="00B31404">
        <w:rPr>
          <w:sz w:val="26"/>
          <w:szCs w:val="26"/>
        </w:rPr>
        <w:t xml:space="preserve"> </w:t>
      </w:r>
      <w:r w:rsidR="003D74EA" w:rsidRPr="00B31404">
        <w:rPr>
          <w:sz w:val="26"/>
          <w:szCs w:val="26"/>
        </w:rPr>
        <w:t>normas generales aplicables</w:t>
      </w:r>
      <w:r w:rsidR="00835FFD" w:rsidRPr="00B31404">
        <w:rPr>
          <w:sz w:val="26"/>
          <w:szCs w:val="26"/>
        </w:rPr>
        <w:t>.</w:t>
      </w:r>
    </w:p>
    <w:p w14:paraId="11782194" w14:textId="2A56207B" w:rsidR="007951D5" w:rsidRPr="00B31404" w:rsidRDefault="007951D5" w:rsidP="00B31404">
      <w:pPr>
        <w:pStyle w:val="TEXTONORMAL"/>
        <w:numPr>
          <w:ilvl w:val="0"/>
          <w:numId w:val="3"/>
        </w:numPr>
        <w:spacing w:after="240"/>
        <w:ind w:left="0" w:hanging="567"/>
        <w:rPr>
          <w:sz w:val="26"/>
          <w:szCs w:val="26"/>
        </w:rPr>
      </w:pPr>
      <w:r w:rsidRPr="00B31404">
        <w:rPr>
          <w:sz w:val="26"/>
          <w:szCs w:val="26"/>
        </w:rPr>
        <w:t xml:space="preserve">En las </w:t>
      </w:r>
      <w:r w:rsidR="004036F0" w:rsidRPr="00B31404">
        <w:rPr>
          <w:b/>
          <w:bCs/>
          <w:sz w:val="26"/>
          <w:szCs w:val="26"/>
        </w:rPr>
        <w:t>Declaratorias Generales</w:t>
      </w:r>
      <w:r w:rsidRPr="00B31404">
        <w:rPr>
          <w:b/>
          <w:bCs/>
          <w:sz w:val="26"/>
          <w:szCs w:val="26"/>
        </w:rPr>
        <w:t xml:space="preserve"> de </w:t>
      </w:r>
      <w:r w:rsidR="004036F0" w:rsidRPr="00B31404">
        <w:rPr>
          <w:b/>
          <w:bCs/>
          <w:sz w:val="26"/>
          <w:szCs w:val="26"/>
        </w:rPr>
        <w:t xml:space="preserve">Inconstitucionalidad </w:t>
      </w:r>
      <w:r w:rsidRPr="00B31404">
        <w:rPr>
          <w:b/>
          <w:bCs/>
          <w:sz w:val="26"/>
          <w:szCs w:val="26"/>
        </w:rPr>
        <w:t>6/2017</w:t>
      </w:r>
      <w:r w:rsidRPr="00B31404">
        <w:rPr>
          <w:rStyle w:val="Refdenotaalpie"/>
          <w:b/>
          <w:bCs/>
          <w:sz w:val="26"/>
          <w:szCs w:val="26"/>
        </w:rPr>
        <w:footnoteReference w:id="14"/>
      </w:r>
      <w:r w:rsidRPr="00B31404">
        <w:rPr>
          <w:b/>
          <w:bCs/>
          <w:sz w:val="26"/>
          <w:szCs w:val="26"/>
        </w:rPr>
        <w:t xml:space="preserve"> y </w:t>
      </w:r>
      <w:r w:rsidR="00591C59" w:rsidRPr="00B31404">
        <w:rPr>
          <w:b/>
          <w:bCs/>
          <w:sz w:val="26"/>
          <w:szCs w:val="26"/>
        </w:rPr>
        <w:t>1/2018</w:t>
      </w:r>
      <w:r w:rsidR="00BE6BC4" w:rsidRPr="00B31404">
        <w:rPr>
          <w:rStyle w:val="Refdenotaalpie"/>
          <w:b/>
          <w:bCs/>
          <w:sz w:val="26"/>
          <w:szCs w:val="26"/>
        </w:rPr>
        <w:footnoteReference w:id="15"/>
      </w:r>
      <w:r w:rsidR="00BE6BC4" w:rsidRPr="00B31404">
        <w:rPr>
          <w:sz w:val="26"/>
          <w:szCs w:val="26"/>
        </w:rPr>
        <w:t xml:space="preserve"> </w:t>
      </w:r>
      <w:r w:rsidR="00A65EBC" w:rsidRPr="00B31404">
        <w:rPr>
          <w:sz w:val="26"/>
          <w:szCs w:val="26"/>
        </w:rPr>
        <w:t xml:space="preserve">el Pleno de esta Suprema Corte de Justicia de la Nación determinó que el plazo de </w:t>
      </w:r>
      <w:r w:rsidR="00062F0D" w:rsidRPr="00B31404">
        <w:rPr>
          <w:sz w:val="26"/>
          <w:szCs w:val="26"/>
        </w:rPr>
        <w:t xml:space="preserve">90 (noventa) días </w:t>
      </w:r>
      <w:r w:rsidR="006D477D" w:rsidRPr="00B31404">
        <w:rPr>
          <w:sz w:val="26"/>
          <w:szCs w:val="26"/>
        </w:rPr>
        <w:t>para que los órganos legislativos modifiquen o deroguen las disposiciones consideradas inconstitucionales debe computarse dentro de los días hábiles de los periodos ordinarios de sesiones establecidos en la norma general correspondiente.</w:t>
      </w:r>
    </w:p>
    <w:p w14:paraId="7409D7DF" w14:textId="7FDC88D5" w:rsidR="00835FFD" w:rsidRPr="00B31404" w:rsidRDefault="00580868" w:rsidP="00B31404">
      <w:pPr>
        <w:pStyle w:val="TEXTONORMAL"/>
        <w:numPr>
          <w:ilvl w:val="0"/>
          <w:numId w:val="3"/>
        </w:numPr>
        <w:spacing w:after="240"/>
        <w:ind w:left="0" w:hanging="567"/>
        <w:rPr>
          <w:sz w:val="26"/>
          <w:szCs w:val="26"/>
        </w:rPr>
      </w:pPr>
      <w:bookmarkStart w:id="5" w:name="Aquí"/>
      <w:r w:rsidRPr="00B31404">
        <w:rPr>
          <w:sz w:val="26"/>
          <w:szCs w:val="26"/>
        </w:rPr>
        <w:t xml:space="preserve">En cuanto al periodo </w:t>
      </w:r>
      <w:r w:rsidR="00733E40" w:rsidRPr="00B31404">
        <w:rPr>
          <w:sz w:val="26"/>
          <w:szCs w:val="26"/>
        </w:rPr>
        <w:t xml:space="preserve">ordinario de sesiones, el </w:t>
      </w:r>
      <w:r w:rsidR="003D74EA" w:rsidRPr="00B31404">
        <w:rPr>
          <w:sz w:val="26"/>
          <w:szCs w:val="26"/>
        </w:rPr>
        <w:t>artículo 9 de la Ley Orgánica del Poder Legislativo del Estado Libre y Soberano de Oaxaca</w:t>
      </w:r>
      <w:r w:rsidR="00776B6D" w:rsidRPr="00B31404">
        <w:rPr>
          <w:rStyle w:val="Refdenotaalpie"/>
          <w:sz w:val="26"/>
          <w:szCs w:val="26"/>
        </w:rPr>
        <w:footnoteReference w:id="16"/>
      </w:r>
      <w:r w:rsidR="003D74EA" w:rsidRPr="00B31404">
        <w:rPr>
          <w:sz w:val="26"/>
          <w:szCs w:val="26"/>
        </w:rPr>
        <w:t xml:space="preserve"> </w:t>
      </w:r>
      <w:r w:rsidR="00EA060A" w:rsidRPr="00B31404">
        <w:rPr>
          <w:sz w:val="26"/>
          <w:szCs w:val="26"/>
        </w:rPr>
        <w:t xml:space="preserve">dispone que el Congreso tendrá cada año dos periodos ordinarios de sesiones; el primero comenzará </w:t>
      </w:r>
      <w:r w:rsidR="001C7BE5" w:rsidRPr="00B31404">
        <w:rPr>
          <w:sz w:val="26"/>
          <w:szCs w:val="26"/>
        </w:rPr>
        <w:t xml:space="preserve">el quince de noviembre y terminará el quince de abril; </w:t>
      </w:r>
      <w:r w:rsidR="001C7BE5" w:rsidRPr="00B31404">
        <w:rPr>
          <w:sz w:val="26"/>
          <w:szCs w:val="26"/>
        </w:rPr>
        <w:lastRenderedPageBreak/>
        <w:t>y el segundo dará inicio el primero de julio y concluirá el treinta de septiembre.</w:t>
      </w:r>
    </w:p>
    <w:bookmarkEnd w:id="5"/>
    <w:p w14:paraId="3911CBB1" w14:textId="739351FE" w:rsidR="00CE0D3B" w:rsidRPr="00B31404" w:rsidRDefault="009E7B8D" w:rsidP="00B31404">
      <w:pPr>
        <w:pStyle w:val="TEXTONORMAL"/>
        <w:numPr>
          <w:ilvl w:val="0"/>
          <w:numId w:val="3"/>
        </w:numPr>
        <w:spacing w:after="240"/>
        <w:ind w:left="0" w:hanging="567"/>
        <w:rPr>
          <w:sz w:val="26"/>
          <w:szCs w:val="26"/>
        </w:rPr>
      </w:pPr>
      <w:r w:rsidRPr="00B31404">
        <w:rPr>
          <w:sz w:val="26"/>
          <w:szCs w:val="26"/>
        </w:rPr>
        <w:t xml:space="preserve">Con los elementos de prueba </w:t>
      </w:r>
      <w:r w:rsidR="000A0365" w:rsidRPr="00B31404">
        <w:rPr>
          <w:sz w:val="26"/>
          <w:szCs w:val="26"/>
        </w:rPr>
        <w:t xml:space="preserve">mencionados </w:t>
      </w:r>
      <w:r w:rsidR="00EA3A0F" w:rsidRPr="00B31404">
        <w:rPr>
          <w:sz w:val="26"/>
          <w:szCs w:val="26"/>
        </w:rPr>
        <w:t xml:space="preserve">el Pleno de este Alto Tribunal </w:t>
      </w:r>
      <w:r w:rsidR="008C44F5" w:rsidRPr="00B31404">
        <w:rPr>
          <w:sz w:val="26"/>
          <w:szCs w:val="26"/>
        </w:rPr>
        <w:t xml:space="preserve">procede a computar </w:t>
      </w:r>
      <w:r w:rsidR="00EA3A0F" w:rsidRPr="00B31404">
        <w:rPr>
          <w:sz w:val="26"/>
          <w:szCs w:val="26"/>
        </w:rPr>
        <w:t>el plazo</w:t>
      </w:r>
      <w:r w:rsidR="008C59EB" w:rsidRPr="00B31404">
        <w:rPr>
          <w:sz w:val="26"/>
          <w:szCs w:val="26"/>
        </w:rPr>
        <w:t xml:space="preserve"> </w:t>
      </w:r>
      <w:r w:rsidR="008C44F5" w:rsidRPr="00B31404">
        <w:rPr>
          <w:sz w:val="26"/>
          <w:szCs w:val="26"/>
        </w:rPr>
        <w:t xml:space="preserve">previsto en </w:t>
      </w:r>
      <w:r w:rsidR="0044046E" w:rsidRPr="00B31404">
        <w:rPr>
          <w:sz w:val="26"/>
          <w:szCs w:val="26"/>
        </w:rPr>
        <w:t>el artículo 107, fracción II</w:t>
      </w:r>
      <w:r w:rsidR="00527502">
        <w:rPr>
          <w:sz w:val="26"/>
          <w:szCs w:val="26"/>
        </w:rPr>
        <w:t>,</w:t>
      </w:r>
      <w:r w:rsidR="0044046E" w:rsidRPr="00B31404">
        <w:rPr>
          <w:sz w:val="26"/>
          <w:szCs w:val="26"/>
        </w:rPr>
        <w:t xml:space="preserve"> de la Constitución General.</w:t>
      </w:r>
    </w:p>
    <w:p w14:paraId="6A4DD2A9" w14:textId="4E82C537" w:rsidR="0044046E" w:rsidRPr="00B31404" w:rsidRDefault="00BF65CE" w:rsidP="00B31404">
      <w:pPr>
        <w:pStyle w:val="TEXTONORMAL"/>
        <w:numPr>
          <w:ilvl w:val="0"/>
          <w:numId w:val="3"/>
        </w:numPr>
        <w:spacing w:after="240"/>
        <w:ind w:left="0" w:hanging="567"/>
        <w:rPr>
          <w:sz w:val="26"/>
          <w:szCs w:val="26"/>
        </w:rPr>
      </w:pPr>
      <w:r w:rsidRPr="00B31404">
        <w:rPr>
          <w:sz w:val="26"/>
          <w:szCs w:val="26"/>
        </w:rPr>
        <w:t>Como se mencionó, l</w:t>
      </w:r>
      <w:r w:rsidR="00682301" w:rsidRPr="00B31404">
        <w:rPr>
          <w:sz w:val="26"/>
          <w:szCs w:val="26"/>
        </w:rPr>
        <w:t xml:space="preserve">a notificación </w:t>
      </w:r>
      <w:r w:rsidR="00900722" w:rsidRPr="00B31404">
        <w:rPr>
          <w:sz w:val="26"/>
          <w:szCs w:val="26"/>
        </w:rPr>
        <w:t xml:space="preserve">al Congreso de Oaxaca </w:t>
      </w:r>
      <w:r w:rsidR="00310222" w:rsidRPr="00B31404">
        <w:rPr>
          <w:sz w:val="26"/>
          <w:szCs w:val="26"/>
        </w:rPr>
        <w:t xml:space="preserve">se </w:t>
      </w:r>
      <w:r w:rsidR="00900722" w:rsidRPr="00B31404">
        <w:rPr>
          <w:sz w:val="26"/>
          <w:szCs w:val="26"/>
        </w:rPr>
        <w:t>hizo el veintisiete de octubre de dos mil veintidós</w:t>
      </w:r>
      <w:r w:rsidR="00F20026" w:rsidRPr="00B31404">
        <w:rPr>
          <w:sz w:val="26"/>
          <w:szCs w:val="26"/>
        </w:rPr>
        <w:t xml:space="preserve">, </w:t>
      </w:r>
      <w:r w:rsidR="00BB7722" w:rsidRPr="00B31404">
        <w:rPr>
          <w:sz w:val="26"/>
          <w:szCs w:val="26"/>
        </w:rPr>
        <w:t xml:space="preserve">misma que </w:t>
      </w:r>
      <w:r w:rsidR="00915C85" w:rsidRPr="00B31404">
        <w:rPr>
          <w:sz w:val="26"/>
          <w:szCs w:val="26"/>
        </w:rPr>
        <w:t>de conformidad con el artículo 31, fracción I</w:t>
      </w:r>
      <w:r w:rsidR="00801B3B">
        <w:rPr>
          <w:sz w:val="26"/>
          <w:szCs w:val="26"/>
        </w:rPr>
        <w:t>,</w:t>
      </w:r>
      <w:r w:rsidR="00915C85" w:rsidRPr="00B31404">
        <w:rPr>
          <w:sz w:val="26"/>
          <w:szCs w:val="26"/>
        </w:rPr>
        <w:t xml:space="preserve"> de la Ley de Amparo surtió efectos el mismo día</w:t>
      </w:r>
      <w:r w:rsidR="00196BB9" w:rsidRPr="00B31404">
        <w:rPr>
          <w:sz w:val="26"/>
          <w:szCs w:val="26"/>
        </w:rPr>
        <w:t xml:space="preserve">. El </w:t>
      </w:r>
      <w:r w:rsidR="003C67C9" w:rsidRPr="00B31404">
        <w:rPr>
          <w:sz w:val="26"/>
          <w:szCs w:val="26"/>
        </w:rPr>
        <w:t xml:space="preserve">primer periodo ordinario de sesiones del Congreso local </w:t>
      </w:r>
      <w:r w:rsidR="006D5523" w:rsidRPr="00B31404">
        <w:rPr>
          <w:sz w:val="26"/>
          <w:szCs w:val="26"/>
        </w:rPr>
        <w:t xml:space="preserve">inició el quince de noviembre de dos mil veintidós y </w:t>
      </w:r>
      <w:r w:rsidR="00F66B54" w:rsidRPr="00B31404">
        <w:rPr>
          <w:sz w:val="26"/>
          <w:szCs w:val="26"/>
        </w:rPr>
        <w:t>deberá terminar</w:t>
      </w:r>
      <w:r w:rsidR="006D5523" w:rsidRPr="00B31404">
        <w:rPr>
          <w:sz w:val="26"/>
          <w:szCs w:val="26"/>
        </w:rPr>
        <w:t xml:space="preserve"> el quince de abril de dos mil veintitrés.</w:t>
      </w:r>
    </w:p>
    <w:p w14:paraId="41A8FD2E" w14:textId="568175E6" w:rsidR="00EC41CD" w:rsidRPr="00B31404" w:rsidRDefault="00C67144" w:rsidP="00B31404">
      <w:pPr>
        <w:pStyle w:val="TEXTONORMAL"/>
        <w:numPr>
          <w:ilvl w:val="0"/>
          <w:numId w:val="3"/>
        </w:numPr>
        <w:spacing w:after="240"/>
        <w:ind w:left="0" w:hanging="567"/>
        <w:rPr>
          <w:sz w:val="26"/>
          <w:szCs w:val="26"/>
        </w:rPr>
      </w:pPr>
      <w:r w:rsidRPr="00B31404">
        <w:rPr>
          <w:sz w:val="26"/>
          <w:szCs w:val="26"/>
        </w:rPr>
        <w:t>Como</w:t>
      </w:r>
      <w:r w:rsidR="00B916FB" w:rsidRPr="00B31404">
        <w:rPr>
          <w:sz w:val="26"/>
          <w:szCs w:val="26"/>
        </w:rPr>
        <w:t xml:space="preserve"> el plazo de 90 (</w:t>
      </w:r>
      <w:r w:rsidR="00CC5845" w:rsidRPr="00B31404">
        <w:rPr>
          <w:sz w:val="26"/>
          <w:szCs w:val="26"/>
        </w:rPr>
        <w:t>noventa</w:t>
      </w:r>
      <w:r w:rsidR="00B916FB" w:rsidRPr="00B31404">
        <w:rPr>
          <w:sz w:val="26"/>
          <w:szCs w:val="26"/>
        </w:rPr>
        <w:t>)</w:t>
      </w:r>
      <w:r w:rsidR="00CC5845" w:rsidRPr="00B31404">
        <w:rPr>
          <w:sz w:val="26"/>
          <w:szCs w:val="26"/>
        </w:rPr>
        <w:t xml:space="preserve"> días</w:t>
      </w:r>
      <w:r w:rsidR="00B916FB" w:rsidRPr="00B31404">
        <w:rPr>
          <w:sz w:val="26"/>
          <w:szCs w:val="26"/>
        </w:rPr>
        <w:t xml:space="preserve"> para los órganos legislativos </w:t>
      </w:r>
      <w:r w:rsidR="009F4BF2" w:rsidRPr="00B31404">
        <w:rPr>
          <w:sz w:val="26"/>
          <w:szCs w:val="26"/>
        </w:rPr>
        <w:t>debe computarse dentro de los días hábiles de los periodos ordinarios de sesiones</w:t>
      </w:r>
      <w:r w:rsidR="00E91AF9" w:rsidRPr="00B31404">
        <w:rPr>
          <w:sz w:val="26"/>
          <w:szCs w:val="26"/>
        </w:rPr>
        <w:t>;</w:t>
      </w:r>
      <w:r w:rsidRPr="00B31404">
        <w:rPr>
          <w:sz w:val="26"/>
          <w:szCs w:val="26"/>
        </w:rPr>
        <w:t xml:space="preserve"> entonces, </w:t>
      </w:r>
      <w:r w:rsidR="00EC41CD" w:rsidRPr="00B31404">
        <w:rPr>
          <w:sz w:val="26"/>
          <w:szCs w:val="26"/>
        </w:rPr>
        <w:t xml:space="preserve">el primer día hábil para </w:t>
      </w:r>
      <w:r w:rsidR="00F66B54" w:rsidRPr="00B31404">
        <w:rPr>
          <w:sz w:val="26"/>
          <w:szCs w:val="26"/>
        </w:rPr>
        <w:t>efectos</w:t>
      </w:r>
      <w:r w:rsidR="00CC5845" w:rsidRPr="00B31404">
        <w:rPr>
          <w:sz w:val="26"/>
          <w:szCs w:val="26"/>
        </w:rPr>
        <w:t xml:space="preserve"> de la presente declaratoria </w:t>
      </w:r>
      <w:r w:rsidR="00D040F4" w:rsidRPr="00B31404">
        <w:rPr>
          <w:sz w:val="26"/>
          <w:szCs w:val="26"/>
        </w:rPr>
        <w:t>es el quince de noviembre de dos mil veintidós.</w:t>
      </w:r>
    </w:p>
    <w:p w14:paraId="5024359C" w14:textId="50180D81" w:rsidR="00E91AF9" w:rsidRPr="00B31404" w:rsidRDefault="00CC5845" w:rsidP="00B31404">
      <w:pPr>
        <w:pStyle w:val="TEXTONORMAL"/>
        <w:numPr>
          <w:ilvl w:val="0"/>
          <w:numId w:val="3"/>
        </w:numPr>
        <w:spacing w:after="240"/>
        <w:ind w:left="0" w:hanging="567"/>
        <w:rPr>
          <w:sz w:val="26"/>
          <w:szCs w:val="26"/>
        </w:rPr>
      </w:pPr>
      <w:r w:rsidRPr="00B31404">
        <w:rPr>
          <w:sz w:val="26"/>
          <w:szCs w:val="26"/>
        </w:rPr>
        <w:t>Consecuentemente, e</w:t>
      </w:r>
      <w:r w:rsidR="00782307" w:rsidRPr="00B31404">
        <w:rPr>
          <w:sz w:val="26"/>
          <w:szCs w:val="26"/>
        </w:rPr>
        <w:t xml:space="preserve">l último día </w:t>
      </w:r>
      <w:r w:rsidR="00D5536A" w:rsidRPr="00B31404">
        <w:rPr>
          <w:sz w:val="26"/>
          <w:szCs w:val="26"/>
        </w:rPr>
        <w:t xml:space="preserve">hábil </w:t>
      </w:r>
      <w:r w:rsidR="00606D43" w:rsidRPr="00B31404">
        <w:rPr>
          <w:sz w:val="26"/>
          <w:szCs w:val="26"/>
        </w:rPr>
        <w:t xml:space="preserve">para que el Congreso de Oaxaca </w:t>
      </w:r>
      <w:r w:rsidR="002D294E" w:rsidRPr="00B31404">
        <w:rPr>
          <w:sz w:val="26"/>
          <w:szCs w:val="26"/>
        </w:rPr>
        <w:t xml:space="preserve">superara el problema de inconstitucionalidad fue el </w:t>
      </w:r>
      <w:r w:rsidR="0096750F" w:rsidRPr="00B31404">
        <w:rPr>
          <w:sz w:val="26"/>
          <w:szCs w:val="26"/>
        </w:rPr>
        <w:t>veinticuatro de marzo de dos mil veintitrés.</w:t>
      </w:r>
    </w:p>
    <w:p w14:paraId="3369AFF0" w14:textId="73E6CFB8" w:rsidR="003A0B62" w:rsidRPr="00B31404" w:rsidRDefault="000019D3" w:rsidP="00B31404">
      <w:pPr>
        <w:pStyle w:val="TEXTONORMAL"/>
        <w:numPr>
          <w:ilvl w:val="0"/>
          <w:numId w:val="3"/>
        </w:numPr>
        <w:spacing w:after="240"/>
        <w:ind w:left="0" w:hanging="567"/>
        <w:rPr>
          <w:sz w:val="26"/>
          <w:szCs w:val="26"/>
        </w:rPr>
      </w:pPr>
      <w:r w:rsidRPr="00B31404">
        <w:rPr>
          <w:sz w:val="26"/>
          <w:szCs w:val="26"/>
        </w:rPr>
        <w:t xml:space="preserve">A </w:t>
      </w:r>
      <w:r w:rsidR="006947A1" w:rsidRPr="00B31404">
        <w:rPr>
          <w:sz w:val="26"/>
          <w:szCs w:val="26"/>
        </w:rPr>
        <w:t>continuación,</w:t>
      </w:r>
      <w:r w:rsidRPr="00B31404">
        <w:rPr>
          <w:sz w:val="26"/>
          <w:szCs w:val="26"/>
        </w:rPr>
        <w:t xml:space="preserve"> se muestra de manera </w:t>
      </w:r>
      <w:r w:rsidR="00AB22E3" w:rsidRPr="00B31404">
        <w:rPr>
          <w:sz w:val="26"/>
          <w:szCs w:val="26"/>
        </w:rPr>
        <w:t>esquematizada</w:t>
      </w:r>
      <w:r w:rsidRPr="00B31404">
        <w:rPr>
          <w:sz w:val="26"/>
          <w:szCs w:val="26"/>
        </w:rPr>
        <w:t xml:space="preserve"> </w:t>
      </w:r>
      <w:r w:rsidR="00B616F4" w:rsidRPr="00B31404">
        <w:rPr>
          <w:sz w:val="26"/>
          <w:szCs w:val="26"/>
        </w:rPr>
        <w:t xml:space="preserve">el cómputo </w:t>
      </w:r>
      <w:r w:rsidR="006947A1" w:rsidRPr="00B31404">
        <w:rPr>
          <w:sz w:val="26"/>
          <w:szCs w:val="26"/>
        </w:rPr>
        <w:t>de</w:t>
      </w:r>
      <w:r w:rsidR="00E21CDB" w:rsidRPr="00B31404">
        <w:rPr>
          <w:sz w:val="26"/>
          <w:szCs w:val="26"/>
        </w:rPr>
        <w:t>l plazo de</w:t>
      </w:r>
      <w:r w:rsidR="006947A1" w:rsidRPr="00B31404">
        <w:rPr>
          <w:sz w:val="26"/>
          <w:szCs w:val="26"/>
        </w:rPr>
        <w:t xml:space="preserve"> 90 días:</w:t>
      </w:r>
    </w:p>
    <w:tbl>
      <w:tblP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949"/>
        <w:gridCol w:w="3464"/>
      </w:tblGrid>
      <w:tr w:rsidR="005121BD" w:rsidRPr="00F35241" w14:paraId="13A386F6" w14:textId="77777777" w:rsidTr="005433D1">
        <w:tc>
          <w:tcPr>
            <w:tcW w:w="8613" w:type="dxa"/>
            <w:gridSpan w:val="2"/>
            <w:tcBorders>
              <w:bottom w:val="single" w:sz="12" w:space="0" w:color="auto"/>
            </w:tcBorders>
            <w:shd w:val="clear" w:color="auto" w:fill="auto"/>
          </w:tcPr>
          <w:p w14:paraId="62CD8BBF" w14:textId="7828B0AA" w:rsidR="00FC099A" w:rsidRPr="005121BD" w:rsidRDefault="00FC099A" w:rsidP="00CC5845">
            <w:pPr>
              <w:pStyle w:val="TEXTONORMAL"/>
              <w:spacing w:before="120" w:after="120" w:line="240" w:lineRule="auto"/>
              <w:ind w:firstLine="0"/>
              <w:jc w:val="center"/>
              <w:rPr>
                <w:b/>
                <w:bCs/>
                <w:sz w:val="24"/>
                <w:szCs w:val="24"/>
              </w:rPr>
            </w:pPr>
            <w:r w:rsidRPr="005121BD">
              <w:rPr>
                <w:b/>
                <w:bCs/>
                <w:sz w:val="24"/>
                <w:szCs w:val="24"/>
              </w:rPr>
              <w:t>Plazo para superar el vicio de inconstitucionalidad</w:t>
            </w:r>
          </w:p>
        </w:tc>
      </w:tr>
      <w:tr w:rsidR="005121BD" w:rsidRPr="00F35241" w14:paraId="07BBA23B" w14:textId="77777777" w:rsidTr="005433D1">
        <w:tc>
          <w:tcPr>
            <w:tcW w:w="5070" w:type="dxa"/>
            <w:tcBorders>
              <w:top w:val="single" w:sz="12" w:space="0" w:color="auto"/>
              <w:bottom w:val="dashSmallGap" w:sz="4" w:space="0" w:color="4472C4"/>
              <w:right w:val="single" w:sz="12" w:space="0" w:color="auto"/>
            </w:tcBorders>
            <w:shd w:val="clear" w:color="auto" w:fill="auto"/>
          </w:tcPr>
          <w:p w14:paraId="28F293B0" w14:textId="5EB92D5D" w:rsidR="00E21CDB" w:rsidRPr="005121BD" w:rsidRDefault="00F35241" w:rsidP="00CC5845">
            <w:pPr>
              <w:pStyle w:val="TEXTONORMAL"/>
              <w:spacing w:line="240" w:lineRule="auto"/>
              <w:ind w:firstLine="0"/>
              <w:rPr>
                <w:sz w:val="24"/>
                <w:szCs w:val="24"/>
              </w:rPr>
            </w:pPr>
            <w:r w:rsidRPr="005433D1">
              <w:rPr>
                <w:sz w:val="24"/>
                <w:szCs w:val="24"/>
              </w:rPr>
              <w:t>N</w:t>
            </w:r>
            <w:r w:rsidR="007F23F3" w:rsidRPr="005121BD">
              <w:rPr>
                <w:sz w:val="24"/>
                <w:szCs w:val="24"/>
              </w:rPr>
              <w:t xml:space="preserve">otificación al Congreso de Oaxaca y </w:t>
            </w:r>
            <w:r w:rsidR="003F0592" w:rsidRPr="005433D1">
              <w:rPr>
                <w:sz w:val="24"/>
                <w:szCs w:val="24"/>
              </w:rPr>
              <w:t xml:space="preserve">fecha </w:t>
            </w:r>
            <w:r w:rsidR="000A71AC" w:rsidRPr="005121BD">
              <w:rPr>
                <w:sz w:val="24"/>
                <w:szCs w:val="24"/>
              </w:rPr>
              <w:t>en que surtió efectos</w:t>
            </w:r>
          </w:p>
        </w:tc>
        <w:tc>
          <w:tcPr>
            <w:tcW w:w="3543" w:type="dxa"/>
            <w:tcBorders>
              <w:top w:val="single" w:sz="12" w:space="0" w:color="auto"/>
              <w:left w:val="single" w:sz="12" w:space="0" w:color="auto"/>
              <w:bottom w:val="dashSmallGap" w:sz="4" w:space="0" w:color="4472C4"/>
            </w:tcBorders>
            <w:shd w:val="clear" w:color="auto" w:fill="auto"/>
            <w:vAlign w:val="center"/>
          </w:tcPr>
          <w:p w14:paraId="7D188859" w14:textId="73A19CBB" w:rsidR="00E21CDB" w:rsidRPr="005121BD" w:rsidRDefault="000A71AC" w:rsidP="00B31404">
            <w:pPr>
              <w:pStyle w:val="TEXTONORMAL"/>
              <w:spacing w:line="240" w:lineRule="auto"/>
              <w:ind w:hanging="567"/>
              <w:jc w:val="center"/>
              <w:rPr>
                <w:sz w:val="24"/>
                <w:szCs w:val="24"/>
              </w:rPr>
            </w:pPr>
            <w:r w:rsidRPr="005121BD">
              <w:rPr>
                <w:sz w:val="24"/>
                <w:szCs w:val="24"/>
              </w:rPr>
              <w:t>27 de octubre de 2022</w:t>
            </w:r>
          </w:p>
        </w:tc>
      </w:tr>
      <w:tr w:rsidR="005121BD" w:rsidRPr="00F35241" w14:paraId="7316209C" w14:textId="77777777" w:rsidTr="002A0393">
        <w:tc>
          <w:tcPr>
            <w:tcW w:w="5070" w:type="dxa"/>
            <w:tcBorders>
              <w:top w:val="dashSmallGap" w:sz="4" w:space="0" w:color="4472C4"/>
              <w:bottom w:val="dashSmallGap" w:sz="4" w:space="0" w:color="4472C4"/>
              <w:right w:val="single" w:sz="12" w:space="0" w:color="auto"/>
            </w:tcBorders>
            <w:shd w:val="clear" w:color="auto" w:fill="auto"/>
            <w:vAlign w:val="center"/>
          </w:tcPr>
          <w:p w14:paraId="2A1E5423" w14:textId="29D0C682" w:rsidR="00E21CDB" w:rsidRPr="005121BD" w:rsidRDefault="00DF277D" w:rsidP="002A0393">
            <w:pPr>
              <w:pStyle w:val="TEXTONORMAL"/>
              <w:spacing w:line="240" w:lineRule="auto"/>
              <w:ind w:firstLine="0"/>
              <w:jc w:val="left"/>
              <w:rPr>
                <w:sz w:val="24"/>
                <w:szCs w:val="24"/>
              </w:rPr>
            </w:pPr>
            <w:r w:rsidRPr="005121BD">
              <w:rPr>
                <w:sz w:val="24"/>
                <w:szCs w:val="24"/>
              </w:rPr>
              <w:t>Periodo ordinario de sesiones del Congreso de Oaxaca</w:t>
            </w:r>
          </w:p>
        </w:tc>
        <w:tc>
          <w:tcPr>
            <w:tcW w:w="3543" w:type="dxa"/>
            <w:tcBorders>
              <w:top w:val="dashSmallGap" w:sz="4" w:space="0" w:color="4472C4"/>
              <w:left w:val="single" w:sz="12" w:space="0" w:color="auto"/>
              <w:bottom w:val="dashSmallGap" w:sz="4" w:space="0" w:color="4472C4"/>
            </w:tcBorders>
            <w:shd w:val="clear" w:color="auto" w:fill="auto"/>
            <w:vAlign w:val="center"/>
          </w:tcPr>
          <w:p w14:paraId="75E00622" w14:textId="77777777" w:rsidR="00CC5845" w:rsidRDefault="001F1176">
            <w:pPr>
              <w:pStyle w:val="TEXTONORMAL"/>
              <w:spacing w:line="240" w:lineRule="auto"/>
              <w:ind w:hanging="567"/>
              <w:jc w:val="center"/>
              <w:rPr>
                <w:sz w:val="24"/>
                <w:szCs w:val="24"/>
              </w:rPr>
            </w:pPr>
            <w:r w:rsidRPr="005121BD">
              <w:rPr>
                <w:sz w:val="24"/>
                <w:szCs w:val="24"/>
              </w:rPr>
              <w:t>15 de noviembre de 2022</w:t>
            </w:r>
          </w:p>
          <w:p w14:paraId="54F5FDF3" w14:textId="0E087793" w:rsidR="00D02021" w:rsidRPr="005433D1" w:rsidRDefault="001F1176" w:rsidP="00B31404">
            <w:pPr>
              <w:pStyle w:val="TEXTONORMAL"/>
              <w:spacing w:line="240" w:lineRule="auto"/>
              <w:ind w:hanging="567"/>
              <w:jc w:val="center"/>
              <w:rPr>
                <w:sz w:val="24"/>
                <w:szCs w:val="24"/>
              </w:rPr>
            </w:pPr>
            <w:r w:rsidRPr="005121BD">
              <w:rPr>
                <w:sz w:val="24"/>
                <w:szCs w:val="24"/>
              </w:rPr>
              <w:t xml:space="preserve"> al</w:t>
            </w:r>
            <w:r w:rsidR="004E257B" w:rsidRPr="005121BD">
              <w:rPr>
                <w:sz w:val="24"/>
                <w:szCs w:val="24"/>
              </w:rPr>
              <w:t xml:space="preserve"> </w:t>
            </w:r>
          </w:p>
          <w:p w14:paraId="688E91B0" w14:textId="458330DA" w:rsidR="00E21CDB" w:rsidRPr="005121BD" w:rsidRDefault="004E257B" w:rsidP="00B31404">
            <w:pPr>
              <w:pStyle w:val="TEXTONORMAL"/>
              <w:spacing w:line="240" w:lineRule="auto"/>
              <w:ind w:hanging="567"/>
              <w:jc w:val="center"/>
              <w:rPr>
                <w:sz w:val="24"/>
                <w:szCs w:val="24"/>
              </w:rPr>
            </w:pPr>
            <w:r w:rsidRPr="005121BD">
              <w:rPr>
                <w:sz w:val="24"/>
                <w:szCs w:val="24"/>
              </w:rPr>
              <w:t>15 de abril de 2022</w:t>
            </w:r>
          </w:p>
        </w:tc>
      </w:tr>
      <w:tr w:rsidR="005121BD" w:rsidRPr="00F35241" w14:paraId="22926A0D" w14:textId="77777777" w:rsidTr="005433D1">
        <w:tc>
          <w:tcPr>
            <w:tcW w:w="5070" w:type="dxa"/>
            <w:tcBorders>
              <w:top w:val="dashSmallGap" w:sz="4" w:space="0" w:color="4472C4"/>
              <w:bottom w:val="dashSmallGap" w:sz="4" w:space="0" w:color="4472C4"/>
              <w:right w:val="single" w:sz="12" w:space="0" w:color="auto"/>
            </w:tcBorders>
            <w:shd w:val="clear" w:color="auto" w:fill="auto"/>
          </w:tcPr>
          <w:p w14:paraId="55725438" w14:textId="0DA7A28E" w:rsidR="00E21CDB" w:rsidRPr="005121BD" w:rsidRDefault="001261E4" w:rsidP="00CC5845">
            <w:pPr>
              <w:pStyle w:val="TEXTONORMAL"/>
              <w:spacing w:line="240" w:lineRule="auto"/>
              <w:ind w:firstLine="0"/>
              <w:rPr>
                <w:sz w:val="24"/>
                <w:szCs w:val="24"/>
              </w:rPr>
            </w:pPr>
            <w:r w:rsidRPr="005121BD">
              <w:rPr>
                <w:sz w:val="24"/>
                <w:szCs w:val="24"/>
              </w:rPr>
              <w:t>Plazo para reformar o derogar las disposiciones legales</w:t>
            </w:r>
          </w:p>
        </w:tc>
        <w:tc>
          <w:tcPr>
            <w:tcW w:w="3543" w:type="dxa"/>
            <w:tcBorders>
              <w:top w:val="dashSmallGap" w:sz="4" w:space="0" w:color="4472C4"/>
              <w:left w:val="single" w:sz="12" w:space="0" w:color="auto"/>
              <w:bottom w:val="dashSmallGap" w:sz="4" w:space="0" w:color="4472C4"/>
            </w:tcBorders>
            <w:shd w:val="clear" w:color="auto" w:fill="auto"/>
            <w:vAlign w:val="center"/>
          </w:tcPr>
          <w:p w14:paraId="1E15CCFA" w14:textId="730EEAF4" w:rsidR="00E21CDB" w:rsidRPr="005121BD" w:rsidRDefault="001261E4" w:rsidP="00B31404">
            <w:pPr>
              <w:pStyle w:val="TEXTONORMAL"/>
              <w:spacing w:line="240" w:lineRule="auto"/>
              <w:ind w:hanging="567"/>
              <w:jc w:val="center"/>
              <w:rPr>
                <w:sz w:val="24"/>
                <w:szCs w:val="24"/>
              </w:rPr>
            </w:pPr>
            <w:r w:rsidRPr="005121BD">
              <w:rPr>
                <w:sz w:val="24"/>
                <w:szCs w:val="24"/>
              </w:rPr>
              <w:t>90 días hábiles</w:t>
            </w:r>
          </w:p>
        </w:tc>
      </w:tr>
      <w:tr w:rsidR="005121BD" w:rsidRPr="00F35241" w14:paraId="3979B5DE" w14:textId="77777777" w:rsidTr="002A0393">
        <w:tc>
          <w:tcPr>
            <w:tcW w:w="5070" w:type="dxa"/>
            <w:tcBorders>
              <w:top w:val="dashSmallGap" w:sz="4" w:space="0" w:color="4472C4"/>
              <w:bottom w:val="single" w:sz="12" w:space="0" w:color="auto"/>
              <w:right w:val="single" w:sz="12" w:space="0" w:color="auto"/>
            </w:tcBorders>
            <w:shd w:val="clear" w:color="auto" w:fill="auto"/>
            <w:vAlign w:val="center"/>
          </w:tcPr>
          <w:p w14:paraId="58F34708" w14:textId="493D6AF0" w:rsidR="00E21CDB" w:rsidRPr="005121BD" w:rsidRDefault="00FC099A" w:rsidP="002A0393">
            <w:pPr>
              <w:pStyle w:val="TEXTONORMAL"/>
              <w:spacing w:line="240" w:lineRule="auto"/>
              <w:ind w:firstLine="0"/>
              <w:jc w:val="left"/>
              <w:rPr>
                <w:sz w:val="24"/>
                <w:szCs w:val="24"/>
              </w:rPr>
            </w:pPr>
            <w:r w:rsidRPr="005433D1">
              <w:rPr>
                <w:sz w:val="24"/>
                <w:szCs w:val="24"/>
              </w:rPr>
              <w:t>Inicio y término del plazo</w:t>
            </w:r>
          </w:p>
        </w:tc>
        <w:tc>
          <w:tcPr>
            <w:tcW w:w="3543" w:type="dxa"/>
            <w:tcBorders>
              <w:top w:val="dashSmallGap" w:sz="4" w:space="0" w:color="4472C4"/>
              <w:left w:val="single" w:sz="12" w:space="0" w:color="auto"/>
            </w:tcBorders>
            <w:shd w:val="clear" w:color="auto" w:fill="auto"/>
            <w:vAlign w:val="center"/>
          </w:tcPr>
          <w:p w14:paraId="211D1FDE" w14:textId="2AB7CAE4" w:rsidR="002E17AA" w:rsidRDefault="001C31A2" w:rsidP="00B31404">
            <w:pPr>
              <w:pStyle w:val="TEXTONORMAL"/>
              <w:spacing w:line="240" w:lineRule="auto"/>
              <w:ind w:hanging="567"/>
              <w:jc w:val="center"/>
              <w:rPr>
                <w:sz w:val="24"/>
                <w:szCs w:val="24"/>
              </w:rPr>
            </w:pPr>
            <w:r>
              <w:rPr>
                <w:sz w:val="24"/>
                <w:szCs w:val="24"/>
              </w:rPr>
              <w:t>15 de noviembre de 2022</w:t>
            </w:r>
          </w:p>
          <w:p w14:paraId="286ED226" w14:textId="25DC695B" w:rsidR="001C31A2" w:rsidRDefault="001C31A2" w:rsidP="00B31404">
            <w:pPr>
              <w:pStyle w:val="TEXTONORMAL"/>
              <w:spacing w:line="240" w:lineRule="auto"/>
              <w:ind w:hanging="567"/>
              <w:jc w:val="center"/>
              <w:rPr>
                <w:sz w:val="24"/>
                <w:szCs w:val="24"/>
              </w:rPr>
            </w:pPr>
            <w:r>
              <w:rPr>
                <w:sz w:val="24"/>
                <w:szCs w:val="24"/>
              </w:rPr>
              <w:t>a</w:t>
            </w:r>
          </w:p>
          <w:p w14:paraId="07F8DBB8" w14:textId="057CD5A7" w:rsidR="00E21CDB" w:rsidRPr="005121BD" w:rsidRDefault="00F35241" w:rsidP="00B31404">
            <w:pPr>
              <w:pStyle w:val="TEXTONORMAL"/>
              <w:spacing w:line="240" w:lineRule="auto"/>
              <w:ind w:hanging="567"/>
              <w:jc w:val="center"/>
              <w:rPr>
                <w:sz w:val="24"/>
                <w:szCs w:val="24"/>
              </w:rPr>
            </w:pPr>
            <w:r w:rsidRPr="005121BD">
              <w:rPr>
                <w:sz w:val="24"/>
                <w:szCs w:val="24"/>
              </w:rPr>
              <w:t>24 de marzo de 2023</w:t>
            </w:r>
          </w:p>
        </w:tc>
      </w:tr>
    </w:tbl>
    <w:p w14:paraId="2B851BCF" w14:textId="28A42494" w:rsidR="00863343" w:rsidRDefault="00863343" w:rsidP="00B31404">
      <w:pPr>
        <w:pStyle w:val="TEXTONORMAL"/>
        <w:ind w:hanging="567"/>
      </w:pPr>
    </w:p>
    <w:p w14:paraId="24226F3A" w14:textId="0D8AA56C" w:rsidR="001C31A2" w:rsidRPr="001C31A2" w:rsidRDefault="001C31A2" w:rsidP="002A0393">
      <w:pPr>
        <w:tabs>
          <w:tab w:val="left" w:pos="6179"/>
        </w:tabs>
      </w:pPr>
    </w:p>
    <w:tbl>
      <w:tblPr>
        <w:tblW w:w="85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2835"/>
        <w:gridCol w:w="3827"/>
      </w:tblGrid>
      <w:tr w:rsidR="009A311B" w:rsidRPr="00DF256A" w14:paraId="29D3B808" w14:textId="77777777" w:rsidTr="00B31404">
        <w:tc>
          <w:tcPr>
            <w:tcW w:w="8575"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7320B1A7" w14:textId="3B2F50C6" w:rsidR="00F35241" w:rsidRPr="005121BD" w:rsidRDefault="003F0592" w:rsidP="00B31404">
            <w:pPr>
              <w:pStyle w:val="TEXTONORMAL"/>
              <w:spacing w:before="120" w:after="120" w:line="240" w:lineRule="auto"/>
              <w:ind w:firstLine="0"/>
              <w:jc w:val="center"/>
              <w:rPr>
                <w:b/>
                <w:bCs/>
                <w:sz w:val="24"/>
                <w:szCs w:val="24"/>
              </w:rPr>
            </w:pPr>
            <w:r w:rsidRPr="005121BD">
              <w:rPr>
                <w:b/>
                <w:bCs/>
                <w:sz w:val="24"/>
                <w:szCs w:val="24"/>
              </w:rPr>
              <w:lastRenderedPageBreak/>
              <w:t xml:space="preserve">Días inhábiles </w:t>
            </w:r>
            <w:r w:rsidR="00685132" w:rsidRPr="005121BD">
              <w:rPr>
                <w:b/>
                <w:bCs/>
                <w:sz w:val="24"/>
                <w:szCs w:val="24"/>
              </w:rPr>
              <w:t xml:space="preserve">del </w:t>
            </w:r>
            <w:r w:rsidR="002179DE" w:rsidRPr="005121BD">
              <w:rPr>
                <w:b/>
                <w:bCs/>
                <w:sz w:val="24"/>
                <w:szCs w:val="24"/>
              </w:rPr>
              <w:t>año 2022</w:t>
            </w:r>
            <w:r w:rsidR="00BE3100" w:rsidRPr="005433D1">
              <w:rPr>
                <w:rStyle w:val="Refdenotaalpie"/>
                <w:sz w:val="24"/>
                <w:szCs w:val="24"/>
              </w:rPr>
              <w:footnoteReference w:id="17"/>
            </w:r>
          </w:p>
        </w:tc>
      </w:tr>
      <w:tr w:rsidR="005121BD" w:rsidRPr="00E30D05" w14:paraId="4944ABEE" w14:textId="77777777" w:rsidTr="00B31404">
        <w:trPr>
          <w:trHeight w:val="180"/>
        </w:trPr>
        <w:tc>
          <w:tcPr>
            <w:tcW w:w="1913" w:type="dxa"/>
            <w:vMerge w:val="restart"/>
            <w:tcBorders>
              <w:top w:val="single" w:sz="12" w:space="0" w:color="auto"/>
              <w:left w:val="single" w:sz="12" w:space="0" w:color="auto"/>
              <w:right w:val="single" w:sz="12" w:space="0" w:color="auto"/>
            </w:tcBorders>
            <w:shd w:val="clear" w:color="auto" w:fill="auto"/>
            <w:vAlign w:val="center"/>
          </w:tcPr>
          <w:p w14:paraId="58B2DA89" w14:textId="77777777" w:rsidR="00671B86" w:rsidRPr="005433D1" w:rsidRDefault="00E30D05" w:rsidP="00B31404">
            <w:pPr>
              <w:pStyle w:val="TEXTONORMAL"/>
              <w:spacing w:line="240" w:lineRule="auto"/>
              <w:ind w:firstLine="99"/>
              <w:jc w:val="center"/>
              <w:rPr>
                <w:sz w:val="24"/>
                <w:szCs w:val="24"/>
              </w:rPr>
            </w:pPr>
            <w:r w:rsidRPr="005433D1">
              <w:rPr>
                <w:sz w:val="24"/>
                <w:szCs w:val="24"/>
              </w:rPr>
              <w:t xml:space="preserve">15 — 30 </w:t>
            </w:r>
          </w:p>
          <w:p w14:paraId="2FB6AC50" w14:textId="0173F60C" w:rsidR="00E30D05" w:rsidRPr="005121BD" w:rsidRDefault="00E30D05" w:rsidP="00B31404">
            <w:pPr>
              <w:pStyle w:val="TEXTONORMAL"/>
              <w:spacing w:line="240" w:lineRule="auto"/>
              <w:ind w:firstLine="99"/>
              <w:jc w:val="center"/>
              <w:rPr>
                <w:sz w:val="24"/>
                <w:szCs w:val="24"/>
              </w:rPr>
            </w:pPr>
            <w:r w:rsidRPr="005433D1">
              <w:rPr>
                <w:sz w:val="24"/>
                <w:szCs w:val="24"/>
              </w:rPr>
              <w:t>de noviembre</w:t>
            </w:r>
          </w:p>
        </w:tc>
        <w:tc>
          <w:tcPr>
            <w:tcW w:w="2835" w:type="dxa"/>
            <w:tcBorders>
              <w:top w:val="single" w:sz="12" w:space="0" w:color="auto"/>
              <w:left w:val="single" w:sz="12" w:space="0" w:color="auto"/>
              <w:bottom w:val="dashSmallGap" w:sz="4" w:space="0" w:color="4472C4"/>
              <w:right w:val="single" w:sz="12" w:space="0" w:color="auto"/>
            </w:tcBorders>
            <w:shd w:val="clear" w:color="auto" w:fill="auto"/>
          </w:tcPr>
          <w:p w14:paraId="65F11F1F" w14:textId="5DD89F6C" w:rsidR="00E30D05" w:rsidRPr="005433D1" w:rsidRDefault="002F5A90" w:rsidP="00B31404">
            <w:pPr>
              <w:pStyle w:val="TEXTONORMAL"/>
              <w:spacing w:line="240" w:lineRule="auto"/>
              <w:ind w:firstLine="0"/>
              <w:rPr>
                <w:sz w:val="24"/>
                <w:szCs w:val="24"/>
              </w:rPr>
            </w:pPr>
            <w:r w:rsidRPr="005433D1">
              <w:rPr>
                <w:sz w:val="24"/>
                <w:szCs w:val="24"/>
              </w:rPr>
              <w:t xml:space="preserve">Sábados y </w:t>
            </w:r>
            <w:r w:rsidR="006200E9" w:rsidRPr="005433D1">
              <w:rPr>
                <w:sz w:val="24"/>
                <w:szCs w:val="24"/>
              </w:rPr>
              <w:t>domingos</w:t>
            </w:r>
          </w:p>
        </w:tc>
        <w:tc>
          <w:tcPr>
            <w:tcW w:w="3827" w:type="dxa"/>
            <w:tcBorders>
              <w:top w:val="single" w:sz="12" w:space="0" w:color="auto"/>
              <w:left w:val="single" w:sz="12" w:space="0" w:color="auto"/>
              <w:bottom w:val="dashSmallGap" w:sz="4" w:space="0" w:color="4472C4"/>
              <w:right w:val="single" w:sz="12" w:space="0" w:color="auto"/>
            </w:tcBorders>
            <w:shd w:val="clear" w:color="auto" w:fill="auto"/>
            <w:vAlign w:val="center"/>
          </w:tcPr>
          <w:p w14:paraId="0DFD51EE" w14:textId="69DFE037" w:rsidR="00E30D05" w:rsidRPr="005121BD" w:rsidRDefault="00DF1CC8" w:rsidP="00B31404">
            <w:pPr>
              <w:pStyle w:val="TEXTONORMAL"/>
              <w:spacing w:line="240" w:lineRule="auto"/>
              <w:ind w:firstLine="0"/>
              <w:jc w:val="left"/>
              <w:rPr>
                <w:sz w:val="24"/>
                <w:szCs w:val="24"/>
              </w:rPr>
            </w:pPr>
            <w:r w:rsidRPr="005433D1">
              <w:rPr>
                <w:sz w:val="24"/>
                <w:szCs w:val="24"/>
              </w:rPr>
              <w:t>19, 20, 26 y 27</w:t>
            </w:r>
            <w:r w:rsidR="00122245" w:rsidRPr="005433D1">
              <w:rPr>
                <w:sz w:val="24"/>
                <w:szCs w:val="24"/>
              </w:rPr>
              <w:t>.</w:t>
            </w:r>
          </w:p>
        </w:tc>
      </w:tr>
      <w:tr w:rsidR="005121BD" w:rsidRPr="00DF1CC8" w14:paraId="15FB61EF" w14:textId="77777777" w:rsidTr="00B31404">
        <w:trPr>
          <w:trHeight w:val="180"/>
        </w:trPr>
        <w:tc>
          <w:tcPr>
            <w:tcW w:w="1913" w:type="dxa"/>
            <w:vMerge/>
            <w:tcBorders>
              <w:left w:val="single" w:sz="12" w:space="0" w:color="auto"/>
              <w:bottom w:val="single" w:sz="8" w:space="0" w:color="auto"/>
              <w:right w:val="single" w:sz="12" w:space="0" w:color="auto"/>
            </w:tcBorders>
            <w:shd w:val="clear" w:color="auto" w:fill="auto"/>
          </w:tcPr>
          <w:p w14:paraId="783003E7" w14:textId="77777777" w:rsidR="00DF1CC8" w:rsidRPr="005121BD" w:rsidRDefault="00DF1CC8" w:rsidP="00B31404">
            <w:pPr>
              <w:pStyle w:val="TEXTONORMAL"/>
              <w:spacing w:line="240" w:lineRule="auto"/>
              <w:ind w:firstLine="99"/>
              <w:jc w:val="center"/>
              <w:rPr>
                <w:sz w:val="24"/>
                <w:szCs w:val="24"/>
              </w:rPr>
            </w:pPr>
          </w:p>
        </w:tc>
        <w:tc>
          <w:tcPr>
            <w:tcW w:w="2835" w:type="dxa"/>
            <w:tcBorders>
              <w:top w:val="dashSmallGap" w:sz="4" w:space="0" w:color="4472C4"/>
              <w:left w:val="single" w:sz="12" w:space="0" w:color="auto"/>
              <w:bottom w:val="single" w:sz="8" w:space="0" w:color="auto"/>
              <w:right w:val="single" w:sz="12" w:space="0" w:color="auto"/>
            </w:tcBorders>
            <w:shd w:val="clear" w:color="auto" w:fill="auto"/>
          </w:tcPr>
          <w:p w14:paraId="5213C4DE" w14:textId="46155374" w:rsidR="00DF1CC8" w:rsidRPr="005433D1" w:rsidRDefault="00DE1451" w:rsidP="00B31404">
            <w:pPr>
              <w:pStyle w:val="TEXTONORMAL"/>
              <w:spacing w:line="240" w:lineRule="auto"/>
              <w:ind w:firstLine="0"/>
              <w:rPr>
                <w:sz w:val="24"/>
                <w:szCs w:val="24"/>
              </w:rPr>
            </w:pPr>
            <w:r w:rsidRPr="005433D1">
              <w:rPr>
                <w:sz w:val="24"/>
                <w:szCs w:val="24"/>
              </w:rPr>
              <w:t>Inhábiles por calendario</w:t>
            </w:r>
          </w:p>
        </w:tc>
        <w:tc>
          <w:tcPr>
            <w:tcW w:w="3827" w:type="dxa"/>
            <w:tcBorders>
              <w:top w:val="dashSmallGap" w:sz="4" w:space="0" w:color="4472C4"/>
              <w:left w:val="single" w:sz="12" w:space="0" w:color="auto"/>
              <w:bottom w:val="single" w:sz="8" w:space="0" w:color="auto"/>
              <w:right w:val="single" w:sz="12" w:space="0" w:color="auto"/>
            </w:tcBorders>
            <w:shd w:val="clear" w:color="auto" w:fill="auto"/>
          </w:tcPr>
          <w:p w14:paraId="6512B2DF" w14:textId="6B7A5287" w:rsidR="00DF1CC8" w:rsidRPr="005121BD" w:rsidRDefault="00D32A37" w:rsidP="00B31404">
            <w:pPr>
              <w:pStyle w:val="TEXTONORMAL"/>
              <w:spacing w:line="240" w:lineRule="auto"/>
              <w:ind w:firstLine="0"/>
              <w:jc w:val="left"/>
              <w:rPr>
                <w:sz w:val="24"/>
                <w:szCs w:val="24"/>
              </w:rPr>
            </w:pPr>
            <w:r w:rsidRPr="005433D1">
              <w:rPr>
                <w:sz w:val="24"/>
                <w:szCs w:val="24"/>
              </w:rPr>
              <w:t>21</w:t>
            </w:r>
            <w:r w:rsidR="00122245" w:rsidRPr="005433D1">
              <w:rPr>
                <w:sz w:val="24"/>
                <w:szCs w:val="24"/>
              </w:rPr>
              <w:t>.</w:t>
            </w:r>
          </w:p>
        </w:tc>
      </w:tr>
      <w:tr w:rsidR="005121BD" w:rsidRPr="001D7D5B" w14:paraId="2C61C053" w14:textId="77777777" w:rsidTr="00B31404">
        <w:trPr>
          <w:trHeight w:val="170"/>
        </w:trPr>
        <w:tc>
          <w:tcPr>
            <w:tcW w:w="1913" w:type="dxa"/>
            <w:vMerge w:val="restart"/>
            <w:tcBorders>
              <w:top w:val="single" w:sz="8" w:space="0" w:color="auto"/>
              <w:left w:val="single" w:sz="12" w:space="0" w:color="auto"/>
              <w:right w:val="single" w:sz="12" w:space="0" w:color="auto"/>
            </w:tcBorders>
            <w:shd w:val="clear" w:color="auto" w:fill="auto"/>
            <w:vAlign w:val="center"/>
          </w:tcPr>
          <w:p w14:paraId="369FBFD4" w14:textId="77777777" w:rsidR="00671B86" w:rsidRPr="005433D1" w:rsidRDefault="00D32A37" w:rsidP="00B31404">
            <w:pPr>
              <w:pStyle w:val="TEXTONORMAL"/>
              <w:spacing w:line="240" w:lineRule="auto"/>
              <w:ind w:firstLine="99"/>
              <w:jc w:val="center"/>
              <w:rPr>
                <w:sz w:val="24"/>
                <w:szCs w:val="24"/>
              </w:rPr>
            </w:pPr>
            <w:r w:rsidRPr="005433D1">
              <w:rPr>
                <w:sz w:val="24"/>
                <w:szCs w:val="24"/>
              </w:rPr>
              <w:t>1 — 31</w:t>
            </w:r>
          </w:p>
          <w:p w14:paraId="709963FF" w14:textId="54756490" w:rsidR="00D32A37" w:rsidRPr="005433D1" w:rsidRDefault="00D32A37" w:rsidP="00B31404">
            <w:pPr>
              <w:pStyle w:val="TEXTONORMAL"/>
              <w:spacing w:line="240" w:lineRule="auto"/>
              <w:ind w:firstLine="99"/>
              <w:jc w:val="center"/>
              <w:rPr>
                <w:sz w:val="24"/>
                <w:szCs w:val="24"/>
              </w:rPr>
            </w:pPr>
            <w:r w:rsidRPr="005433D1">
              <w:rPr>
                <w:sz w:val="24"/>
                <w:szCs w:val="24"/>
              </w:rPr>
              <w:t xml:space="preserve"> de diciembre</w:t>
            </w:r>
          </w:p>
        </w:tc>
        <w:tc>
          <w:tcPr>
            <w:tcW w:w="2835" w:type="dxa"/>
            <w:tcBorders>
              <w:top w:val="single" w:sz="8" w:space="0" w:color="auto"/>
              <w:left w:val="single" w:sz="12" w:space="0" w:color="auto"/>
              <w:bottom w:val="dashSmallGap" w:sz="4" w:space="0" w:color="4472C4"/>
              <w:right w:val="single" w:sz="12" w:space="0" w:color="auto"/>
            </w:tcBorders>
            <w:shd w:val="clear" w:color="auto" w:fill="auto"/>
          </w:tcPr>
          <w:p w14:paraId="72315754" w14:textId="23323E39" w:rsidR="00D32A37" w:rsidRPr="005433D1" w:rsidRDefault="00D32A37" w:rsidP="00B31404">
            <w:pPr>
              <w:pStyle w:val="TEXTONORMAL"/>
              <w:spacing w:line="240" w:lineRule="auto"/>
              <w:ind w:firstLine="0"/>
              <w:rPr>
                <w:sz w:val="24"/>
                <w:szCs w:val="24"/>
              </w:rPr>
            </w:pPr>
            <w:r w:rsidRPr="005433D1">
              <w:rPr>
                <w:sz w:val="24"/>
                <w:szCs w:val="24"/>
              </w:rPr>
              <w:t>Sábados y domingos</w:t>
            </w:r>
          </w:p>
        </w:tc>
        <w:tc>
          <w:tcPr>
            <w:tcW w:w="3827" w:type="dxa"/>
            <w:tcBorders>
              <w:top w:val="single" w:sz="8" w:space="0" w:color="auto"/>
              <w:left w:val="single" w:sz="12" w:space="0" w:color="auto"/>
              <w:bottom w:val="dashSmallGap" w:sz="4" w:space="0" w:color="4472C4"/>
              <w:right w:val="single" w:sz="12" w:space="0" w:color="auto"/>
            </w:tcBorders>
            <w:shd w:val="clear" w:color="auto" w:fill="auto"/>
          </w:tcPr>
          <w:p w14:paraId="479E260C" w14:textId="757DEABD" w:rsidR="00D32A37" w:rsidRPr="005433D1" w:rsidRDefault="00E4445B" w:rsidP="00B31404">
            <w:pPr>
              <w:pStyle w:val="TEXTONORMAL"/>
              <w:spacing w:line="240" w:lineRule="auto"/>
              <w:ind w:firstLine="0"/>
              <w:jc w:val="left"/>
              <w:rPr>
                <w:sz w:val="24"/>
                <w:szCs w:val="24"/>
              </w:rPr>
            </w:pPr>
            <w:r w:rsidRPr="005433D1">
              <w:rPr>
                <w:sz w:val="24"/>
                <w:szCs w:val="24"/>
              </w:rPr>
              <w:t xml:space="preserve">3, 4, </w:t>
            </w:r>
            <w:r w:rsidR="006F3E2C" w:rsidRPr="005433D1">
              <w:rPr>
                <w:sz w:val="24"/>
                <w:szCs w:val="24"/>
              </w:rPr>
              <w:t xml:space="preserve">10, 11, </w:t>
            </w:r>
            <w:r w:rsidR="007F3FEF" w:rsidRPr="005433D1">
              <w:rPr>
                <w:sz w:val="24"/>
                <w:szCs w:val="24"/>
              </w:rPr>
              <w:t>17, 18, 24, 25 y 31</w:t>
            </w:r>
            <w:r w:rsidR="00122245" w:rsidRPr="005433D1">
              <w:rPr>
                <w:sz w:val="24"/>
                <w:szCs w:val="24"/>
              </w:rPr>
              <w:t>.</w:t>
            </w:r>
          </w:p>
        </w:tc>
      </w:tr>
      <w:tr w:rsidR="005121BD" w:rsidRPr="001D7D5B" w14:paraId="7FCE35C2" w14:textId="77777777" w:rsidTr="00B31404">
        <w:trPr>
          <w:trHeight w:val="170"/>
        </w:trPr>
        <w:tc>
          <w:tcPr>
            <w:tcW w:w="1913" w:type="dxa"/>
            <w:vMerge/>
            <w:tcBorders>
              <w:left w:val="single" w:sz="12" w:space="0" w:color="auto"/>
              <w:bottom w:val="single" w:sz="12" w:space="0" w:color="auto"/>
              <w:right w:val="single" w:sz="12" w:space="0" w:color="auto"/>
            </w:tcBorders>
            <w:shd w:val="clear" w:color="auto" w:fill="auto"/>
          </w:tcPr>
          <w:p w14:paraId="72655458" w14:textId="77777777" w:rsidR="00D32A37" w:rsidRPr="005433D1" w:rsidRDefault="00D32A37" w:rsidP="00B31404">
            <w:pPr>
              <w:pStyle w:val="TEXTONORMAL"/>
              <w:spacing w:line="240" w:lineRule="auto"/>
              <w:ind w:firstLine="99"/>
              <w:jc w:val="left"/>
              <w:rPr>
                <w:sz w:val="24"/>
                <w:szCs w:val="24"/>
              </w:rPr>
            </w:pPr>
          </w:p>
        </w:tc>
        <w:tc>
          <w:tcPr>
            <w:tcW w:w="2835" w:type="dxa"/>
            <w:tcBorders>
              <w:top w:val="dashSmallGap" w:sz="4" w:space="0" w:color="4472C4"/>
              <w:left w:val="single" w:sz="12" w:space="0" w:color="auto"/>
              <w:bottom w:val="single" w:sz="12" w:space="0" w:color="auto"/>
              <w:right w:val="single" w:sz="12" w:space="0" w:color="auto"/>
            </w:tcBorders>
            <w:shd w:val="clear" w:color="auto" w:fill="auto"/>
          </w:tcPr>
          <w:p w14:paraId="1EA0B16C" w14:textId="083BFCDB" w:rsidR="00D32A37" w:rsidRPr="005433D1" w:rsidRDefault="00D32A37" w:rsidP="00B31404">
            <w:pPr>
              <w:pStyle w:val="TEXTONORMAL"/>
              <w:spacing w:line="240" w:lineRule="auto"/>
              <w:ind w:firstLine="0"/>
              <w:rPr>
                <w:sz w:val="24"/>
                <w:szCs w:val="24"/>
              </w:rPr>
            </w:pPr>
            <w:r w:rsidRPr="005433D1">
              <w:rPr>
                <w:sz w:val="24"/>
                <w:szCs w:val="24"/>
              </w:rPr>
              <w:t>Inhábiles por calendario</w:t>
            </w:r>
          </w:p>
        </w:tc>
        <w:tc>
          <w:tcPr>
            <w:tcW w:w="3827" w:type="dxa"/>
            <w:tcBorders>
              <w:top w:val="dashSmallGap" w:sz="4" w:space="0" w:color="4472C4"/>
              <w:left w:val="single" w:sz="12" w:space="0" w:color="auto"/>
              <w:bottom w:val="single" w:sz="12" w:space="0" w:color="auto"/>
              <w:right w:val="single" w:sz="12" w:space="0" w:color="auto"/>
            </w:tcBorders>
            <w:shd w:val="clear" w:color="auto" w:fill="auto"/>
          </w:tcPr>
          <w:p w14:paraId="3461A736" w14:textId="1E44E2C2" w:rsidR="00D32A37" w:rsidRPr="005433D1" w:rsidRDefault="0094246C" w:rsidP="00B31404">
            <w:pPr>
              <w:pStyle w:val="TEXTONORMAL"/>
              <w:spacing w:line="240" w:lineRule="auto"/>
              <w:ind w:firstLine="0"/>
              <w:jc w:val="left"/>
              <w:rPr>
                <w:sz w:val="24"/>
                <w:szCs w:val="24"/>
              </w:rPr>
            </w:pPr>
            <w:r w:rsidRPr="005433D1">
              <w:rPr>
                <w:sz w:val="24"/>
                <w:szCs w:val="24"/>
              </w:rPr>
              <w:t>1</w:t>
            </w:r>
            <w:r w:rsidR="00080BC4" w:rsidRPr="005433D1">
              <w:rPr>
                <w:sz w:val="24"/>
                <w:szCs w:val="24"/>
              </w:rPr>
              <w:t xml:space="preserve"> y 25</w:t>
            </w:r>
            <w:r w:rsidR="00122245" w:rsidRPr="005433D1">
              <w:rPr>
                <w:sz w:val="24"/>
                <w:szCs w:val="24"/>
              </w:rPr>
              <w:t>.</w:t>
            </w:r>
          </w:p>
        </w:tc>
      </w:tr>
      <w:tr w:rsidR="00671B86" w:rsidRPr="001D7D5B" w14:paraId="5B75B3DE" w14:textId="77777777" w:rsidTr="00B31404">
        <w:trPr>
          <w:trHeight w:val="170"/>
        </w:trPr>
        <w:tc>
          <w:tcPr>
            <w:tcW w:w="8575" w:type="dxa"/>
            <w:gridSpan w:val="3"/>
            <w:tcBorders>
              <w:top w:val="single" w:sz="12" w:space="0" w:color="auto"/>
              <w:left w:val="single" w:sz="12" w:space="0" w:color="auto"/>
              <w:bottom w:val="single" w:sz="12" w:space="0" w:color="auto"/>
              <w:right w:val="single" w:sz="12" w:space="0" w:color="auto"/>
            </w:tcBorders>
            <w:shd w:val="clear" w:color="auto" w:fill="auto"/>
            <w:vAlign w:val="bottom"/>
          </w:tcPr>
          <w:p w14:paraId="6EE03399" w14:textId="7CEA4F06" w:rsidR="005B4AAF" w:rsidRPr="005121BD" w:rsidRDefault="002179DE" w:rsidP="00B31404">
            <w:pPr>
              <w:pStyle w:val="TEXTONORMAL"/>
              <w:spacing w:before="120" w:after="120" w:line="240" w:lineRule="auto"/>
              <w:ind w:firstLine="99"/>
              <w:jc w:val="center"/>
              <w:rPr>
                <w:b/>
                <w:bCs/>
                <w:sz w:val="24"/>
                <w:szCs w:val="24"/>
              </w:rPr>
            </w:pPr>
            <w:r w:rsidRPr="005121BD">
              <w:rPr>
                <w:b/>
                <w:bCs/>
                <w:sz w:val="24"/>
                <w:szCs w:val="24"/>
              </w:rPr>
              <w:t>Días inhábiles del año 202</w:t>
            </w:r>
            <w:r w:rsidR="007F3FEF" w:rsidRPr="005121BD">
              <w:rPr>
                <w:b/>
                <w:bCs/>
                <w:sz w:val="24"/>
                <w:szCs w:val="24"/>
              </w:rPr>
              <w:t>3</w:t>
            </w:r>
            <w:r w:rsidR="00C859D1" w:rsidRPr="00B31404">
              <w:rPr>
                <w:rStyle w:val="Refdenotaalpie"/>
                <w:sz w:val="24"/>
                <w:szCs w:val="24"/>
              </w:rPr>
              <w:footnoteReference w:id="18"/>
            </w:r>
          </w:p>
        </w:tc>
      </w:tr>
      <w:tr w:rsidR="005121BD" w:rsidRPr="00DF256A" w14:paraId="4E62782B" w14:textId="77777777" w:rsidTr="00B31404">
        <w:trPr>
          <w:trHeight w:val="170"/>
        </w:trPr>
        <w:tc>
          <w:tcPr>
            <w:tcW w:w="1913" w:type="dxa"/>
            <w:vMerge w:val="restart"/>
            <w:tcBorders>
              <w:top w:val="single" w:sz="12" w:space="0" w:color="auto"/>
              <w:left w:val="single" w:sz="12" w:space="0" w:color="auto"/>
              <w:right w:val="single" w:sz="12" w:space="0" w:color="auto"/>
            </w:tcBorders>
            <w:shd w:val="clear" w:color="auto" w:fill="auto"/>
            <w:vAlign w:val="center"/>
          </w:tcPr>
          <w:p w14:paraId="38BDF12B" w14:textId="77777777" w:rsidR="00671B86" w:rsidRPr="005433D1" w:rsidRDefault="00D32A37" w:rsidP="00B31404">
            <w:pPr>
              <w:pStyle w:val="TEXTONORMAL"/>
              <w:spacing w:line="240" w:lineRule="auto"/>
              <w:ind w:firstLine="99"/>
              <w:jc w:val="center"/>
              <w:rPr>
                <w:sz w:val="24"/>
                <w:szCs w:val="24"/>
              </w:rPr>
            </w:pPr>
            <w:r w:rsidRPr="005433D1">
              <w:rPr>
                <w:sz w:val="24"/>
                <w:szCs w:val="24"/>
              </w:rPr>
              <w:t xml:space="preserve">1 — 31 </w:t>
            </w:r>
          </w:p>
          <w:p w14:paraId="2C93F315" w14:textId="6DC85050" w:rsidR="00D32A37" w:rsidRPr="005121BD" w:rsidRDefault="00D32A37" w:rsidP="00B31404">
            <w:pPr>
              <w:pStyle w:val="TEXTONORMAL"/>
              <w:spacing w:line="240" w:lineRule="auto"/>
              <w:ind w:firstLine="99"/>
              <w:jc w:val="center"/>
              <w:rPr>
                <w:sz w:val="24"/>
                <w:szCs w:val="24"/>
              </w:rPr>
            </w:pPr>
            <w:r w:rsidRPr="005433D1">
              <w:rPr>
                <w:sz w:val="24"/>
                <w:szCs w:val="24"/>
              </w:rPr>
              <w:t>de enero</w:t>
            </w:r>
          </w:p>
        </w:tc>
        <w:tc>
          <w:tcPr>
            <w:tcW w:w="2835" w:type="dxa"/>
            <w:tcBorders>
              <w:top w:val="single" w:sz="12" w:space="0" w:color="auto"/>
              <w:left w:val="single" w:sz="12" w:space="0" w:color="auto"/>
              <w:bottom w:val="dashSmallGap" w:sz="4" w:space="0" w:color="4472C4"/>
              <w:right w:val="single" w:sz="12" w:space="0" w:color="auto"/>
            </w:tcBorders>
            <w:shd w:val="clear" w:color="auto" w:fill="auto"/>
          </w:tcPr>
          <w:p w14:paraId="315F7EA7" w14:textId="71EB42FA" w:rsidR="00D32A37" w:rsidRPr="005433D1" w:rsidRDefault="00D32A37" w:rsidP="00B31404">
            <w:pPr>
              <w:pStyle w:val="TEXTONORMAL"/>
              <w:spacing w:line="240" w:lineRule="auto"/>
              <w:ind w:firstLine="0"/>
              <w:rPr>
                <w:sz w:val="24"/>
                <w:szCs w:val="24"/>
              </w:rPr>
            </w:pPr>
            <w:r w:rsidRPr="005433D1">
              <w:rPr>
                <w:sz w:val="24"/>
                <w:szCs w:val="24"/>
              </w:rPr>
              <w:t>Sábados y domingos</w:t>
            </w:r>
          </w:p>
        </w:tc>
        <w:tc>
          <w:tcPr>
            <w:tcW w:w="3827" w:type="dxa"/>
            <w:tcBorders>
              <w:top w:val="single" w:sz="12" w:space="0" w:color="auto"/>
              <w:left w:val="single" w:sz="12" w:space="0" w:color="auto"/>
              <w:bottom w:val="dashSmallGap" w:sz="4" w:space="0" w:color="4472C4"/>
              <w:right w:val="single" w:sz="12" w:space="0" w:color="auto"/>
            </w:tcBorders>
            <w:shd w:val="clear" w:color="auto" w:fill="auto"/>
          </w:tcPr>
          <w:p w14:paraId="42E125CD" w14:textId="338E7010" w:rsidR="00D32A37" w:rsidRPr="005121BD" w:rsidRDefault="007F3FEF" w:rsidP="00B31404">
            <w:pPr>
              <w:pStyle w:val="TEXTONORMAL"/>
              <w:spacing w:line="240" w:lineRule="auto"/>
              <w:ind w:firstLine="0"/>
              <w:jc w:val="left"/>
              <w:rPr>
                <w:sz w:val="24"/>
                <w:szCs w:val="24"/>
              </w:rPr>
            </w:pPr>
            <w:r w:rsidRPr="005433D1">
              <w:rPr>
                <w:sz w:val="24"/>
                <w:szCs w:val="24"/>
              </w:rPr>
              <w:t xml:space="preserve">1, 7, 8, 14, 15, </w:t>
            </w:r>
            <w:r w:rsidR="00AF637A" w:rsidRPr="005433D1">
              <w:rPr>
                <w:sz w:val="24"/>
                <w:szCs w:val="24"/>
              </w:rPr>
              <w:t>21, 22, 28 y 29</w:t>
            </w:r>
            <w:r w:rsidR="00122245" w:rsidRPr="005433D1">
              <w:rPr>
                <w:sz w:val="24"/>
                <w:szCs w:val="24"/>
              </w:rPr>
              <w:t>.</w:t>
            </w:r>
          </w:p>
        </w:tc>
      </w:tr>
      <w:tr w:rsidR="005121BD" w:rsidRPr="00DF256A" w14:paraId="4B312C5A" w14:textId="77777777" w:rsidTr="00B31404">
        <w:trPr>
          <w:trHeight w:val="170"/>
        </w:trPr>
        <w:tc>
          <w:tcPr>
            <w:tcW w:w="1913" w:type="dxa"/>
            <w:vMerge/>
            <w:tcBorders>
              <w:left w:val="single" w:sz="12" w:space="0" w:color="auto"/>
              <w:bottom w:val="single" w:sz="8" w:space="0" w:color="auto"/>
              <w:right w:val="single" w:sz="12" w:space="0" w:color="auto"/>
            </w:tcBorders>
            <w:shd w:val="clear" w:color="auto" w:fill="auto"/>
          </w:tcPr>
          <w:p w14:paraId="05C024D9" w14:textId="77777777" w:rsidR="00D32A37" w:rsidRPr="005433D1" w:rsidRDefault="00D32A37" w:rsidP="00B31404">
            <w:pPr>
              <w:pStyle w:val="TEXTONORMAL"/>
              <w:spacing w:line="240" w:lineRule="auto"/>
              <w:ind w:firstLine="99"/>
              <w:jc w:val="center"/>
              <w:rPr>
                <w:sz w:val="24"/>
                <w:szCs w:val="24"/>
              </w:rPr>
            </w:pPr>
          </w:p>
        </w:tc>
        <w:tc>
          <w:tcPr>
            <w:tcW w:w="2835" w:type="dxa"/>
            <w:tcBorders>
              <w:top w:val="dashSmallGap" w:sz="4" w:space="0" w:color="4472C4"/>
              <w:left w:val="single" w:sz="12" w:space="0" w:color="auto"/>
              <w:bottom w:val="single" w:sz="8" w:space="0" w:color="auto"/>
              <w:right w:val="single" w:sz="12" w:space="0" w:color="auto"/>
            </w:tcBorders>
            <w:shd w:val="clear" w:color="auto" w:fill="auto"/>
          </w:tcPr>
          <w:p w14:paraId="7646DAC8" w14:textId="222EAB46" w:rsidR="00D32A37" w:rsidRPr="005433D1" w:rsidRDefault="00D32A37" w:rsidP="00B31404">
            <w:pPr>
              <w:pStyle w:val="TEXTONORMAL"/>
              <w:spacing w:line="240" w:lineRule="auto"/>
              <w:ind w:firstLine="0"/>
              <w:rPr>
                <w:sz w:val="24"/>
                <w:szCs w:val="24"/>
              </w:rPr>
            </w:pPr>
            <w:r w:rsidRPr="005433D1">
              <w:rPr>
                <w:sz w:val="24"/>
                <w:szCs w:val="24"/>
              </w:rPr>
              <w:t>Inhábiles por calendario</w:t>
            </w:r>
          </w:p>
        </w:tc>
        <w:tc>
          <w:tcPr>
            <w:tcW w:w="3827" w:type="dxa"/>
            <w:tcBorders>
              <w:top w:val="dashSmallGap" w:sz="4" w:space="0" w:color="4472C4"/>
              <w:left w:val="single" w:sz="12" w:space="0" w:color="auto"/>
              <w:bottom w:val="single" w:sz="8" w:space="0" w:color="auto"/>
              <w:right w:val="single" w:sz="12" w:space="0" w:color="auto"/>
            </w:tcBorders>
            <w:shd w:val="clear" w:color="auto" w:fill="auto"/>
          </w:tcPr>
          <w:p w14:paraId="375241E5" w14:textId="3A9CB4EA" w:rsidR="00D32A37" w:rsidRPr="005433D1" w:rsidRDefault="00671B86" w:rsidP="00B31404">
            <w:pPr>
              <w:pStyle w:val="TEXTONORMAL"/>
              <w:spacing w:line="240" w:lineRule="auto"/>
              <w:ind w:firstLine="0"/>
              <w:jc w:val="left"/>
              <w:rPr>
                <w:sz w:val="24"/>
                <w:szCs w:val="24"/>
              </w:rPr>
            </w:pPr>
            <w:r w:rsidRPr="005433D1">
              <w:rPr>
                <w:sz w:val="24"/>
                <w:szCs w:val="24"/>
              </w:rPr>
              <w:t>No hubo.</w:t>
            </w:r>
          </w:p>
        </w:tc>
      </w:tr>
      <w:tr w:rsidR="005121BD" w:rsidRPr="00DF256A" w14:paraId="6D1D6E53" w14:textId="77777777" w:rsidTr="00B31404">
        <w:trPr>
          <w:trHeight w:val="265"/>
        </w:trPr>
        <w:tc>
          <w:tcPr>
            <w:tcW w:w="1913" w:type="dxa"/>
            <w:vMerge w:val="restart"/>
            <w:tcBorders>
              <w:top w:val="single" w:sz="8" w:space="0" w:color="auto"/>
              <w:left w:val="single" w:sz="12" w:space="0" w:color="auto"/>
              <w:right w:val="single" w:sz="12" w:space="0" w:color="auto"/>
            </w:tcBorders>
            <w:shd w:val="clear" w:color="auto" w:fill="auto"/>
            <w:vAlign w:val="center"/>
          </w:tcPr>
          <w:p w14:paraId="6DCBF7F4" w14:textId="77777777" w:rsidR="00671B86" w:rsidRPr="005433D1" w:rsidRDefault="00D32A37" w:rsidP="00B31404">
            <w:pPr>
              <w:pStyle w:val="TEXTONORMAL"/>
              <w:spacing w:line="240" w:lineRule="auto"/>
              <w:ind w:firstLine="99"/>
              <w:jc w:val="center"/>
              <w:rPr>
                <w:sz w:val="24"/>
                <w:szCs w:val="24"/>
              </w:rPr>
            </w:pPr>
            <w:r w:rsidRPr="005433D1">
              <w:rPr>
                <w:sz w:val="24"/>
                <w:szCs w:val="24"/>
              </w:rPr>
              <w:t xml:space="preserve">1 — 28 </w:t>
            </w:r>
          </w:p>
          <w:p w14:paraId="455720C3" w14:textId="68ADC784" w:rsidR="00D32A37" w:rsidRPr="005121BD" w:rsidRDefault="00D32A37" w:rsidP="00B31404">
            <w:pPr>
              <w:pStyle w:val="TEXTONORMAL"/>
              <w:spacing w:line="240" w:lineRule="auto"/>
              <w:ind w:firstLine="99"/>
              <w:jc w:val="center"/>
              <w:rPr>
                <w:sz w:val="24"/>
                <w:szCs w:val="24"/>
              </w:rPr>
            </w:pPr>
            <w:r w:rsidRPr="005433D1">
              <w:rPr>
                <w:sz w:val="24"/>
                <w:szCs w:val="24"/>
              </w:rPr>
              <w:t>de febrero</w:t>
            </w:r>
          </w:p>
        </w:tc>
        <w:tc>
          <w:tcPr>
            <w:tcW w:w="2835" w:type="dxa"/>
            <w:tcBorders>
              <w:top w:val="single" w:sz="8" w:space="0" w:color="auto"/>
              <w:left w:val="single" w:sz="12" w:space="0" w:color="auto"/>
              <w:bottom w:val="dashSmallGap" w:sz="4" w:space="0" w:color="4472C4"/>
              <w:right w:val="single" w:sz="12" w:space="0" w:color="auto"/>
            </w:tcBorders>
            <w:shd w:val="clear" w:color="auto" w:fill="auto"/>
          </w:tcPr>
          <w:p w14:paraId="040F0D40" w14:textId="04477944" w:rsidR="00D32A37" w:rsidRPr="005433D1" w:rsidRDefault="00D32A37" w:rsidP="00B31404">
            <w:pPr>
              <w:pStyle w:val="TEXTONORMAL"/>
              <w:spacing w:line="240" w:lineRule="auto"/>
              <w:ind w:firstLine="0"/>
              <w:rPr>
                <w:sz w:val="24"/>
                <w:szCs w:val="24"/>
              </w:rPr>
            </w:pPr>
            <w:r w:rsidRPr="005433D1">
              <w:rPr>
                <w:sz w:val="24"/>
                <w:szCs w:val="24"/>
              </w:rPr>
              <w:t>Sábados y domingos</w:t>
            </w:r>
          </w:p>
        </w:tc>
        <w:tc>
          <w:tcPr>
            <w:tcW w:w="3827" w:type="dxa"/>
            <w:tcBorders>
              <w:top w:val="single" w:sz="8" w:space="0" w:color="auto"/>
              <w:left w:val="single" w:sz="12" w:space="0" w:color="auto"/>
              <w:bottom w:val="dashSmallGap" w:sz="4" w:space="0" w:color="4472C4"/>
              <w:right w:val="single" w:sz="12" w:space="0" w:color="auto"/>
            </w:tcBorders>
            <w:shd w:val="clear" w:color="auto" w:fill="auto"/>
          </w:tcPr>
          <w:p w14:paraId="3A90C38A" w14:textId="62B41DC2" w:rsidR="00D32A37" w:rsidRPr="005121BD" w:rsidRDefault="00986744" w:rsidP="00B31404">
            <w:pPr>
              <w:pStyle w:val="TEXTONORMAL"/>
              <w:spacing w:line="240" w:lineRule="auto"/>
              <w:ind w:firstLine="0"/>
              <w:jc w:val="left"/>
              <w:rPr>
                <w:sz w:val="24"/>
                <w:szCs w:val="24"/>
              </w:rPr>
            </w:pPr>
            <w:r w:rsidRPr="005433D1">
              <w:rPr>
                <w:sz w:val="24"/>
                <w:szCs w:val="24"/>
              </w:rPr>
              <w:t>4, 5, 11, 12, 18</w:t>
            </w:r>
            <w:r w:rsidR="00826C74" w:rsidRPr="005433D1">
              <w:rPr>
                <w:sz w:val="24"/>
                <w:szCs w:val="24"/>
              </w:rPr>
              <w:t>, 19, 25 y 26</w:t>
            </w:r>
            <w:r w:rsidR="00122245" w:rsidRPr="005433D1">
              <w:rPr>
                <w:sz w:val="24"/>
                <w:szCs w:val="24"/>
              </w:rPr>
              <w:t>.</w:t>
            </w:r>
          </w:p>
        </w:tc>
      </w:tr>
      <w:tr w:rsidR="005121BD" w:rsidRPr="00DF256A" w14:paraId="18B048D1" w14:textId="77777777" w:rsidTr="00B31404">
        <w:trPr>
          <w:trHeight w:val="265"/>
        </w:trPr>
        <w:tc>
          <w:tcPr>
            <w:tcW w:w="1913" w:type="dxa"/>
            <w:vMerge/>
            <w:tcBorders>
              <w:left w:val="single" w:sz="12" w:space="0" w:color="auto"/>
              <w:bottom w:val="single" w:sz="8" w:space="0" w:color="auto"/>
              <w:right w:val="single" w:sz="12" w:space="0" w:color="auto"/>
            </w:tcBorders>
            <w:shd w:val="clear" w:color="auto" w:fill="auto"/>
            <w:vAlign w:val="center"/>
          </w:tcPr>
          <w:p w14:paraId="5801F5EA" w14:textId="77777777" w:rsidR="00D32A37" w:rsidRPr="005433D1" w:rsidRDefault="00D32A37" w:rsidP="00B31404">
            <w:pPr>
              <w:pStyle w:val="TEXTONORMAL"/>
              <w:spacing w:line="240" w:lineRule="auto"/>
              <w:ind w:firstLine="99"/>
              <w:jc w:val="center"/>
              <w:rPr>
                <w:sz w:val="24"/>
                <w:szCs w:val="24"/>
              </w:rPr>
            </w:pPr>
          </w:p>
        </w:tc>
        <w:tc>
          <w:tcPr>
            <w:tcW w:w="2835" w:type="dxa"/>
            <w:tcBorders>
              <w:top w:val="dashSmallGap" w:sz="4" w:space="0" w:color="4472C4"/>
              <w:left w:val="single" w:sz="12" w:space="0" w:color="auto"/>
              <w:bottom w:val="single" w:sz="8" w:space="0" w:color="auto"/>
              <w:right w:val="single" w:sz="12" w:space="0" w:color="auto"/>
            </w:tcBorders>
            <w:shd w:val="clear" w:color="auto" w:fill="auto"/>
          </w:tcPr>
          <w:p w14:paraId="17495AF5" w14:textId="7D37B998" w:rsidR="00D32A37" w:rsidRPr="005433D1" w:rsidRDefault="00D32A37" w:rsidP="00B31404">
            <w:pPr>
              <w:pStyle w:val="TEXTONORMAL"/>
              <w:spacing w:line="240" w:lineRule="auto"/>
              <w:ind w:firstLine="0"/>
              <w:rPr>
                <w:sz w:val="24"/>
                <w:szCs w:val="24"/>
              </w:rPr>
            </w:pPr>
            <w:r w:rsidRPr="005433D1">
              <w:rPr>
                <w:sz w:val="24"/>
                <w:szCs w:val="24"/>
              </w:rPr>
              <w:t>Inhábiles por calendario</w:t>
            </w:r>
          </w:p>
        </w:tc>
        <w:tc>
          <w:tcPr>
            <w:tcW w:w="3827" w:type="dxa"/>
            <w:tcBorders>
              <w:top w:val="dashSmallGap" w:sz="4" w:space="0" w:color="4472C4"/>
              <w:left w:val="single" w:sz="12" w:space="0" w:color="auto"/>
              <w:bottom w:val="single" w:sz="8" w:space="0" w:color="auto"/>
              <w:right w:val="single" w:sz="12" w:space="0" w:color="auto"/>
            </w:tcBorders>
            <w:shd w:val="clear" w:color="auto" w:fill="auto"/>
          </w:tcPr>
          <w:p w14:paraId="5E43F5A9" w14:textId="18FB80B4" w:rsidR="00D32A37" w:rsidRPr="005433D1" w:rsidRDefault="00AA0D94" w:rsidP="00B31404">
            <w:pPr>
              <w:pStyle w:val="TEXTONORMAL"/>
              <w:spacing w:line="240" w:lineRule="auto"/>
              <w:ind w:firstLine="0"/>
              <w:jc w:val="left"/>
              <w:rPr>
                <w:sz w:val="24"/>
                <w:szCs w:val="24"/>
              </w:rPr>
            </w:pPr>
            <w:r w:rsidRPr="005433D1">
              <w:rPr>
                <w:sz w:val="24"/>
                <w:szCs w:val="24"/>
              </w:rPr>
              <w:t>6</w:t>
            </w:r>
          </w:p>
        </w:tc>
      </w:tr>
      <w:tr w:rsidR="005121BD" w:rsidRPr="00DF256A" w14:paraId="079F5438" w14:textId="77777777" w:rsidTr="00B31404">
        <w:trPr>
          <w:trHeight w:val="265"/>
        </w:trPr>
        <w:tc>
          <w:tcPr>
            <w:tcW w:w="1913" w:type="dxa"/>
            <w:vMerge w:val="restart"/>
            <w:tcBorders>
              <w:top w:val="single" w:sz="8" w:space="0" w:color="auto"/>
              <w:left w:val="single" w:sz="12" w:space="0" w:color="auto"/>
              <w:right w:val="single" w:sz="12" w:space="0" w:color="auto"/>
            </w:tcBorders>
            <w:shd w:val="clear" w:color="auto" w:fill="auto"/>
            <w:vAlign w:val="center"/>
          </w:tcPr>
          <w:p w14:paraId="670DAB27" w14:textId="77777777" w:rsidR="00671B86" w:rsidRPr="005433D1" w:rsidRDefault="00D32A37" w:rsidP="00B31404">
            <w:pPr>
              <w:pStyle w:val="TEXTONORMAL"/>
              <w:spacing w:line="240" w:lineRule="auto"/>
              <w:ind w:firstLine="99"/>
              <w:jc w:val="center"/>
              <w:rPr>
                <w:sz w:val="24"/>
                <w:szCs w:val="24"/>
              </w:rPr>
            </w:pPr>
            <w:r w:rsidRPr="005433D1">
              <w:rPr>
                <w:sz w:val="24"/>
                <w:szCs w:val="24"/>
              </w:rPr>
              <w:t xml:space="preserve">1 — 24 </w:t>
            </w:r>
          </w:p>
          <w:p w14:paraId="592BB741" w14:textId="51774137" w:rsidR="00D32A37" w:rsidRPr="005433D1" w:rsidRDefault="00D32A37" w:rsidP="00B31404">
            <w:pPr>
              <w:pStyle w:val="TEXTONORMAL"/>
              <w:spacing w:line="240" w:lineRule="auto"/>
              <w:ind w:firstLine="99"/>
              <w:jc w:val="center"/>
              <w:rPr>
                <w:sz w:val="24"/>
                <w:szCs w:val="24"/>
              </w:rPr>
            </w:pPr>
            <w:r w:rsidRPr="005433D1">
              <w:rPr>
                <w:sz w:val="24"/>
                <w:szCs w:val="24"/>
              </w:rPr>
              <w:t>de marzo</w:t>
            </w:r>
          </w:p>
        </w:tc>
        <w:tc>
          <w:tcPr>
            <w:tcW w:w="2835" w:type="dxa"/>
            <w:tcBorders>
              <w:top w:val="single" w:sz="8" w:space="0" w:color="auto"/>
              <w:left w:val="single" w:sz="12" w:space="0" w:color="auto"/>
              <w:bottom w:val="dashSmallGap" w:sz="4" w:space="0" w:color="4472C4"/>
              <w:right w:val="single" w:sz="12" w:space="0" w:color="auto"/>
            </w:tcBorders>
            <w:shd w:val="clear" w:color="auto" w:fill="auto"/>
          </w:tcPr>
          <w:p w14:paraId="45491813" w14:textId="5AA68226" w:rsidR="00D32A37" w:rsidRPr="005433D1" w:rsidRDefault="00D32A37" w:rsidP="00B31404">
            <w:pPr>
              <w:pStyle w:val="TEXTONORMAL"/>
              <w:spacing w:line="240" w:lineRule="auto"/>
              <w:ind w:firstLine="0"/>
              <w:rPr>
                <w:sz w:val="24"/>
                <w:szCs w:val="24"/>
              </w:rPr>
            </w:pPr>
            <w:r w:rsidRPr="005433D1">
              <w:rPr>
                <w:sz w:val="24"/>
                <w:szCs w:val="24"/>
              </w:rPr>
              <w:t>Sábados y domingos</w:t>
            </w:r>
          </w:p>
        </w:tc>
        <w:tc>
          <w:tcPr>
            <w:tcW w:w="3827" w:type="dxa"/>
            <w:tcBorders>
              <w:top w:val="single" w:sz="8" w:space="0" w:color="auto"/>
              <w:left w:val="single" w:sz="12" w:space="0" w:color="auto"/>
              <w:bottom w:val="dashSmallGap" w:sz="4" w:space="0" w:color="4472C4"/>
              <w:right w:val="single" w:sz="12" w:space="0" w:color="auto"/>
            </w:tcBorders>
            <w:shd w:val="clear" w:color="auto" w:fill="auto"/>
          </w:tcPr>
          <w:p w14:paraId="7D2224BB" w14:textId="3DE74B65" w:rsidR="00D32A37" w:rsidRPr="005433D1" w:rsidRDefault="00826C74" w:rsidP="00B31404">
            <w:pPr>
              <w:pStyle w:val="TEXTONORMAL"/>
              <w:spacing w:line="240" w:lineRule="auto"/>
              <w:ind w:firstLine="0"/>
              <w:jc w:val="left"/>
              <w:rPr>
                <w:sz w:val="24"/>
                <w:szCs w:val="24"/>
              </w:rPr>
            </w:pPr>
            <w:r w:rsidRPr="005433D1">
              <w:rPr>
                <w:sz w:val="24"/>
                <w:szCs w:val="24"/>
              </w:rPr>
              <w:t>4, 5, 11, 12, 18, 19</w:t>
            </w:r>
            <w:r w:rsidR="00122245" w:rsidRPr="005433D1">
              <w:rPr>
                <w:sz w:val="24"/>
                <w:szCs w:val="24"/>
              </w:rPr>
              <w:t>.</w:t>
            </w:r>
          </w:p>
        </w:tc>
      </w:tr>
      <w:tr w:rsidR="005121BD" w:rsidRPr="00DF256A" w14:paraId="7022E3A4" w14:textId="77777777" w:rsidTr="00B31404">
        <w:trPr>
          <w:trHeight w:val="265"/>
        </w:trPr>
        <w:tc>
          <w:tcPr>
            <w:tcW w:w="1913" w:type="dxa"/>
            <w:vMerge/>
            <w:tcBorders>
              <w:left w:val="single" w:sz="12" w:space="0" w:color="auto"/>
              <w:bottom w:val="single" w:sz="12" w:space="0" w:color="auto"/>
              <w:right w:val="single" w:sz="12" w:space="0" w:color="auto"/>
            </w:tcBorders>
            <w:shd w:val="clear" w:color="auto" w:fill="auto"/>
            <w:vAlign w:val="center"/>
          </w:tcPr>
          <w:p w14:paraId="669FA67F" w14:textId="77777777" w:rsidR="00D32A37" w:rsidRPr="005433D1" w:rsidRDefault="00D32A37" w:rsidP="00B31404">
            <w:pPr>
              <w:pStyle w:val="TEXTONORMAL"/>
              <w:spacing w:after="240" w:line="240" w:lineRule="auto"/>
              <w:ind w:hanging="567"/>
              <w:jc w:val="center"/>
              <w:rPr>
                <w:sz w:val="24"/>
                <w:szCs w:val="24"/>
              </w:rPr>
            </w:pPr>
          </w:p>
        </w:tc>
        <w:tc>
          <w:tcPr>
            <w:tcW w:w="2835" w:type="dxa"/>
            <w:tcBorders>
              <w:top w:val="dashSmallGap" w:sz="4" w:space="0" w:color="4472C4"/>
              <w:left w:val="single" w:sz="12" w:space="0" w:color="auto"/>
              <w:bottom w:val="single" w:sz="12" w:space="0" w:color="auto"/>
              <w:right w:val="single" w:sz="12" w:space="0" w:color="auto"/>
            </w:tcBorders>
            <w:shd w:val="clear" w:color="auto" w:fill="auto"/>
          </w:tcPr>
          <w:p w14:paraId="529B8D0B" w14:textId="2A34D93B" w:rsidR="00D32A37" w:rsidRPr="005433D1" w:rsidRDefault="00D32A37" w:rsidP="00B31404">
            <w:pPr>
              <w:pStyle w:val="TEXTONORMAL"/>
              <w:spacing w:line="240" w:lineRule="auto"/>
              <w:ind w:firstLine="0"/>
              <w:rPr>
                <w:sz w:val="24"/>
                <w:szCs w:val="24"/>
              </w:rPr>
            </w:pPr>
            <w:r w:rsidRPr="005433D1">
              <w:rPr>
                <w:sz w:val="24"/>
                <w:szCs w:val="24"/>
              </w:rPr>
              <w:t>Inhábiles por calendario</w:t>
            </w:r>
          </w:p>
        </w:tc>
        <w:tc>
          <w:tcPr>
            <w:tcW w:w="3827" w:type="dxa"/>
            <w:tcBorders>
              <w:top w:val="dashSmallGap" w:sz="4" w:space="0" w:color="4472C4"/>
              <w:left w:val="single" w:sz="12" w:space="0" w:color="auto"/>
              <w:bottom w:val="single" w:sz="12" w:space="0" w:color="auto"/>
              <w:right w:val="single" w:sz="12" w:space="0" w:color="auto"/>
            </w:tcBorders>
            <w:shd w:val="clear" w:color="auto" w:fill="auto"/>
          </w:tcPr>
          <w:p w14:paraId="15C3561E" w14:textId="3181DDDC" w:rsidR="00D32A37" w:rsidRPr="005433D1" w:rsidRDefault="00343E8F" w:rsidP="00B31404">
            <w:pPr>
              <w:pStyle w:val="TEXTONORMAL"/>
              <w:spacing w:line="240" w:lineRule="auto"/>
              <w:ind w:firstLine="0"/>
              <w:jc w:val="left"/>
              <w:rPr>
                <w:sz w:val="24"/>
                <w:szCs w:val="24"/>
              </w:rPr>
            </w:pPr>
            <w:r w:rsidRPr="005433D1">
              <w:rPr>
                <w:sz w:val="24"/>
                <w:szCs w:val="24"/>
              </w:rPr>
              <w:t>20</w:t>
            </w:r>
            <w:r w:rsidR="00122245" w:rsidRPr="005433D1">
              <w:rPr>
                <w:sz w:val="24"/>
                <w:szCs w:val="24"/>
              </w:rPr>
              <w:t>.</w:t>
            </w:r>
          </w:p>
        </w:tc>
      </w:tr>
    </w:tbl>
    <w:p w14:paraId="6B905EBF" w14:textId="5FF715D1" w:rsidR="00F35241" w:rsidRDefault="00F35241" w:rsidP="00B31404">
      <w:pPr>
        <w:pStyle w:val="TEXTONORMAL"/>
        <w:ind w:hanging="567"/>
      </w:pPr>
    </w:p>
    <w:p w14:paraId="03CBA9BA" w14:textId="4F0FB38E" w:rsidR="00411E03" w:rsidRPr="00B31404" w:rsidRDefault="005C3F2D" w:rsidP="008513E1">
      <w:pPr>
        <w:pStyle w:val="TEXTONORMAL"/>
        <w:numPr>
          <w:ilvl w:val="0"/>
          <w:numId w:val="3"/>
        </w:numPr>
        <w:spacing w:after="240"/>
        <w:ind w:left="0" w:hanging="567"/>
        <w:rPr>
          <w:sz w:val="26"/>
          <w:szCs w:val="26"/>
        </w:rPr>
      </w:pPr>
      <w:r w:rsidRPr="00B31404">
        <w:rPr>
          <w:sz w:val="26"/>
          <w:szCs w:val="26"/>
        </w:rPr>
        <w:t>Consecuentemente,</w:t>
      </w:r>
      <w:r w:rsidR="00667448" w:rsidRPr="00B31404">
        <w:rPr>
          <w:sz w:val="26"/>
          <w:szCs w:val="26"/>
        </w:rPr>
        <w:t xml:space="preserve"> si</w:t>
      </w:r>
      <w:r w:rsidRPr="00B31404">
        <w:rPr>
          <w:sz w:val="26"/>
          <w:szCs w:val="26"/>
        </w:rPr>
        <w:t xml:space="preserve"> </w:t>
      </w:r>
      <w:r w:rsidR="001E6CE6">
        <w:rPr>
          <w:sz w:val="26"/>
          <w:szCs w:val="26"/>
        </w:rPr>
        <w:t>a la fecha de esta resolución</w:t>
      </w:r>
      <w:r w:rsidR="00DE6BB1" w:rsidRPr="00B31404">
        <w:rPr>
          <w:sz w:val="26"/>
          <w:szCs w:val="26"/>
        </w:rPr>
        <w:t>,</w:t>
      </w:r>
      <w:r w:rsidR="00667448" w:rsidRPr="00B31404">
        <w:rPr>
          <w:sz w:val="26"/>
          <w:szCs w:val="26"/>
        </w:rPr>
        <w:t xml:space="preserve"> ha transcurrido en exceso el plazo de 90 (noventa) días</w:t>
      </w:r>
      <w:r w:rsidR="008848C4" w:rsidRPr="00B31404">
        <w:rPr>
          <w:sz w:val="26"/>
          <w:szCs w:val="26"/>
        </w:rPr>
        <w:t xml:space="preserve"> y</w:t>
      </w:r>
      <w:r w:rsidRPr="00B31404">
        <w:rPr>
          <w:sz w:val="26"/>
          <w:szCs w:val="26"/>
        </w:rPr>
        <w:t xml:space="preserve"> el Congreso de O</w:t>
      </w:r>
      <w:r w:rsidR="001228CE" w:rsidRPr="00B31404">
        <w:rPr>
          <w:sz w:val="26"/>
          <w:szCs w:val="26"/>
        </w:rPr>
        <w:t xml:space="preserve">axaca </w:t>
      </w:r>
      <w:r w:rsidR="00DE6BB1" w:rsidRPr="00B31404">
        <w:rPr>
          <w:sz w:val="26"/>
          <w:szCs w:val="26"/>
        </w:rPr>
        <w:t xml:space="preserve">no ha reformado o derogado las fracciones XI y XII del artículo 98 de la </w:t>
      </w:r>
      <w:r w:rsidR="00D26A00" w:rsidRPr="00B31404">
        <w:rPr>
          <w:sz w:val="26"/>
          <w:szCs w:val="26"/>
        </w:rPr>
        <w:t xml:space="preserve">Ley para la Prevención y Gestión Integral de los Residuos Sólidos </w:t>
      </w:r>
      <w:r w:rsidR="001E6CE6">
        <w:rPr>
          <w:sz w:val="26"/>
          <w:szCs w:val="26"/>
        </w:rPr>
        <w:t>para el</w:t>
      </w:r>
      <w:r w:rsidR="001E6CE6" w:rsidRPr="00B31404">
        <w:rPr>
          <w:sz w:val="26"/>
          <w:szCs w:val="26"/>
        </w:rPr>
        <w:t xml:space="preserve"> </w:t>
      </w:r>
      <w:r w:rsidR="00D26A00" w:rsidRPr="00B31404">
        <w:rPr>
          <w:sz w:val="26"/>
          <w:szCs w:val="26"/>
        </w:rPr>
        <w:t>Estado de Oaxaca</w:t>
      </w:r>
      <w:r w:rsidR="00714BFE" w:rsidRPr="00B31404">
        <w:rPr>
          <w:sz w:val="26"/>
          <w:szCs w:val="26"/>
        </w:rPr>
        <w:t xml:space="preserve"> para superar el problema de inconstitucionalidad</w:t>
      </w:r>
      <w:r w:rsidR="001643CD" w:rsidRPr="00B31404">
        <w:rPr>
          <w:sz w:val="26"/>
          <w:szCs w:val="26"/>
        </w:rPr>
        <w:t xml:space="preserve">; entonces, </w:t>
      </w:r>
      <w:r w:rsidR="00016E29" w:rsidRPr="00B31404">
        <w:rPr>
          <w:sz w:val="26"/>
          <w:szCs w:val="26"/>
        </w:rPr>
        <w:t xml:space="preserve">el Pleno de esta Suprema Corte de Justicia de la Nación, con fundamento en el artículo 107, fracción II, tercer párrafo de la Constitución General </w:t>
      </w:r>
      <w:r w:rsidR="00CC5FB6" w:rsidRPr="00B31404">
        <w:rPr>
          <w:sz w:val="26"/>
          <w:szCs w:val="26"/>
        </w:rPr>
        <w:t xml:space="preserve">emite la </w:t>
      </w:r>
      <w:r w:rsidR="008848C4" w:rsidRPr="00B31404">
        <w:rPr>
          <w:sz w:val="26"/>
          <w:szCs w:val="26"/>
        </w:rPr>
        <w:t xml:space="preserve">presente </w:t>
      </w:r>
      <w:r w:rsidR="00CC5FB6" w:rsidRPr="00B31404">
        <w:rPr>
          <w:sz w:val="26"/>
          <w:szCs w:val="26"/>
        </w:rPr>
        <w:t xml:space="preserve">declaratoria general de inconstitucionalidad en los términos </w:t>
      </w:r>
      <w:r w:rsidR="00C16D75" w:rsidRPr="00B31404">
        <w:rPr>
          <w:sz w:val="26"/>
          <w:szCs w:val="26"/>
        </w:rPr>
        <w:t>que precisará</w:t>
      </w:r>
      <w:r w:rsidR="001E6CE6">
        <w:rPr>
          <w:sz w:val="26"/>
          <w:szCs w:val="26"/>
        </w:rPr>
        <w:t>n</w:t>
      </w:r>
      <w:r w:rsidR="00C16D75" w:rsidRPr="00B31404">
        <w:rPr>
          <w:sz w:val="26"/>
          <w:szCs w:val="26"/>
        </w:rPr>
        <w:t xml:space="preserve"> el</w:t>
      </w:r>
      <w:r w:rsidR="00CC5FB6" w:rsidRPr="00B31404">
        <w:rPr>
          <w:sz w:val="26"/>
          <w:szCs w:val="26"/>
        </w:rPr>
        <w:t xml:space="preserve"> apartado</w:t>
      </w:r>
      <w:r w:rsidR="00C16D75" w:rsidRPr="00B31404">
        <w:rPr>
          <w:sz w:val="26"/>
          <w:szCs w:val="26"/>
        </w:rPr>
        <w:t xml:space="preserve"> siguiente</w:t>
      </w:r>
      <w:r w:rsidR="00CC5FB6" w:rsidRPr="00B31404">
        <w:rPr>
          <w:sz w:val="26"/>
          <w:szCs w:val="26"/>
        </w:rPr>
        <w:t>.</w:t>
      </w:r>
    </w:p>
    <w:p w14:paraId="0E790B82" w14:textId="77777777" w:rsidR="008513E1" w:rsidRPr="00DF12E8" w:rsidRDefault="008513E1" w:rsidP="008513E1">
      <w:pPr>
        <w:pStyle w:val="TEXTONORMAL"/>
        <w:numPr>
          <w:ilvl w:val="0"/>
          <w:numId w:val="3"/>
        </w:numPr>
        <w:spacing w:after="240"/>
        <w:ind w:left="0" w:hanging="567"/>
        <w:rPr>
          <w:sz w:val="26"/>
          <w:szCs w:val="26"/>
          <w:highlight w:val="yellow"/>
        </w:rPr>
      </w:pPr>
      <w:r w:rsidRPr="00DF12E8">
        <w:rPr>
          <w:sz w:val="26"/>
          <w:szCs w:val="26"/>
          <w:highlight w:val="yellow"/>
        </w:rPr>
        <w:t xml:space="preserve">Estas consideraciones [no] son vinculantes al haber sido votadas por una [mayoría/minoría] de [x] votos. </w:t>
      </w:r>
    </w:p>
    <w:p w14:paraId="7B122A52" w14:textId="4C86A651" w:rsidR="00FB06BC" w:rsidRDefault="00411E03">
      <w:pPr>
        <w:pStyle w:val="TEXTONORMAL"/>
        <w:spacing w:after="240"/>
        <w:ind w:firstLine="0"/>
        <w:rPr>
          <w:i/>
          <w:iCs/>
          <w:sz w:val="26"/>
          <w:szCs w:val="26"/>
        </w:rPr>
      </w:pPr>
      <w:r w:rsidRPr="00B31404">
        <w:rPr>
          <w:i/>
          <w:iCs/>
          <w:sz w:val="26"/>
          <w:szCs w:val="26"/>
        </w:rPr>
        <w:t>Pre</w:t>
      </w:r>
      <w:r w:rsidR="00346619" w:rsidRPr="00346619">
        <w:rPr>
          <w:i/>
          <w:iCs/>
          <w:sz w:val="26"/>
          <w:szCs w:val="26"/>
        </w:rPr>
        <w:t>c</w:t>
      </w:r>
      <w:r w:rsidRPr="00B31404">
        <w:rPr>
          <w:i/>
          <w:iCs/>
          <w:sz w:val="26"/>
          <w:szCs w:val="26"/>
        </w:rPr>
        <w:t xml:space="preserve">edentes citados en este apartado: </w:t>
      </w:r>
      <w:r w:rsidR="00FB06BC">
        <w:rPr>
          <w:i/>
          <w:iCs/>
          <w:sz w:val="26"/>
          <w:szCs w:val="26"/>
        </w:rPr>
        <w:t>Declaratorias</w:t>
      </w:r>
      <w:r w:rsidR="0042039C">
        <w:rPr>
          <w:i/>
          <w:iCs/>
          <w:sz w:val="26"/>
          <w:szCs w:val="26"/>
        </w:rPr>
        <w:t xml:space="preserve"> </w:t>
      </w:r>
      <w:r w:rsidR="004E32FE">
        <w:rPr>
          <w:i/>
          <w:iCs/>
          <w:sz w:val="26"/>
          <w:szCs w:val="26"/>
        </w:rPr>
        <w:t>Generales de inconstitucionalidad 6/2017 y 1/2018</w:t>
      </w:r>
    </w:p>
    <w:p w14:paraId="5DA33D11" w14:textId="0A61ABA8" w:rsidR="00973212" w:rsidRPr="00B31404" w:rsidRDefault="005124F2" w:rsidP="00B31404">
      <w:pPr>
        <w:pStyle w:val="TEXTONORMAL"/>
        <w:spacing w:after="240"/>
        <w:ind w:hanging="567"/>
        <w:jc w:val="center"/>
        <w:rPr>
          <w:sz w:val="26"/>
          <w:szCs w:val="26"/>
          <w:lang w:val="es-ES_tradnl" w:eastAsia="es-MX"/>
        </w:rPr>
      </w:pPr>
      <w:r w:rsidRPr="00B31404">
        <w:rPr>
          <w:b/>
          <w:sz w:val="26"/>
          <w:szCs w:val="26"/>
        </w:rPr>
        <w:t xml:space="preserve">VII. </w:t>
      </w:r>
      <w:r w:rsidR="00973212" w:rsidRPr="00B31404">
        <w:rPr>
          <w:b/>
          <w:sz w:val="26"/>
          <w:szCs w:val="26"/>
        </w:rPr>
        <w:t>EFECTOS</w:t>
      </w:r>
    </w:p>
    <w:p w14:paraId="0A90BABD" w14:textId="14E5F4EF" w:rsidR="004169F8" w:rsidRPr="00B31404" w:rsidRDefault="00F024A7" w:rsidP="00972E30">
      <w:pPr>
        <w:pStyle w:val="TEXTONORMAL"/>
        <w:numPr>
          <w:ilvl w:val="0"/>
          <w:numId w:val="3"/>
        </w:numPr>
        <w:spacing w:after="240"/>
        <w:ind w:left="0" w:hanging="567"/>
        <w:rPr>
          <w:rFonts w:eastAsia="Calibri"/>
          <w:sz w:val="26"/>
          <w:szCs w:val="26"/>
        </w:rPr>
      </w:pPr>
      <w:r w:rsidRPr="00B31404">
        <w:rPr>
          <w:rFonts w:eastAsia="Calibri"/>
          <w:sz w:val="26"/>
          <w:szCs w:val="26"/>
        </w:rPr>
        <w:t xml:space="preserve">Este Tribunal Pleno considera importante remarcar que el artículo 107, fracción II, párrafo tercero, de la Constitución </w:t>
      </w:r>
      <w:r w:rsidR="004169F8" w:rsidRPr="00B31404">
        <w:rPr>
          <w:rFonts w:eastAsia="Calibri"/>
          <w:sz w:val="26"/>
          <w:szCs w:val="26"/>
        </w:rPr>
        <w:t xml:space="preserve">General </w:t>
      </w:r>
      <w:r w:rsidR="00AB181F" w:rsidRPr="00B31404">
        <w:rPr>
          <w:rFonts w:eastAsia="Calibri"/>
          <w:sz w:val="26"/>
          <w:szCs w:val="26"/>
        </w:rPr>
        <w:t xml:space="preserve">confiere a </w:t>
      </w:r>
      <w:r w:rsidR="004169F8" w:rsidRPr="00B31404">
        <w:rPr>
          <w:rFonts w:eastAsia="Calibri"/>
          <w:sz w:val="26"/>
          <w:szCs w:val="26"/>
        </w:rPr>
        <w:t>este Tribunal Constitucional</w:t>
      </w:r>
      <w:r w:rsidR="00AB181F" w:rsidRPr="00B31404">
        <w:rPr>
          <w:rFonts w:eastAsia="Calibri"/>
          <w:sz w:val="26"/>
          <w:szCs w:val="26"/>
        </w:rPr>
        <w:t xml:space="preserve"> amplias facultades para fijar los efectos que deban imprimirse a una declaratoria general de inconstitucionalidad, con la </w:t>
      </w:r>
      <w:r w:rsidR="00AB181F" w:rsidRPr="00B31404">
        <w:rPr>
          <w:rFonts w:eastAsia="Calibri"/>
          <w:sz w:val="26"/>
          <w:szCs w:val="26"/>
        </w:rPr>
        <w:lastRenderedPageBreak/>
        <w:t>finalidad de que se supere eficazmente el problema de inconstitucionalidad generado por las normas declaradas inconstitucionales</w:t>
      </w:r>
      <w:r w:rsidR="00223782" w:rsidRPr="00B31404">
        <w:rPr>
          <w:rFonts w:eastAsia="Calibri"/>
          <w:sz w:val="26"/>
          <w:szCs w:val="26"/>
        </w:rPr>
        <w:t>.</w:t>
      </w:r>
    </w:p>
    <w:p w14:paraId="166015BC" w14:textId="514A4D88" w:rsidR="00E34E93" w:rsidRPr="00B31404" w:rsidRDefault="004B53B6" w:rsidP="00B31404">
      <w:pPr>
        <w:pStyle w:val="TEXTONORMAL"/>
        <w:numPr>
          <w:ilvl w:val="0"/>
          <w:numId w:val="3"/>
        </w:numPr>
        <w:spacing w:after="240"/>
        <w:ind w:left="0" w:hanging="567"/>
        <w:rPr>
          <w:rFonts w:eastAsia="Calibri"/>
          <w:sz w:val="26"/>
          <w:szCs w:val="26"/>
        </w:rPr>
      </w:pPr>
      <w:r w:rsidRPr="00B31404">
        <w:rPr>
          <w:rFonts w:eastAsia="Calibri"/>
          <w:sz w:val="26"/>
          <w:szCs w:val="26"/>
        </w:rPr>
        <w:t>Es importante recordar que conform</w:t>
      </w:r>
      <w:r w:rsidR="00752751" w:rsidRPr="00B31404">
        <w:rPr>
          <w:rFonts w:eastAsia="Calibri"/>
          <w:sz w:val="26"/>
          <w:szCs w:val="26"/>
        </w:rPr>
        <w:t>e</w:t>
      </w:r>
      <w:r w:rsidRPr="00B31404">
        <w:rPr>
          <w:rFonts w:eastAsia="Calibri"/>
          <w:sz w:val="26"/>
          <w:szCs w:val="26"/>
        </w:rPr>
        <w:t xml:space="preserve"> al artículo 234 de la Ley de Amparo</w:t>
      </w:r>
      <w:r w:rsidR="00C93EBC" w:rsidRPr="00B31404">
        <w:rPr>
          <w:rStyle w:val="Refdenotaalpie"/>
          <w:rFonts w:eastAsia="Calibri"/>
          <w:sz w:val="26"/>
          <w:szCs w:val="26"/>
        </w:rPr>
        <w:footnoteReference w:id="19"/>
      </w:r>
      <w:r w:rsidRPr="00B31404">
        <w:rPr>
          <w:rFonts w:eastAsia="Calibri"/>
          <w:sz w:val="26"/>
          <w:szCs w:val="26"/>
        </w:rPr>
        <w:t xml:space="preserve">, la declaratoria en ningún caso podrá modificar el sentido de la resolución o jurisprudencia que le dio origen, </w:t>
      </w:r>
      <w:r w:rsidR="004708EE" w:rsidRPr="00B31404">
        <w:rPr>
          <w:rFonts w:eastAsia="Calibri"/>
          <w:sz w:val="26"/>
          <w:szCs w:val="26"/>
        </w:rPr>
        <w:t xml:space="preserve">será obligatoria, tendrá efectos generales y establecerá: </w:t>
      </w:r>
      <w:r w:rsidR="004708EE" w:rsidRPr="00B31404">
        <w:rPr>
          <w:rFonts w:eastAsia="Calibri"/>
          <w:b/>
          <w:bCs/>
          <w:sz w:val="26"/>
          <w:szCs w:val="26"/>
        </w:rPr>
        <w:t>(1)</w:t>
      </w:r>
      <w:r w:rsidR="004708EE" w:rsidRPr="00B31404">
        <w:rPr>
          <w:rFonts w:eastAsia="Calibri"/>
          <w:sz w:val="26"/>
          <w:szCs w:val="26"/>
        </w:rPr>
        <w:t xml:space="preserve"> </w:t>
      </w:r>
      <w:r w:rsidR="007A7EF9" w:rsidRPr="00B31404">
        <w:rPr>
          <w:rFonts w:eastAsia="Calibri"/>
          <w:sz w:val="26"/>
          <w:szCs w:val="26"/>
        </w:rPr>
        <w:t xml:space="preserve">la fecha a partir de la cual surtirá sus efectos, y </w:t>
      </w:r>
      <w:r w:rsidR="007A7EF9" w:rsidRPr="00B31404">
        <w:rPr>
          <w:rFonts w:eastAsia="Calibri"/>
          <w:b/>
          <w:bCs/>
          <w:sz w:val="26"/>
          <w:szCs w:val="26"/>
        </w:rPr>
        <w:t>(2)</w:t>
      </w:r>
      <w:r w:rsidR="007A7EF9" w:rsidRPr="00B31404">
        <w:rPr>
          <w:rFonts w:eastAsia="Calibri"/>
          <w:sz w:val="26"/>
          <w:szCs w:val="26"/>
        </w:rPr>
        <w:t xml:space="preserve"> </w:t>
      </w:r>
      <w:r w:rsidR="004555DE" w:rsidRPr="00B31404">
        <w:rPr>
          <w:rFonts w:eastAsia="Calibri"/>
          <w:sz w:val="26"/>
          <w:szCs w:val="26"/>
        </w:rPr>
        <w:t>los alcances y condiciones de la declaratoria de inconstitucionalidad.</w:t>
      </w:r>
    </w:p>
    <w:p w14:paraId="36F75A44" w14:textId="286838FC" w:rsidR="007346FF" w:rsidRPr="00B31404" w:rsidRDefault="00826995" w:rsidP="00B31404">
      <w:pPr>
        <w:pStyle w:val="TEXTONORMAL"/>
        <w:numPr>
          <w:ilvl w:val="0"/>
          <w:numId w:val="3"/>
        </w:numPr>
        <w:spacing w:after="240"/>
        <w:ind w:left="0" w:hanging="567"/>
        <w:rPr>
          <w:rFonts w:eastAsia="Calibri"/>
          <w:sz w:val="26"/>
          <w:szCs w:val="26"/>
        </w:rPr>
      </w:pPr>
      <w:r w:rsidRPr="00B31404">
        <w:rPr>
          <w:rFonts w:eastAsia="Calibri"/>
          <w:sz w:val="26"/>
          <w:szCs w:val="26"/>
        </w:rPr>
        <w:t>A juicio de este Tribunal Pleno</w:t>
      </w:r>
      <w:r w:rsidR="00685DC6" w:rsidRPr="00B31404">
        <w:rPr>
          <w:rFonts w:eastAsia="Calibri"/>
          <w:sz w:val="26"/>
          <w:szCs w:val="26"/>
        </w:rPr>
        <w:t xml:space="preserve"> de la Suprema Corte de Justicia de la Nación</w:t>
      </w:r>
      <w:r w:rsidRPr="00B31404">
        <w:rPr>
          <w:rFonts w:eastAsia="Calibri"/>
          <w:sz w:val="26"/>
          <w:szCs w:val="26"/>
        </w:rPr>
        <w:t xml:space="preserve">, el problema de inconstitucionalidad se supera </w:t>
      </w:r>
      <w:r w:rsidR="00316EFA" w:rsidRPr="00B31404">
        <w:rPr>
          <w:rFonts w:eastAsia="Calibri"/>
          <w:sz w:val="26"/>
          <w:szCs w:val="26"/>
        </w:rPr>
        <w:t xml:space="preserve">expulsando del ordenamiento jurídico las </w:t>
      </w:r>
      <w:r w:rsidR="0048311B" w:rsidRPr="00B31404">
        <w:rPr>
          <w:rFonts w:eastAsia="Calibri"/>
          <w:sz w:val="26"/>
          <w:szCs w:val="26"/>
        </w:rPr>
        <w:t>fracciones X</w:t>
      </w:r>
      <w:r w:rsidR="00CD2BBD" w:rsidRPr="00B31404">
        <w:rPr>
          <w:rFonts w:eastAsia="Calibri"/>
          <w:sz w:val="26"/>
          <w:szCs w:val="26"/>
        </w:rPr>
        <w:t>I</w:t>
      </w:r>
      <w:r w:rsidR="0048311B" w:rsidRPr="00B31404">
        <w:rPr>
          <w:rFonts w:eastAsia="Calibri"/>
          <w:sz w:val="26"/>
          <w:szCs w:val="26"/>
        </w:rPr>
        <w:t xml:space="preserve"> y XII del artículo 98 de la Ley para la Prevención y Gestión Integral de los Residuos Sólidos </w:t>
      </w:r>
      <w:r w:rsidR="001E6CE6">
        <w:rPr>
          <w:rFonts w:eastAsia="Calibri"/>
          <w:sz w:val="26"/>
          <w:szCs w:val="26"/>
        </w:rPr>
        <w:t>para el</w:t>
      </w:r>
      <w:r w:rsidR="001E6CE6" w:rsidRPr="00B31404">
        <w:rPr>
          <w:rFonts w:eastAsia="Calibri"/>
          <w:sz w:val="26"/>
          <w:szCs w:val="26"/>
        </w:rPr>
        <w:t xml:space="preserve"> </w:t>
      </w:r>
      <w:r w:rsidR="0048311B" w:rsidRPr="00B31404">
        <w:rPr>
          <w:rFonts w:eastAsia="Calibri"/>
          <w:sz w:val="26"/>
          <w:szCs w:val="26"/>
        </w:rPr>
        <w:t>Estado de Oaxaca</w:t>
      </w:r>
      <w:r w:rsidR="00CD2BBD" w:rsidRPr="00B31404">
        <w:rPr>
          <w:rFonts w:eastAsia="Calibri"/>
          <w:sz w:val="26"/>
          <w:szCs w:val="26"/>
        </w:rPr>
        <w:t xml:space="preserve"> que </w:t>
      </w:r>
      <w:r w:rsidR="00996B0E" w:rsidRPr="00B31404">
        <w:rPr>
          <w:rFonts w:eastAsia="Calibri"/>
          <w:sz w:val="26"/>
          <w:szCs w:val="26"/>
        </w:rPr>
        <w:t>se transcriben a continuación:</w:t>
      </w:r>
    </w:p>
    <w:p w14:paraId="5D674828" w14:textId="6838EB00" w:rsidR="00996B0E" w:rsidRDefault="002F019F" w:rsidP="00B31404">
      <w:pPr>
        <w:pStyle w:val="TEXTONORMAL"/>
        <w:spacing w:line="240" w:lineRule="auto"/>
        <w:ind w:left="1134" w:right="505" w:hanging="567"/>
        <w:rPr>
          <w:sz w:val="26"/>
          <w:szCs w:val="26"/>
        </w:rPr>
      </w:pPr>
      <w:r w:rsidRPr="00B31404">
        <w:rPr>
          <w:b/>
          <w:bCs/>
          <w:sz w:val="26"/>
          <w:szCs w:val="26"/>
        </w:rPr>
        <w:t>Artículo 98.</w:t>
      </w:r>
      <w:r w:rsidRPr="00B31404">
        <w:rPr>
          <w:sz w:val="26"/>
          <w:szCs w:val="26"/>
        </w:rPr>
        <w:t xml:space="preserve"> Queda prohibido:</w:t>
      </w:r>
    </w:p>
    <w:p w14:paraId="1E1A3CC3" w14:textId="4881E2DB" w:rsidR="005639C6" w:rsidRPr="00B31404" w:rsidRDefault="005639C6" w:rsidP="00B31404">
      <w:pPr>
        <w:pStyle w:val="TEXTONORMAL"/>
        <w:spacing w:line="240" w:lineRule="auto"/>
        <w:ind w:left="1134" w:right="505" w:hanging="567"/>
        <w:rPr>
          <w:sz w:val="26"/>
          <w:szCs w:val="26"/>
        </w:rPr>
      </w:pPr>
      <w:r>
        <w:rPr>
          <w:sz w:val="26"/>
          <w:szCs w:val="26"/>
        </w:rPr>
        <w:t>[…]</w:t>
      </w:r>
    </w:p>
    <w:p w14:paraId="0937B1C9" w14:textId="77777777" w:rsidR="005C15DC" w:rsidRPr="00B31404" w:rsidRDefault="005C15DC" w:rsidP="00B31404">
      <w:pPr>
        <w:pStyle w:val="TEXTONORMAL"/>
        <w:spacing w:line="240" w:lineRule="auto"/>
        <w:ind w:left="1134" w:right="505" w:hanging="567"/>
        <w:rPr>
          <w:sz w:val="26"/>
          <w:szCs w:val="26"/>
        </w:rPr>
      </w:pPr>
      <w:r w:rsidRPr="00B31404">
        <w:rPr>
          <w:b/>
          <w:bCs/>
          <w:sz w:val="26"/>
          <w:szCs w:val="26"/>
        </w:rPr>
        <w:t>XI.</w:t>
      </w:r>
      <w:r w:rsidRPr="00B31404">
        <w:rPr>
          <w:sz w:val="26"/>
          <w:szCs w:val="26"/>
        </w:rPr>
        <w:t xml:space="preserve"> Vender, distribuir o emplear envases de un solo uso elaborados con tereftalato de polietileno destinados al agua u otras bebidas, salvo que sean destinados para fines médicos, educativos o para la atención humanitaria, y;</w:t>
      </w:r>
    </w:p>
    <w:p w14:paraId="5BBD5611" w14:textId="504957C1" w:rsidR="002F019F" w:rsidRPr="00B31404" w:rsidRDefault="005C15DC" w:rsidP="00B31404">
      <w:pPr>
        <w:pStyle w:val="TEXTONORMAL"/>
        <w:spacing w:after="240" w:line="240" w:lineRule="auto"/>
        <w:ind w:left="1134" w:right="505" w:hanging="567"/>
        <w:rPr>
          <w:sz w:val="26"/>
          <w:szCs w:val="26"/>
        </w:rPr>
      </w:pPr>
      <w:r w:rsidRPr="00B31404">
        <w:rPr>
          <w:b/>
          <w:bCs/>
          <w:sz w:val="26"/>
          <w:szCs w:val="26"/>
        </w:rPr>
        <w:t>XII.</w:t>
      </w:r>
      <w:r w:rsidRPr="00B31404">
        <w:rPr>
          <w:sz w:val="26"/>
          <w:szCs w:val="26"/>
        </w:rPr>
        <w:t xml:space="preserve"> Vender, distribuir o usar envases, embalajes u otros productos de un solo uso elaborados con poliestireno expandido.</w:t>
      </w:r>
    </w:p>
    <w:p w14:paraId="2ED8EB55" w14:textId="0E5E114D" w:rsidR="001E6CE6" w:rsidRPr="002A0393" w:rsidRDefault="00513E94" w:rsidP="002A0393">
      <w:pPr>
        <w:pStyle w:val="TEXTONORMAL"/>
        <w:spacing w:after="240"/>
        <w:ind w:firstLine="0"/>
        <w:rPr>
          <w:rFonts w:eastAsia="Calibri"/>
          <w:b/>
          <w:bCs/>
          <w:sz w:val="26"/>
          <w:szCs w:val="26"/>
        </w:rPr>
      </w:pPr>
      <w:bookmarkStart w:id="6" w:name="_Hlk72527937"/>
      <w:r w:rsidRPr="002A0393">
        <w:rPr>
          <w:rFonts w:eastAsia="Calibri"/>
          <w:b/>
          <w:bCs/>
          <w:sz w:val="26"/>
          <w:szCs w:val="26"/>
        </w:rPr>
        <w:t xml:space="preserve">VII.1 </w:t>
      </w:r>
      <w:r w:rsidR="00582913" w:rsidRPr="002A0393">
        <w:rPr>
          <w:rFonts w:eastAsia="Calibri"/>
          <w:b/>
          <w:bCs/>
          <w:sz w:val="26"/>
          <w:szCs w:val="26"/>
        </w:rPr>
        <w:t>Fecha en que surtirá efectos la presente declaratoria</w:t>
      </w:r>
      <w:r w:rsidR="001D0612">
        <w:rPr>
          <w:rFonts w:eastAsia="Calibri"/>
          <w:b/>
          <w:bCs/>
          <w:sz w:val="26"/>
          <w:szCs w:val="26"/>
        </w:rPr>
        <w:t xml:space="preserve"> general de inconstitucionalidad</w:t>
      </w:r>
    </w:p>
    <w:p w14:paraId="667E6329" w14:textId="7D61DFF0" w:rsidR="00372AB6" w:rsidRDefault="00641CA6" w:rsidP="00B31404">
      <w:pPr>
        <w:pStyle w:val="TEXTONORMAL"/>
        <w:numPr>
          <w:ilvl w:val="0"/>
          <w:numId w:val="3"/>
        </w:numPr>
        <w:spacing w:after="240"/>
        <w:ind w:left="0" w:hanging="567"/>
        <w:rPr>
          <w:rFonts w:eastAsia="Calibri"/>
          <w:sz w:val="26"/>
          <w:szCs w:val="26"/>
        </w:rPr>
      </w:pPr>
      <w:r w:rsidRPr="00184BF0">
        <w:rPr>
          <w:rFonts w:eastAsia="Calibri"/>
          <w:sz w:val="26"/>
          <w:szCs w:val="26"/>
        </w:rPr>
        <w:t>Esta declaratoria general de inconstitucionalidad surtirá efectos generales a partir de la notificación de los puntos resolutivos de esta sentencia a</w:t>
      </w:r>
      <w:r w:rsidR="004C6687" w:rsidRPr="00184BF0">
        <w:rPr>
          <w:rFonts w:eastAsia="Calibri"/>
          <w:sz w:val="26"/>
          <w:szCs w:val="26"/>
        </w:rPr>
        <w:t xml:space="preserve">l Congreso del Estado de Oaxaca y </w:t>
      </w:r>
      <w:r w:rsidRPr="00184BF0">
        <w:rPr>
          <w:rFonts w:eastAsia="Calibri"/>
          <w:sz w:val="26"/>
          <w:szCs w:val="26"/>
        </w:rPr>
        <w:t xml:space="preserve">no </w:t>
      </w:r>
      <w:r w:rsidR="004C6687" w:rsidRPr="00184BF0">
        <w:rPr>
          <w:rFonts w:eastAsia="Calibri"/>
          <w:sz w:val="26"/>
          <w:szCs w:val="26"/>
        </w:rPr>
        <w:t>tendrá</w:t>
      </w:r>
      <w:r w:rsidRPr="00184BF0">
        <w:rPr>
          <w:rFonts w:eastAsia="Calibri"/>
          <w:sz w:val="26"/>
          <w:szCs w:val="26"/>
        </w:rPr>
        <w:t xml:space="preserve"> efectos retroactivos</w:t>
      </w:r>
      <w:r w:rsidR="000C61CC" w:rsidRPr="00B31404">
        <w:rPr>
          <w:rFonts w:eastAsia="Calibri"/>
          <w:sz w:val="26"/>
          <w:szCs w:val="26"/>
        </w:rPr>
        <w:t xml:space="preserve"> toda vez que la Segunda Sala</w:t>
      </w:r>
      <w:r w:rsidR="009100E2" w:rsidRPr="00B31404">
        <w:rPr>
          <w:rFonts w:eastAsia="Calibri"/>
          <w:sz w:val="26"/>
          <w:szCs w:val="26"/>
        </w:rPr>
        <w:t xml:space="preserve"> no </w:t>
      </w:r>
      <w:r w:rsidR="00A7420C" w:rsidRPr="00B31404">
        <w:rPr>
          <w:rFonts w:eastAsia="Calibri"/>
          <w:sz w:val="26"/>
          <w:szCs w:val="26"/>
        </w:rPr>
        <w:t xml:space="preserve">declaró su inconstitucionalidad por violación a alguno de los </w:t>
      </w:r>
      <w:r w:rsidR="003B42F3" w:rsidRPr="00B31404">
        <w:rPr>
          <w:rFonts w:eastAsia="Calibri"/>
          <w:sz w:val="26"/>
          <w:szCs w:val="26"/>
        </w:rPr>
        <w:t>principios general</w:t>
      </w:r>
      <w:r w:rsidR="00372AB6" w:rsidRPr="00B31404">
        <w:rPr>
          <w:rFonts w:eastAsia="Calibri"/>
          <w:sz w:val="26"/>
          <w:szCs w:val="26"/>
        </w:rPr>
        <w:t>es</w:t>
      </w:r>
      <w:r w:rsidR="003B42F3" w:rsidRPr="00B31404">
        <w:rPr>
          <w:rFonts w:eastAsia="Calibri"/>
          <w:sz w:val="26"/>
          <w:szCs w:val="26"/>
        </w:rPr>
        <w:t xml:space="preserve"> que rigen la materia penal ni señaló </w:t>
      </w:r>
      <w:r w:rsidR="003B42F3" w:rsidRPr="00B31404">
        <w:rPr>
          <w:rFonts w:eastAsia="Calibri"/>
          <w:sz w:val="26"/>
          <w:szCs w:val="26"/>
        </w:rPr>
        <w:lastRenderedPageBreak/>
        <w:t>que</w:t>
      </w:r>
      <w:r w:rsidR="00372AB6" w:rsidRPr="00B31404">
        <w:rPr>
          <w:rFonts w:eastAsia="Calibri"/>
          <w:sz w:val="26"/>
          <w:szCs w:val="26"/>
        </w:rPr>
        <w:t xml:space="preserve"> </w:t>
      </w:r>
      <w:r w:rsidR="003B42F3" w:rsidRPr="00B31404">
        <w:rPr>
          <w:rFonts w:eastAsia="Calibri"/>
          <w:sz w:val="26"/>
          <w:szCs w:val="26"/>
        </w:rPr>
        <w:t xml:space="preserve">pertenecieran a un sistema </w:t>
      </w:r>
      <w:r w:rsidR="00F97ED1" w:rsidRPr="00B31404">
        <w:rPr>
          <w:rFonts w:eastAsia="Calibri"/>
          <w:sz w:val="26"/>
          <w:szCs w:val="26"/>
        </w:rPr>
        <w:t>de reglas de derecho administrativo sancionador</w:t>
      </w:r>
      <w:r w:rsidRPr="00B31404">
        <w:rPr>
          <w:rFonts w:eastAsia="Calibri"/>
          <w:sz w:val="26"/>
          <w:szCs w:val="26"/>
        </w:rPr>
        <w:t>.</w:t>
      </w:r>
    </w:p>
    <w:p w14:paraId="0B830B13" w14:textId="271FAD98" w:rsidR="00582913" w:rsidRPr="002A0393" w:rsidRDefault="001D0612" w:rsidP="002A0393">
      <w:pPr>
        <w:pStyle w:val="TEXTONORMAL"/>
        <w:spacing w:after="240"/>
        <w:ind w:firstLine="0"/>
        <w:rPr>
          <w:rFonts w:eastAsia="Calibri"/>
          <w:b/>
          <w:bCs/>
          <w:sz w:val="26"/>
          <w:szCs w:val="26"/>
        </w:rPr>
      </w:pPr>
      <w:r w:rsidRPr="002A0393">
        <w:rPr>
          <w:rFonts w:eastAsia="Calibri"/>
          <w:b/>
          <w:bCs/>
          <w:sz w:val="26"/>
          <w:szCs w:val="26"/>
        </w:rPr>
        <w:t xml:space="preserve">VII.2 Alcances y condiciones de la declaratoria </w:t>
      </w:r>
      <w:r>
        <w:rPr>
          <w:rFonts w:eastAsia="Calibri"/>
          <w:b/>
          <w:bCs/>
          <w:sz w:val="26"/>
          <w:szCs w:val="26"/>
        </w:rPr>
        <w:t xml:space="preserve">general </w:t>
      </w:r>
      <w:r w:rsidRPr="002A0393">
        <w:rPr>
          <w:rFonts w:eastAsia="Calibri"/>
          <w:b/>
          <w:bCs/>
          <w:sz w:val="26"/>
          <w:szCs w:val="26"/>
        </w:rPr>
        <w:t>de inconstitucionalidad</w:t>
      </w:r>
    </w:p>
    <w:bookmarkEnd w:id="6"/>
    <w:p w14:paraId="5A8C8E93" w14:textId="42225895" w:rsidR="00F01EB5" w:rsidRPr="00184BF0" w:rsidRDefault="001D0612" w:rsidP="00B31404">
      <w:pPr>
        <w:pStyle w:val="TEXTONORMAL"/>
        <w:numPr>
          <w:ilvl w:val="0"/>
          <w:numId w:val="3"/>
        </w:numPr>
        <w:spacing w:after="240"/>
        <w:ind w:left="0" w:hanging="567"/>
        <w:rPr>
          <w:rFonts w:eastAsia="Calibri"/>
          <w:sz w:val="26"/>
          <w:szCs w:val="26"/>
        </w:rPr>
      </w:pPr>
      <w:r>
        <w:rPr>
          <w:rFonts w:eastAsia="Calibri"/>
          <w:sz w:val="26"/>
          <w:szCs w:val="26"/>
        </w:rPr>
        <w:t>N</w:t>
      </w:r>
      <w:r w:rsidR="00F01EB5" w:rsidRPr="00B31404">
        <w:rPr>
          <w:rFonts w:eastAsia="Calibri"/>
          <w:sz w:val="26"/>
          <w:szCs w:val="26"/>
        </w:rPr>
        <w:t xml:space="preserve">o pasa inadvertida la posibilidad de que </w:t>
      </w:r>
      <w:r w:rsidR="00B31D61" w:rsidRPr="00B31404">
        <w:rPr>
          <w:rFonts w:eastAsia="Calibri"/>
          <w:sz w:val="26"/>
          <w:szCs w:val="26"/>
        </w:rPr>
        <w:t xml:space="preserve">subsista la imposición de infracciones </w:t>
      </w:r>
      <w:r w:rsidR="00980226" w:rsidRPr="00B31404">
        <w:rPr>
          <w:rFonts w:eastAsia="Calibri"/>
          <w:sz w:val="26"/>
          <w:szCs w:val="26"/>
        </w:rPr>
        <w:t xml:space="preserve">cuyo fundamento sea la realización de las conductas prohibidas </w:t>
      </w:r>
      <w:r w:rsidR="00523482" w:rsidRPr="00B31404">
        <w:rPr>
          <w:rFonts w:eastAsia="Calibri"/>
          <w:sz w:val="26"/>
          <w:szCs w:val="26"/>
        </w:rPr>
        <w:t>enunciadas en las fracciones declaradas inconstitucionales</w:t>
      </w:r>
      <w:r w:rsidR="00366324" w:rsidRPr="00B31404">
        <w:rPr>
          <w:rFonts w:eastAsia="Calibri"/>
          <w:sz w:val="26"/>
          <w:szCs w:val="26"/>
        </w:rPr>
        <w:t>;</w:t>
      </w:r>
      <w:r w:rsidR="00F01EB5" w:rsidRPr="00B31404">
        <w:rPr>
          <w:rFonts w:eastAsia="Calibri"/>
          <w:sz w:val="26"/>
          <w:szCs w:val="26"/>
        </w:rPr>
        <w:t xml:space="preserve"> </w:t>
      </w:r>
      <w:r w:rsidR="00A63A01" w:rsidRPr="00B31404">
        <w:rPr>
          <w:rFonts w:eastAsia="Calibri"/>
          <w:sz w:val="26"/>
          <w:szCs w:val="26"/>
        </w:rPr>
        <w:t>s</w:t>
      </w:r>
      <w:r w:rsidR="00904D5E" w:rsidRPr="00B31404">
        <w:rPr>
          <w:rFonts w:eastAsia="Calibri"/>
          <w:sz w:val="26"/>
          <w:szCs w:val="26"/>
        </w:rPr>
        <w:t xml:space="preserve">in embargo, </w:t>
      </w:r>
      <w:r w:rsidR="00C24756" w:rsidRPr="00184BF0">
        <w:rPr>
          <w:rFonts w:eastAsia="Calibri"/>
          <w:sz w:val="26"/>
          <w:szCs w:val="26"/>
        </w:rPr>
        <w:t>se</w:t>
      </w:r>
      <w:r w:rsidR="00904D5E" w:rsidRPr="00184BF0">
        <w:rPr>
          <w:rFonts w:eastAsia="Calibri"/>
          <w:sz w:val="26"/>
          <w:szCs w:val="26"/>
        </w:rPr>
        <w:t xml:space="preserve"> </w:t>
      </w:r>
      <w:r w:rsidR="00316196" w:rsidRPr="00184BF0">
        <w:rPr>
          <w:rFonts w:eastAsia="Calibri"/>
          <w:sz w:val="26"/>
          <w:szCs w:val="26"/>
        </w:rPr>
        <w:t xml:space="preserve">ordena a los órganos jurisdiccionales federales </w:t>
      </w:r>
      <w:r w:rsidR="00D44A51" w:rsidRPr="00184BF0">
        <w:rPr>
          <w:rFonts w:eastAsia="Calibri"/>
          <w:sz w:val="26"/>
          <w:szCs w:val="26"/>
        </w:rPr>
        <w:t xml:space="preserve">resolver </w:t>
      </w:r>
      <w:r w:rsidR="00D34802" w:rsidRPr="00184BF0">
        <w:rPr>
          <w:rFonts w:eastAsia="Calibri"/>
          <w:sz w:val="26"/>
          <w:szCs w:val="26"/>
        </w:rPr>
        <w:t xml:space="preserve">conforme a </w:t>
      </w:r>
      <w:r w:rsidR="00904D5E" w:rsidRPr="00184BF0">
        <w:rPr>
          <w:rFonts w:eastAsia="Calibri"/>
          <w:sz w:val="26"/>
          <w:szCs w:val="26"/>
        </w:rPr>
        <w:t>la</w:t>
      </w:r>
      <w:r w:rsidR="00215273" w:rsidRPr="00184BF0">
        <w:rPr>
          <w:rFonts w:eastAsia="Calibri"/>
          <w:sz w:val="26"/>
          <w:szCs w:val="26"/>
        </w:rPr>
        <w:t xml:space="preserve"> presente declaratoria general de inconstitucionalidad y</w:t>
      </w:r>
      <w:r w:rsidR="00720DA4" w:rsidRPr="00184BF0">
        <w:rPr>
          <w:rFonts w:eastAsia="Calibri"/>
          <w:sz w:val="26"/>
          <w:szCs w:val="26"/>
        </w:rPr>
        <w:t xml:space="preserve"> la</w:t>
      </w:r>
      <w:r w:rsidR="00904D5E" w:rsidRPr="00184BF0">
        <w:rPr>
          <w:rFonts w:eastAsia="Calibri"/>
          <w:sz w:val="26"/>
          <w:szCs w:val="26"/>
        </w:rPr>
        <w:t xml:space="preserve"> jurisprudencia </w:t>
      </w:r>
      <w:r w:rsidR="00D34802" w:rsidRPr="00184BF0">
        <w:rPr>
          <w:rFonts w:eastAsia="Calibri"/>
          <w:sz w:val="26"/>
          <w:szCs w:val="26"/>
        </w:rPr>
        <w:t>por precedente establecida por</w:t>
      </w:r>
      <w:r w:rsidR="00720DA4" w:rsidRPr="00184BF0">
        <w:rPr>
          <w:rFonts w:eastAsia="Calibri"/>
          <w:sz w:val="26"/>
          <w:szCs w:val="26"/>
        </w:rPr>
        <w:t xml:space="preserve"> la Segunda Sala de la</w:t>
      </w:r>
      <w:r w:rsidR="00D34802" w:rsidRPr="00184BF0">
        <w:rPr>
          <w:rFonts w:eastAsia="Calibri"/>
          <w:sz w:val="26"/>
          <w:szCs w:val="26"/>
        </w:rPr>
        <w:t xml:space="preserve"> </w:t>
      </w:r>
      <w:r w:rsidR="00720DA4" w:rsidRPr="00184BF0">
        <w:rPr>
          <w:rFonts w:eastAsia="Calibri"/>
          <w:sz w:val="26"/>
          <w:szCs w:val="26"/>
        </w:rPr>
        <w:t>Suprema Corte de Justicia de la Nación</w:t>
      </w:r>
      <w:r w:rsidR="00904D5E" w:rsidRPr="00184BF0">
        <w:rPr>
          <w:rFonts w:eastAsia="Calibri"/>
          <w:sz w:val="26"/>
          <w:szCs w:val="26"/>
        </w:rPr>
        <w:t>.</w:t>
      </w:r>
    </w:p>
    <w:p w14:paraId="3C1703BB" w14:textId="5290DBF8" w:rsidR="00247741" w:rsidRPr="00B31404" w:rsidRDefault="00BB56BE" w:rsidP="00B31404">
      <w:pPr>
        <w:pStyle w:val="TEXTONORMAL"/>
        <w:numPr>
          <w:ilvl w:val="0"/>
          <w:numId w:val="3"/>
        </w:numPr>
        <w:spacing w:after="240"/>
        <w:ind w:left="0" w:hanging="567"/>
        <w:rPr>
          <w:rFonts w:eastAsia="Calibri"/>
          <w:sz w:val="26"/>
          <w:szCs w:val="26"/>
        </w:rPr>
      </w:pPr>
      <w:r w:rsidRPr="00B31404">
        <w:rPr>
          <w:rFonts w:eastAsia="Calibri"/>
          <w:sz w:val="26"/>
          <w:szCs w:val="26"/>
        </w:rPr>
        <w:t xml:space="preserve">Finalmente, </w:t>
      </w:r>
      <w:r w:rsidR="006B5E96" w:rsidRPr="00B31404">
        <w:rPr>
          <w:rFonts w:eastAsia="Calibri"/>
          <w:sz w:val="26"/>
          <w:szCs w:val="26"/>
        </w:rPr>
        <w:t xml:space="preserve">con fundamento en el artículo 235 de la Ley de Amparo se ordena </w:t>
      </w:r>
      <w:r w:rsidR="00453C53" w:rsidRPr="00B31404">
        <w:rPr>
          <w:rFonts w:eastAsia="Calibri"/>
          <w:sz w:val="26"/>
          <w:szCs w:val="26"/>
        </w:rPr>
        <w:t xml:space="preserve">notificar al Periódico Oficial del Estado de Oaxaca </w:t>
      </w:r>
      <w:r w:rsidR="009B0712" w:rsidRPr="00B31404">
        <w:rPr>
          <w:rFonts w:eastAsia="Calibri"/>
          <w:sz w:val="26"/>
          <w:szCs w:val="26"/>
        </w:rPr>
        <w:t xml:space="preserve">con copia </w:t>
      </w:r>
      <w:r w:rsidR="00A03E50" w:rsidRPr="00B31404">
        <w:rPr>
          <w:rFonts w:eastAsia="Calibri"/>
          <w:sz w:val="26"/>
          <w:szCs w:val="26"/>
        </w:rPr>
        <w:t xml:space="preserve">de la presente sentencia para efectos de su publicación </w:t>
      </w:r>
      <w:r w:rsidR="00966BA0" w:rsidRPr="00B31404">
        <w:rPr>
          <w:rFonts w:eastAsia="Calibri"/>
          <w:sz w:val="26"/>
          <w:szCs w:val="26"/>
        </w:rPr>
        <w:t>dentro d</w:t>
      </w:r>
      <w:r w:rsidR="007B281C" w:rsidRPr="00B31404">
        <w:rPr>
          <w:rFonts w:eastAsia="Calibri"/>
          <w:sz w:val="26"/>
          <w:szCs w:val="26"/>
        </w:rPr>
        <w:t>e</w:t>
      </w:r>
      <w:r w:rsidR="007D21EB" w:rsidRPr="00B31404">
        <w:rPr>
          <w:rFonts w:eastAsia="Calibri"/>
          <w:sz w:val="26"/>
          <w:szCs w:val="26"/>
        </w:rPr>
        <w:t xml:space="preserve">l plazo de </w:t>
      </w:r>
      <w:r w:rsidR="007B281C" w:rsidRPr="00B31404">
        <w:rPr>
          <w:rFonts w:eastAsia="Calibri"/>
          <w:sz w:val="26"/>
          <w:szCs w:val="26"/>
        </w:rPr>
        <w:t>siete días hábiles.</w:t>
      </w:r>
    </w:p>
    <w:p w14:paraId="163D2C01" w14:textId="6ABC6263" w:rsidR="00C24756" w:rsidRDefault="000A1F39" w:rsidP="00C24756">
      <w:pPr>
        <w:pStyle w:val="TEXTONORMAL"/>
        <w:numPr>
          <w:ilvl w:val="0"/>
          <w:numId w:val="3"/>
        </w:numPr>
        <w:spacing w:after="240"/>
        <w:ind w:left="0" w:hanging="567"/>
        <w:rPr>
          <w:sz w:val="26"/>
          <w:szCs w:val="26"/>
          <w:highlight w:val="yellow"/>
        </w:rPr>
      </w:pPr>
      <w:r w:rsidRPr="00B31404">
        <w:rPr>
          <w:sz w:val="26"/>
          <w:szCs w:val="26"/>
          <w:highlight w:val="yellow"/>
        </w:rPr>
        <w:t>Estas consideraciones [no] son vinculantes al haber sido votadas por una [mayoría/minoría] de [x] votos</w:t>
      </w:r>
      <w:r w:rsidRPr="00DF12E8">
        <w:rPr>
          <w:sz w:val="26"/>
          <w:szCs w:val="26"/>
          <w:highlight w:val="yellow"/>
        </w:rPr>
        <w:t xml:space="preserve">. </w:t>
      </w:r>
    </w:p>
    <w:p w14:paraId="76085849" w14:textId="0CE69828" w:rsidR="009C42EE" w:rsidRPr="00B31404" w:rsidRDefault="009C42EE" w:rsidP="00C65F19">
      <w:pPr>
        <w:pStyle w:val="TEXTONORMAL"/>
        <w:numPr>
          <w:ilvl w:val="0"/>
          <w:numId w:val="3"/>
        </w:numPr>
        <w:spacing w:after="240"/>
        <w:ind w:left="0" w:hanging="567"/>
        <w:rPr>
          <w:rFonts w:eastAsia="Calibri"/>
          <w:sz w:val="26"/>
          <w:szCs w:val="26"/>
        </w:rPr>
      </w:pPr>
      <w:r w:rsidRPr="00B31404">
        <w:rPr>
          <w:rFonts w:eastAsia="Calibri"/>
          <w:sz w:val="26"/>
          <w:szCs w:val="26"/>
        </w:rPr>
        <w:t xml:space="preserve">Por lo expuesto y fundado, </w:t>
      </w:r>
    </w:p>
    <w:p w14:paraId="7A0EE045" w14:textId="77777777" w:rsidR="009C42EE" w:rsidRPr="00B31404" w:rsidRDefault="009C42EE" w:rsidP="00C65F19">
      <w:pPr>
        <w:pStyle w:val="TEXTONORMAL"/>
        <w:spacing w:after="240"/>
        <w:ind w:hanging="567"/>
        <w:jc w:val="center"/>
        <w:rPr>
          <w:rFonts w:eastAsia="Calibri"/>
          <w:b/>
          <w:sz w:val="26"/>
          <w:szCs w:val="26"/>
        </w:rPr>
      </w:pPr>
      <w:r w:rsidRPr="00B31404">
        <w:rPr>
          <w:rFonts w:eastAsia="Calibri"/>
          <w:b/>
          <w:sz w:val="26"/>
          <w:szCs w:val="26"/>
        </w:rPr>
        <w:t>SE RESUELVE</w:t>
      </w:r>
    </w:p>
    <w:p w14:paraId="58C65831" w14:textId="77777777" w:rsidR="009C42EE" w:rsidRPr="00B31404" w:rsidRDefault="009C42EE" w:rsidP="00C24756">
      <w:pPr>
        <w:pStyle w:val="TEXTONORMAL"/>
        <w:ind w:firstLine="0"/>
        <w:contextualSpacing/>
        <w:rPr>
          <w:rFonts w:eastAsia="Calibri"/>
          <w:sz w:val="26"/>
          <w:szCs w:val="26"/>
        </w:rPr>
      </w:pPr>
      <w:bookmarkStart w:id="7" w:name="_Hlk72528067"/>
      <w:r w:rsidRPr="00B31404">
        <w:rPr>
          <w:rFonts w:eastAsia="Calibri"/>
          <w:b/>
          <w:sz w:val="26"/>
          <w:szCs w:val="26"/>
        </w:rPr>
        <w:t>PRIMERO.</w:t>
      </w:r>
      <w:r w:rsidRPr="00B31404">
        <w:rPr>
          <w:rFonts w:eastAsia="Calibri"/>
          <w:sz w:val="26"/>
          <w:szCs w:val="26"/>
        </w:rPr>
        <w:t xml:space="preserve"> Es procedente y fundada la presente declaratoria general de inconstitucionalidad.</w:t>
      </w:r>
    </w:p>
    <w:p w14:paraId="4C3231F5" w14:textId="77777777" w:rsidR="009C42EE" w:rsidRPr="00B31404" w:rsidRDefault="009C42EE" w:rsidP="00C24756">
      <w:pPr>
        <w:pStyle w:val="TEXTONORMAL"/>
        <w:ind w:firstLine="0"/>
        <w:contextualSpacing/>
        <w:rPr>
          <w:rFonts w:eastAsia="Calibri"/>
          <w:sz w:val="26"/>
          <w:szCs w:val="26"/>
        </w:rPr>
      </w:pPr>
    </w:p>
    <w:p w14:paraId="47D93C81" w14:textId="6F9AF9DE" w:rsidR="009C42EE" w:rsidRPr="00B31404" w:rsidRDefault="009C42EE" w:rsidP="00C24756">
      <w:pPr>
        <w:pStyle w:val="TEXTONORMAL"/>
        <w:ind w:firstLine="0"/>
        <w:contextualSpacing/>
        <w:rPr>
          <w:rFonts w:eastAsia="Calibri"/>
          <w:sz w:val="26"/>
          <w:szCs w:val="26"/>
        </w:rPr>
      </w:pPr>
      <w:r w:rsidRPr="00B31404">
        <w:rPr>
          <w:rFonts w:eastAsia="Calibri"/>
          <w:b/>
          <w:sz w:val="26"/>
          <w:szCs w:val="26"/>
        </w:rPr>
        <w:t>SEGUNDO.</w:t>
      </w:r>
      <w:r w:rsidRPr="00B31404">
        <w:rPr>
          <w:rFonts w:eastAsia="Calibri"/>
          <w:sz w:val="26"/>
          <w:szCs w:val="26"/>
        </w:rPr>
        <w:t xml:space="preserve"> Se declara la inconstitucionalidad de</w:t>
      </w:r>
      <w:r w:rsidR="00357CA2" w:rsidRPr="00B31404">
        <w:rPr>
          <w:rFonts w:eastAsia="Calibri"/>
          <w:sz w:val="26"/>
          <w:szCs w:val="26"/>
        </w:rPr>
        <w:t xml:space="preserve"> </w:t>
      </w:r>
      <w:r w:rsidR="00215273" w:rsidRPr="00B31404">
        <w:rPr>
          <w:rFonts w:eastAsia="Calibri"/>
          <w:sz w:val="26"/>
          <w:szCs w:val="26"/>
        </w:rPr>
        <w:t xml:space="preserve">las fracciones XI y XII del artículo 98 de la Ley para la Prevención y Gestión Integral de los Residuos Sólidos </w:t>
      </w:r>
      <w:r w:rsidR="002B253E">
        <w:rPr>
          <w:rFonts w:eastAsia="Calibri"/>
          <w:sz w:val="26"/>
          <w:szCs w:val="26"/>
        </w:rPr>
        <w:t>para el</w:t>
      </w:r>
      <w:r w:rsidR="002B253E" w:rsidRPr="00B31404">
        <w:rPr>
          <w:rFonts w:eastAsia="Calibri"/>
          <w:sz w:val="26"/>
          <w:szCs w:val="26"/>
        </w:rPr>
        <w:t xml:space="preserve"> </w:t>
      </w:r>
      <w:r w:rsidR="00215273" w:rsidRPr="00B31404">
        <w:rPr>
          <w:rFonts w:eastAsia="Calibri"/>
          <w:sz w:val="26"/>
          <w:szCs w:val="26"/>
        </w:rPr>
        <w:t>Estado de Oaxaca</w:t>
      </w:r>
      <w:r w:rsidR="009A76AF" w:rsidRPr="00B31404">
        <w:rPr>
          <w:rFonts w:eastAsia="Calibri"/>
          <w:sz w:val="26"/>
          <w:szCs w:val="26"/>
        </w:rPr>
        <w:t>,</w:t>
      </w:r>
      <w:r w:rsidR="00AD344D" w:rsidRPr="00B31404">
        <w:rPr>
          <w:rFonts w:eastAsia="Calibri"/>
          <w:sz w:val="26"/>
          <w:szCs w:val="26"/>
        </w:rPr>
        <w:t xml:space="preserve"> la cual surtirá efectos generales</w:t>
      </w:r>
      <w:r w:rsidRPr="00B31404">
        <w:rPr>
          <w:rFonts w:eastAsia="Calibri"/>
          <w:sz w:val="26"/>
          <w:szCs w:val="26"/>
        </w:rPr>
        <w:t xml:space="preserve"> a partir de la notificación de estos puntos resolutivos a</w:t>
      </w:r>
      <w:r w:rsidR="009A76AF" w:rsidRPr="00B31404">
        <w:rPr>
          <w:rFonts w:eastAsia="Calibri"/>
          <w:sz w:val="26"/>
          <w:szCs w:val="26"/>
        </w:rPr>
        <w:t>l Congreso del Estado de Oaxaca</w:t>
      </w:r>
      <w:r w:rsidR="00AD344D" w:rsidRPr="00B31404">
        <w:rPr>
          <w:rFonts w:eastAsia="Calibri"/>
          <w:sz w:val="26"/>
          <w:szCs w:val="26"/>
        </w:rPr>
        <w:t>.</w:t>
      </w:r>
    </w:p>
    <w:p w14:paraId="73F2F24F" w14:textId="77777777" w:rsidR="009C42EE" w:rsidRPr="00B31404" w:rsidRDefault="009C42EE" w:rsidP="00C24756">
      <w:pPr>
        <w:pStyle w:val="TEXTONORMAL"/>
        <w:ind w:firstLine="0"/>
        <w:contextualSpacing/>
        <w:rPr>
          <w:rFonts w:eastAsia="Calibri"/>
          <w:sz w:val="26"/>
          <w:szCs w:val="26"/>
        </w:rPr>
      </w:pPr>
    </w:p>
    <w:p w14:paraId="4A46AB8C" w14:textId="65194D61" w:rsidR="00552F19" w:rsidRPr="00B31404" w:rsidRDefault="009C42EE" w:rsidP="002B253E">
      <w:pPr>
        <w:pStyle w:val="TEXTONORMAL"/>
        <w:ind w:firstLine="0"/>
        <w:contextualSpacing/>
        <w:rPr>
          <w:rFonts w:eastAsia="Calibri"/>
          <w:sz w:val="26"/>
          <w:szCs w:val="26"/>
        </w:rPr>
      </w:pPr>
      <w:r w:rsidRPr="00B31404">
        <w:rPr>
          <w:rFonts w:eastAsia="Calibri"/>
          <w:b/>
          <w:sz w:val="26"/>
          <w:szCs w:val="26"/>
        </w:rPr>
        <w:lastRenderedPageBreak/>
        <w:t>TERCERO.</w:t>
      </w:r>
      <w:r w:rsidRPr="00B31404">
        <w:rPr>
          <w:rFonts w:eastAsia="Calibri"/>
          <w:sz w:val="26"/>
          <w:szCs w:val="26"/>
        </w:rPr>
        <w:t xml:space="preserve"> </w:t>
      </w:r>
      <w:r w:rsidR="001720CB" w:rsidRPr="00B31404">
        <w:rPr>
          <w:rFonts w:eastAsia="Calibri"/>
          <w:sz w:val="26"/>
          <w:szCs w:val="26"/>
        </w:rPr>
        <w:t>Notifíquese esta sentencia a</w:t>
      </w:r>
      <w:r w:rsidR="009A76AF" w:rsidRPr="00B31404">
        <w:rPr>
          <w:rFonts w:eastAsia="Calibri"/>
          <w:sz w:val="26"/>
          <w:szCs w:val="26"/>
        </w:rPr>
        <w:t xml:space="preserve">l Congreso </w:t>
      </w:r>
      <w:r w:rsidR="007D21EB" w:rsidRPr="00B31404">
        <w:rPr>
          <w:rFonts w:eastAsia="Calibri"/>
          <w:sz w:val="26"/>
          <w:szCs w:val="26"/>
        </w:rPr>
        <w:t>y al Periódico Oficial</w:t>
      </w:r>
      <w:r w:rsidR="001E7C32" w:rsidRPr="00B31404">
        <w:rPr>
          <w:rFonts w:eastAsia="Calibri"/>
          <w:sz w:val="26"/>
          <w:szCs w:val="26"/>
        </w:rPr>
        <w:t xml:space="preserve">, ambos del Estado de Oaxaca </w:t>
      </w:r>
      <w:r w:rsidR="00B17D0E" w:rsidRPr="00B31404">
        <w:rPr>
          <w:rFonts w:eastAsia="Calibri"/>
          <w:sz w:val="26"/>
          <w:szCs w:val="26"/>
        </w:rPr>
        <w:t xml:space="preserve">para los efectos precisados en </w:t>
      </w:r>
      <w:r w:rsidR="00C853C4" w:rsidRPr="00B31404">
        <w:rPr>
          <w:rFonts w:eastAsia="Calibri"/>
          <w:sz w:val="26"/>
          <w:szCs w:val="26"/>
        </w:rPr>
        <w:t xml:space="preserve">el apartado </w:t>
      </w:r>
      <w:r w:rsidR="002B4E90" w:rsidRPr="00B31404">
        <w:rPr>
          <w:rFonts w:eastAsia="Calibri"/>
          <w:sz w:val="26"/>
          <w:szCs w:val="26"/>
        </w:rPr>
        <w:t>V</w:t>
      </w:r>
      <w:r w:rsidR="00C853C4" w:rsidRPr="00B31404">
        <w:rPr>
          <w:rFonts w:eastAsia="Calibri"/>
          <w:sz w:val="26"/>
          <w:szCs w:val="26"/>
        </w:rPr>
        <w:t xml:space="preserve">II de esta </w:t>
      </w:r>
      <w:r w:rsidR="00ED37EB" w:rsidRPr="00B31404">
        <w:rPr>
          <w:rFonts w:eastAsia="Calibri"/>
          <w:sz w:val="26"/>
          <w:szCs w:val="26"/>
        </w:rPr>
        <w:t>resolución</w:t>
      </w:r>
      <w:r w:rsidR="00B17D0E" w:rsidRPr="00B31404">
        <w:rPr>
          <w:rFonts w:eastAsia="Calibri"/>
          <w:sz w:val="26"/>
          <w:szCs w:val="26"/>
        </w:rPr>
        <w:t>.</w:t>
      </w:r>
    </w:p>
    <w:p w14:paraId="142FF49A" w14:textId="77777777" w:rsidR="00552F19" w:rsidRPr="00B31404" w:rsidRDefault="00552F19" w:rsidP="00C24756">
      <w:pPr>
        <w:pStyle w:val="TEXTONORMAL"/>
        <w:ind w:firstLine="0"/>
        <w:contextualSpacing/>
        <w:rPr>
          <w:rFonts w:eastAsia="Calibri"/>
          <w:sz w:val="26"/>
          <w:szCs w:val="26"/>
        </w:rPr>
      </w:pPr>
    </w:p>
    <w:p w14:paraId="7469FAFE" w14:textId="1D81AB15" w:rsidR="007F61B5" w:rsidRPr="009C3B8B" w:rsidRDefault="00552F19" w:rsidP="00B31404">
      <w:pPr>
        <w:pStyle w:val="TEXTONORMAL"/>
        <w:ind w:firstLine="0"/>
        <w:contextualSpacing/>
        <w:rPr>
          <w:rFonts w:eastAsia="Calibri"/>
          <w:b/>
          <w:bCs/>
        </w:rPr>
      </w:pPr>
      <w:r w:rsidRPr="00B31404">
        <w:rPr>
          <w:rFonts w:eastAsia="Calibri"/>
          <w:b/>
          <w:bCs/>
          <w:sz w:val="26"/>
          <w:szCs w:val="26"/>
        </w:rPr>
        <w:t xml:space="preserve">CUARTO. </w:t>
      </w:r>
      <w:r w:rsidR="009C42EE" w:rsidRPr="00B31404">
        <w:rPr>
          <w:rFonts w:eastAsia="Calibri"/>
          <w:sz w:val="26"/>
          <w:szCs w:val="26"/>
        </w:rPr>
        <w:t>Publíquese esta resolución en el Diario Oficial de la Federación, así como en el Semanario Judicial de la Federación y su Gaceta.</w:t>
      </w:r>
      <w:bookmarkEnd w:id="7"/>
    </w:p>
    <w:sectPr w:rsidR="007F61B5" w:rsidRPr="009C3B8B" w:rsidSect="00121F22">
      <w:headerReference w:type="even" r:id="rId12"/>
      <w:headerReference w:type="default" r:id="rId13"/>
      <w:footerReference w:type="even" r:id="rId14"/>
      <w:footerReference w:type="default" r:id="rId15"/>
      <w:footerReference w:type="first" r:id="rId16"/>
      <w:pgSz w:w="12242" w:h="19442" w:code="190"/>
      <w:pgMar w:top="2268" w:right="1701" w:bottom="1701" w:left="2098" w:header="1134" w:footer="883"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10234" w14:textId="77777777" w:rsidR="00FF2B00" w:rsidRDefault="00FF2B00" w:rsidP="008B4AE5">
      <w:r>
        <w:separator/>
      </w:r>
    </w:p>
  </w:endnote>
  <w:endnote w:type="continuationSeparator" w:id="0">
    <w:p w14:paraId="526C78F3" w14:textId="77777777" w:rsidR="00FF2B00" w:rsidRDefault="00FF2B00" w:rsidP="008B4AE5">
      <w:r>
        <w:continuationSeparator/>
      </w:r>
    </w:p>
  </w:endnote>
  <w:endnote w:type="continuationNotice" w:id="1">
    <w:p w14:paraId="2089344C" w14:textId="77777777" w:rsidR="00FF2B00" w:rsidRDefault="00FF2B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8CAF8" w14:textId="77777777" w:rsidR="00844C6E" w:rsidRDefault="00844C6E">
    <w:pPr>
      <w:pStyle w:val="Piedepgina"/>
      <w:jc w:val="center"/>
      <w:rPr>
        <w:rFonts w:ascii="Arial" w:hAnsi="Arial" w:cs="Arial"/>
        <w:b/>
        <w:bCs/>
      </w:rPr>
    </w:pPr>
  </w:p>
  <w:p w14:paraId="00467A53" w14:textId="60D8887B" w:rsidR="00844C6E" w:rsidRPr="002A0393" w:rsidRDefault="00844C6E">
    <w:pPr>
      <w:pStyle w:val="Piedepgina"/>
      <w:jc w:val="center"/>
      <w:rPr>
        <w:rFonts w:ascii="Arial" w:hAnsi="Arial" w:cs="Arial"/>
      </w:rPr>
    </w:pPr>
    <w:r w:rsidRPr="002A0393">
      <w:rPr>
        <w:rFonts w:ascii="Arial" w:hAnsi="Arial" w:cs="Arial"/>
      </w:rPr>
      <w:fldChar w:fldCharType="begin"/>
    </w:r>
    <w:r w:rsidRPr="002A0393">
      <w:rPr>
        <w:rFonts w:ascii="Arial" w:hAnsi="Arial" w:cs="Arial"/>
      </w:rPr>
      <w:instrText>PAGE   \* MERGEFORMAT</w:instrText>
    </w:r>
    <w:r w:rsidRPr="002A0393">
      <w:rPr>
        <w:rFonts w:ascii="Arial" w:hAnsi="Arial" w:cs="Arial"/>
      </w:rPr>
      <w:fldChar w:fldCharType="separate"/>
    </w:r>
    <w:r w:rsidRPr="002A0393">
      <w:rPr>
        <w:rFonts w:ascii="Arial" w:hAnsi="Arial" w:cs="Arial"/>
        <w:lang w:val="es-ES"/>
      </w:rPr>
      <w:t>2</w:t>
    </w:r>
    <w:r w:rsidRPr="002A0393">
      <w:rPr>
        <w:rFonts w:ascii="Arial" w:hAnsi="Arial" w:cs="Arial"/>
      </w:rPr>
      <w:fldChar w:fldCharType="end"/>
    </w:r>
  </w:p>
  <w:p w14:paraId="77A2FD3E" w14:textId="77777777" w:rsidR="00844C6E" w:rsidRDefault="00844C6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520C" w14:textId="77777777" w:rsidR="009A0319" w:rsidRDefault="009A0319" w:rsidP="00DE5D24">
    <w:pPr>
      <w:pStyle w:val="Piedepgina"/>
      <w:jc w:val="center"/>
    </w:pPr>
  </w:p>
  <w:p w14:paraId="43BC97EA" w14:textId="77777777" w:rsidR="009A0319" w:rsidRPr="001B1232" w:rsidRDefault="009A0319" w:rsidP="00DE5D24">
    <w:pPr>
      <w:pStyle w:val="Piedepgina"/>
      <w:jc w:val="center"/>
      <w:rPr>
        <w:b/>
        <w:bCs/>
      </w:rPr>
    </w:pPr>
    <w:r w:rsidRPr="001B1232">
      <w:rPr>
        <w:rFonts w:ascii="Arial" w:hAnsi="Arial" w:cs="Arial"/>
        <w:b/>
        <w:bCs/>
      </w:rPr>
      <w:fldChar w:fldCharType="begin"/>
    </w:r>
    <w:r w:rsidRPr="001B1232">
      <w:rPr>
        <w:rFonts w:ascii="Arial" w:hAnsi="Arial" w:cs="Arial"/>
        <w:b/>
        <w:bCs/>
      </w:rPr>
      <w:instrText>PAGE   \* MERGEFORMAT</w:instrText>
    </w:r>
    <w:r w:rsidRPr="001B1232">
      <w:rPr>
        <w:rFonts w:ascii="Arial" w:hAnsi="Arial" w:cs="Arial"/>
        <w:b/>
        <w:bCs/>
      </w:rPr>
      <w:fldChar w:fldCharType="separate"/>
    </w:r>
    <w:r w:rsidRPr="001B1232">
      <w:rPr>
        <w:rFonts w:ascii="Arial" w:hAnsi="Arial" w:cs="Arial"/>
        <w:b/>
        <w:bCs/>
        <w:lang w:val="es-ES"/>
      </w:rPr>
      <w:t>2</w:t>
    </w:r>
    <w:r w:rsidRPr="001B1232">
      <w:rPr>
        <w:rFonts w:ascii="Arial" w:hAnsi="Arial" w:cs="Arial"/>
        <w:b/>
        <w:bCs/>
      </w:rPr>
      <w:fldChar w:fldCharType="end"/>
    </w:r>
  </w:p>
  <w:p w14:paraId="351CB8A9" w14:textId="77777777" w:rsidR="009A0319" w:rsidRDefault="009A0319" w:rsidP="00DE5D24">
    <w:pPr>
      <w:pStyle w:val="Piedepgin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0444" w14:textId="77777777" w:rsidR="00844C6E" w:rsidRDefault="00844C6E">
    <w:pPr>
      <w:pStyle w:val="Piedepgina"/>
      <w:jc w:val="center"/>
      <w:rPr>
        <w:rFonts w:ascii="Arial" w:hAnsi="Arial" w:cs="Arial"/>
      </w:rPr>
    </w:pPr>
  </w:p>
  <w:p w14:paraId="6113493C" w14:textId="3B8FBB1C" w:rsidR="00F91C56" w:rsidRPr="002A0393" w:rsidRDefault="00121F22">
    <w:pPr>
      <w:pStyle w:val="Piedepgina"/>
      <w:jc w:val="center"/>
      <w:rPr>
        <w:rFonts w:ascii="Arial" w:hAnsi="Arial" w:cs="Arial"/>
      </w:rPr>
    </w:pPr>
    <w:r>
      <w:rPr>
        <w:rFonts w:ascii="Arial" w:hAnsi="Arial" w:cs="Arial"/>
      </w:rPr>
      <w:t>I</w:t>
    </w:r>
  </w:p>
  <w:p w14:paraId="017812EB" w14:textId="77777777" w:rsidR="009A0319" w:rsidRDefault="009A0319" w:rsidP="00DE5D24">
    <w:pPr>
      <w:pStyle w:val="Piedepgin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854F1" w14:textId="77777777" w:rsidR="008F7894" w:rsidRPr="00121F22" w:rsidRDefault="008F7894" w:rsidP="002A0393">
    <w:pPr>
      <w:pStyle w:val="Piedepgina"/>
      <w:jc w:val="center"/>
      <w:rPr>
        <w:rFonts w:ascii="Arial" w:hAnsi="Arial" w:cs="Arial"/>
        <w:bCs/>
      </w:rPr>
    </w:pPr>
    <w:r w:rsidRPr="00121F22">
      <w:rPr>
        <w:rFonts w:ascii="Arial" w:hAnsi="Arial" w:cs="Arial"/>
        <w:bCs/>
      </w:rPr>
      <w:fldChar w:fldCharType="begin"/>
    </w:r>
    <w:r w:rsidRPr="00121F22">
      <w:rPr>
        <w:rFonts w:ascii="Arial" w:hAnsi="Arial" w:cs="Arial"/>
        <w:bCs/>
      </w:rPr>
      <w:instrText>PAGE   \* MERGEFORMAT</w:instrText>
    </w:r>
    <w:r w:rsidRPr="00121F22">
      <w:rPr>
        <w:rFonts w:ascii="Arial" w:hAnsi="Arial" w:cs="Arial"/>
        <w:bCs/>
      </w:rPr>
      <w:fldChar w:fldCharType="separate"/>
    </w:r>
    <w:r w:rsidRPr="00121F22">
      <w:rPr>
        <w:rFonts w:ascii="Arial" w:hAnsi="Arial" w:cs="Arial"/>
        <w:bCs/>
        <w:noProof/>
        <w:lang w:val="es-ES"/>
      </w:rPr>
      <w:t>26</w:t>
    </w:r>
    <w:r w:rsidRPr="00121F22">
      <w:rPr>
        <w:rFonts w:ascii="Arial" w:hAnsi="Arial" w:cs="Arial"/>
        <w:b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51973" w14:textId="7994A93D" w:rsidR="008F7894" w:rsidRPr="00121F22" w:rsidRDefault="008F7894" w:rsidP="002A0393">
    <w:pPr>
      <w:pStyle w:val="Piedepgina"/>
      <w:tabs>
        <w:tab w:val="left" w:pos="5910"/>
        <w:tab w:val="right" w:pos="8443"/>
      </w:tabs>
      <w:jc w:val="center"/>
      <w:rPr>
        <w:rFonts w:ascii="Arial" w:hAnsi="Arial" w:cs="Arial"/>
        <w:bCs/>
      </w:rPr>
    </w:pPr>
    <w:r w:rsidRPr="00121F22">
      <w:rPr>
        <w:rFonts w:ascii="Arial" w:hAnsi="Arial" w:cs="Arial"/>
        <w:bCs/>
      </w:rPr>
      <w:fldChar w:fldCharType="begin"/>
    </w:r>
    <w:r w:rsidRPr="00121F22">
      <w:rPr>
        <w:rFonts w:ascii="Arial" w:hAnsi="Arial" w:cs="Arial"/>
        <w:bCs/>
      </w:rPr>
      <w:instrText>PAGE   \* MERGEFORMAT</w:instrText>
    </w:r>
    <w:r w:rsidRPr="00121F22">
      <w:rPr>
        <w:rFonts w:ascii="Arial" w:hAnsi="Arial" w:cs="Arial"/>
        <w:bCs/>
      </w:rPr>
      <w:fldChar w:fldCharType="separate"/>
    </w:r>
    <w:r w:rsidRPr="00121F22">
      <w:rPr>
        <w:rFonts w:ascii="Arial" w:hAnsi="Arial" w:cs="Arial"/>
        <w:bCs/>
        <w:noProof/>
        <w:lang w:val="es-ES"/>
      </w:rPr>
      <w:t>27</w:t>
    </w:r>
    <w:r w:rsidRPr="00121F22">
      <w:rPr>
        <w:rFonts w:ascii="Arial" w:hAnsi="Arial" w:cs="Arial"/>
        <w:bC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DF3E3" w14:textId="77777777" w:rsidR="00121F22" w:rsidRPr="00121F22" w:rsidRDefault="00121F22">
    <w:pPr>
      <w:pStyle w:val="Piedepgina"/>
      <w:jc w:val="center"/>
      <w:rPr>
        <w:rFonts w:ascii="Arial" w:hAnsi="Arial" w:cs="Arial"/>
        <w:caps/>
      </w:rPr>
    </w:pPr>
    <w:r w:rsidRPr="00121F22">
      <w:rPr>
        <w:rFonts w:ascii="Arial" w:hAnsi="Arial" w:cs="Arial"/>
        <w:caps/>
      </w:rPr>
      <w:fldChar w:fldCharType="begin"/>
    </w:r>
    <w:r w:rsidRPr="00121F22">
      <w:rPr>
        <w:rFonts w:ascii="Arial" w:hAnsi="Arial" w:cs="Arial"/>
        <w:caps/>
      </w:rPr>
      <w:instrText>PAGE   \* MERGEFORMAT</w:instrText>
    </w:r>
    <w:r w:rsidRPr="00121F22">
      <w:rPr>
        <w:rFonts w:ascii="Arial" w:hAnsi="Arial" w:cs="Arial"/>
        <w:caps/>
      </w:rPr>
      <w:fldChar w:fldCharType="separate"/>
    </w:r>
    <w:r w:rsidRPr="00121F22">
      <w:rPr>
        <w:rFonts w:ascii="Arial" w:hAnsi="Arial" w:cs="Arial"/>
        <w:caps/>
        <w:lang w:val="es-ES"/>
      </w:rPr>
      <w:t>2</w:t>
    </w:r>
    <w:r w:rsidRPr="00121F22">
      <w:rPr>
        <w:rFonts w:ascii="Arial" w:hAnsi="Arial" w:cs="Arial"/>
        <w:caps/>
      </w:rPr>
      <w:fldChar w:fldCharType="end"/>
    </w:r>
  </w:p>
  <w:p w14:paraId="3F5DE7F6" w14:textId="77777777" w:rsidR="00121F22" w:rsidRDefault="00121F22" w:rsidP="00DE5D24">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B6C9B" w14:textId="77777777" w:rsidR="00FF2B00" w:rsidRDefault="00FF2B00" w:rsidP="008B4AE5">
      <w:r>
        <w:separator/>
      </w:r>
    </w:p>
  </w:footnote>
  <w:footnote w:type="continuationSeparator" w:id="0">
    <w:p w14:paraId="3C0D1B3D" w14:textId="77777777" w:rsidR="00FF2B00" w:rsidRDefault="00FF2B00" w:rsidP="008B4AE5">
      <w:r>
        <w:continuationSeparator/>
      </w:r>
    </w:p>
  </w:footnote>
  <w:footnote w:type="continuationNotice" w:id="1">
    <w:p w14:paraId="2ABB6FEB" w14:textId="77777777" w:rsidR="00FF2B00" w:rsidRDefault="00FF2B00"/>
  </w:footnote>
  <w:footnote w:id="2">
    <w:p w14:paraId="614B4E9A" w14:textId="5DDD1A43" w:rsidR="00FC214F" w:rsidRPr="00534BE5" w:rsidRDefault="00FC214F"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00E857CF" w:rsidRPr="00534BE5">
        <w:rPr>
          <w:rFonts w:ascii="Arial" w:hAnsi="Arial" w:cs="Arial"/>
        </w:rPr>
        <w:t xml:space="preserve">Sentencia recaída al Amparo en Revisión </w:t>
      </w:r>
      <w:r w:rsidR="000B79EC" w:rsidRPr="00534BE5">
        <w:rPr>
          <w:rFonts w:ascii="Arial" w:hAnsi="Arial" w:cs="Arial"/>
        </w:rPr>
        <w:t>173</w:t>
      </w:r>
      <w:r w:rsidR="00E857CF" w:rsidRPr="00534BE5">
        <w:rPr>
          <w:rFonts w:ascii="Arial" w:hAnsi="Arial" w:cs="Arial"/>
        </w:rPr>
        <w:t>/</w:t>
      </w:r>
      <w:r w:rsidR="000B79EC" w:rsidRPr="00534BE5">
        <w:rPr>
          <w:rFonts w:ascii="Arial" w:hAnsi="Arial" w:cs="Arial"/>
        </w:rPr>
        <w:t>2022</w:t>
      </w:r>
      <w:r w:rsidR="00E857CF" w:rsidRPr="00534BE5">
        <w:rPr>
          <w:rFonts w:ascii="Arial" w:hAnsi="Arial" w:cs="Arial"/>
        </w:rPr>
        <w:t xml:space="preserve">, </w:t>
      </w:r>
      <w:r w:rsidR="000B79EC" w:rsidRPr="00534BE5">
        <w:rPr>
          <w:rFonts w:ascii="Arial" w:hAnsi="Arial" w:cs="Arial"/>
        </w:rPr>
        <w:t xml:space="preserve">Segunda </w:t>
      </w:r>
      <w:r w:rsidR="00E857CF" w:rsidRPr="00534BE5">
        <w:rPr>
          <w:rFonts w:ascii="Arial" w:hAnsi="Arial" w:cs="Arial"/>
        </w:rPr>
        <w:t xml:space="preserve">de la Suprema Corte de Justicia de la Nación, Ponente: </w:t>
      </w:r>
      <w:r w:rsidR="000B79EC" w:rsidRPr="00534BE5">
        <w:rPr>
          <w:rFonts w:ascii="Arial" w:hAnsi="Arial" w:cs="Arial"/>
        </w:rPr>
        <w:t>Javier Laynez Potisek</w:t>
      </w:r>
      <w:r w:rsidR="00E857CF" w:rsidRPr="00534BE5">
        <w:rPr>
          <w:rFonts w:ascii="Arial" w:hAnsi="Arial" w:cs="Arial"/>
        </w:rPr>
        <w:t xml:space="preserve">, </w:t>
      </w:r>
      <w:r w:rsidR="000B79EC" w:rsidRPr="00534BE5">
        <w:rPr>
          <w:rFonts w:ascii="Arial" w:hAnsi="Arial" w:cs="Arial"/>
        </w:rPr>
        <w:t>17</w:t>
      </w:r>
      <w:r w:rsidR="00E857CF" w:rsidRPr="00534BE5">
        <w:rPr>
          <w:rFonts w:ascii="Arial" w:hAnsi="Arial" w:cs="Arial"/>
        </w:rPr>
        <w:t xml:space="preserve"> de </w:t>
      </w:r>
      <w:r w:rsidR="000B79EC" w:rsidRPr="00534BE5">
        <w:rPr>
          <w:rFonts w:ascii="Arial" w:hAnsi="Arial" w:cs="Arial"/>
        </w:rPr>
        <w:t>agosto</w:t>
      </w:r>
      <w:r w:rsidR="00E857CF" w:rsidRPr="00534BE5">
        <w:rPr>
          <w:rFonts w:ascii="Arial" w:hAnsi="Arial" w:cs="Arial"/>
        </w:rPr>
        <w:t xml:space="preserve"> de </w:t>
      </w:r>
      <w:r w:rsidR="000B79EC" w:rsidRPr="00534BE5">
        <w:rPr>
          <w:rFonts w:ascii="Arial" w:hAnsi="Arial" w:cs="Arial"/>
        </w:rPr>
        <w:t>2022</w:t>
      </w:r>
      <w:r w:rsidR="00E857CF" w:rsidRPr="00534BE5">
        <w:rPr>
          <w:rFonts w:ascii="Arial" w:hAnsi="Arial" w:cs="Arial"/>
        </w:rPr>
        <w:t xml:space="preserve">. </w:t>
      </w:r>
    </w:p>
  </w:footnote>
  <w:footnote w:id="3">
    <w:p w14:paraId="266EFBB1" w14:textId="42A5B21D" w:rsidR="00FC214F" w:rsidRPr="00534BE5" w:rsidRDefault="00FC214F"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000B79EC" w:rsidRPr="00534BE5">
        <w:rPr>
          <w:rFonts w:ascii="Arial" w:hAnsi="Arial" w:cs="Arial"/>
        </w:rPr>
        <w:t xml:space="preserve">Sentencia recaída al Amparo en Revisión 230/2022, Segunda de la Suprema Corte de Justicia de la Nación, Ponente: </w:t>
      </w:r>
      <w:r w:rsidR="00B31852" w:rsidRPr="00534BE5">
        <w:rPr>
          <w:rFonts w:ascii="Arial" w:hAnsi="Arial" w:cs="Arial"/>
        </w:rPr>
        <w:t>Yasmín Esquivel Mossa</w:t>
      </w:r>
      <w:r w:rsidR="000B79EC" w:rsidRPr="00534BE5">
        <w:rPr>
          <w:rFonts w:ascii="Arial" w:hAnsi="Arial" w:cs="Arial"/>
        </w:rPr>
        <w:t>, 17 de agosto de 2022.</w:t>
      </w:r>
    </w:p>
  </w:footnote>
  <w:footnote w:id="4">
    <w:p w14:paraId="1CDB1757" w14:textId="4C8E82EF" w:rsidR="008F7894" w:rsidRPr="00534BE5" w:rsidRDefault="008F7894"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003C3E47" w:rsidRPr="00534BE5">
        <w:rPr>
          <w:rFonts w:ascii="Arial" w:hAnsi="Arial" w:cs="Arial"/>
          <w:b/>
        </w:rPr>
        <w:t xml:space="preserve">Artículo 107. </w:t>
      </w:r>
      <w:r w:rsidR="003C3E47" w:rsidRPr="00534BE5">
        <w:rPr>
          <w:rFonts w:ascii="Arial" w:hAnsi="Arial" w:cs="Arial"/>
          <w:bCs/>
        </w:rPr>
        <w:t>Las controversias de que habla el artículo 103 de esta Constitución, con excepción de aquellas en materia electoral, se sujetarán a los procedimientos que determine la ley reglamentaria, de acuerdo con las bases siguientes:</w:t>
      </w:r>
    </w:p>
    <w:p w14:paraId="1C1B3262" w14:textId="77777777" w:rsidR="008F7894" w:rsidRPr="00534BE5" w:rsidRDefault="008F7894" w:rsidP="00972E30">
      <w:pPr>
        <w:pStyle w:val="Textonotapie"/>
        <w:jc w:val="both"/>
        <w:rPr>
          <w:rFonts w:ascii="Arial" w:hAnsi="Arial" w:cs="Arial"/>
        </w:rPr>
      </w:pPr>
      <w:r w:rsidRPr="00534BE5">
        <w:rPr>
          <w:rFonts w:ascii="Arial" w:hAnsi="Arial" w:cs="Arial"/>
        </w:rPr>
        <w:t>[…]</w:t>
      </w:r>
    </w:p>
    <w:p w14:paraId="5A68A1E8" w14:textId="06892CF1" w:rsidR="008F7894" w:rsidRPr="00534BE5" w:rsidRDefault="008F7894" w:rsidP="00972E30">
      <w:pPr>
        <w:pStyle w:val="Textonotapie"/>
        <w:jc w:val="both"/>
        <w:rPr>
          <w:rFonts w:ascii="Arial" w:hAnsi="Arial" w:cs="Arial"/>
        </w:rPr>
      </w:pPr>
      <w:r w:rsidRPr="00534BE5">
        <w:rPr>
          <w:rFonts w:ascii="Arial" w:hAnsi="Arial" w:cs="Arial"/>
        </w:rPr>
        <w:t xml:space="preserve">II.- </w:t>
      </w:r>
      <w:r w:rsidR="009A7D8B" w:rsidRPr="00534BE5">
        <w:rPr>
          <w:rFonts w:ascii="Arial" w:hAnsi="Arial" w:cs="Arial"/>
        </w:rPr>
        <w:t>Las sentencias que se pronuncien en los juicios de amparo sólo se ocuparán de los quejosos que lo hubieren solicitado, limitándose a ampararlos y protegerlos, si procediere, en el caso especial sobre el que verse la demanda</w:t>
      </w:r>
    </w:p>
    <w:p w14:paraId="7B1825FB" w14:textId="77777777" w:rsidR="008F7894" w:rsidRPr="00534BE5" w:rsidRDefault="008F7894" w:rsidP="00972E30">
      <w:pPr>
        <w:pStyle w:val="Textonotapie"/>
        <w:jc w:val="both"/>
        <w:rPr>
          <w:rFonts w:ascii="Arial" w:hAnsi="Arial" w:cs="Arial"/>
        </w:rPr>
      </w:pPr>
      <w:r w:rsidRPr="00534BE5">
        <w:rPr>
          <w:rFonts w:ascii="Arial" w:hAnsi="Arial" w:cs="Arial"/>
        </w:rPr>
        <w:t>[…]</w:t>
      </w:r>
    </w:p>
    <w:p w14:paraId="64693B9B" w14:textId="02FB92AE" w:rsidR="00F36705" w:rsidRPr="00534BE5" w:rsidRDefault="00F36705" w:rsidP="00972E30">
      <w:pPr>
        <w:pStyle w:val="Textonotapie"/>
        <w:jc w:val="both"/>
        <w:rPr>
          <w:rFonts w:ascii="Arial" w:hAnsi="Arial" w:cs="Arial"/>
        </w:rPr>
      </w:pPr>
      <w:r w:rsidRPr="00534BE5">
        <w:rPr>
          <w:rFonts w:ascii="Arial" w:hAnsi="Arial" w:cs="Arial"/>
        </w:rPr>
        <w:t>Cuando en los juicios de amparo indirecto en revisión se resuelva la inconstitucionalidad de una</w:t>
      </w:r>
      <w:r w:rsidR="00C932F9" w:rsidRPr="00534BE5">
        <w:rPr>
          <w:rFonts w:ascii="Arial" w:hAnsi="Arial" w:cs="Arial"/>
        </w:rPr>
        <w:t xml:space="preserve"> </w:t>
      </w:r>
      <w:r w:rsidRPr="00534BE5">
        <w:rPr>
          <w:rFonts w:ascii="Arial" w:hAnsi="Arial" w:cs="Arial"/>
        </w:rPr>
        <w:t>norma general, la Suprema Corte de Justicia de la Nación lo informará a la autoridad emisora</w:t>
      </w:r>
      <w:r w:rsidR="00C932F9" w:rsidRPr="00534BE5">
        <w:rPr>
          <w:rFonts w:ascii="Arial" w:hAnsi="Arial" w:cs="Arial"/>
        </w:rPr>
        <w:t xml:space="preserve"> </w:t>
      </w:r>
      <w:r w:rsidRPr="00534BE5">
        <w:rPr>
          <w:rFonts w:ascii="Arial" w:hAnsi="Arial" w:cs="Arial"/>
        </w:rPr>
        <w:t>correspondiente.</w:t>
      </w:r>
      <w:r w:rsidRPr="00534BE5">
        <w:rPr>
          <w:rFonts w:ascii="Arial" w:hAnsi="Arial" w:cs="Arial"/>
        </w:rPr>
        <w:cr/>
      </w:r>
      <w:r w:rsidR="00151B77" w:rsidRPr="00534BE5">
        <w:rPr>
          <w:rFonts w:ascii="Arial" w:hAnsi="Arial" w:cs="Arial"/>
        </w:rPr>
        <w:t>Cuando los Tribunales Colegiados de Circuito establezcan jurisprudencia por reiteración, o la Suprema Corte de Justicia de la Nación por precedentes, en la cual se determine la inconstitucionalidad de una norma general, su Presidente lo notificará a la autoridad emisora. Transcurrido el plazo de 90 días naturales sin que se supere el problema de inconstitucionalidad, la Suprema Corte de Justicia de la Nación emitirá, siempre que fuere aprobada por una mayoría de cuando menos ocho votos, la declaratoria general de inconstitucionalidad, en la cual se fijarán sus alcances y condiciones en los términos de la ley reglamentaria.</w:t>
      </w:r>
    </w:p>
  </w:footnote>
  <w:footnote w:id="5">
    <w:p w14:paraId="14CAB570" w14:textId="79E6E965" w:rsidR="008F7894" w:rsidRPr="00534BE5" w:rsidRDefault="008F7894"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Pr="00534BE5">
        <w:rPr>
          <w:rFonts w:ascii="Arial" w:hAnsi="Arial" w:cs="Arial"/>
          <w:b/>
        </w:rPr>
        <w:t>Artículo 231</w:t>
      </w:r>
      <w:r w:rsidRPr="00534BE5">
        <w:rPr>
          <w:rFonts w:ascii="Arial" w:hAnsi="Arial" w:cs="Arial"/>
        </w:rPr>
        <w:t xml:space="preserve">. </w:t>
      </w:r>
      <w:r w:rsidR="004812BE" w:rsidRPr="00534BE5">
        <w:rPr>
          <w:rFonts w:ascii="Arial" w:hAnsi="Arial" w:cs="Arial"/>
        </w:rPr>
        <w:t xml:space="preserve">Cuando las salas o el pleno de la Suprema Corte de Justicia de la Nación, en los juicios de amparo indirecto en revisión, resuelvan la inconstitucionalidad de una norma general, el presidente o la presidenta de la sala respectiva o de la Suprema Corte de Justicia de la Nación deberá informarlo a la autoridad emisora de la norma en un plazo de quince días. </w:t>
      </w:r>
    </w:p>
    <w:p w14:paraId="3F9F487A" w14:textId="2A94CC8A" w:rsidR="008F7894" w:rsidRPr="00534BE5" w:rsidRDefault="0065137D" w:rsidP="00972E30">
      <w:pPr>
        <w:pStyle w:val="Textonotapie"/>
        <w:jc w:val="both"/>
        <w:rPr>
          <w:rFonts w:ascii="Arial" w:hAnsi="Arial" w:cs="Arial"/>
        </w:rPr>
      </w:pPr>
      <w:r w:rsidRPr="00534BE5">
        <w:rPr>
          <w:rFonts w:ascii="Arial" w:hAnsi="Arial" w:cs="Arial"/>
        </w:rPr>
        <w:t xml:space="preserve">Lo dispuesto en el presente Capítulo no será aplicable a normas en materia tributaria. </w:t>
      </w:r>
    </w:p>
    <w:p w14:paraId="5CAC5266" w14:textId="6E2515C4" w:rsidR="008F7894" w:rsidRPr="00534BE5" w:rsidRDefault="008F7894" w:rsidP="00972E30">
      <w:pPr>
        <w:pStyle w:val="Textonotapie"/>
        <w:jc w:val="both"/>
        <w:rPr>
          <w:rFonts w:ascii="Arial" w:hAnsi="Arial" w:cs="Arial"/>
        </w:rPr>
      </w:pPr>
      <w:r w:rsidRPr="00534BE5">
        <w:rPr>
          <w:rFonts w:ascii="Arial" w:hAnsi="Arial" w:cs="Arial"/>
          <w:b/>
        </w:rPr>
        <w:t>Artículo 232.</w:t>
      </w:r>
      <w:r w:rsidRPr="00534BE5">
        <w:rPr>
          <w:rFonts w:ascii="Arial" w:hAnsi="Arial" w:cs="Arial"/>
        </w:rPr>
        <w:t xml:space="preserve"> </w:t>
      </w:r>
      <w:r w:rsidR="00B045AC" w:rsidRPr="00534BE5">
        <w:rPr>
          <w:rFonts w:ascii="Arial" w:hAnsi="Arial" w:cs="Arial"/>
        </w:rPr>
        <w:t>Cuando el pleno o las salas de la Suprema Corte de Justicia de la Nación, en los juicios de amparo indirecto en revisión, establezcan jurisprudencia en la que determinen la inconstitucionalidad de una norma general, se procederá a la notificación a que se refiere el tercer párrafo de la fracción II del artículo 107 de la Constitución Política de los Estados Unidos Mexicanos.</w:t>
      </w:r>
    </w:p>
    <w:p w14:paraId="2D457A08" w14:textId="77777777" w:rsidR="00E9219E" w:rsidRPr="00534BE5" w:rsidRDefault="00E9219E" w:rsidP="00972E30">
      <w:pPr>
        <w:pStyle w:val="Textonotapie"/>
        <w:jc w:val="both"/>
        <w:rPr>
          <w:rFonts w:ascii="Arial" w:hAnsi="Arial" w:cs="Arial"/>
        </w:rPr>
      </w:pPr>
      <w:r w:rsidRPr="00534BE5">
        <w:rPr>
          <w:rFonts w:ascii="Arial" w:hAnsi="Arial" w:cs="Arial"/>
        </w:rPr>
        <w:t xml:space="preserve">Una vez que se hubiere notificado al órgano emisor de la norma y transcurrido el plazo de 90 días naturales sin que se modifique o derogue la norma declarada inconstitucional, el pleno de la Suprema Corte de Justicia de la Nación emitirá la declaratoria general de inconstitucionalidad correspondiente siempre que hubiera sido aprobada por mayoría de cuando menos ocho votos. </w:t>
      </w:r>
    </w:p>
    <w:p w14:paraId="4FB38C0A" w14:textId="0DBFC1C7" w:rsidR="008F7894" w:rsidRPr="00534BE5" w:rsidRDefault="00E9219E" w:rsidP="00972E30">
      <w:pPr>
        <w:pStyle w:val="Textonotapie"/>
        <w:jc w:val="both"/>
        <w:rPr>
          <w:rFonts w:ascii="Arial" w:hAnsi="Arial" w:cs="Arial"/>
        </w:rPr>
      </w:pPr>
      <w:r w:rsidRPr="00534BE5">
        <w:rPr>
          <w:rFonts w:ascii="Arial" w:hAnsi="Arial" w:cs="Arial"/>
        </w:rPr>
        <w:t xml:space="preserve">Cuando el órgano emisor de la norma sea el órgano legislativo federal o local, el plazo referido en el párrafo anterior se computará dentro de los días útiles de los periodos ordinarios de sesiones determinados en la Constitución Federal, en el Estatuto de Gobierno del Distrito Federal, o en la Constitución Local, según corresponda. </w:t>
      </w:r>
    </w:p>
  </w:footnote>
  <w:footnote w:id="6">
    <w:p w14:paraId="36102CB5" w14:textId="24B11963" w:rsidR="008F7894" w:rsidRPr="00534BE5" w:rsidRDefault="008F7894"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000C66E2" w:rsidRPr="00534BE5">
        <w:rPr>
          <w:rFonts w:ascii="Arial" w:hAnsi="Arial" w:cs="Arial"/>
          <w:b/>
          <w:bCs/>
        </w:rPr>
        <w:t>Artículo 10.</w:t>
      </w:r>
      <w:r w:rsidR="000C66E2" w:rsidRPr="00534BE5">
        <w:rPr>
          <w:rFonts w:ascii="Arial" w:hAnsi="Arial" w:cs="Arial"/>
        </w:rPr>
        <w:t xml:space="preserve"> La Suprema Corte de Justicia de la Nación conocerá funcionando en Pleno:</w:t>
      </w:r>
    </w:p>
    <w:p w14:paraId="258FE3C3" w14:textId="77777777" w:rsidR="008F7894" w:rsidRPr="00534BE5" w:rsidRDefault="008F7894" w:rsidP="00972E30">
      <w:pPr>
        <w:pStyle w:val="Textonotapie"/>
        <w:jc w:val="both"/>
        <w:rPr>
          <w:rFonts w:ascii="Arial" w:hAnsi="Arial" w:cs="Arial"/>
        </w:rPr>
      </w:pPr>
      <w:r w:rsidRPr="00534BE5">
        <w:rPr>
          <w:rFonts w:ascii="Arial" w:hAnsi="Arial" w:cs="Arial"/>
        </w:rPr>
        <w:t>[…]</w:t>
      </w:r>
    </w:p>
    <w:p w14:paraId="1C2178AC" w14:textId="444E94AC" w:rsidR="008F7894" w:rsidRPr="00534BE5" w:rsidRDefault="001E01FA" w:rsidP="00972E30">
      <w:pPr>
        <w:pStyle w:val="Textonotapie"/>
        <w:jc w:val="both"/>
        <w:rPr>
          <w:rFonts w:ascii="Arial" w:hAnsi="Arial" w:cs="Arial"/>
        </w:rPr>
      </w:pPr>
      <w:r w:rsidRPr="00534BE5">
        <w:rPr>
          <w:rFonts w:ascii="Arial" w:hAnsi="Arial" w:cs="Arial"/>
        </w:rPr>
        <w:t>V. De los procedimientos de declaratoria general de inconstitucionalidad, de conformidad con lo establecido en la Ley de Amparo, Reglamentaria de los artículos 103 y 107 de la Constitución Política de los Estados Unidos Mexicanos;</w:t>
      </w:r>
    </w:p>
  </w:footnote>
  <w:footnote w:id="7">
    <w:p w14:paraId="05313750" w14:textId="5CD88342" w:rsidR="008F7894" w:rsidRPr="00534BE5" w:rsidRDefault="008F7894"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Pr="00534BE5">
        <w:rPr>
          <w:rFonts w:ascii="Arial" w:hAnsi="Arial" w:cs="Arial"/>
          <w:b/>
        </w:rPr>
        <w:t xml:space="preserve">Sexto. </w:t>
      </w:r>
      <w:r w:rsidRPr="00534BE5">
        <w:rPr>
          <w:rFonts w:ascii="Arial" w:hAnsi="Arial" w:cs="Arial"/>
        </w:rPr>
        <w:t>Dentro de los diez días hábiles siguientes al vencimiento del referido plazo de noventa días, sin que se hubiese</w:t>
      </w:r>
      <w:r w:rsidR="0011186D" w:rsidRPr="00534BE5">
        <w:rPr>
          <w:rFonts w:ascii="Arial" w:hAnsi="Arial" w:cs="Arial"/>
        </w:rPr>
        <w:t xml:space="preserve"> </w:t>
      </w:r>
      <w:r w:rsidRPr="00534BE5">
        <w:rPr>
          <w:rFonts w:ascii="Arial" w:hAnsi="Arial" w:cs="Arial"/>
        </w:rPr>
        <w:t>superado</w:t>
      </w:r>
      <w:r w:rsidR="0011186D" w:rsidRPr="00534BE5">
        <w:rPr>
          <w:rFonts w:ascii="Arial" w:hAnsi="Arial" w:cs="Arial"/>
        </w:rPr>
        <w:t xml:space="preserve"> </w:t>
      </w:r>
      <w:r w:rsidRPr="00534BE5">
        <w:rPr>
          <w:rFonts w:ascii="Arial" w:hAnsi="Arial" w:cs="Arial"/>
        </w:rPr>
        <w:t>el</w:t>
      </w:r>
      <w:r w:rsidR="0011186D" w:rsidRPr="00534BE5">
        <w:rPr>
          <w:rFonts w:ascii="Arial" w:hAnsi="Arial" w:cs="Arial"/>
        </w:rPr>
        <w:t xml:space="preserve"> </w:t>
      </w:r>
      <w:r w:rsidRPr="00534BE5">
        <w:rPr>
          <w:rFonts w:ascii="Arial" w:hAnsi="Arial" w:cs="Arial"/>
        </w:rPr>
        <w:t>problema</w:t>
      </w:r>
      <w:r w:rsidR="0011186D" w:rsidRPr="00534BE5">
        <w:rPr>
          <w:rFonts w:ascii="Arial" w:hAnsi="Arial" w:cs="Arial"/>
        </w:rPr>
        <w:t xml:space="preserve"> </w:t>
      </w:r>
      <w:r w:rsidRPr="00534BE5">
        <w:rPr>
          <w:rFonts w:ascii="Arial" w:hAnsi="Arial" w:cs="Arial"/>
        </w:rPr>
        <w:t>de</w:t>
      </w:r>
      <w:r w:rsidR="0011186D" w:rsidRPr="00534BE5">
        <w:rPr>
          <w:rFonts w:ascii="Arial" w:hAnsi="Arial" w:cs="Arial"/>
        </w:rPr>
        <w:t xml:space="preserve"> </w:t>
      </w:r>
      <w:r w:rsidRPr="00534BE5">
        <w:rPr>
          <w:rFonts w:ascii="Arial" w:hAnsi="Arial" w:cs="Arial"/>
        </w:rPr>
        <w:t>inconstitucionalidad</w:t>
      </w:r>
      <w:r w:rsidR="0011186D" w:rsidRPr="00534BE5">
        <w:rPr>
          <w:rFonts w:ascii="Arial" w:hAnsi="Arial" w:cs="Arial"/>
        </w:rPr>
        <w:t xml:space="preserve"> </w:t>
      </w:r>
      <w:r w:rsidRPr="00534BE5">
        <w:rPr>
          <w:rFonts w:ascii="Arial" w:hAnsi="Arial" w:cs="Arial"/>
        </w:rPr>
        <w:t>de la</w:t>
      </w:r>
      <w:r w:rsidR="0011186D" w:rsidRPr="00534BE5">
        <w:rPr>
          <w:rFonts w:ascii="Arial" w:hAnsi="Arial" w:cs="Arial"/>
        </w:rPr>
        <w:t xml:space="preserve"> </w:t>
      </w:r>
      <w:r w:rsidRPr="00534BE5">
        <w:rPr>
          <w:rFonts w:ascii="Arial" w:hAnsi="Arial" w:cs="Arial"/>
        </w:rPr>
        <w:t>norma</w:t>
      </w:r>
      <w:r w:rsidR="0011186D" w:rsidRPr="00534BE5">
        <w:rPr>
          <w:rFonts w:ascii="Arial" w:hAnsi="Arial" w:cs="Arial"/>
        </w:rPr>
        <w:t xml:space="preserve"> </w:t>
      </w:r>
      <w:r w:rsidRPr="00534BE5">
        <w:rPr>
          <w:rFonts w:ascii="Arial" w:hAnsi="Arial" w:cs="Arial"/>
        </w:rPr>
        <w:t>general</w:t>
      </w:r>
      <w:r w:rsidR="0011186D" w:rsidRPr="00534BE5">
        <w:rPr>
          <w:rFonts w:ascii="Arial" w:hAnsi="Arial" w:cs="Arial"/>
        </w:rPr>
        <w:t xml:space="preserve"> </w:t>
      </w:r>
      <w:r w:rsidRPr="00534BE5">
        <w:rPr>
          <w:rFonts w:ascii="Arial" w:hAnsi="Arial" w:cs="Arial"/>
        </w:rPr>
        <w:t>respectiva</w:t>
      </w:r>
      <w:r w:rsidR="0011186D" w:rsidRPr="00534BE5">
        <w:rPr>
          <w:rFonts w:ascii="Arial" w:hAnsi="Arial" w:cs="Arial"/>
        </w:rPr>
        <w:t xml:space="preserve"> </w:t>
      </w:r>
      <w:r w:rsidRPr="00534BE5">
        <w:rPr>
          <w:rFonts w:ascii="Arial" w:hAnsi="Arial" w:cs="Arial"/>
        </w:rPr>
        <w:t>mediante</w:t>
      </w:r>
      <w:r w:rsidR="0011186D" w:rsidRPr="00534BE5">
        <w:rPr>
          <w:rFonts w:ascii="Arial" w:hAnsi="Arial" w:cs="Arial"/>
        </w:rPr>
        <w:t xml:space="preserve"> </w:t>
      </w:r>
      <w:r w:rsidRPr="00534BE5">
        <w:rPr>
          <w:rFonts w:ascii="Arial" w:hAnsi="Arial" w:cs="Arial"/>
        </w:rPr>
        <w:t>la</w:t>
      </w:r>
      <w:r w:rsidR="0011186D" w:rsidRPr="00534BE5">
        <w:rPr>
          <w:rFonts w:ascii="Arial" w:hAnsi="Arial" w:cs="Arial"/>
        </w:rPr>
        <w:t xml:space="preserve"> </w:t>
      </w:r>
      <w:r w:rsidRPr="00534BE5">
        <w:rPr>
          <w:rFonts w:ascii="Arial" w:hAnsi="Arial" w:cs="Arial"/>
        </w:rPr>
        <w:t>emisión</w:t>
      </w:r>
      <w:r w:rsidR="0011186D" w:rsidRPr="00534BE5">
        <w:rPr>
          <w:rFonts w:ascii="Arial" w:hAnsi="Arial" w:cs="Arial"/>
        </w:rPr>
        <w:t xml:space="preserve"> </w:t>
      </w:r>
      <w:r w:rsidRPr="00534BE5">
        <w:rPr>
          <w:rFonts w:ascii="Arial" w:hAnsi="Arial" w:cs="Arial"/>
        </w:rPr>
        <w:t>de</w:t>
      </w:r>
      <w:r w:rsidR="0011186D" w:rsidRPr="00534BE5">
        <w:rPr>
          <w:rFonts w:ascii="Arial" w:hAnsi="Arial" w:cs="Arial"/>
        </w:rPr>
        <w:t xml:space="preserve"> </w:t>
      </w:r>
      <w:r w:rsidRPr="00534BE5">
        <w:rPr>
          <w:rFonts w:ascii="Arial" w:hAnsi="Arial" w:cs="Arial"/>
        </w:rPr>
        <w:t>una nueva norma general, el Ministro Ponente deberá remitir a la Secretaría General de Acuerdos de este Alto Tribunal el proyecto</w:t>
      </w:r>
      <w:r w:rsidR="0011186D" w:rsidRPr="00534BE5">
        <w:rPr>
          <w:rFonts w:ascii="Arial" w:hAnsi="Arial" w:cs="Arial"/>
        </w:rPr>
        <w:t xml:space="preserve"> </w:t>
      </w:r>
      <w:r w:rsidRPr="00534BE5">
        <w:rPr>
          <w:rFonts w:ascii="Arial" w:hAnsi="Arial" w:cs="Arial"/>
        </w:rPr>
        <w:t>de</w:t>
      </w:r>
      <w:r w:rsidR="0011186D" w:rsidRPr="00534BE5">
        <w:rPr>
          <w:rFonts w:ascii="Arial" w:hAnsi="Arial" w:cs="Arial"/>
        </w:rPr>
        <w:t xml:space="preserve"> </w:t>
      </w:r>
      <w:r w:rsidRPr="00534BE5">
        <w:rPr>
          <w:rFonts w:ascii="Arial" w:hAnsi="Arial" w:cs="Arial"/>
        </w:rPr>
        <w:t>resolución</w:t>
      </w:r>
      <w:r w:rsidR="0011186D" w:rsidRPr="00534BE5">
        <w:rPr>
          <w:rFonts w:ascii="Arial" w:hAnsi="Arial" w:cs="Arial"/>
        </w:rPr>
        <w:t xml:space="preserve"> </w:t>
      </w:r>
      <w:r w:rsidRPr="00534BE5">
        <w:rPr>
          <w:rFonts w:ascii="Arial" w:hAnsi="Arial" w:cs="Arial"/>
        </w:rPr>
        <w:t>correspondiente,</w:t>
      </w:r>
      <w:r w:rsidR="0011186D" w:rsidRPr="00534BE5">
        <w:rPr>
          <w:rFonts w:ascii="Arial" w:hAnsi="Arial" w:cs="Arial"/>
        </w:rPr>
        <w:t xml:space="preserve"> </w:t>
      </w:r>
      <w:r w:rsidRPr="00534BE5">
        <w:rPr>
          <w:rFonts w:ascii="Arial" w:hAnsi="Arial" w:cs="Arial"/>
        </w:rPr>
        <w:t>el</w:t>
      </w:r>
      <w:r w:rsidR="0011186D" w:rsidRPr="00534BE5">
        <w:rPr>
          <w:rFonts w:ascii="Arial" w:hAnsi="Arial" w:cs="Arial"/>
        </w:rPr>
        <w:t xml:space="preserve"> </w:t>
      </w:r>
      <w:r w:rsidRPr="00534BE5">
        <w:rPr>
          <w:rFonts w:ascii="Arial" w:hAnsi="Arial" w:cs="Arial"/>
        </w:rPr>
        <w:t>que</w:t>
      </w:r>
      <w:r w:rsidR="0011186D" w:rsidRPr="00534BE5">
        <w:rPr>
          <w:rFonts w:ascii="Arial" w:hAnsi="Arial" w:cs="Arial"/>
        </w:rPr>
        <w:t xml:space="preserve"> </w:t>
      </w:r>
      <w:r w:rsidRPr="00534BE5">
        <w:rPr>
          <w:rFonts w:ascii="Arial" w:hAnsi="Arial" w:cs="Arial"/>
        </w:rPr>
        <w:t>deberá listarse para sesión pública que se celebrará dentro de los diez días hábiles subsecuentes.</w:t>
      </w:r>
    </w:p>
  </w:footnote>
  <w:footnote w:id="8">
    <w:p w14:paraId="1ADD00D0" w14:textId="7930722F" w:rsidR="008F7894" w:rsidRPr="00534BE5" w:rsidRDefault="008F7894"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Pr="00534BE5">
        <w:rPr>
          <w:rFonts w:ascii="Arial" w:hAnsi="Arial" w:cs="Arial"/>
          <w:b/>
        </w:rPr>
        <w:t>Artículo 2</w:t>
      </w:r>
      <w:r w:rsidR="00D46A81" w:rsidRPr="00534BE5">
        <w:rPr>
          <w:rFonts w:ascii="Arial" w:hAnsi="Arial" w:cs="Arial"/>
          <w:b/>
        </w:rPr>
        <w:t>4</w:t>
      </w:r>
      <w:r w:rsidRPr="00534BE5">
        <w:rPr>
          <w:rFonts w:ascii="Arial" w:hAnsi="Arial" w:cs="Arial"/>
          <w:b/>
        </w:rPr>
        <w:t>.</w:t>
      </w:r>
      <w:r w:rsidRPr="00534BE5">
        <w:rPr>
          <w:rFonts w:ascii="Arial" w:hAnsi="Arial" w:cs="Arial"/>
        </w:rPr>
        <w:t xml:space="preserve"> Son atribuciones de los presidentes de las Salas:</w:t>
      </w:r>
    </w:p>
    <w:p w14:paraId="2B74E8A1" w14:textId="77777777" w:rsidR="008F7894" w:rsidRPr="00534BE5" w:rsidRDefault="008F7894" w:rsidP="00972E30">
      <w:pPr>
        <w:pStyle w:val="Textonotapie"/>
        <w:jc w:val="both"/>
        <w:rPr>
          <w:rFonts w:ascii="Arial" w:hAnsi="Arial" w:cs="Arial"/>
        </w:rPr>
      </w:pPr>
      <w:r w:rsidRPr="00534BE5">
        <w:rPr>
          <w:rFonts w:ascii="Arial" w:hAnsi="Arial" w:cs="Arial"/>
        </w:rPr>
        <w:t>[…]</w:t>
      </w:r>
    </w:p>
    <w:p w14:paraId="3F0D43C0" w14:textId="529974E7" w:rsidR="008F7894" w:rsidRPr="00534BE5" w:rsidRDefault="008F7894" w:rsidP="00972E30">
      <w:pPr>
        <w:pStyle w:val="Textonotapie"/>
        <w:jc w:val="both"/>
        <w:rPr>
          <w:rFonts w:ascii="Arial" w:hAnsi="Arial" w:cs="Arial"/>
        </w:rPr>
      </w:pPr>
      <w:r w:rsidRPr="00534BE5">
        <w:rPr>
          <w:rFonts w:ascii="Arial" w:hAnsi="Arial" w:cs="Arial"/>
        </w:rPr>
        <w:t xml:space="preserve">VII. </w:t>
      </w:r>
      <w:r w:rsidR="00B72CDF" w:rsidRPr="00534BE5">
        <w:rPr>
          <w:rFonts w:ascii="Arial" w:hAnsi="Arial" w:cs="Arial"/>
        </w:rPr>
        <w:t>Ejercer las demás atribuciones que le asigne esta Ley, los reglamentos interiores y los acuerdos generales de la Suprema Corte de Justicia de la Nación.</w:t>
      </w:r>
    </w:p>
  </w:footnote>
  <w:footnote w:id="9">
    <w:p w14:paraId="7AECFFBA" w14:textId="77777777" w:rsidR="008F7894" w:rsidRPr="00534BE5" w:rsidRDefault="008F7894"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Pr="00534BE5">
        <w:rPr>
          <w:rFonts w:ascii="Arial" w:hAnsi="Arial" w:cs="Arial"/>
          <w:b/>
        </w:rPr>
        <w:t>Tercero.</w:t>
      </w:r>
      <w:r w:rsidRPr="00534BE5">
        <w:rPr>
          <w:rFonts w:ascii="Arial" w:hAnsi="Arial" w:cs="Arial"/>
        </w:rPr>
        <w:t xml:space="preserve"> Cuando el Pleno o las Salas establezcan jurisprudencia por reiteración, en la cual determinen la inconstitucionalidad de una norma general no tributaria, lo harán del conocimiento de la Presidencia de este Alto Tribunal, con el objeto de que mediante proveído presidencial se ordene realizar la notificación a la que se refiere el párrafo tercero de la fracción II del artículo 107 constitucional, integrar el expediente de la respectiva declaración general de inconstitucionalidad y turnarlo al Ministro que corresponda.</w:t>
      </w:r>
    </w:p>
    <w:p w14:paraId="711B80BF" w14:textId="77777777" w:rsidR="008F7894" w:rsidRPr="00534BE5" w:rsidRDefault="008F7894" w:rsidP="00972E30">
      <w:pPr>
        <w:pStyle w:val="Textonotapie"/>
        <w:tabs>
          <w:tab w:val="left" w:pos="1843"/>
        </w:tabs>
        <w:jc w:val="both"/>
        <w:rPr>
          <w:rFonts w:ascii="Arial" w:hAnsi="Arial" w:cs="Arial"/>
        </w:rPr>
      </w:pPr>
      <w:r w:rsidRPr="00534BE5">
        <w:rPr>
          <w:rFonts w:ascii="Arial" w:hAnsi="Arial" w:cs="Arial"/>
        </w:rPr>
        <w:t>Al referido oficio se acompañará copia certificada de las sentencias respectivas y, de preferencia, de las tesis jurisprudenciales correspondientes.</w:t>
      </w:r>
    </w:p>
  </w:footnote>
  <w:footnote w:id="10">
    <w:p w14:paraId="01C0507D" w14:textId="1C45C30C" w:rsidR="00F64453" w:rsidRPr="00534BE5" w:rsidRDefault="00F64453"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Sentencia recaída al Amparo en Revisión 173/2022, Segunda de la Suprema Corte de Justicia de la Nación, Ponente: Javier Laynez Potisek, 17 de agosto de 2022.</w:t>
      </w:r>
    </w:p>
  </w:footnote>
  <w:footnote w:id="11">
    <w:p w14:paraId="5AA6C63A" w14:textId="7A76A326" w:rsidR="00F459EF" w:rsidRPr="00534BE5" w:rsidRDefault="00F459EF"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Pr="00534BE5">
        <w:rPr>
          <w:rFonts w:ascii="Arial" w:hAnsi="Arial" w:cs="Arial"/>
          <w:b/>
          <w:bCs/>
        </w:rPr>
        <w:t>Artículo 107.</w:t>
      </w:r>
      <w:r w:rsidRPr="00534BE5">
        <w:rPr>
          <w:rFonts w:ascii="Arial" w:hAnsi="Arial" w:cs="Arial"/>
        </w:rPr>
        <w:t xml:space="preserve"> Las controversias de que habla el artículo 103 de esta Constitución, con excepción de aquellas en materia electoral, se sujetarán a los procedimientos que determine la ley reglamentaria, de acuerdo con las bases siguientes:</w:t>
      </w:r>
    </w:p>
    <w:p w14:paraId="6D027ADA" w14:textId="36220D84" w:rsidR="00F459EF" w:rsidRPr="00534BE5" w:rsidRDefault="00F459EF" w:rsidP="00972E30">
      <w:pPr>
        <w:pStyle w:val="Textonotapie"/>
        <w:jc w:val="both"/>
        <w:rPr>
          <w:rFonts w:ascii="Arial" w:hAnsi="Arial" w:cs="Arial"/>
        </w:rPr>
      </w:pPr>
      <w:r w:rsidRPr="00534BE5">
        <w:rPr>
          <w:rFonts w:ascii="Arial" w:hAnsi="Arial" w:cs="Arial"/>
        </w:rPr>
        <w:t>[…]</w:t>
      </w:r>
    </w:p>
    <w:p w14:paraId="56E01245" w14:textId="71AB81CC" w:rsidR="00F459EF" w:rsidRPr="00534BE5" w:rsidRDefault="00B744CB" w:rsidP="00972E30">
      <w:pPr>
        <w:pStyle w:val="Textonotapie"/>
        <w:jc w:val="both"/>
        <w:rPr>
          <w:rFonts w:ascii="Arial" w:hAnsi="Arial" w:cs="Arial"/>
        </w:rPr>
      </w:pPr>
      <w:r w:rsidRPr="00534BE5">
        <w:rPr>
          <w:rFonts w:ascii="Arial" w:hAnsi="Arial" w:cs="Arial"/>
        </w:rPr>
        <w:t>II. Las sentencias que se pronuncien en los juicios de amparo sólo se ocuparán de los quejosos que lo hubieren solicitado, limitándose a ampararlos y protegerlos, si procediere, en el caso especial sobre el que verse la demanda.</w:t>
      </w:r>
    </w:p>
    <w:p w14:paraId="3A44A90D" w14:textId="77777777" w:rsidR="00CE0A33" w:rsidRPr="00534BE5" w:rsidRDefault="00B744CB" w:rsidP="00972E30">
      <w:pPr>
        <w:pStyle w:val="Textonotapie"/>
        <w:jc w:val="both"/>
        <w:rPr>
          <w:rFonts w:ascii="Arial" w:hAnsi="Arial" w:cs="Arial"/>
        </w:rPr>
      </w:pPr>
      <w:r w:rsidRPr="00534BE5">
        <w:rPr>
          <w:rFonts w:ascii="Arial" w:hAnsi="Arial" w:cs="Arial"/>
        </w:rPr>
        <w:t>Cuando en los juicios de amparo indirecto en revisión se resuelva la inconstitucionalidad de una norma general, la Suprema Corte de Justicia de la Nación lo informará a la autoridad emisora correspondiente.</w:t>
      </w:r>
      <w:r w:rsidR="00CE0A33" w:rsidRPr="00534BE5">
        <w:rPr>
          <w:rFonts w:ascii="Arial" w:hAnsi="Arial" w:cs="Arial"/>
        </w:rPr>
        <w:t xml:space="preserve"> </w:t>
      </w:r>
    </w:p>
    <w:p w14:paraId="6F2C6A0D" w14:textId="2ED847BB" w:rsidR="00B744CB" w:rsidRPr="00534BE5" w:rsidRDefault="00CE0A33" w:rsidP="00972E30">
      <w:pPr>
        <w:pStyle w:val="Textonotapie"/>
        <w:jc w:val="both"/>
        <w:rPr>
          <w:rFonts w:ascii="Arial" w:hAnsi="Arial" w:cs="Arial"/>
        </w:rPr>
      </w:pPr>
      <w:r w:rsidRPr="00534BE5">
        <w:rPr>
          <w:rFonts w:ascii="Arial" w:hAnsi="Arial" w:cs="Arial"/>
        </w:rPr>
        <w:t>Cuando los Tribunales Colegiados de Circuito establezcan jurisprudencia por reiteración, o la Suprema Corte de Justicia de la Nación por precedentes, en la cual se determine la inconstitucionalidad de una norma general, su Presidente lo notificará a la autoridad emisora. Transcurrido el plazo de 90 días naturales sin que se supere el problema de inconstitucionalidad, la Suprema Corte de Justicia de la Nación emitirá, siempre que fuere aprobada por una mayoría de cuando menos ocho votos, la declaratoria general de inconstitucionalidad, en la cual se fijarán sus alcances y condiciones en los términos de la ley reglamentaria.</w:t>
      </w:r>
    </w:p>
  </w:footnote>
  <w:footnote w:id="12">
    <w:p w14:paraId="7B2AAD16" w14:textId="3140BAC0" w:rsidR="004D147C" w:rsidRPr="00534BE5" w:rsidRDefault="004D147C"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Ver oficio 29290/2022 visible en la página 68 </w:t>
      </w:r>
      <w:r w:rsidR="00594997" w:rsidRPr="00534BE5">
        <w:rPr>
          <w:rFonts w:ascii="Arial" w:hAnsi="Arial" w:cs="Arial"/>
        </w:rPr>
        <w:t>del cuaderno de la declaratoria general de inconstitucionalidad 8/2022</w:t>
      </w:r>
      <w:r w:rsidR="00810180">
        <w:rPr>
          <w:rFonts w:ascii="Arial" w:hAnsi="Arial" w:cs="Arial"/>
        </w:rPr>
        <w:t>.</w:t>
      </w:r>
    </w:p>
  </w:footnote>
  <w:footnote w:id="13">
    <w:p w14:paraId="3FC3F44B" w14:textId="77777777" w:rsidR="002133CE" w:rsidRPr="00534BE5" w:rsidRDefault="002133CE"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Pr="00534BE5">
        <w:rPr>
          <w:rFonts w:ascii="Arial" w:hAnsi="Arial" w:cs="Arial"/>
          <w:b/>
          <w:bCs/>
        </w:rPr>
        <w:t>Artículo 232.</w:t>
      </w:r>
      <w:r w:rsidRPr="00534BE5">
        <w:rPr>
          <w:rFonts w:ascii="Arial" w:hAnsi="Arial" w:cs="Arial"/>
        </w:rPr>
        <w:t xml:space="preserve"> Cuando el pleno o las salas de la Suprema Corte de Justicia de la Nación, en los juicios</w:t>
      </w:r>
    </w:p>
    <w:p w14:paraId="2B5DD3E5" w14:textId="3D464E2F" w:rsidR="002133CE" w:rsidRPr="00534BE5" w:rsidRDefault="002133CE" w:rsidP="00972E30">
      <w:pPr>
        <w:pStyle w:val="Textonotapie"/>
        <w:jc w:val="both"/>
        <w:rPr>
          <w:rFonts w:ascii="Arial" w:hAnsi="Arial" w:cs="Arial"/>
        </w:rPr>
      </w:pPr>
      <w:r w:rsidRPr="00534BE5">
        <w:rPr>
          <w:rFonts w:ascii="Arial" w:hAnsi="Arial" w:cs="Arial"/>
        </w:rPr>
        <w:t>de amparo indirecto en revisión, establezcan jurisprudencia en la que determinen la inconstitucionalidad de una norma general, se procederá a la notificación a que se refiere el tercer párrafo de la fracción II del artículo 107 de la Constitución Política de los Estados Unidos Mexicanos.</w:t>
      </w:r>
    </w:p>
    <w:p w14:paraId="2ECBD9EA" w14:textId="2C88C25C" w:rsidR="002133CE" w:rsidRPr="00534BE5" w:rsidRDefault="00CA7AD5" w:rsidP="00972E30">
      <w:pPr>
        <w:pStyle w:val="Textonotapie"/>
        <w:jc w:val="both"/>
        <w:rPr>
          <w:rFonts w:ascii="Arial" w:hAnsi="Arial" w:cs="Arial"/>
        </w:rPr>
      </w:pPr>
      <w:r w:rsidRPr="00534BE5">
        <w:rPr>
          <w:rFonts w:ascii="Arial" w:hAnsi="Arial" w:cs="Arial"/>
        </w:rPr>
        <w:t>Una vez que se hubiere notificado al órgano emisor de la norma y transcurrido el plazo de 90 días naturales sin que se modifique o derogue la norma declarada inconstitucional, el pleno de la Suprema Corte de Justicia de la Nación emitirá la declaratoria general de inconstitucionalidad correspondiente siempre que hubiera sido aprobada por mayoría de cuando menos ocho votos.</w:t>
      </w:r>
    </w:p>
    <w:p w14:paraId="7694B421" w14:textId="51F461EF" w:rsidR="00451B60" w:rsidRPr="00534BE5" w:rsidRDefault="0099703D" w:rsidP="00972E30">
      <w:pPr>
        <w:pStyle w:val="Textonotapie"/>
        <w:jc w:val="both"/>
        <w:rPr>
          <w:rFonts w:ascii="Arial" w:hAnsi="Arial" w:cs="Arial"/>
        </w:rPr>
      </w:pPr>
      <w:r w:rsidRPr="00534BE5">
        <w:rPr>
          <w:rFonts w:ascii="Arial" w:hAnsi="Arial" w:cs="Arial"/>
        </w:rPr>
        <w:t>Cuando el órgano emisor de la norma sea el órgano legislativo federal o local, el plazo referido en el párrafo anterior se computará dentro de los días útiles de los periodos ordinarios de sesiones determinados en la Constitución Federal, en el Estatuto de Gobierno del Distrito Federal, o en la Constitución Local, según corresponda.</w:t>
      </w:r>
    </w:p>
  </w:footnote>
  <w:footnote w:id="14">
    <w:p w14:paraId="51AD9053" w14:textId="64269742" w:rsidR="007951D5" w:rsidRPr="00534BE5" w:rsidRDefault="007951D5" w:rsidP="00972E30">
      <w:pPr>
        <w:pStyle w:val="Textonotapie"/>
        <w:jc w:val="both"/>
        <w:rPr>
          <w:rFonts w:ascii="Arial" w:hAnsi="Arial" w:cs="Arial"/>
          <w:highlight w:val="yellow"/>
        </w:rPr>
      </w:pPr>
      <w:r w:rsidRPr="00534BE5">
        <w:rPr>
          <w:rStyle w:val="Refdenotaalpie"/>
          <w:rFonts w:ascii="Arial" w:hAnsi="Arial" w:cs="Arial"/>
        </w:rPr>
        <w:footnoteRef/>
      </w:r>
      <w:r w:rsidRPr="00534BE5">
        <w:rPr>
          <w:rFonts w:ascii="Arial" w:hAnsi="Arial" w:cs="Arial"/>
        </w:rPr>
        <w:t xml:space="preserve"> </w:t>
      </w:r>
      <w:r w:rsidR="00AC73BD" w:rsidRPr="00534BE5">
        <w:rPr>
          <w:rFonts w:ascii="Arial" w:hAnsi="Arial" w:cs="Arial"/>
        </w:rPr>
        <w:t xml:space="preserve">Sentencia recaída a la Declaratoria General de Inconstitucionalidad 6/2017, </w:t>
      </w:r>
      <w:r w:rsidR="003266BA" w:rsidRPr="00534BE5">
        <w:rPr>
          <w:rFonts w:ascii="Arial" w:hAnsi="Arial" w:cs="Arial"/>
        </w:rPr>
        <w:t>Pleno</w:t>
      </w:r>
      <w:r w:rsidR="00AC73BD" w:rsidRPr="00534BE5">
        <w:rPr>
          <w:rFonts w:ascii="Arial" w:hAnsi="Arial" w:cs="Arial"/>
        </w:rPr>
        <w:t xml:space="preserve"> de la Suprema Corte de Justicia de la Nación, Ponente: Ministro </w:t>
      </w:r>
      <w:r w:rsidR="000A7331" w:rsidRPr="00534BE5">
        <w:rPr>
          <w:rFonts w:ascii="Arial" w:hAnsi="Arial" w:cs="Arial"/>
        </w:rPr>
        <w:t>José Fernando Franco González Salas</w:t>
      </w:r>
      <w:r w:rsidR="00AC73BD" w:rsidRPr="00534BE5">
        <w:rPr>
          <w:rFonts w:ascii="Arial" w:hAnsi="Arial" w:cs="Arial"/>
        </w:rPr>
        <w:t xml:space="preserve">, </w:t>
      </w:r>
      <w:r w:rsidR="00441AB4" w:rsidRPr="00534BE5">
        <w:rPr>
          <w:rFonts w:ascii="Arial" w:hAnsi="Arial" w:cs="Arial"/>
        </w:rPr>
        <w:t>14</w:t>
      </w:r>
      <w:r w:rsidR="00AC73BD" w:rsidRPr="00534BE5">
        <w:rPr>
          <w:rFonts w:ascii="Arial" w:hAnsi="Arial" w:cs="Arial"/>
        </w:rPr>
        <w:t xml:space="preserve"> de </w:t>
      </w:r>
      <w:r w:rsidR="00441AB4" w:rsidRPr="00534BE5">
        <w:rPr>
          <w:rFonts w:ascii="Arial" w:hAnsi="Arial" w:cs="Arial"/>
        </w:rPr>
        <w:t>febrero</w:t>
      </w:r>
      <w:r w:rsidR="00AC73BD" w:rsidRPr="00534BE5">
        <w:rPr>
          <w:rFonts w:ascii="Arial" w:hAnsi="Arial" w:cs="Arial"/>
        </w:rPr>
        <w:t xml:space="preserve"> de 201</w:t>
      </w:r>
      <w:r w:rsidR="00441AB4" w:rsidRPr="00534BE5">
        <w:rPr>
          <w:rFonts w:ascii="Arial" w:hAnsi="Arial" w:cs="Arial"/>
        </w:rPr>
        <w:t>9</w:t>
      </w:r>
      <w:r w:rsidR="00AC73BD" w:rsidRPr="00534BE5">
        <w:rPr>
          <w:rFonts w:ascii="Arial" w:hAnsi="Arial" w:cs="Arial"/>
        </w:rPr>
        <w:t>.</w:t>
      </w:r>
    </w:p>
  </w:footnote>
  <w:footnote w:id="15">
    <w:p w14:paraId="032A0ED6" w14:textId="3785BAE9" w:rsidR="00BE6BC4" w:rsidRPr="00534BE5" w:rsidRDefault="00BE6BC4" w:rsidP="00972E30">
      <w:pPr>
        <w:pStyle w:val="Textonotapie"/>
        <w:jc w:val="both"/>
        <w:rPr>
          <w:rFonts w:ascii="Arial" w:hAnsi="Arial" w:cs="Arial"/>
        </w:rPr>
      </w:pPr>
      <w:r w:rsidRPr="00534BE5">
        <w:rPr>
          <w:rStyle w:val="Refdenotaalpie"/>
          <w:rFonts w:ascii="Arial" w:hAnsi="Arial" w:cs="Arial"/>
        </w:rPr>
        <w:footnoteRef/>
      </w:r>
      <w:r w:rsidR="00E57CBE" w:rsidRPr="00534BE5">
        <w:rPr>
          <w:rFonts w:ascii="Arial" w:hAnsi="Arial" w:cs="Arial"/>
        </w:rPr>
        <w:t xml:space="preserve"> Sentencia recaída a la Declaratoria General de Inconstitucionalidad 1/2018, Pleno de la Suprema Corte de Justicia de la Nación, Ponente:</w:t>
      </w:r>
      <w:r w:rsidR="00352A07" w:rsidRPr="00534BE5">
        <w:rPr>
          <w:rFonts w:ascii="Arial" w:hAnsi="Arial" w:cs="Arial"/>
        </w:rPr>
        <w:t xml:space="preserve"> Norma Lucía Piña Hernández</w:t>
      </w:r>
      <w:r w:rsidR="00E57CBE" w:rsidRPr="00534BE5">
        <w:rPr>
          <w:rFonts w:ascii="Arial" w:hAnsi="Arial" w:cs="Arial"/>
        </w:rPr>
        <w:t xml:space="preserve">, </w:t>
      </w:r>
      <w:r w:rsidR="0042039C" w:rsidRPr="00534BE5">
        <w:rPr>
          <w:rFonts w:ascii="Arial" w:hAnsi="Arial" w:cs="Arial"/>
        </w:rPr>
        <w:t>28</w:t>
      </w:r>
      <w:r w:rsidR="00E57CBE" w:rsidRPr="00534BE5">
        <w:rPr>
          <w:rFonts w:ascii="Arial" w:hAnsi="Arial" w:cs="Arial"/>
        </w:rPr>
        <w:t xml:space="preserve"> de </w:t>
      </w:r>
      <w:r w:rsidR="0042039C" w:rsidRPr="00534BE5">
        <w:rPr>
          <w:rFonts w:ascii="Arial" w:hAnsi="Arial" w:cs="Arial"/>
        </w:rPr>
        <w:t>junio</w:t>
      </w:r>
      <w:r w:rsidR="00E57CBE" w:rsidRPr="00534BE5">
        <w:rPr>
          <w:rFonts w:ascii="Arial" w:hAnsi="Arial" w:cs="Arial"/>
        </w:rPr>
        <w:t xml:space="preserve"> de </w:t>
      </w:r>
      <w:r w:rsidR="0042039C" w:rsidRPr="00534BE5">
        <w:rPr>
          <w:rFonts w:ascii="Arial" w:hAnsi="Arial" w:cs="Arial"/>
        </w:rPr>
        <w:t>2021</w:t>
      </w:r>
      <w:r w:rsidR="00E57CBE" w:rsidRPr="00534BE5">
        <w:rPr>
          <w:rFonts w:ascii="Arial" w:hAnsi="Arial" w:cs="Arial"/>
        </w:rPr>
        <w:t>.</w:t>
      </w:r>
    </w:p>
  </w:footnote>
  <w:footnote w:id="16">
    <w:p w14:paraId="696A0CBB" w14:textId="247849D2" w:rsidR="00776B6D" w:rsidRPr="00534BE5" w:rsidRDefault="00776B6D"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00A54BAB" w:rsidRPr="00534BE5">
        <w:rPr>
          <w:rFonts w:ascii="Arial" w:hAnsi="Arial" w:cs="Arial"/>
          <w:b/>
          <w:bCs/>
        </w:rPr>
        <w:t>Artículo 9.</w:t>
      </w:r>
      <w:r w:rsidR="00A54BAB" w:rsidRPr="00534BE5">
        <w:rPr>
          <w:rFonts w:ascii="Arial" w:hAnsi="Arial" w:cs="Arial"/>
        </w:rPr>
        <w:t xml:space="preserve"> El Congreso tendrá cada año dos períodos ordinarios de sesiones; el primero comenzará el quince de noviembre y terminará el quince de abril; y el segundo dará inicio el primero de julio y concluirá el treinta de septiembre. El Congreso podrá realizar sesiones ordinarias, extraordinarias, solemnes y permanentes, mismas que se desarrollarán conforme a lo establecido en el Reglamento.</w:t>
      </w:r>
    </w:p>
  </w:footnote>
  <w:footnote w:id="17">
    <w:p w14:paraId="213A8849" w14:textId="5212D6D4" w:rsidR="00BE3100" w:rsidRPr="00534BE5" w:rsidRDefault="00BE3100"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Ver días inhábiles </w:t>
      </w:r>
      <w:r w:rsidR="00667380" w:rsidRPr="00534BE5">
        <w:rPr>
          <w:rFonts w:ascii="Arial" w:hAnsi="Arial" w:cs="Arial"/>
        </w:rPr>
        <w:t xml:space="preserve">en el </w:t>
      </w:r>
      <w:hyperlink r:id="rId1" w:history="1">
        <w:r w:rsidR="00667380" w:rsidRPr="00534BE5">
          <w:rPr>
            <w:rStyle w:val="Hipervnculo"/>
            <w:rFonts w:ascii="Arial" w:hAnsi="Arial" w:cs="Arial"/>
          </w:rPr>
          <w:t>acuerdo por el que se establece el calendario oficial que regirá en el Estado de Oaxa</w:t>
        </w:r>
        <w:r w:rsidR="00107DA1" w:rsidRPr="00534BE5">
          <w:rPr>
            <w:rStyle w:val="Hipervnculo"/>
            <w:rFonts w:ascii="Arial" w:hAnsi="Arial" w:cs="Arial"/>
          </w:rPr>
          <w:t xml:space="preserve">ca para el año 2022 publicado </w:t>
        </w:r>
        <w:r w:rsidR="00D91075" w:rsidRPr="00534BE5">
          <w:rPr>
            <w:rStyle w:val="Hipervnculo"/>
            <w:rFonts w:ascii="Arial" w:hAnsi="Arial" w:cs="Arial"/>
          </w:rPr>
          <w:t xml:space="preserve">en el Periódico Oficial del Estado de Oaxaca </w:t>
        </w:r>
        <w:r w:rsidR="00D05ADB" w:rsidRPr="00534BE5">
          <w:rPr>
            <w:rStyle w:val="Hipervnculo"/>
            <w:rFonts w:ascii="Arial" w:hAnsi="Arial" w:cs="Arial"/>
          </w:rPr>
          <w:t xml:space="preserve">el 8 de enero de </w:t>
        </w:r>
        <w:r w:rsidR="00871CB8" w:rsidRPr="00534BE5">
          <w:rPr>
            <w:rStyle w:val="Hipervnculo"/>
            <w:rFonts w:ascii="Arial" w:hAnsi="Arial" w:cs="Arial"/>
          </w:rPr>
          <w:t>2022</w:t>
        </w:r>
      </w:hyperlink>
      <w:r w:rsidR="00871CB8" w:rsidRPr="00534BE5">
        <w:rPr>
          <w:rFonts w:ascii="Arial" w:hAnsi="Arial" w:cs="Arial"/>
        </w:rPr>
        <w:t>.</w:t>
      </w:r>
    </w:p>
  </w:footnote>
  <w:footnote w:id="18">
    <w:p w14:paraId="43E68347" w14:textId="65A4CA11" w:rsidR="00C859D1" w:rsidRPr="00534BE5" w:rsidRDefault="00C859D1"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001F3219" w:rsidRPr="00534BE5">
        <w:rPr>
          <w:rFonts w:ascii="Arial" w:hAnsi="Arial" w:cs="Arial"/>
        </w:rPr>
        <w:t xml:space="preserve">Ver días inhábiles en el </w:t>
      </w:r>
      <w:hyperlink r:id="rId2" w:history="1">
        <w:r w:rsidR="001F3219" w:rsidRPr="00534BE5">
          <w:rPr>
            <w:rStyle w:val="Hipervnculo"/>
            <w:rFonts w:ascii="Arial" w:hAnsi="Arial" w:cs="Arial"/>
          </w:rPr>
          <w:t>acuerdo por el que se establece el calendario oficial que regirá en el Estado de Oaxaca para el año 2023 publicado en el Periódico Oficial del Estado de Oaxaca el 17 de diciembre de 2022</w:t>
        </w:r>
      </w:hyperlink>
      <w:r w:rsidR="001F3219" w:rsidRPr="00534BE5">
        <w:rPr>
          <w:rFonts w:ascii="Arial" w:hAnsi="Arial" w:cs="Arial"/>
        </w:rPr>
        <w:t>.</w:t>
      </w:r>
    </w:p>
  </w:footnote>
  <w:footnote w:id="19">
    <w:p w14:paraId="5E7A088D" w14:textId="58DF7D76" w:rsidR="00C93EBC" w:rsidRPr="00534BE5" w:rsidRDefault="00C93EBC" w:rsidP="00972E30">
      <w:pPr>
        <w:pStyle w:val="Textonotapie"/>
        <w:jc w:val="both"/>
        <w:rPr>
          <w:rFonts w:ascii="Arial" w:hAnsi="Arial" w:cs="Arial"/>
        </w:rPr>
      </w:pPr>
      <w:r w:rsidRPr="00534BE5">
        <w:rPr>
          <w:rStyle w:val="Refdenotaalpie"/>
          <w:rFonts w:ascii="Arial" w:hAnsi="Arial" w:cs="Arial"/>
        </w:rPr>
        <w:footnoteRef/>
      </w:r>
      <w:r w:rsidRPr="00534BE5">
        <w:rPr>
          <w:rFonts w:ascii="Arial" w:hAnsi="Arial" w:cs="Arial"/>
        </w:rPr>
        <w:t xml:space="preserve"> </w:t>
      </w:r>
      <w:r w:rsidRPr="00534BE5">
        <w:rPr>
          <w:rFonts w:ascii="Arial" w:hAnsi="Arial" w:cs="Arial"/>
          <w:b/>
          <w:bCs/>
        </w:rPr>
        <w:t>Artículo 234.</w:t>
      </w:r>
      <w:r w:rsidRPr="00534BE5">
        <w:rPr>
          <w:rFonts w:ascii="Arial" w:hAnsi="Arial" w:cs="Arial"/>
        </w:rPr>
        <w:t xml:space="preserve"> La declaratoria en ningún caso podrá modificar el sentido de la resolución o jurisprudencia que le dio origen, será obligatoria, tendrá efectos generales y establecerá:</w:t>
      </w:r>
    </w:p>
    <w:p w14:paraId="0862BEF1" w14:textId="3BDDC53E" w:rsidR="00C93EBC" w:rsidRPr="00534BE5" w:rsidRDefault="00406E7F" w:rsidP="00972E30">
      <w:pPr>
        <w:pStyle w:val="Textonotapie"/>
        <w:jc w:val="both"/>
        <w:rPr>
          <w:rFonts w:ascii="Arial" w:hAnsi="Arial" w:cs="Arial"/>
        </w:rPr>
      </w:pPr>
      <w:r w:rsidRPr="00534BE5">
        <w:rPr>
          <w:rFonts w:ascii="Arial" w:hAnsi="Arial" w:cs="Arial"/>
        </w:rPr>
        <w:t>I. La fecha a partir de la cual surtirá sus efectos; y</w:t>
      </w:r>
    </w:p>
    <w:p w14:paraId="0117B1A9" w14:textId="090DB6A5" w:rsidR="00406E7F" w:rsidRPr="00534BE5" w:rsidRDefault="00C94E0E" w:rsidP="00972E30">
      <w:pPr>
        <w:pStyle w:val="Textonotapie"/>
        <w:jc w:val="both"/>
        <w:rPr>
          <w:rFonts w:ascii="Arial" w:hAnsi="Arial" w:cs="Arial"/>
        </w:rPr>
      </w:pPr>
      <w:r w:rsidRPr="00534BE5">
        <w:rPr>
          <w:rFonts w:ascii="Arial" w:hAnsi="Arial" w:cs="Arial"/>
        </w:rPr>
        <w:t>II. Los alcances y las condiciones de la declaratoria de inconstitucionalidad.</w:t>
      </w:r>
    </w:p>
    <w:p w14:paraId="3639148A" w14:textId="0217ADAF" w:rsidR="00C94E0E" w:rsidRDefault="00D37933" w:rsidP="00972E30">
      <w:pPr>
        <w:pStyle w:val="Textonotapie"/>
        <w:jc w:val="both"/>
      </w:pPr>
      <w:r w:rsidRPr="00534BE5">
        <w:rPr>
          <w:rFonts w:ascii="Arial" w:hAnsi="Arial" w:cs="Arial"/>
        </w:rPr>
        <w:t>Los efectos de estas declaratorias no serán retroactivos salvo en materia penal, en términos del párrafo primero del artículo 14 de la Constitución Política de los Estados Unidos Mexicanos</w:t>
      </w:r>
      <w:r w:rsidRPr="001B669D">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745B" w14:textId="77777777" w:rsidR="009A0319" w:rsidRDefault="009A0319">
    <w:pPr>
      <w:pStyle w:val="Encabezado"/>
    </w:pPr>
  </w:p>
  <w:p w14:paraId="45029D9A" w14:textId="77777777" w:rsidR="009A0319" w:rsidRDefault="009A0319" w:rsidP="00DE5D24">
    <w:pPr>
      <w:pStyle w:val="Encabezado"/>
      <w:ind w:left="3969"/>
    </w:pPr>
  </w:p>
  <w:p w14:paraId="1064EEEC" w14:textId="77777777" w:rsidR="009A0319" w:rsidRPr="00ED4E3D" w:rsidRDefault="009A0319" w:rsidP="00DE5D24">
    <w:pPr>
      <w:pStyle w:val="Encabezado"/>
      <w:jc w:val="center"/>
      <w:rPr>
        <w:rFonts w:ascii="Arial" w:hAnsi="Arial" w:cs="Arial"/>
        <w:b/>
      </w:rPr>
    </w:pPr>
    <w:r w:rsidRPr="00ED4E3D">
      <w:rPr>
        <w:rFonts w:ascii="Arial" w:hAnsi="Arial" w:cs="Arial"/>
        <w:b/>
      </w:rPr>
      <w:t>RECURSO DE REVISIÓN EN MATERIA DE SEGURIDAD NACIONAL 8/2022</w:t>
    </w:r>
  </w:p>
  <w:p w14:paraId="0B2E7C46" w14:textId="77777777" w:rsidR="009A0319" w:rsidRDefault="009A0319">
    <w:pPr>
      <w:pStyle w:val="Encabezado"/>
      <w:rPr>
        <w:b/>
      </w:rPr>
    </w:pPr>
  </w:p>
  <w:p w14:paraId="1162472C" w14:textId="77777777" w:rsidR="009A0319" w:rsidRDefault="009A0319">
    <w:pPr>
      <w:pStyle w:val="Encabezado"/>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B8F41" w14:textId="44959B4D" w:rsidR="008F7894" w:rsidRPr="00F753A7" w:rsidRDefault="008F7894" w:rsidP="00911BE5">
    <w:pPr>
      <w:pStyle w:val="Encabezado"/>
      <w:tabs>
        <w:tab w:val="clear" w:pos="4419"/>
        <w:tab w:val="clear" w:pos="8838"/>
      </w:tabs>
      <w:jc w:val="center"/>
      <w:rPr>
        <w:rFonts w:ascii="Arial" w:hAnsi="Arial" w:cs="Arial"/>
        <w:b/>
      </w:rPr>
    </w:pPr>
    <w:r>
      <w:rPr>
        <w:rFonts w:ascii="Arial" w:hAnsi="Arial" w:cs="Arial"/>
        <w:b/>
      </w:rPr>
      <w:t xml:space="preserve">DECLARATORIA GENERAL DE INCONSTITUCIONALIDAD </w:t>
    </w:r>
    <w:r w:rsidR="00E65192">
      <w:rPr>
        <w:rFonts w:ascii="Arial" w:hAnsi="Arial" w:cs="Arial"/>
        <w:b/>
      </w:rPr>
      <w:t>8</w:t>
    </w:r>
    <w:r>
      <w:rPr>
        <w:rFonts w:ascii="Arial" w:hAnsi="Arial" w:cs="Arial"/>
        <w:b/>
      </w:rPr>
      <w:t>/</w:t>
    </w:r>
    <w:r w:rsidR="00E65192">
      <w:rPr>
        <w:rFonts w:ascii="Arial" w:hAnsi="Arial" w:cs="Arial"/>
        <w:b/>
      </w:rP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9C372" w14:textId="22409D25" w:rsidR="00245BA3" w:rsidRPr="00F753A7" w:rsidRDefault="002C7FA3" w:rsidP="002C7FA3">
    <w:pPr>
      <w:pStyle w:val="Encabezado"/>
      <w:tabs>
        <w:tab w:val="clear" w:pos="4419"/>
        <w:tab w:val="clear" w:pos="8838"/>
      </w:tabs>
      <w:jc w:val="both"/>
      <w:rPr>
        <w:rFonts w:ascii="Arial" w:hAnsi="Arial" w:cs="Arial"/>
        <w:b/>
      </w:rPr>
    </w:pPr>
    <w:r w:rsidRPr="002C7FA3">
      <w:rPr>
        <w:rFonts w:ascii="Arial" w:hAnsi="Arial" w:cs="Arial"/>
        <w:b/>
        <w:noProof/>
      </w:rPr>
      <mc:AlternateContent>
        <mc:Choice Requires="wps">
          <w:drawing>
            <wp:anchor distT="45720" distB="45720" distL="114300" distR="114300" simplePos="0" relativeHeight="251659264" behindDoc="0" locked="0" layoutInCell="1" allowOverlap="1" wp14:anchorId="23D96B83" wp14:editId="0F56999C">
              <wp:simplePos x="0" y="0"/>
              <wp:positionH relativeFrom="column">
                <wp:posOffset>-607060</wp:posOffset>
              </wp:positionH>
              <wp:positionV relativeFrom="paragraph">
                <wp:posOffset>5080</wp:posOffset>
              </wp:positionV>
              <wp:extent cx="2238375" cy="1907540"/>
              <wp:effectExtent l="0" t="0" r="28575" b="1651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1907540"/>
                      </a:xfrm>
                      <a:prstGeom prst="rect">
                        <a:avLst/>
                      </a:prstGeom>
                      <a:solidFill>
                        <a:srgbClr val="FFFFFF"/>
                      </a:solidFill>
                      <a:ln w="9525">
                        <a:solidFill>
                          <a:schemeClr val="bg1"/>
                        </a:solidFill>
                        <a:miter lim="800000"/>
                        <a:headEnd/>
                        <a:tailEnd/>
                      </a:ln>
                    </wps:spPr>
                    <wps:txbx>
                      <w:txbxContent>
                        <w:p w14:paraId="697E02DC" w14:textId="38F16380" w:rsidR="002C7FA3" w:rsidRDefault="002C7FA3" w:rsidP="002C7FA3">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D96B83" id="_x0000_t202" coordsize="21600,21600" o:spt="202" path="m,l,21600r21600,l21600,xe">
              <v:stroke joinstyle="miter"/>
              <v:path gradientshapeok="t" o:connecttype="rect"/>
            </v:shapetype>
            <v:shape id="Cuadro de texto 2" o:spid="_x0000_s1026" type="#_x0000_t202" style="position:absolute;left:0;text-align:left;margin-left:-47.8pt;margin-top:.4pt;width:176.25pt;height:150.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" strokecolor="white [3212]">
              <v:textbox>
                <w:txbxContent>
                  <w:p w14:paraId="697E02DC" w14:textId="38F16380" w:rsidR="002C7FA3" w:rsidRDefault="002C7FA3" w:rsidP="002C7FA3">
                    <w:pPr>
                      <w:jc w:val="both"/>
                    </w:pPr>
                  </w:p>
                </w:txbxContent>
              </v:textbox>
              <w10:wrap type="square"/>
            </v:shape>
          </w:pict>
        </mc:Fallback>
      </mc:AlternateContent>
    </w:r>
    <w:r w:rsidR="00245BA3">
      <w:rPr>
        <w:rFonts w:ascii="Arial" w:hAnsi="Arial" w:cs="Arial"/>
        <w:b/>
      </w:rPr>
      <w:t>DECLARATORIA GENERAL DE INCONSTITUCIONALIDAD 8/2022</w:t>
    </w:r>
  </w:p>
  <w:p w14:paraId="043C5104" w14:textId="77777777" w:rsidR="008F7894" w:rsidRPr="00F753A7" w:rsidRDefault="008F7894" w:rsidP="00245BA3">
    <w:pPr>
      <w:pStyle w:val="Encabezado"/>
      <w:tabs>
        <w:tab w:val="clear" w:pos="4419"/>
        <w:tab w:val="clear" w:pos="8838"/>
      </w:tabs>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0AC150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702D9F"/>
    <w:multiLevelType w:val="hybridMultilevel"/>
    <w:tmpl w:val="561A73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3C83EF2"/>
    <w:multiLevelType w:val="hybridMultilevel"/>
    <w:tmpl w:val="C18491AA"/>
    <w:lvl w:ilvl="0" w:tplc="8C948156">
      <w:start w:val="1"/>
      <w:numFmt w:val="decimal"/>
      <w:lvlText w:val="%1."/>
      <w:lvlJc w:val="left"/>
      <w:pPr>
        <w:ind w:left="644"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2E6068"/>
    <w:multiLevelType w:val="hybridMultilevel"/>
    <w:tmpl w:val="9B2E9B24"/>
    <w:lvl w:ilvl="0" w:tplc="080A0001">
      <w:start w:val="1"/>
      <w:numFmt w:val="bullet"/>
      <w:lvlText w:val=""/>
      <w:lvlJc w:val="left"/>
      <w:pPr>
        <w:ind w:left="720" w:hanging="360"/>
      </w:pPr>
      <w:rPr>
        <w:rFonts w:ascii="Symbol" w:hAnsi="Symbol" w:hint="default"/>
        <w:sz w:val="28"/>
        <w:szCs w:val="28"/>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57D4A35"/>
    <w:multiLevelType w:val="multilevel"/>
    <w:tmpl w:val="1228DF9C"/>
    <w:lvl w:ilvl="0">
      <w:start w:val="3"/>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5CA34C5"/>
    <w:multiLevelType w:val="hybridMultilevel"/>
    <w:tmpl w:val="3A6E07A8"/>
    <w:lvl w:ilvl="0" w:tplc="080A0005">
      <w:start w:val="1"/>
      <w:numFmt w:val="bullet"/>
      <w:lvlText w:val=""/>
      <w:lvlJc w:val="left"/>
      <w:pPr>
        <w:ind w:left="982" w:hanging="360"/>
      </w:pPr>
      <w:rPr>
        <w:rFonts w:ascii="Wingdings" w:hAnsi="Wingdings" w:hint="default"/>
      </w:rPr>
    </w:lvl>
    <w:lvl w:ilvl="1" w:tplc="080A0003" w:tentative="1">
      <w:start w:val="1"/>
      <w:numFmt w:val="bullet"/>
      <w:lvlText w:val="o"/>
      <w:lvlJc w:val="left"/>
      <w:pPr>
        <w:ind w:left="1702" w:hanging="360"/>
      </w:pPr>
      <w:rPr>
        <w:rFonts w:ascii="Courier New" w:hAnsi="Courier New" w:cs="Courier New" w:hint="default"/>
      </w:rPr>
    </w:lvl>
    <w:lvl w:ilvl="2" w:tplc="080A0005" w:tentative="1">
      <w:start w:val="1"/>
      <w:numFmt w:val="bullet"/>
      <w:lvlText w:val=""/>
      <w:lvlJc w:val="left"/>
      <w:pPr>
        <w:ind w:left="2422" w:hanging="360"/>
      </w:pPr>
      <w:rPr>
        <w:rFonts w:ascii="Wingdings" w:hAnsi="Wingdings" w:hint="default"/>
      </w:rPr>
    </w:lvl>
    <w:lvl w:ilvl="3" w:tplc="080A0001" w:tentative="1">
      <w:start w:val="1"/>
      <w:numFmt w:val="bullet"/>
      <w:lvlText w:val=""/>
      <w:lvlJc w:val="left"/>
      <w:pPr>
        <w:ind w:left="3142" w:hanging="360"/>
      </w:pPr>
      <w:rPr>
        <w:rFonts w:ascii="Symbol" w:hAnsi="Symbol" w:hint="default"/>
      </w:rPr>
    </w:lvl>
    <w:lvl w:ilvl="4" w:tplc="080A0003" w:tentative="1">
      <w:start w:val="1"/>
      <w:numFmt w:val="bullet"/>
      <w:lvlText w:val="o"/>
      <w:lvlJc w:val="left"/>
      <w:pPr>
        <w:ind w:left="3862" w:hanging="360"/>
      </w:pPr>
      <w:rPr>
        <w:rFonts w:ascii="Courier New" w:hAnsi="Courier New" w:cs="Courier New" w:hint="default"/>
      </w:rPr>
    </w:lvl>
    <w:lvl w:ilvl="5" w:tplc="080A0005" w:tentative="1">
      <w:start w:val="1"/>
      <w:numFmt w:val="bullet"/>
      <w:lvlText w:val=""/>
      <w:lvlJc w:val="left"/>
      <w:pPr>
        <w:ind w:left="4582" w:hanging="360"/>
      </w:pPr>
      <w:rPr>
        <w:rFonts w:ascii="Wingdings" w:hAnsi="Wingdings" w:hint="default"/>
      </w:rPr>
    </w:lvl>
    <w:lvl w:ilvl="6" w:tplc="080A0001" w:tentative="1">
      <w:start w:val="1"/>
      <w:numFmt w:val="bullet"/>
      <w:lvlText w:val=""/>
      <w:lvlJc w:val="left"/>
      <w:pPr>
        <w:ind w:left="5302" w:hanging="360"/>
      </w:pPr>
      <w:rPr>
        <w:rFonts w:ascii="Symbol" w:hAnsi="Symbol" w:hint="default"/>
      </w:rPr>
    </w:lvl>
    <w:lvl w:ilvl="7" w:tplc="080A0003" w:tentative="1">
      <w:start w:val="1"/>
      <w:numFmt w:val="bullet"/>
      <w:lvlText w:val="o"/>
      <w:lvlJc w:val="left"/>
      <w:pPr>
        <w:ind w:left="6022" w:hanging="360"/>
      </w:pPr>
      <w:rPr>
        <w:rFonts w:ascii="Courier New" w:hAnsi="Courier New" w:cs="Courier New" w:hint="default"/>
      </w:rPr>
    </w:lvl>
    <w:lvl w:ilvl="8" w:tplc="080A0005" w:tentative="1">
      <w:start w:val="1"/>
      <w:numFmt w:val="bullet"/>
      <w:lvlText w:val=""/>
      <w:lvlJc w:val="left"/>
      <w:pPr>
        <w:ind w:left="6742" w:hanging="360"/>
      </w:pPr>
      <w:rPr>
        <w:rFonts w:ascii="Wingdings" w:hAnsi="Wingdings" w:hint="default"/>
      </w:rPr>
    </w:lvl>
  </w:abstractNum>
  <w:abstractNum w:abstractNumId="6" w15:restartNumberingAfterBreak="0">
    <w:nsid w:val="060D5692"/>
    <w:multiLevelType w:val="hybridMultilevel"/>
    <w:tmpl w:val="8B4099B8"/>
    <w:lvl w:ilvl="0" w:tplc="C6B0C53E">
      <w:start w:val="1"/>
      <w:numFmt w:val="decimal"/>
      <w:lvlText w:val="%1."/>
      <w:lvlJc w:val="left"/>
      <w:pPr>
        <w:ind w:left="740" w:hanging="380"/>
      </w:pPr>
      <w:rPr>
        <w:rFonts w:hint="default"/>
        <w:b/>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E36A4C"/>
    <w:multiLevelType w:val="multilevel"/>
    <w:tmpl w:val="5536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272E83"/>
    <w:multiLevelType w:val="hybridMultilevel"/>
    <w:tmpl w:val="B8760316"/>
    <w:lvl w:ilvl="0" w:tplc="AAD099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3DA5583"/>
    <w:multiLevelType w:val="hybridMultilevel"/>
    <w:tmpl w:val="6EE8519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7221964"/>
    <w:multiLevelType w:val="hybridMultilevel"/>
    <w:tmpl w:val="B8760316"/>
    <w:lvl w:ilvl="0" w:tplc="AAD099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AA13C65"/>
    <w:multiLevelType w:val="hybridMultilevel"/>
    <w:tmpl w:val="B8760316"/>
    <w:lvl w:ilvl="0" w:tplc="AAD09922">
      <w:start w:val="1"/>
      <w:numFmt w:val="upperRoman"/>
      <w:lvlText w:val="%1."/>
      <w:lvlJc w:val="left"/>
      <w:pPr>
        <w:ind w:left="3981" w:hanging="720"/>
      </w:pPr>
      <w:rPr>
        <w:rFonts w:hint="default"/>
        <w:b/>
      </w:rPr>
    </w:lvl>
    <w:lvl w:ilvl="1" w:tplc="080A0019" w:tentative="1">
      <w:start w:val="1"/>
      <w:numFmt w:val="lowerLetter"/>
      <w:lvlText w:val="%2."/>
      <w:lvlJc w:val="left"/>
      <w:pPr>
        <w:ind w:left="4341" w:hanging="360"/>
      </w:pPr>
    </w:lvl>
    <w:lvl w:ilvl="2" w:tplc="080A001B" w:tentative="1">
      <w:start w:val="1"/>
      <w:numFmt w:val="lowerRoman"/>
      <w:lvlText w:val="%3."/>
      <w:lvlJc w:val="right"/>
      <w:pPr>
        <w:ind w:left="5061" w:hanging="180"/>
      </w:pPr>
    </w:lvl>
    <w:lvl w:ilvl="3" w:tplc="080A000F" w:tentative="1">
      <w:start w:val="1"/>
      <w:numFmt w:val="decimal"/>
      <w:lvlText w:val="%4."/>
      <w:lvlJc w:val="left"/>
      <w:pPr>
        <w:ind w:left="5781" w:hanging="360"/>
      </w:pPr>
    </w:lvl>
    <w:lvl w:ilvl="4" w:tplc="080A0019" w:tentative="1">
      <w:start w:val="1"/>
      <w:numFmt w:val="lowerLetter"/>
      <w:lvlText w:val="%5."/>
      <w:lvlJc w:val="left"/>
      <w:pPr>
        <w:ind w:left="6501" w:hanging="360"/>
      </w:pPr>
    </w:lvl>
    <w:lvl w:ilvl="5" w:tplc="080A001B" w:tentative="1">
      <w:start w:val="1"/>
      <w:numFmt w:val="lowerRoman"/>
      <w:lvlText w:val="%6."/>
      <w:lvlJc w:val="right"/>
      <w:pPr>
        <w:ind w:left="7221" w:hanging="180"/>
      </w:pPr>
    </w:lvl>
    <w:lvl w:ilvl="6" w:tplc="080A000F" w:tentative="1">
      <w:start w:val="1"/>
      <w:numFmt w:val="decimal"/>
      <w:lvlText w:val="%7."/>
      <w:lvlJc w:val="left"/>
      <w:pPr>
        <w:ind w:left="7941" w:hanging="360"/>
      </w:pPr>
    </w:lvl>
    <w:lvl w:ilvl="7" w:tplc="080A0019" w:tentative="1">
      <w:start w:val="1"/>
      <w:numFmt w:val="lowerLetter"/>
      <w:lvlText w:val="%8."/>
      <w:lvlJc w:val="left"/>
      <w:pPr>
        <w:ind w:left="8661" w:hanging="360"/>
      </w:pPr>
    </w:lvl>
    <w:lvl w:ilvl="8" w:tplc="080A001B" w:tentative="1">
      <w:start w:val="1"/>
      <w:numFmt w:val="lowerRoman"/>
      <w:lvlText w:val="%9."/>
      <w:lvlJc w:val="right"/>
      <w:pPr>
        <w:ind w:left="9381" w:hanging="180"/>
      </w:pPr>
    </w:lvl>
  </w:abstractNum>
  <w:abstractNum w:abstractNumId="12" w15:restartNumberingAfterBreak="0">
    <w:nsid w:val="1B9849A8"/>
    <w:multiLevelType w:val="hybridMultilevel"/>
    <w:tmpl w:val="DF56892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C17432C"/>
    <w:multiLevelType w:val="hybridMultilevel"/>
    <w:tmpl w:val="6CAEEB42"/>
    <w:lvl w:ilvl="0" w:tplc="5D7E48F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C3A09A4"/>
    <w:multiLevelType w:val="hybridMultilevel"/>
    <w:tmpl w:val="71206EE8"/>
    <w:lvl w:ilvl="0" w:tplc="33B4C698">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E9A2D7A"/>
    <w:multiLevelType w:val="hybridMultilevel"/>
    <w:tmpl w:val="9F364ED8"/>
    <w:lvl w:ilvl="0" w:tplc="6B344AC4">
      <w:start w:val="1"/>
      <w:numFmt w:val="decimal"/>
      <w:lvlText w:val="%1."/>
      <w:lvlJc w:val="left"/>
      <w:pPr>
        <w:ind w:left="720" w:hanging="360"/>
      </w:pPr>
      <w:rPr>
        <w:rFonts w:ascii="Arial" w:hAnsi="Arial" w:cs="Arial" w:hint="default"/>
        <w:sz w:val="28"/>
        <w:szCs w:val="28"/>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4E76DDD"/>
    <w:multiLevelType w:val="hybridMultilevel"/>
    <w:tmpl w:val="E996B21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74F14E6"/>
    <w:multiLevelType w:val="hybridMultilevel"/>
    <w:tmpl w:val="CE9A735A"/>
    <w:lvl w:ilvl="0" w:tplc="3E4C7646">
      <w:start w:val="42"/>
      <w:numFmt w:val="decimal"/>
      <w:lvlText w:val="%1."/>
      <w:lvlJc w:val="left"/>
      <w:pPr>
        <w:ind w:left="780" w:hanging="420"/>
      </w:pPr>
      <w:rPr>
        <w:rFonts w:cs="Arial" w:hint="default"/>
        <w:sz w:val="3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78C3EE9"/>
    <w:multiLevelType w:val="hybridMultilevel"/>
    <w:tmpl w:val="ED8A77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25160E2"/>
    <w:multiLevelType w:val="hybridMultilevel"/>
    <w:tmpl w:val="699E37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30738ED"/>
    <w:multiLevelType w:val="hybridMultilevel"/>
    <w:tmpl w:val="35F8C342"/>
    <w:lvl w:ilvl="0" w:tplc="72F8EEBA">
      <w:start w:val="1"/>
      <w:numFmt w:val="decimal"/>
      <w:lvlText w:val="%1."/>
      <w:lvlJc w:val="left"/>
      <w:pPr>
        <w:ind w:left="360" w:hanging="360"/>
      </w:pPr>
      <w:rPr>
        <w:rFonts w:ascii="Arial" w:hAnsi="Arial" w:cs="Arial" w:hint="default"/>
        <w:b/>
        <w:sz w:val="28"/>
        <w:szCs w:val="2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63362AE"/>
    <w:multiLevelType w:val="hybridMultilevel"/>
    <w:tmpl w:val="2EBC27EE"/>
    <w:lvl w:ilvl="0" w:tplc="9572A10E">
      <w:start w:val="1"/>
      <w:numFmt w:val="upperRoman"/>
      <w:lvlText w:val="%1."/>
      <w:lvlJc w:val="left"/>
      <w:pPr>
        <w:ind w:left="2149" w:hanging="720"/>
      </w:pPr>
      <w:rPr>
        <w:rFonts w:hint="default"/>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22" w15:restartNumberingAfterBreak="0">
    <w:nsid w:val="518477DB"/>
    <w:multiLevelType w:val="hybridMultilevel"/>
    <w:tmpl w:val="32B8293A"/>
    <w:lvl w:ilvl="0" w:tplc="87762898">
      <w:start w:val="1"/>
      <w:numFmt w:val="decimal"/>
      <w:lvlText w:val="%1."/>
      <w:lvlJc w:val="left"/>
      <w:pPr>
        <w:ind w:left="1211" w:hanging="360"/>
      </w:pPr>
      <w:rPr>
        <w:b w:val="0"/>
        <w:i w:val="0"/>
        <w:sz w:val="30"/>
        <w:szCs w:val="30"/>
      </w:rPr>
    </w:lvl>
    <w:lvl w:ilvl="1" w:tplc="080A0019">
      <w:start w:val="1"/>
      <w:numFmt w:val="lowerLetter"/>
      <w:lvlText w:val="%2."/>
      <w:lvlJc w:val="left"/>
      <w:pPr>
        <w:ind w:left="2149" w:hanging="360"/>
      </w:pPr>
    </w:lvl>
    <w:lvl w:ilvl="2" w:tplc="080A001B">
      <w:start w:val="1"/>
      <w:numFmt w:val="lowerRoman"/>
      <w:lvlText w:val="%3."/>
      <w:lvlJc w:val="right"/>
      <w:pPr>
        <w:ind w:left="2869" w:hanging="180"/>
      </w:pPr>
    </w:lvl>
    <w:lvl w:ilvl="3" w:tplc="080A000F">
      <w:start w:val="1"/>
      <w:numFmt w:val="decimal"/>
      <w:lvlText w:val="%4."/>
      <w:lvlJc w:val="left"/>
      <w:pPr>
        <w:ind w:left="3589" w:hanging="360"/>
      </w:pPr>
    </w:lvl>
    <w:lvl w:ilvl="4" w:tplc="080A0019">
      <w:start w:val="1"/>
      <w:numFmt w:val="lowerLetter"/>
      <w:lvlText w:val="%5."/>
      <w:lvlJc w:val="left"/>
      <w:pPr>
        <w:ind w:left="4309" w:hanging="360"/>
      </w:pPr>
    </w:lvl>
    <w:lvl w:ilvl="5" w:tplc="080A001B">
      <w:start w:val="1"/>
      <w:numFmt w:val="lowerRoman"/>
      <w:lvlText w:val="%6."/>
      <w:lvlJc w:val="right"/>
      <w:pPr>
        <w:ind w:left="5029" w:hanging="180"/>
      </w:pPr>
    </w:lvl>
    <w:lvl w:ilvl="6" w:tplc="080A000F">
      <w:start w:val="1"/>
      <w:numFmt w:val="decimal"/>
      <w:lvlText w:val="%7."/>
      <w:lvlJc w:val="left"/>
      <w:pPr>
        <w:ind w:left="5749" w:hanging="360"/>
      </w:pPr>
    </w:lvl>
    <w:lvl w:ilvl="7" w:tplc="080A0019">
      <w:start w:val="1"/>
      <w:numFmt w:val="lowerLetter"/>
      <w:lvlText w:val="%8."/>
      <w:lvlJc w:val="left"/>
      <w:pPr>
        <w:ind w:left="6469" w:hanging="360"/>
      </w:pPr>
    </w:lvl>
    <w:lvl w:ilvl="8" w:tplc="080A001B">
      <w:start w:val="1"/>
      <w:numFmt w:val="lowerRoman"/>
      <w:lvlText w:val="%9."/>
      <w:lvlJc w:val="right"/>
      <w:pPr>
        <w:ind w:left="7189" w:hanging="180"/>
      </w:pPr>
    </w:lvl>
  </w:abstractNum>
  <w:abstractNum w:abstractNumId="23" w15:restartNumberingAfterBreak="0">
    <w:nsid w:val="54A63E5C"/>
    <w:multiLevelType w:val="hybridMultilevel"/>
    <w:tmpl w:val="92821F5A"/>
    <w:lvl w:ilvl="0" w:tplc="FFFFFFFF">
      <w:start w:val="1"/>
      <w:numFmt w:val="decimal"/>
      <w:lvlText w:val="%1."/>
      <w:lvlJc w:val="left"/>
      <w:pPr>
        <w:ind w:left="360" w:hanging="360"/>
      </w:pPr>
      <w:rPr>
        <w:rFonts w:ascii="Arial" w:hAnsi="Arial" w:cs="Arial" w:hint="default"/>
        <w:b/>
        <w:sz w:val="28"/>
        <w:szCs w:val="2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293D20"/>
    <w:multiLevelType w:val="hybridMultilevel"/>
    <w:tmpl w:val="5176941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CFC0544"/>
    <w:multiLevelType w:val="hybridMultilevel"/>
    <w:tmpl w:val="2FBCB8C4"/>
    <w:lvl w:ilvl="0" w:tplc="72F8EEBA">
      <w:start w:val="1"/>
      <w:numFmt w:val="decimal"/>
      <w:lvlText w:val="%1."/>
      <w:lvlJc w:val="left"/>
      <w:pPr>
        <w:ind w:left="360" w:hanging="360"/>
      </w:pPr>
      <w:rPr>
        <w:rFonts w:ascii="Arial" w:hAnsi="Arial" w:cs="Arial" w:hint="default"/>
        <w:b/>
        <w:sz w:val="28"/>
        <w:szCs w:val="2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D8D3C3E"/>
    <w:multiLevelType w:val="hybridMultilevel"/>
    <w:tmpl w:val="7B423322"/>
    <w:lvl w:ilvl="0" w:tplc="16A4EECC">
      <w:start w:val="1"/>
      <w:numFmt w:val="decimal"/>
      <w:lvlText w:val="%1."/>
      <w:lvlJc w:val="left"/>
      <w:pPr>
        <w:ind w:left="360" w:hanging="360"/>
      </w:pPr>
      <w:rPr>
        <w:rFonts w:ascii="Arial" w:hAnsi="Arial" w:cs="Arial" w:hint="default"/>
        <w:b w:val="0"/>
        <w:bCs/>
        <w:sz w:val="28"/>
        <w:szCs w:val="2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DC0585B"/>
    <w:multiLevelType w:val="hybridMultilevel"/>
    <w:tmpl w:val="6A12BCE6"/>
    <w:lvl w:ilvl="0" w:tplc="66DEF440">
      <w:start w:val="1"/>
      <w:numFmt w:val="lowerLetter"/>
      <w:lvlText w:val="%1)"/>
      <w:lvlJc w:val="left"/>
      <w:pPr>
        <w:ind w:left="720" w:hanging="360"/>
      </w:pPr>
      <w:rPr>
        <w:rFonts w:hint="default"/>
        <w:b/>
      </w:rPr>
    </w:lvl>
    <w:lvl w:ilvl="1" w:tplc="080A0019">
      <w:start w:val="1"/>
      <w:numFmt w:val="lowerLetter"/>
      <w:lvlText w:val="%2."/>
      <w:lvlJc w:val="left"/>
      <w:pPr>
        <w:ind w:left="36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1246F90"/>
    <w:multiLevelType w:val="hybridMultilevel"/>
    <w:tmpl w:val="70D8696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1C75684"/>
    <w:multiLevelType w:val="hybridMultilevel"/>
    <w:tmpl w:val="FD203ECA"/>
    <w:lvl w:ilvl="0" w:tplc="9710C230">
      <w:start w:val="1"/>
      <w:numFmt w:val="decimal"/>
      <w:lvlText w:val="%1."/>
      <w:lvlJc w:val="left"/>
      <w:pPr>
        <w:ind w:left="720" w:hanging="360"/>
      </w:pPr>
      <w:rPr>
        <w:rFonts w:ascii="Arial" w:eastAsia="Times New Roman" w:hAnsi="Arial" w:cs="Arial"/>
        <w:b w:val="0"/>
        <w:bCs/>
        <w:color w:val="auto"/>
      </w:rPr>
    </w:lvl>
    <w:lvl w:ilvl="1" w:tplc="080A0019">
      <w:start w:val="1"/>
      <w:numFmt w:val="lowerLetter"/>
      <w:lvlText w:val="%2."/>
      <w:lvlJc w:val="left"/>
      <w:pPr>
        <w:ind w:left="1440" w:hanging="360"/>
      </w:pPr>
    </w:lvl>
    <w:lvl w:ilvl="2" w:tplc="21A63294">
      <w:start w:val="1"/>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36F5886"/>
    <w:multiLevelType w:val="hybridMultilevel"/>
    <w:tmpl w:val="EEAE0708"/>
    <w:lvl w:ilvl="0" w:tplc="F884A512">
      <w:start w:val="1"/>
      <w:numFmt w:val="upperRoman"/>
      <w:lvlText w:val="%1."/>
      <w:lvlJc w:val="right"/>
      <w:pPr>
        <w:ind w:left="720" w:hanging="360"/>
      </w:pPr>
      <w:rPr>
        <w:lang w:val="x-none"/>
      </w:rPr>
    </w:lvl>
    <w:lvl w:ilvl="1" w:tplc="FC9A66F8">
      <w:start w:val="1"/>
      <w:numFmt w:val="decimal"/>
      <w:lvlText w:val="(%2)"/>
      <w:lvlJc w:val="left"/>
      <w:pPr>
        <w:ind w:left="2490" w:hanging="1410"/>
      </w:pPr>
      <w:rPr>
        <w:rFonts w:hint="default"/>
        <w:b/>
        <w:bCs/>
        <w:i w:val="0"/>
      </w:rPr>
    </w:lvl>
    <w:lvl w:ilvl="2" w:tplc="D722B608">
      <w:start w:val="2"/>
      <w:numFmt w:val="upperLetter"/>
      <w:lvlText w:val="%3."/>
      <w:lvlJc w:val="left"/>
      <w:pPr>
        <w:ind w:left="2340" w:hanging="360"/>
      </w:pPr>
      <w:rPr>
        <w:rFonts w:ascii="Times New Roman" w:hAnsi="Times New Roman" w:cs="Times New Roman" w:hint="default"/>
        <w:b/>
        <w:sz w:val="26"/>
      </w:rPr>
    </w:lvl>
    <w:lvl w:ilvl="3" w:tplc="11125E56">
      <w:start w:val="1"/>
      <w:numFmt w:val="decimal"/>
      <w:lvlText w:val="%4-"/>
      <w:lvlJc w:val="left"/>
      <w:pPr>
        <w:ind w:left="2880" w:hanging="360"/>
      </w:pPr>
      <w:rPr>
        <w:rFonts w:hint="default"/>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5E70EAD"/>
    <w:multiLevelType w:val="hybridMultilevel"/>
    <w:tmpl w:val="168C5B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78A5D9B"/>
    <w:multiLevelType w:val="hybridMultilevel"/>
    <w:tmpl w:val="D99CDAB0"/>
    <w:lvl w:ilvl="0" w:tplc="080A0017">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33" w15:restartNumberingAfterBreak="0">
    <w:nsid w:val="67DA51D5"/>
    <w:multiLevelType w:val="hybridMultilevel"/>
    <w:tmpl w:val="B394CF18"/>
    <w:lvl w:ilvl="0" w:tplc="80FCAFFC">
      <w:start w:val="1"/>
      <w:numFmt w:val="decimal"/>
      <w:lvlText w:val="%1."/>
      <w:lvlJc w:val="left"/>
      <w:pPr>
        <w:ind w:left="1069" w:hanging="360"/>
      </w:pPr>
      <w:rPr>
        <w:rFonts w:hint="default"/>
        <w:b/>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4" w15:restartNumberingAfterBreak="0">
    <w:nsid w:val="686D6AD6"/>
    <w:multiLevelType w:val="hybridMultilevel"/>
    <w:tmpl w:val="9D566920"/>
    <w:lvl w:ilvl="0" w:tplc="FC9A66F8">
      <w:start w:val="1"/>
      <w:numFmt w:val="decimal"/>
      <w:lvlText w:val="(%1)"/>
      <w:lvlJc w:val="left"/>
      <w:pPr>
        <w:ind w:left="1440" w:hanging="360"/>
      </w:pPr>
      <w:rPr>
        <w:rFonts w:hint="default"/>
        <w:b/>
        <w:bCs/>
        <w:i w:val="0"/>
        <w:i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5" w15:restartNumberingAfterBreak="0">
    <w:nsid w:val="6A285B3A"/>
    <w:multiLevelType w:val="hybridMultilevel"/>
    <w:tmpl w:val="8D3EF9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BB420F2"/>
    <w:multiLevelType w:val="hybridMultilevel"/>
    <w:tmpl w:val="0B26182E"/>
    <w:lvl w:ilvl="0" w:tplc="0730F8D6">
      <w:start w:val="1"/>
      <w:numFmt w:val="decimal"/>
      <w:lvlText w:val="%1."/>
      <w:lvlJc w:val="left"/>
      <w:pPr>
        <w:ind w:left="1211" w:hanging="360"/>
      </w:pPr>
      <w:rPr>
        <w:rFonts w:ascii="Arial" w:hAnsi="Arial" w:cs="Arial" w:hint="default"/>
        <w:b/>
        <w:i w:val="0"/>
        <w:color w:val="auto"/>
        <w:sz w:val="30"/>
        <w:szCs w:val="30"/>
        <w:vertAlign w:val="baseline"/>
        <w:lang w:val="es-ES_tradnl"/>
      </w:rPr>
    </w:lvl>
    <w:lvl w:ilvl="1" w:tplc="080A0017">
      <w:start w:val="1"/>
      <w:numFmt w:val="lowerLetter"/>
      <w:lvlText w:val="%2)"/>
      <w:lvlJc w:val="left"/>
      <w:pPr>
        <w:ind w:left="1931" w:hanging="360"/>
      </w:pPr>
    </w:lvl>
    <w:lvl w:ilvl="2" w:tplc="080A001B">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37" w15:restartNumberingAfterBreak="0">
    <w:nsid w:val="6F555815"/>
    <w:multiLevelType w:val="hybridMultilevel"/>
    <w:tmpl w:val="FABEE2E0"/>
    <w:lvl w:ilvl="0" w:tplc="EA3C9BA2">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15:restartNumberingAfterBreak="0">
    <w:nsid w:val="701E7EBE"/>
    <w:multiLevelType w:val="hybridMultilevel"/>
    <w:tmpl w:val="8D4C3BA6"/>
    <w:lvl w:ilvl="0" w:tplc="30FCB9D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54240FA"/>
    <w:multiLevelType w:val="hybridMultilevel"/>
    <w:tmpl w:val="F61C3A98"/>
    <w:lvl w:ilvl="0" w:tplc="4908254A">
      <w:start w:val="5"/>
      <w:numFmt w:val="decimal"/>
      <w:lvlText w:val="%1."/>
      <w:lvlJc w:val="left"/>
      <w:pPr>
        <w:ind w:left="360" w:hanging="360"/>
      </w:pPr>
      <w:rPr>
        <w:rFonts w:hint="default"/>
        <w:b w:val="0"/>
        <w:lang w:val="es-MX"/>
      </w:rPr>
    </w:lvl>
    <w:lvl w:ilvl="1" w:tplc="080A0019" w:tentative="1">
      <w:start w:val="1"/>
      <w:numFmt w:val="lowerLetter"/>
      <w:lvlText w:val="%2."/>
      <w:lvlJc w:val="left"/>
      <w:pPr>
        <w:ind w:left="731" w:hanging="360"/>
      </w:pPr>
    </w:lvl>
    <w:lvl w:ilvl="2" w:tplc="080A001B" w:tentative="1">
      <w:start w:val="1"/>
      <w:numFmt w:val="lowerRoman"/>
      <w:lvlText w:val="%3."/>
      <w:lvlJc w:val="right"/>
      <w:pPr>
        <w:ind w:left="1451" w:hanging="180"/>
      </w:pPr>
    </w:lvl>
    <w:lvl w:ilvl="3" w:tplc="080A000F" w:tentative="1">
      <w:start w:val="1"/>
      <w:numFmt w:val="decimal"/>
      <w:lvlText w:val="%4."/>
      <w:lvlJc w:val="left"/>
      <w:pPr>
        <w:ind w:left="2171" w:hanging="360"/>
      </w:pPr>
    </w:lvl>
    <w:lvl w:ilvl="4" w:tplc="080A0019" w:tentative="1">
      <w:start w:val="1"/>
      <w:numFmt w:val="lowerLetter"/>
      <w:lvlText w:val="%5."/>
      <w:lvlJc w:val="left"/>
      <w:pPr>
        <w:ind w:left="2891" w:hanging="360"/>
      </w:pPr>
    </w:lvl>
    <w:lvl w:ilvl="5" w:tplc="080A001B" w:tentative="1">
      <w:start w:val="1"/>
      <w:numFmt w:val="lowerRoman"/>
      <w:lvlText w:val="%6."/>
      <w:lvlJc w:val="right"/>
      <w:pPr>
        <w:ind w:left="3611" w:hanging="180"/>
      </w:pPr>
    </w:lvl>
    <w:lvl w:ilvl="6" w:tplc="080A000F" w:tentative="1">
      <w:start w:val="1"/>
      <w:numFmt w:val="decimal"/>
      <w:lvlText w:val="%7."/>
      <w:lvlJc w:val="left"/>
      <w:pPr>
        <w:ind w:left="4331" w:hanging="360"/>
      </w:pPr>
    </w:lvl>
    <w:lvl w:ilvl="7" w:tplc="080A0019" w:tentative="1">
      <w:start w:val="1"/>
      <w:numFmt w:val="lowerLetter"/>
      <w:lvlText w:val="%8."/>
      <w:lvlJc w:val="left"/>
      <w:pPr>
        <w:ind w:left="5051" w:hanging="360"/>
      </w:pPr>
    </w:lvl>
    <w:lvl w:ilvl="8" w:tplc="080A001B" w:tentative="1">
      <w:start w:val="1"/>
      <w:numFmt w:val="lowerRoman"/>
      <w:lvlText w:val="%9."/>
      <w:lvlJc w:val="right"/>
      <w:pPr>
        <w:ind w:left="5771" w:hanging="180"/>
      </w:pPr>
    </w:lvl>
  </w:abstractNum>
  <w:abstractNum w:abstractNumId="40" w15:restartNumberingAfterBreak="0">
    <w:nsid w:val="75D24D11"/>
    <w:multiLevelType w:val="hybridMultilevel"/>
    <w:tmpl w:val="8FE847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9E87CFB"/>
    <w:multiLevelType w:val="multilevel"/>
    <w:tmpl w:val="9D069040"/>
    <w:lvl w:ilvl="0">
      <w:start w:val="1"/>
      <w:numFmt w:val="decimal"/>
      <w:lvlText w:val="%1."/>
      <w:lvlJc w:val="left"/>
      <w:pPr>
        <w:ind w:left="360" w:hanging="360"/>
      </w:pPr>
      <w:rPr>
        <w:rFonts w:ascii="Arial" w:hAnsi="Arial" w:cs="Arial" w:hint="default"/>
        <w:b/>
        <w:i w:val="0"/>
        <w:sz w:val="24"/>
        <w:szCs w:val="26"/>
        <w:lang w:val="x-none"/>
      </w:rPr>
    </w:lvl>
    <w:lvl w:ilvl="1">
      <w:start w:val="1"/>
      <w:numFmt w:val="decimal"/>
      <w:lvlText w:val="%1.%2."/>
      <w:lvlJc w:val="left"/>
      <w:pPr>
        <w:ind w:left="432" w:hanging="432"/>
      </w:pPr>
      <w:rPr>
        <w:rFonts w:hint="default"/>
        <w:b/>
        <w:sz w:val="26"/>
        <w:szCs w:val="2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25291528">
    <w:abstractNumId w:val="0"/>
  </w:num>
  <w:num w:numId="2" w16cid:durableId="1387487454">
    <w:abstractNumId w:val="39"/>
  </w:num>
  <w:num w:numId="3" w16cid:durableId="2083598501">
    <w:abstractNumId w:val="26"/>
  </w:num>
  <w:num w:numId="4" w16cid:durableId="1469013537">
    <w:abstractNumId w:val="11"/>
  </w:num>
  <w:num w:numId="5" w16cid:durableId="1398043977">
    <w:abstractNumId w:val="38"/>
  </w:num>
  <w:num w:numId="6" w16cid:durableId="1171917999">
    <w:abstractNumId w:val="40"/>
  </w:num>
  <w:num w:numId="7" w16cid:durableId="953249857">
    <w:abstractNumId w:val="15"/>
  </w:num>
  <w:num w:numId="8" w16cid:durableId="1032462212">
    <w:abstractNumId w:val="3"/>
  </w:num>
  <w:num w:numId="9" w16cid:durableId="879394768">
    <w:abstractNumId w:val="24"/>
  </w:num>
  <w:num w:numId="10" w16cid:durableId="7055216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1207967">
    <w:abstractNumId w:val="18"/>
  </w:num>
  <w:num w:numId="12" w16cid:durableId="104738192">
    <w:abstractNumId w:val="17"/>
  </w:num>
  <w:num w:numId="13" w16cid:durableId="654266104">
    <w:abstractNumId w:val="10"/>
  </w:num>
  <w:num w:numId="14" w16cid:durableId="1091241289">
    <w:abstractNumId w:val="14"/>
  </w:num>
  <w:num w:numId="15" w16cid:durableId="1667780707">
    <w:abstractNumId w:val="35"/>
  </w:num>
  <w:num w:numId="16" w16cid:durableId="529537995">
    <w:abstractNumId w:val="31"/>
  </w:num>
  <w:num w:numId="17" w16cid:durableId="1899855839">
    <w:abstractNumId w:val="8"/>
  </w:num>
  <w:num w:numId="18" w16cid:durableId="1442797135">
    <w:abstractNumId w:val="4"/>
  </w:num>
  <w:num w:numId="19" w16cid:durableId="1693258876">
    <w:abstractNumId w:val="13"/>
  </w:num>
  <w:num w:numId="20" w16cid:durableId="291863068">
    <w:abstractNumId w:val="27"/>
  </w:num>
  <w:num w:numId="21" w16cid:durableId="1380738407">
    <w:abstractNumId w:val="32"/>
  </w:num>
  <w:num w:numId="22" w16cid:durableId="1677608310">
    <w:abstractNumId w:val="1"/>
  </w:num>
  <w:num w:numId="23" w16cid:durableId="1382352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74657">
    <w:abstractNumId w:val="16"/>
  </w:num>
  <w:num w:numId="25" w16cid:durableId="114564382">
    <w:abstractNumId w:val="19"/>
  </w:num>
  <w:num w:numId="26" w16cid:durableId="949974749">
    <w:abstractNumId w:val="33"/>
  </w:num>
  <w:num w:numId="27" w16cid:durableId="1439789756">
    <w:abstractNumId w:val="9"/>
  </w:num>
  <w:num w:numId="28" w16cid:durableId="1737976882">
    <w:abstractNumId w:val="5"/>
  </w:num>
  <w:num w:numId="29" w16cid:durableId="54090982">
    <w:abstractNumId w:val="12"/>
  </w:num>
  <w:num w:numId="30" w16cid:durableId="632714062">
    <w:abstractNumId w:val="21"/>
  </w:num>
  <w:num w:numId="31" w16cid:durableId="1207915672">
    <w:abstractNumId w:val="36"/>
  </w:num>
  <w:num w:numId="32" w16cid:durableId="558133153">
    <w:abstractNumId w:val="2"/>
  </w:num>
  <w:num w:numId="33" w16cid:durableId="1068646311">
    <w:abstractNumId w:val="6"/>
  </w:num>
  <w:num w:numId="34" w16cid:durableId="478621793">
    <w:abstractNumId w:val="41"/>
  </w:num>
  <w:num w:numId="35" w16cid:durableId="1121608873">
    <w:abstractNumId w:val="20"/>
  </w:num>
  <w:num w:numId="36" w16cid:durableId="2070573675">
    <w:abstractNumId w:val="25"/>
  </w:num>
  <w:num w:numId="37" w16cid:durableId="1889146698">
    <w:abstractNumId w:val="30"/>
  </w:num>
  <w:num w:numId="38" w16cid:durableId="736516349">
    <w:abstractNumId w:val="34"/>
  </w:num>
  <w:num w:numId="39" w16cid:durableId="1494952918">
    <w:abstractNumId w:val="29"/>
  </w:num>
  <w:num w:numId="40" w16cid:durableId="189534801">
    <w:abstractNumId w:val="28"/>
  </w:num>
  <w:num w:numId="41" w16cid:durableId="1821997225">
    <w:abstractNumId w:val="7"/>
  </w:num>
  <w:num w:numId="42" w16cid:durableId="4593418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ocumentProtection w:edit="trackedChanges" w:enforcement="0"/>
  <w:defaultTabStop w:val="709"/>
  <w:hyphenationZone w:val="425"/>
  <w:evenAndOddHeaders/>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E5"/>
    <w:rsid w:val="000016EC"/>
    <w:rsid w:val="000019D3"/>
    <w:rsid w:val="00005482"/>
    <w:rsid w:val="00006D46"/>
    <w:rsid w:val="00010223"/>
    <w:rsid w:val="000104A9"/>
    <w:rsid w:val="00010746"/>
    <w:rsid w:val="0001396D"/>
    <w:rsid w:val="00013A17"/>
    <w:rsid w:val="0001407B"/>
    <w:rsid w:val="000144F2"/>
    <w:rsid w:val="00015219"/>
    <w:rsid w:val="00015CB0"/>
    <w:rsid w:val="00016E29"/>
    <w:rsid w:val="0001795B"/>
    <w:rsid w:val="00017EB2"/>
    <w:rsid w:val="00017FD7"/>
    <w:rsid w:val="00021F0E"/>
    <w:rsid w:val="00022E04"/>
    <w:rsid w:val="00022F3A"/>
    <w:rsid w:val="0002316E"/>
    <w:rsid w:val="00024D91"/>
    <w:rsid w:val="000258E4"/>
    <w:rsid w:val="00026C2D"/>
    <w:rsid w:val="00030A26"/>
    <w:rsid w:val="00031446"/>
    <w:rsid w:val="00031FE8"/>
    <w:rsid w:val="00032FF6"/>
    <w:rsid w:val="00033198"/>
    <w:rsid w:val="000340A4"/>
    <w:rsid w:val="000355C7"/>
    <w:rsid w:val="00036CB1"/>
    <w:rsid w:val="00040259"/>
    <w:rsid w:val="0004060E"/>
    <w:rsid w:val="00040660"/>
    <w:rsid w:val="00041F14"/>
    <w:rsid w:val="00042D23"/>
    <w:rsid w:val="0004482D"/>
    <w:rsid w:val="00045616"/>
    <w:rsid w:val="0004711D"/>
    <w:rsid w:val="00047E06"/>
    <w:rsid w:val="00047EFE"/>
    <w:rsid w:val="0005147D"/>
    <w:rsid w:val="00052783"/>
    <w:rsid w:val="000527F2"/>
    <w:rsid w:val="000532AA"/>
    <w:rsid w:val="000533ED"/>
    <w:rsid w:val="000545F1"/>
    <w:rsid w:val="00056DC5"/>
    <w:rsid w:val="00056E4A"/>
    <w:rsid w:val="00057595"/>
    <w:rsid w:val="000575A7"/>
    <w:rsid w:val="00057A34"/>
    <w:rsid w:val="00060B93"/>
    <w:rsid w:val="00061846"/>
    <w:rsid w:val="00061FD0"/>
    <w:rsid w:val="00062F0D"/>
    <w:rsid w:val="00064020"/>
    <w:rsid w:val="00064FF5"/>
    <w:rsid w:val="00065453"/>
    <w:rsid w:val="00065D82"/>
    <w:rsid w:val="000661C8"/>
    <w:rsid w:val="00066E16"/>
    <w:rsid w:val="000716FC"/>
    <w:rsid w:val="000727FD"/>
    <w:rsid w:val="00072AF2"/>
    <w:rsid w:val="00074599"/>
    <w:rsid w:val="00075D01"/>
    <w:rsid w:val="00077774"/>
    <w:rsid w:val="00077C38"/>
    <w:rsid w:val="00080BC4"/>
    <w:rsid w:val="0008431A"/>
    <w:rsid w:val="0008666D"/>
    <w:rsid w:val="0009018A"/>
    <w:rsid w:val="000910B8"/>
    <w:rsid w:val="00091CA6"/>
    <w:rsid w:val="0009205D"/>
    <w:rsid w:val="00092AF3"/>
    <w:rsid w:val="00094047"/>
    <w:rsid w:val="00094EFF"/>
    <w:rsid w:val="000960BF"/>
    <w:rsid w:val="00097B30"/>
    <w:rsid w:val="000A0365"/>
    <w:rsid w:val="000A1F39"/>
    <w:rsid w:val="000A24AA"/>
    <w:rsid w:val="000A2761"/>
    <w:rsid w:val="000A2AE7"/>
    <w:rsid w:val="000A30A1"/>
    <w:rsid w:val="000A3830"/>
    <w:rsid w:val="000A4216"/>
    <w:rsid w:val="000A433F"/>
    <w:rsid w:val="000A45E1"/>
    <w:rsid w:val="000A45FB"/>
    <w:rsid w:val="000A534F"/>
    <w:rsid w:val="000A56B3"/>
    <w:rsid w:val="000A5797"/>
    <w:rsid w:val="000A71AC"/>
    <w:rsid w:val="000A7331"/>
    <w:rsid w:val="000A734C"/>
    <w:rsid w:val="000B07DB"/>
    <w:rsid w:val="000B0EFD"/>
    <w:rsid w:val="000B1103"/>
    <w:rsid w:val="000B1870"/>
    <w:rsid w:val="000B3C22"/>
    <w:rsid w:val="000B4723"/>
    <w:rsid w:val="000B5A17"/>
    <w:rsid w:val="000B6E4B"/>
    <w:rsid w:val="000B79EC"/>
    <w:rsid w:val="000B7B79"/>
    <w:rsid w:val="000B7BDD"/>
    <w:rsid w:val="000B7F65"/>
    <w:rsid w:val="000C0313"/>
    <w:rsid w:val="000C15CC"/>
    <w:rsid w:val="000C2148"/>
    <w:rsid w:val="000C2976"/>
    <w:rsid w:val="000C2CBC"/>
    <w:rsid w:val="000C3E63"/>
    <w:rsid w:val="000C3F18"/>
    <w:rsid w:val="000C47BD"/>
    <w:rsid w:val="000C50EF"/>
    <w:rsid w:val="000C5DF6"/>
    <w:rsid w:val="000C61CC"/>
    <w:rsid w:val="000C66E2"/>
    <w:rsid w:val="000D1F3B"/>
    <w:rsid w:val="000D22E1"/>
    <w:rsid w:val="000D3EA2"/>
    <w:rsid w:val="000D4FD2"/>
    <w:rsid w:val="000D5746"/>
    <w:rsid w:val="000D6CB6"/>
    <w:rsid w:val="000D6EE6"/>
    <w:rsid w:val="000E15BF"/>
    <w:rsid w:val="000E1F81"/>
    <w:rsid w:val="000E2827"/>
    <w:rsid w:val="000E6014"/>
    <w:rsid w:val="000F0DF5"/>
    <w:rsid w:val="000F2CAB"/>
    <w:rsid w:val="000F4347"/>
    <w:rsid w:val="000F4A54"/>
    <w:rsid w:val="000F53AF"/>
    <w:rsid w:val="000F5E65"/>
    <w:rsid w:val="000F73C1"/>
    <w:rsid w:val="001001B1"/>
    <w:rsid w:val="00102449"/>
    <w:rsid w:val="00102A91"/>
    <w:rsid w:val="001047DF"/>
    <w:rsid w:val="00105311"/>
    <w:rsid w:val="001072C2"/>
    <w:rsid w:val="00107DA1"/>
    <w:rsid w:val="0011002E"/>
    <w:rsid w:val="00111655"/>
    <w:rsid w:val="0011186D"/>
    <w:rsid w:val="00112883"/>
    <w:rsid w:val="0011461B"/>
    <w:rsid w:val="00114C03"/>
    <w:rsid w:val="00114E1B"/>
    <w:rsid w:val="00114FE8"/>
    <w:rsid w:val="001150DC"/>
    <w:rsid w:val="00116271"/>
    <w:rsid w:val="0011727D"/>
    <w:rsid w:val="001178C0"/>
    <w:rsid w:val="001200CC"/>
    <w:rsid w:val="0012079F"/>
    <w:rsid w:val="00120DD9"/>
    <w:rsid w:val="0012148C"/>
    <w:rsid w:val="00121F22"/>
    <w:rsid w:val="00122226"/>
    <w:rsid w:val="00122245"/>
    <w:rsid w:val="001228CE"/>
    <w:rsid w:val="00122D83"/>
    <w:rsid w:val="00123A9A"/>
    <w:rsid w:val="00123F91"/>
    <w:rsid w:val="001261E4"/>
    <w:rsid w:val="0012723C"/>
    <w:rsid w:val="00127A08"/>
    <w:rsid w:val="00127E66"/>
    <w:rsid w:val="00130865"/>
    <w:rsid w:val="00134004"/>
    <w:rsid w:val="001352EA"/>
    <w:rsid w:val="001359EA"/>
    <w:rsid w:val="00136E66"/>
    <w:rsid w:val="00137BC2"/>
    <w:rsid w:val="00140CCE"/>
    <w:rsid w:val="00144390"/>
    <w:rsid w:val="00145D5A"/>
    <w:rsid w:val="00146B21"/>
    <w:rsid w:val="0014720D"/>
    <w:rsid w:val="00150ECF"/>
    <w:rsid w:val="0015160B"/>
    <w:rsid w:val="00151B77"/>
    <w:rsid w:val="00152382"/>
    <w:rsid w:val="001540F3"/>
    <w:rsid w:val="00154AFB"/>
    <w:rsid w:val="00154B54"/>
    <w:rsid w:val="00154E4B"/>
    <w:rsid w:val="001564C4"/>
    <w:rsid w:val="00157B12"/>
    <w:rsid w:val="00157B1A"/>
    <w:rsid w:val="00163366"/>
    <w:rsid w:val="001643CD"/>
    <w:rsid w:val="00164678"/>
    <w:rsid w:val="001649A3"/>
    <w:rsid w:val="0016620D"/>
    <w:rsid w:val="001720CB"/>
    <w:rsid w:val="001728D8"/>
    <w:rsid w:val="00173401"/>
    <w:rsid w:val="00180993"/>
    <w:rsid w:val="00184BF0"/>
    <w:rsid w:val="00184E0E"/>
    <w:rsid w:val="001866C0"/>
    <w:rsid w:val="001872E7"/>
    <w:rsid w:val="001918C0"/>
    <w:rsid w:val="00193599"/>
    <w:rsid w:val="00195452"/>
    <w:rsid w:val="001967AD"/>
    <w:rsid w:val="00196BB9"/>
    <w:rsid w:val="001975D9"/>
    <w:rsid w:val="001A0755"/>
    <w:rsid w:val="001A1933"/>
    <w:rsid w:val="001A2C24"/>
    <w:rsid w:val="001A415B"/>
    <w:rsid w:val="001A5079"/>
    <w:rsid w:val="001A5395"/>
    <w:rsid w:val="001A555F"/>
    <w:rsid w:val="001A582E"/>
    <w:rsid w:val="001B29EF"/>
    <w:rsid w:val="001B3644"/>
    <w:rsid w:val="001B4992"/>
    <w:rsid w:val="001B6005"/>
    <w:rsid w:val="001B64BF"/>
    <w:rsid w:val="001B669D"/>
    <w:rsid w:val="001B7F87"/>
    <w:rsid w:val="001C0E02"/>
    <w:rsid w:val="001C22C7"/>
    <w:rsid w:val="001C2D44"/>
    <w:rsid w:val="001C2E97"/>
    <w:rsid w:val="001C31A2"/>
    <w:rsid w:val="001C40A3"/>
    <w:rsid w:val="001C43CB"/>
    <w:rsid w:val="001C48FD"/>
    <w:rsid w:val="001C4B55"/>
    <w:rsid w:val="001C79C8"/>
    <w:rsid w:val="001C7BE5"/>
    <w:rsid w:val="001D0612"/>
    <w:rsid w:val="001D1BFA"/>
    <w:rsid w:val="001D22B3"/>
    <w:rsid w:val="001D36EB"/>
    <w:rsid w:val="001D68B7"/>
    <w:rsid w:val="001D691C"/>
    <w:rsid w:val="001D732D"/>
    <w:rsid w:val="001D7446"/>
    <w:rsid w:val="001D7D5B"/>
    <w:rsid w:val="001E01FA"/>
    <w:rsid w:val="001E542D"/>
    <w:rsid w:val="001E6BC2"/>
    <w:rsid w:val="001E6CE6"/>
    <w:rsid w:val="001E6F80"/>
    <w:rsid w:val="001E7BDA"/>
    <w:rsid w:val="001E7C32"/>
    <w:rsid w:val="001F1176"/>
    <w:rsid w:val="001F3219"/>
    <w:rsid w:val="001F4842"/>
    <w:rsid w:val="001F491B"/>
    <w:rsid w:val="001F6D95"/>
    <w:rsid w:val="001F7601"/>
    <w:rsid w:val="00200711"/>
    <w:rsid w:val="00201443"/>
    <w:rsid w:val="002044FD"/>
    <w:rsid w:val="0020475B"/>
    <w:rsid w:val="00204808"/>
    <w:rsid w:val="00206FD7"/>
    <w:rsid w:val="00207D76"/>
    <w:rsid w:val="0021021F"/>
    <w:rsid w:val="00210DFB"/>
    <w:rsid w:val="00213290"/>
    <w:rsid w:val="002133CE"/>
    <w:rsid w:val="00213B71"/>
    <w:rsid w:val="00213FE4"/>
    <w:rsid w:val="00215273"/>
    <w:rsid w:val="002153D7"/>
    <w:rsid w:val="002179DE"/>
    <w:rsid w:val="0022088F"/>
    <w:rsid w:val="002219F0"/>
    <w:rsid w:val="00223782"/>
    <w:rsid w:val="00226553"/>
    <w:rsid w:val="00227233"/>
    <w:rsid w:val="002326D8"/>
    <w:rsid w:val="002332A1"/>
    <w:rsid w:val="00233843"/>
    <w:rsid w:val="00236889"/>
    <w:rsid w:val="0024039F"/>
    <w:rsid w:val="00241C37"/>
    <w:rsid w:val="0024275B"/>
    <w:rsid w:val="0024289D"/>
    <w:rsid w:val="002452AE"/>
    <w:rsid w:val="00245593"/>
    <w:rsid w:val="00245BA3"/>
    <w:rsid w:val="00247741"/>
    <w:rsid w:val="0025108A"/>
    <w:rsid w:val="00252A1C"/>
    <w:rsid w:val="0025599A"/>
    <w:rsid w:val="00261967"/>
    <w:rsid w:val="00261FE0"/>
    <w:rsid w:val="002629AC"/>
    <w:rsid w:val="0026429F"/>
    <w:rsid w:val="002647A1"/>
    <w:rsid w:val="0026545F"/>
    <w:rsid w:val="002657C1"/>
    <w:rsid w:val="00265844"/>
    <w:rsid w:val="002673B2"/>
    <w:rsid w:val="00267539"/>
    <w:rsid w:val="00267A32"/>
    <w:rsid w:val="00267FC5"/>
    <w:rsid w:val="0027109F"/>
    <w:rsid w:val="00272789"/>
    <w:rsid w:val="00272C80"/>
    <w:rsid w:val="00273A09"/>
    <w:rsid w:val="002740C4"/>
    <w:rsid w:val="002754B6"/>
    <w:rsid w:val="00275932"/>
    <w:rsid w:val="00281648"/>
    <w:rsid w:val="0028208E"/>
    <w:rsid w:val="002852FA"/>
    <w:rsid w:val="002855B1"/>
    <w:rsid w:val="00286D25"/>
    <w:rsid w:val="00292151"/>
    <w:rsid w:val="0029219E"/>
    <w:rsid w:val="00292A24"/>
    <w:rsid w:val="00294F3B"/>
    <w:rsid w:val="0029705E"/>
    <w:rsid w:val="002A0393"/>
    <w:rsid w:val="002A0A87"/>
    <w:rsid w:val="002A1403"/>
    <w:rsid w:val="002A31D0"/>
    <w:rsid w:val="002A439F"/>
    <w:rsid w:val="002A573A"/>
    <w:rsid w:val="002A5F7F"/>
    <w:rsid w:val="002A6561"/>
    <w:rsid w:val="002B253E"/>
    <w:rsid w:val="002B4E90"/>
    <w:rsid w:val="002B50BD"/>
    <w:rsid w:val="002B7660"/>
    <w:rsid w:val="002C0AD9"/>
    <w:rsid w:val="002C0E74"/>
    <w:rsid w:val="002C17BF"/>
    <w:rsid w:val="002C1DF3"/>
    <w:rsid w:val="002C260C"/>
    <w:rsid w:val="002C75BB"/>
    <w:rsid w:val="002C7FA3"/>
    <w:rsid w:val="002D03B6"/>
    <w:rsid w:val="002D21BC"/>
    <w:rsid w:val="002D27C3"/>
    <w:rsid w:val="002D281E"/>
    <w:rsid w:val="002D294E"/>
    <w:rsid w:val="002D2E5B"/>
    <w:rsid w:val="002D363E"/>
    <w:rsid w:val="002D635C"/>
    <w:rsid w:val="002D7682"/>
    <w:rsid w:val="002D7E81"/>
    <w:rsid w:val="002E0DD6"/>
    <w:rsid w:val="002E17AA"/>
    <w:rsid w:val="002E217F"/>
    <w:rsid w:val="002E2A33"/>
    <w:rsid w:val="002E3C21"/>
    <w:rsid w:val="002E3CA4"/>
    <w:rsid w:val="002E456C"/>
    <w:rsid w:val="002E5B03"/>
    <w:rsid w:val="002F019F"/>
    <w:rsid w:val="002F0497"/>
    <w:rsid w:val="002F478E"/>
    <w:rsid w:val="002F4B69"/>
    <w:rsid w:val="002F5A90"/>
    <w:rsid w:val="002F5FDC"/>
    <w:rsid w:val="002F729A"/>
    <w:rsid w:val="00300DD0"/>
    <w:rsid w:val="003010B0"/>
    <w:rsid w:val="00303AEC"/>
    <w:rsid w:val="0030453E"/>
    <w:rsid w:val="00304E1A"/>
    <w:rsid w:val="00310222"/>
    <w:rsid w:val="00310231"/>
    <w:rsid w:val="00310DBE"/>
    <w:rsid w:val="0031227F"/>
    <w:rsid w:val="00312625"/>
    <w:rsid w:val="00314214"/>
    <w:rsid w:val="00314AF8"/>
    <w:rsid w:val="00315609"/>
    <w:rsid w:val="003156F9"/>
    <w:rsid w:val="00315F4E"/>
    <w:rsid w:val="00316196"/>
    <w:rsid w:val="00316EFA"/>
    <w:rsid w:val="00320E41"/>
    <w:rsid w:val="003214A9"/>
    <w:rsid w:val="00323186"/>
    <w:rsid w:val="0032478D"/>
    <w:rsid w:val="00324CDC"/>
    <w:rsid w:val="003266BA"/>
    <w:rsid w:val="0033396F"/>
    <w:rsid w:val="003339C4"/>
    <w:rsid w:val="00334308"/>
    <w:rsid w:val="0033430C"/>
    <w:rsid w:val="003345FC"/>
    <w:rsid w:val="00336FFE"/>
    <w:rsid w:val="00343E8F"/>
    <w:rsid w:val="0034463F"/>
    <w:rsid w:val="00345DB4"/>
    <w:rsid w:val="00346619"/>
    <w:rsid w:val="003466E8"/>
    <w:rsid w:val="003475E9"/>
    <w:rsid w:val="00350C3A"/>
    <w:rsid w:val="0035132B"/>
    <w:rsid w:val="00352A07"/>
    <w:rsid w:val="00353143"/>
    <w:rsid w:val="003562B8"/>
    <w:rsid w:val="00356B0D"/>
    <w:rsid w:val="00356BA9"/>
    <w:rsid w:val="00356EE6"/>
    <w:rsid w:val="00357CA2"/>
    <w:rsid w:val="00357E7D"/>
    <w:rsid w:val="00361817"/>
    <w:rsid w:val="00365484"/>
    <w:rsid w:val="00365588"/>
    <w:rsid w:val="00366324"/>
    <w:rsid w:val="00366CED"/>
    <w:rsid w:val="00367024"/>
    <w:rsid w:val="00367B55"/>
    <w:rsid w:val="00370812"/>
    <w:rsid w:val="00372AB6"/>
    <w:rsid w:val="003767B2"/>
    <w:rsid w:val="00382A69"/>
    <w:rsid w:val="00382F6D"/>
    <w:rsid w:val="00384BDE"/>
    <w:rsid w:val="00385168"/>
    <w:rsid w:val="00385FA8"/>
    <w:rsid w:val="0038744D"/>
    <w:rsid w:val="00391042"/>
    <w:rsid w:val="00391900"/>
    <w:rsid w:val="00391D77"/>
    <w:rsid w:val="0039279F"/>
    <w:rsid w:val="003935A1"/>
    <w:rsid w:val="0039495B"/>
    <w:rsid w:val="00397028"/>
    <w:rsid w:val="00397865"/>
    <w:rsid w:val="00397A86"/>
    <w:rsid w:val="003A0B62"/>
    <w:rsid w:val="003A138D"/>
    <w:rsid w:val="003A1497"/>
    <w:rsid w:val="003A3CED"/>
    <w:rsid w:val="003A4126"/>
    <w:rsid w:val="003A4425"/>
    <w:rsid w:val="003A4F48"/>
    <w:rsid w:val="003A5FB3"/>
    <w:rsid w:val="003A63EE"/>
    <w:rsid w:val="003B10D8"/>
    <w:rsid w:val="003B1579"/>
    <w:rsid w:val="003B16B1"/>
    <w:rsid w:val="003B175A"/>
    <w:rsid w:val="003B42F3"/>
    <w:rsid w:val="003B4FD8"/>
    <w:rsid w:val="003B609E"/>
    <w:rsid w:val="003B78A0"/>
    <w:rsid w:val="003B7D8E"/>
    <w:rsid w:val="003C0701"/>
    <w:rsid w:val="003C0F97"/>
    <w:rsid w:val="003C15F0"/>
    <w:rsid w:val="003C235B"/>
    <w:rsid w:val="003C24EE"/>
    <w:rsid w:val="003C341C"/>
    <w:rsid w:val="003C3E47"/>
    <w:rsid w:val="003C67C9"/>
    <w:rsid w:val="003C704B"/>
    <w:rsid w:val="003C7DFD"/>
    <w:rsid w:val="003D07E3"/>
    <w:rsid w:val="003D189F"/>
    <w:rsid w:val="003D2818"/>
    <w:rsid w:val="003D3001"/>
    <w:rsid w:val="003D3A03"/>
    <w:rsid w:val="003D537C"/>
    <w:rsid w:val="003D74EA"/>
    <w:rsid w:val="003E3250"/>
    <w:rsid w:val="003E3583"/>
    <w:rsid w:val="003E3CB4"/>
    <w:rsid w:val="003E3CD6"/>
    <w:rsid w:val="003E3D4F"/>
    <w:rsid w:val="003E6139"/>
    <w:rsid w:val="003E71AC"/>
    <w:rsid w:val="003F0504"/>
    <w:rsid w:val="003F0592"/>
    <w:rsid w:val="003F1445"/>
    <w:rsid w:val="003F15D7"/>
    <w:rsid w:val="003F7531"/>
    <w:rsid w:val="00400896"/>
    <w:rsid w:val="00401398"/>
    <w:rsid w:val="0040181E"/>
    <w:rsid w:val="0040197F"/>
    <w:rsid w:val="004036F0"/>
    <w:rsid w:val="00404D8E"/>
    <w:rsid w:val="00405A62"/>
    <w:rsid w:val="004067D6"/>
    <w:rsid w:val="00406E7F"/>
    <w:rsid w:val="00411292"/>
    <w:rsid w:val="004112D1"/>
    <w:rsid w:val="004117CB"/>
    <w:rsid w:val="00411E03"/>
    <w:rsid w:val="00414EA9"/>
    <w:rsid w:val="004169F8"/>
    <w:rsid w:val="00416A37"/>
    <w:rsid w:val="00417A3D"/>
    <w:rsid w:val="00417FEE"/>
    <w:rsid w:val="0042039C"/>
    <w:rsid w:val="00421119"/>
    <w:rsid w:val="00421527"/>
    <w:rsid w:val="004232A0"/>
    <w:rsid w:val="004236E9"/>
    <w:rsid w:val="004241FA"/>
    <w:rsid w:val="0042432D"/>
    <w:rsid w:val="004258B1"/>
    <w:rsid w:val="00426698"/>
    <w:rsid w:val="004301F5"/>
    <w:rsid w:val="004303BD"/>
    <w:rsid w:val="004303CB"/>
    <w:rsid w:val="00432A01"/>
    <w:rsid w:val="00432EAC"/>
    <w:rsid w:val="004333B1"/>
    <w:rsid w:val="0043341A"/>
    <w:rsid w:val="0043404A"/>
    <w:rsid w:val="0044046E"/>
    <w:rsid w:val="00441AB4"/>
    <w:rsid w:val="004435DC"/>
    <w:rsid w:val="00446612"/>
    <w:rsid w:val="00446A8F"/>
    <w:rsid w:val="004471EB"/>
    <w:rsid w:val="004477CE"/>
    <w:rsid w:val="004518B7"/>
    <w:rsid w:val="00451B60"/>
    <w:rsid w:val="00452592"/>
    <w:rsid w:val="00452EA1"/>
    <w:rsid w:val="00452F3A"/>
    <w:rsid w:val="00453C53"/>
    <w:rsid w:val="004555DE"/>
    <w:rsid w:val="00455BE2"/>
    <w:rsid w:val="004561AA"/>
    <w:rsid w:val="004575D9"/>
    <w:rsid w:val="00457A05"/>
    <w:rsid w:val="00460F53"/>
    <w:rsid w:val="004617B5"/>
    <w:rsid w:val="00462144"/>
    <w:rsid w:val="00463421"/>
    <w:rsid w:val="00464C79"/>
    <w:rsid w:val="004662E0"/>
    <w:rsid w:val="00467246"/>
    <w:rsid w:val="00467520"/>
    <w:rsid w:val="004708EE"/>
    <w:rsid w:val="00470D2E"/>
    <w:rsid w:val="00471A6D"/>
    <w:rsid w:val="004733C2"/>
    <w:rsid w:val="004735F4"/>
    <w:rsid w:val="00473A24"/>
    <w:rsid w:val="00476CA7"/>
    <w:rsid w:val="0047731C"/>
    <w:rsid w:val="00477B4C"/>
    <w:rsid w:val="00477C06"/>
    <w:rsid w:val="00480132"/>
    <w:rsid w:val="004812BE"/>
    <w:rsid w:val="00481395"/>
    <w:rsid w:val="0048311B"/>
    <w:rsid w:val="00486095"/>
    <w:rsid w:val="00486B6C"/>
    <w:rsid w:val="00486E19"/>
    <w:rsid w:val="00490957"/>
    <w:rsid w:val="004929CE"/>
    <w:rsid w:val="00494231"/>
    <w:rsid w:val="0049493C"/>
    <w:rsid w:val="0049503F"/>
    <w:rsid w:val="0049639B"/>
    <w:rsid w:val="00497AF4"/>
    <w:rsid w:val="004A28DA"/>
    <w:rsid w:val="004A449D"/>
    <w:rsid w:val="004A5231"/>
    <w:rsid w:val="004B059A"/>
    <w:rsid w:val="004B0C0E"/>
    <w:rsid w:val="004B3668"/>
    <w:rsid w:val="004B381D"/>
    <w:rsid w:val="004B52D3"/>
    <w:rsid w:val="004B53B6"/>
    <w:rsid w:val="004B6EF8"/>
    <w:rsid w:val="004B7A3F"/>
    <w:rsid w:val="004C062A"/>
    <w:rsid w:val="004C2677"/>
    <w:rsid w:val="004C549A"/>
    <w:rsid w:val="004C58D0"/>
    <w:rsid w:val="004C6687"/>
    <w:rsid w:val="004D147C"/>
    <w:rsid w:val="004D38FC"/>
    <w:rsid w:val="004D44D7"/>
    <w:rsid w:val="004D62D9"/>
    <w:rsid w:val="004D6F3A"/>
    <w:rsid w:val="004D7093"/>
    <w:rsid w:val="004D75F4"/>
    <w:rsid w:val="004E257B"/>
    <w:rsid w:val="004E2D17"/>
    <w:rsid w:val="004E2EAA"/>
    <w:rsid w:val="004E3182"/>
    <w:rsid w:val="004E32FE"/>
    <w:rsid w:val="004E4EB2"/>
    <w:rsid w:val="004E5D6A"/>
    <w:rsid w:val="004F0B1A"/>
    <w:rsid w:val="004F2BA6"/>
    <w:rsid w:val="004F2CCA"/>
    <w:rsid w:val="004F3B34"/>
    <w:rsid w:val="004F3B6E"/>
    <w:rsid w:val="004F3FAA"/>
    <w:rsid w:val="004F5689"/>
    <w:rsid w:val="004F5B29"/>
    <w:rsid w:val="004F7952"/>
    <w:rsid w:val="004F7D4D"/>
    <w:rsid w:val="00500218"/>
    <w:rsid w:val="00501250"/>
    <w:rsid w:val="00501576"/>
    <w:rsid w:val="00501E32"/>
    <w:rsid w:val="005028F3"/>
    <w:rsid w:val="0050347A"/>
    <w:rsid w:val="00505E0B"/>
    <w:rsid w:val="0051154D"/>
    <w:rsid w:val="005121BD"/>
    <w:rsid w:val="0051244A"/>
    <w:rsid w:val="005124F2"/>
    <w:rsid w:val="00513E94"/>
    <w:rsid w:val="00516347"/>
    <w:rsid w:val="0052209B"/>
    <w:rsid w:val="00522EC7"/>
    <w:rsid w:val="00523482"/>
    <w:rsid w:val="005241B0"/>
    <w:rsid w:val="00527502"/>
    <w:rsid w:val="005275E1"/>
    <w:rsid w:val="00527A6F"/>
    <w:rsid w:val="00527C45"/>
    <w:rsid w:val="0053087F"/>
    <w:rsid w:val="005309D1"/>
    <w:rsid w:val="00531017"/>
    <w:rsid w:val="00531724"/>
    <w:rsid w:val="005319D5"/>
    <w:rsid w:val="00531C1D"/>
    <w:rsid w:val="0053201C"/>
    <w:rsid w:val="0053237C"/>
    <w:rsid w:val="0053414C"/>
    <w:rsid w:val="00534BE5"/>
    <w:rsid w:val="0054148A"/>
    <w:rsid w:val="00542D34"/>
    <w:rsid w:val="005433D1"/>
    <w:rsid w:val="00544C95"/>
    <w:rsid w:val="0054540F"/>
    <w:rsid w:val="00552671"/>
    <w:rsid w:val="005528E1"/>
    <w:rsid w:val="00552F19"/>
    <w:rsid w:val="005541C0"/>
    <w:rsid w:val="005542BF"/>
    <w:rsid w:val="00554B9B"/>
    <w:rsid w:val="00555A0F"/>
    <w:rsid w:val="00555E15"/>
    <w:rsid w:val="00556C97"/>
    <w:rsid w:val="005600F0"/>
    <w:rsid w:val="005629C2"/>
    <w:rsid w:val="005639C6"/>
    <w:rsid w:val="0056424A"/>
    <w:rsid w:val="005657B9"/>
    <w:rsid w:val="005669A2"/>
    <w:rsid w:val="0056741A"/>
    <w:rsid w:val="005705ED"/>
    <w:rsid w:val="005720B5"/>
    <w:rsid w:val="00572EF3"/>
    <w:rsid w:val="00573790"/>
    <w:rsid w:val="005748F3"/>
    <w:rsid w:val="005749C8"/>
    <w:rsid w:val="00575A26"/>
    <w:rsid w:val="005767B1"/>
    <w:rsid w:val="005771CC"/>
    <w:rsid w:val="00577311"/>
    <w:rsid w:val="005805FB"/>
    <w:rsid w:val="00580868"/>
    <w:rsid w:val="00580F1C"/>
    <w:rsid w:val="00581286"/>
    <w:rsid w:val="0058184B"/>
    <w:rsid w:val="00581C2F"/>
    <w:rsid w:val="00582020"/>
    <w:rsid w:val="00582913"/>
    <w:rsid w:val="0058449F"/>
    <w:rsid w:val="00584BDE"/>
    <w:rsid w:val="00584D31"/>
    <w:rsid w:val="005851B4"/>
    <w:rsid w:val="00586201"/>
    <w:rsid w:val="0058660E"/>
    <w:rsid w:val="00587320"/>
    <w:rsid w:val="005900BC"/>
    <w:rsid w:val="005901CA"/>
    <w:rsid w:val="00590643"/>
    <w:rsid w:val="00591B4F"/>
    <w:rsid w:val="00591C59"/>
    <w:rsid w:val="00591CB8"/>
    <w:rsid w:val="00593E74"/>
    <w:rsid w:val="00594997"/>
    <w:rsid w:val="00594B05"/>
    <w:rsid w:val="00594DAF"/>
    <w:rsid w:val="00596B54"/>
    <w:rsid w:val="00597A9D"/>
    <w:rsid w:val="005A1824"/>
    <w:rsid w:val="005A4214"/>
    <w:rsid w:val="005A5206"/>
    <w:rsid w:val="005A53A6"/>
    <w:rsid w:val="005A6561"/>
    <w:rsid w:val="005B0E94"/>
    <w:rsid w:val="005B4094"/>
    <w:rsid w:val="005B49CE"/>
    <w:rsid w:val="005B4AAF"/>
    <w:rsid w:val="005B5250"/>
    <w:rsid w:val="005B58A0"/>
    <w:rsid w:val="005B5A2F"/>
    <w:rsid w:val="005B6ACF"/>
    <w:rsid w:val="005C1283"/>
    <w:rsid w:val="005C15DC"/>
    <w:rsid w:val="005C225D"/>
    <w:rsid w:val="005C3F2D"/>
    <w:rsid w:val="005C64C2"/>
    <w:rsid w:val="005C6D8D"/>
    <w:rsid w:val="005C7CA2"/>
    <w:rsid w:val="005D0B27"/>
    <w:rsid w:val="005D2031"/>
    <w:rsid w:val="005D2784"/>
    <w:rsid w:val="005D3E38"/>
    <w:rsid w:val="005D4573"/>
    <w:rsid w:val="005D4640"/>
    <w:rsid w:val="005D4F39"/>
    <w:rsid w:val="005D6A44"/>
    <w:rsid w:val="005E07CE"/>
    <w:rsid w:val="005E12EB"/>
    <w:rsid w:val="005E13D0"/>
    <w:rsid w:val="005E42CE"/>
    <w:rsid w:val="005E4F1F"/>
    <w:rsid w:val="005E4FB0"/>
    <w:rsid w:val="005E7597"/>
    <w:rsid w:val="005E7C21"/>
    <w:rsid w:val="005F020D"/>
    <w:rsid w:val="005F0A62"/>
    <w:rsid w:val="005F2A08"/>
    <w:rsid w:val="005F6DAD"/>
    <w:rsid w:val="005F73C0"/>
    <w:rsid w:val="00601782"/>
    <w:rsid w:val="006020A5"/>
    <w:rsid w:val="00602C2B"/>
    <w:rsid w:val="0060341F"/>
    <w:rsid w:val="006044A6"/>
    <w:rsid w:val="00605628"/>
    <w:rsid w:val="00606B2E"/>
    <w:rsid w:val="00606D43"/>
    <w:rsid w:val="00607D4E"/>
    <w:rsid w:val="00610B32"/>
    <w:rsid w:val="006137DA"/>
    <w:rsid w:val="00615781"/>
    <w:rsid w:val="00616AA8"/>
    <w:rsid w:val="006173A5"/>
    <w:rsid w:val="006200E9"/>
    <w:rsid w:val="00623CA6"/>
    <w:rsid w:val="00623D2E"/>
    <w:rsid w:val="00624777"/>
    <w:rsid w:val="00626F92"/>
    <w:rsid w:val="00631A13"/>
    <w:rsid w:val="00633D3A"/>
    <w:rsid w:val="00634AD9"/>
    <w:rsid w:val="006350BD"/>
    <w:rsid w:val="00635D9A"/>
    <w:rsid w:val="006412BF"/>
    <w:rsid w:val="00641725"/>
    <w:rsid w:val="00641CA6"/>
    <w:rsid w:val="00641E0D"/>
    <w:rsid w:val="00642177"/>
    <w:rsid w:val="006424E8"/>
    <w:rsid w:val="00644837"/>
    <w:rsid w:val="00646015"/>
    <w:rsid w:val="00646AA0"/>
    <w:rsid w:val="00647F73"/>
    <w:rsid w:val="006504F5"/>
    <w:rsid w:val="006509FE"/>
    <w:rsid w:val="00650F01"/>
    <w:rsid w:val="0065137D"/>
    <w:rsid w:val="00651F89"/>
    <w:rsid w:val="0065262A"/>
    <w:rsid w:val="00652FB0"/>
    <w:rsid w:val="00653AF0"/>
    <w:rsid w:val="00655F45"/>
    <w:rsid w:val="00657595"/>
    <w:rsid w:val="00657E5F"/>
    <w:rsid w:val="00661301"/>
    <w:rsid w:val="00661EAE"/>
    <w:rsid w:val="006628B2"/>
    <w:rsid w:val="00667380"/>
    <w:rsid w:val="00667448"/>
    <w:rsid w:val="00667B07"/>
    <w:rsid w:val="00671285"/>
    <w:rsid w:val="00671450"/>
    <w:rsid w:val="00671B86"/>
    <w:rsid w:val="00673A46"/>
    <w:rsid w:val="006744B6"/>
    <w:rsid w:val="00674FA7"/>
    <w:rsid w:val="006753E2"/>
    <w:rsid w:val="0067711A"/>
    <w:rsid w:val="006817D9"/>
    <w:rsid w:val="00682301"/>
    <w:rsid w:val="006829AE"/>
    <w:rsid w:val="00684268"/>
    <w:rsid w:val="006845F9"/>
    <w:rsid w:val="00684DB6"/>
    <w:rsid w:val="00685132"/>
    <w:rsid w:val="00685760"/>
    <w:rsid w:val="00685DC6"/>
    <w:rsid w:val="00685E88"/>
    <w:rsid w:val="00686608"/>
    <w:rsid w:val="0068673B"/>
    <w:rsid w:val="00690C31"/>
    <w:rsid w:val="00690ED8"/>
    <w:rsid w:val="00693375"/>
    <w:rsid w:val="00693D29"/>
    <w:rsid w:val="00693FBA"/>
    <w:rsid w:val="006947A1"/>
    <w:rsid w:val="00694B3C"/>
    <w:rsid w:val="00694C67"/>
    <w:rsid w:val="00695611"/>
    <w:rsid w:val="00696B6E"/>
    <w:rsid w:val="00697E9F"/>
    <w:rsid w:val="006A0399"/>
    <w:rsid w:val="006A03CE"/>
    <w:rsid w:val="006A0A92"/>
    <w:rsid w:val="006A2DC1"/>
    <w:rsid w:val="006A4029"/>
    <w:rsid w:val="006B0199"/>
    <w:rsid w:val="006B076A"/>
    <w:rsid w:val="006B2367"/>
    <w:rsid w:val="006B2896"/>
    <w:rsid w:val="006B2E1E"/>
    <w:rsid w:val="006B2EDC"/>
    <w:rsid w:val="006B2F30"/>
    <w:rsid w:val="006B3727"/>
    <w:rsid w:val="006B4953"/>
    <w:rsid w:val="006B56E1"/>
    <w:rsid w:val="006B5E96"/>
    <w:rsid w:val="006B6DC8"/>
    <w:rsid w:val="006C130A"/>
    <w:rsid w:val="006C16D4"/>
    <w:rsid w:val="006C1D76"/>
    <w:rsid w:val="006C2C12"/>
    <w:rsid w:val="006C365B"/>
    <w:rsid w:val="006C407E"/>
    <w:rsid w:val="006C4BF2"/>
    <w:rsid w:val="006C53C0"/>
    <w:rsid w:val="006D0003"/>
    <w:rsid w:val="006D038A"/>
    <w:rsid w:val="006D059E"/>
    <w:rsid w:val="006D477D"/>
    <w:rsid w:val="006D4A6E"/>
    <w:rsid w:val="006D4B41"/>
    <w:rsid w:val="006D50DB"/>
    <w:rsid w:val="006D5523"/>
    <w:rsid w:val="006D6462"/>
    <w:rsid w:val="006D746D"/>
    <w:rsid w:val="006D7C9E"/>
    <w:rsid w:val="006E04DE"/>
    <w:rsid w:val="006E0A8E"/>
    <w:rsid w:val="006E2BC8"/>
    <w:rsid w:val="006E2BCC"/>
    <w:rsid w:val="006E3DDB"/>
    <w:rsid w:val="006E4828"/>
    <w:rsid w:val="006E4C68"/>
    <w:rsid w:val="006E5384"/>
    <w:rsid w:val="006F0B25"/>
    <w:rsid w:val="006F250E"/>
    <w:rsid w:val="006F2E86"/>
    <w:rsid w:val="006F388F"/>
    <w:rsid w:val="006F3912"/>
    <w:rsid w:val="006F3E2C"/>
    <w:rsid w:val="006F5511"/>
    <w:rsid w:val="006F572C"/>
    <w:rsid w:val="006F59D1"/>
    <w:rsid w:val="006F67D0"/>
    <w:rsid w:val="006F74E7"/>
    <w:rsid w:val="00700B19"/>
    <w:rsid w:val="00700DC9"/>
    <w:rsid w:val="00701CDE"/>
    <w:rsid w:val="007021EC"/>
    <w:rsid w:val="00702340"/>
    <w:rsid w:val="0070289B"/>
    <w:rsid w:val="00703C69"/>
    <w:rsid w:val="00704A03"/>
    <w:rsid w:val="00705546"/>
    <w:rsid w:val="00705F79"/>
    <w:rsid w:val="00706AF4"/>
    <w:rsid w:val="007123F5"/>
    <w:rsid w:val="00713CFE"/>
    <w:rsid w:val="00713F11"/>
    <w:rsid w:val="00714BFE"/>
    <w:rsid w:val="00715247"/>
    <w:rsid w:val="0071531C"/>
    <w:rsid w:val="00715D6A"/>
    <w:rsid w:val="00715EFD"/>
    <w:rsid w:val="00716406"/>
    <w:rsid w:val="00716958"/>
    <w:rsid w:val="007203FE"/>
    <w:rsid w:val="00720AF5"/>
    <w:rsid w:val="00720DA4"/>
    <w:rsid w:val="007213BA"/>
    <w:rsid w:val="007226F6"/>
    <w:rsid w:val="00723168"/>
    <w:rsid w:val="00723250"/>
    <w:rsid w:val="00723558"/>
    <w:rsid w:val="007241A3"/>
    <w:rsid w:val="00726117"/>
    <w:rsid w:val="00727A91"/>
    <w:rsid w:val="0073074C"/>
    <w:rsid w:val="00732936"/>
    <w:rsid w:val="00733571"/>
    <w:rsid w:val="00733D0A"/>
    <w:rsid w:val="00733E40"/>
    <w:rsid w:val="00734304"/>
    <w:rsid w:val="007346FF"/>
    <w:rsid w:val="00736264"/>
    <w:rsid w:val="00737C0A"/>
    <w:rsid w:val="007417E6"/>
    <w:rsid w:val="007418AB"/>
    <w:rsid w:val="0074280E"/>
    <w:rsid w:val="007432C5"/>
    <w:rsid w:val="0074336A"/>
    <w:rsid w:val="007434BC"/>
    <w:rsid w:val="00743B01"/>
    <w:rsid w:val="00744D9C"/>
    <w:rsid w:val="007458CD"/>
    <w:rsid w:val="00745C56"/>
    <w:rsid w:val="00745E1C"/>
    <w:rsid w:val="007464BD"/>
    <w:rsid w:val="00750E78"/>
    <w:rsid w:val="00751160"/>
    <w:rsid w:val="00751377"/>
    <w:rsid w:val="00751690"/>
    <w:rsid w:val="00751D23"/>
    <w:rsid w:val="00752751"/>
    <w:rsid w:val="00752993"/>
    <w:rsid w:val="00754922"/>
    <w:rsid w:val="00755B14"/>
    <w:rsid w:val="00755BB0"/>
    <w:rsid w:val="00757525"/>
    <w:rsid w:val="00760AB2"/>
    <w:rsid w:val="00762394"/>
    <w:rsid w:val="0076426E"/>
    <w:rsid w:val="007658C8"/>
    <w:rsid w:val="007665B9"/>
    <w:rsid w:val="007676C5"/>
    <w:rsid w:val="00767ED6"/>
    <w:rsid w:val="0077028F"/>
    <w:rsid w:val="00770531"/>
    <w:rsid w:val="0077152C"/>
    <w:rsid w:val="00772898"/>
    <w:rsid w:val="00773750"/>
    <w:rsid w:val="00773F57"/>
    <w:rsid w:val="00774848"/>
    <w:rsid w:val="007748A8"/>
    <w:rsid w:val="0077517A"/>
    <w:rsid w:val="0077518E"/>
    <w:rsid w:val="00776B6D"/>
    <w:rsid w:val="00777564"/>
    <w:rsid w:val="00777D0B"/>
    <w:rsid w:val="00777D82"/>
    <w:rsid w:val="00781A11"/>
    <w:rsid w:val="00782307"/>
    <w:rsid w:val="00782BE1"/>
    <w:rsid w:val="00783BDA"/>
    <w:rsid w:val="007847E4"/>
    <w:rsid w:val="00784942"/>
    <w:rsid w:val="007869C4"/>
    <w:rsid w:val="00790102"/>
    <w:rsid w:val="0079030E"/>
    <w:rsid w:val="00791168"/>
    <w:rsid w:val="00791188"/>
    <w:rsid w:val="00791A6B"/>
    <w:rsid w:val="00791ED6"/>
    <w:rsid w:val="00793066"/>
    <w:rsid w:val="0079356E"/>
    <w:rsid w:val="00794F5E"/>
    <w:rsid w:val="007951D5"/>
    <w:rsid w:val="007972BE"/>
    <w:rsid w:val="007A00B7"/>
    <w:rsid w:val="007A051E"/>
    <w:rsid w:val="007A094E"/>
    <w:rsid w:val="007A128C"/>
    <w:rsid w:val="007A4B78"/>
    <w:rsid w:val="007A525E"/>
    <w:rsid w:val="007A7BFA"/>
    <w:rsid w:val="007A7EF9"/>
    <w:rsid w:val="007B112E"/>
    <w:rsid w:val="007B212C"/>
    <w:rsid w:val="007B281C"/>
    <w:rsid w:val="007B28F2"/>
    <w:rsid w:val="007B49F7"/>
    <w:rsid w:val="007B53F6"/>
    <w:rsid w:val="007C07E6"/>
    <w:rsid w:val="007C3F34"/>
    <w:rsid w:val="007C4161"/>
    <w:rsid w:val="007C5798"/>
    <w:rsid w:val="007C7179"/>
    <w:rsid w:val="007D0703"/>
    <w:rsid w:val="007D154D"/>
    <w:rsid w:val="007D18E0"/>
    <w:rsid w:val="007D2039"/>
    <w:rsid w:val="007D21EB"/>
    <w:rsid w:val="007D3B97"/>
    <w:rsid w:val="007D637D"/>
    <w:rsid w:val="007D6DF8"/>
    <w:rsid w:val="007E2167"/>
    <w:rsid w:val="007E2CF6"/>
    <w:rsid w:val="007E34C1"/>
    <w:rsid w:val="007E4D70"/>
    <w:rsid w:val="007E5635"/>
    <w:rsid w:val="007E7DBC"/>
    <w:rsid w:val="007F0036"/>
    <w:rsid w:val="007F028D"/>
    <w:rsid w:val="007F0C9F"/>
    <w:rsid w:val="007F1E42"/>
    <w:rsid w:val="007F22C0"/>
    <w:rsid w:val="007F23F3"/>
    <w:rsid w:val="007F248B"/>
    <w:rsid w:val="007F2C48"/>
    <w:rsid w:val="007F2F75"/>
    <w:rsid w:val="007F3FEF"/>
    <w:rsid w:val="007F47D9"/>
    <w:rsid w:val="007F61B5"/>
    <w:rsid w:val="007F6AE7"/>
    <w:rsid w:val="007F6C75"/>
    <w:rsid w:val="00801B3B"/>
    <w:rsid w:val="0080203A"/>
    <w:rsid w:val="00802768"/>
    <w:rsid w:val="00802F99"/>
    <w:rsid w:val="00803031"/>
    <w:rsid w:val="008052EE"/>
    <w:rsid w:val="00810180"/>
    <w:rsid w:val="00810744"/>
    <w:rsid w:val="00812540"/>
    <w:rsid w:val="0081357F"/>
    <w:rsid w:val="0081400C"/>
    <w:rsid w:val="00815EF7"/>
    <w:rsid w:val="0082265E"/>
    <w:rsid w:val="008264BC"/>
    <w:rsid w:val="00826995"/>
    <w:rsid w:val="00826C74"/>
    <w:rsid w:val="00831400"/>
    <w:rsid w:val="00832584"/>
    <w:rsid w:val="00832BE7"/>
    <w:rsid w:val="00832E4F"/>
    <w:rsid w:val="00833005"/>
    <w:rsid w:val="00835152"/>
    <w:rsid w:val="00835464"/>
    <w:rsid w:val="00835FFD"/>
    <w:rsid w:val="008368F1"/>
    <w:rsid w:val="008369B4"/>
    <w:rsid w:val="00837A59"/>
    <w:rsid w:val="00837D91"/>
    <w:rsid w:val="00840D30"/>
    <w:rsid w:val="00841079"/>
    <w:rsid w:val="00841BB1"/>
    <w:rsid w:val="00841ED6"/>
    <w:rsid w:val="00844C6E"/>
    <w:rsid w:val="00845852"/>
    <w:rsid w:val="00845B6E"/>
    <w:rsid w:val="00845D5C"/>
    <w:rsid w:val="008462EB"/>
    <w:rsid w:val="008470BB"/>
    <w:rsid w:val="00847465"/>
    <w:rsid w:val="00847893"/>
    <w:rsid w:val="00851234"/>
    <w:rsid w:val="008513E1"/>
    <w:rsid w:val="0085159C"/>
    <w:rsid w:val="00852D87"/>
    <w:rsid w:val="00852ECD"/>
    <w:rsid w:val="00853504"/>
    <w:rsid w:val="00853715"/>
    <w:rsid w:val="00854E76"/>
    <w:rsid w:val="00855129"/>
    <w:rsid w:val="008573A1"/>
    <w:rsid w:val="0086101B"/>
    <w:rsid w:val="00861C40"/>
    <w:rsid w:val="00863343"/>
    <w:rsid w:val="008639AC"/>
    <w:rsid w:val="0086466A"/>
    <w:rsid w:val="00864CCB"/>
    <w:rsid w:val="00867791"/>
    <w:rsid w:val="00867792"/>
    <w:rsid w:val="00871CB8"/>
    <w:rsid w:val="00872238"/>
    <w:rsid w:val="0087381C"/>
    <w:rsid w:val="00875D0B"/>
    <w:rsid w:val="00875D8C"/>
    <w:rsid w:val="00876524"/>
    <w:rsid w:val="0088075A"/>
    <w:rsid w:val="008807E9"/>
    <w:rsid w:val="00880909"/>
    <w:rsid w:val="008829FE"/>
    <w:rsid w:val="008848C4"/>
    <w:rsid w:val="00884C29"/>
    <w:rsid w:val="00886824"/>
    <w:rsid w:val="00886A0B"/>
    <w:rsid w:val="008909DC"/>
    <w:rsid w:val="0089166D"/>
    <w:rsid w:val="0089669E"/>
    <w:rsid w:val="00897E9C"/>
    <w:rsid w:val="008A0BFC"/>
    <w:rsid w:val="008A138D"/>
    <w:rsid w:val="008A1AD7"/>
    <w:rsid w:val="008A456C"/>
    <w:rsid w:val="008A4812"/>
    <w:rsid w:val="008A4F30"/>
    <w:rsid w:val="008A6354"/>
    <w:rsid w:val="008A723C"/>
    <w:rsid w:val="008A7C12"/>
    <w:rsid w:val="008B0583"/>
    <w:rsid w:val="008B3678"/>
    <w:rsid w:val="008B47EA"/>
    <w:rsid w:val="008B4AE5"/>
    <w:rsid w:val="008B50F8"/>
    <w:rsid w:val="008B5F3A"/>
    <w:rsid w:val="008B6484"/>
    <w:rsid w:val="008C0414"/>
    <w:rsid w:val="008C1C38"/>
    <w:rsid w:val="008C1D4D"/>
    <w:rsid w:val="008C2CA9"/>
    <w:rsid w:val="008C3036"/>
    <w:rsid w:val="008C44F5"/>
    <w:rsid w:val="008C44FF"/>
    <w:rsid w:val="008C554A"/>
    <w:rsid w:val="008C560F"/>
    <w:rsid w:val="008C59EB"/>
    <w:rsid w:val="008C67FC"/>
    <w:rsid w:val="008C6D71"/>
    <w:rsid w:val="008D2253"/>
    <w:rsid w:val="008D2929"/>
    <w:rsid w:val="008D3134"/>
    <w:rsid w:val="008D3CB7"/>
    <w:rsid w:val="008D3E99"/>
    <w:rsid w:val="008D4741"/>
    <w:rsid w:val="008D579F"/>
    <w:rsid w:val="008D6833"/>
    <w:rsid w:val="008D7CD0"/>
    <w:rsid w:val="008E1B2E"/>
    <w:rsid w:val="008E2097"/>
    <w:rsid w:val="008E274F"/>
    <w:rsid w:val="008E2DE9"/>
    <w:rsid w:val="008E51C2"/>
    <w:rsid w:val="008E6758"/>
    <w:rsid w:val="008F29D0"/>
    <w:rsid w:val="008F4268"/>
    <w:rsid w:val="008F472C"/>
    <w:rsid w:val="008F5A5D"/>
    <w:rsid w:val="008F628C"/>
    <w:rsid w:val="008F7894"/>
    <w:rsid w:val="00900045"/>
    <w:rsid w:val="00900085"/>
    <w:rsid w:val="009005A9"/>
    <w:rsid w:val="00900722"/>
    <w:rsid w:val="009011FF"/>
    <w:rsid w:val="009032FA"/>
    <w:rsid w:val="009039DC"/>
    <w:rsid w:val="00904D5E"/>
    <w:rsid w:val="009100E2"/>
    <w:rsid w:val="00911BE5"/>
    <w:rsid w:val="00913815"/>
    <w:rsid w:val="00915C85"/>
    <w:rsid w:val="009207C5"/>
    <w:rsid w:val="009228C4"/>
    <w:rsid w:val="00922FAA"/>
    <w:rsid w:val="00923B7D"/>
    <w:rsid w:val="00924E30"/>
    <w:rsid w:val="00924EEA"/>
    <w:rsid w:val="009252E5"/>
    <w:rsid w:val="00926E36"/>
    <w:rsid w:val="00930142"/>
    <w:rsid w:val="00935688"/>
    <w:rsid w:val="009367B4"/>
    <w:rsid w:val="00936A55"/>
    <w:rsid w:val="00940E1F"/>
    <w:rsid w:val="0094137E"/>
    <w:rsid w:val="0094246C"/>
    <w:rsid w:val="0094279E"/>
    <w:rsid w:val="009435BC"/>
    <w:rsid w:val="0094398F"/>
    <w:rsid w:val="00946693"/>
    <w:rsid w:val="0094750F"/>
    <w:rsid w:val="00947F37"/>
    <w:rsid w:val="00950E8D"/>
    <w:rsid w:val="00956A08"/>
    <w:rsid w:val="00956CE8"/>
    <w:rsid w:val="00960DCB"/>
    <w:rsid w:val="0096252D"/>
    <w:rsid w:val="00963798"/>
    <w:rsid w:val="00966BA0"/>
    <w:rsid w:val="0096703D"/>
    <w:rsid w:val="00967320"/>
    <w:rsid w:val="0096750F"/>
    <w:rsid w:val="0096774E"/>
    <w:rsid w:val="009715F8"/>
    <w:rsid w:val="00972E30"/>
    <w:rsid w:val="00973212"/>
    <w:rsid w:val="0097335D"/>
    <w:rsid w:val="00973551"/>
    <w:rsid w:val="00973854"/>
    <w:rsid w:val="009742E3"/>
    <w:rsid w:val="00975A2A"/>
    <w:rsid w:val="00975A58"/>
    <w:rsid w:val="00977577"/>
    <w:rsid w:val="00980226"/>
    <w:rsid w:val="00980C7C"/>
    <w:rsid w:val="00981DA4"/>
    <w:rsid w:val="00983FB9"/>
    <w:rsid w:val="009844E5"/>
    <w:rsid w:val="0098529A"/>
    <w:rsid w:val="00986060"/>
    <w:rsid w:val="00986744"/>
    <w:rsid w:val="009868B1"/>
    <w:rsid w:val="00986CBF"/>
    <w:rsid w:val="009908FD"/>
    <w:rsid w:val="00990E9A"/>
    <w:rsid w:val="0099292C"/>
    <w:rsid w:val="0099684C"/>
    <w:rsid w:val="00996B0E"/>
    <w:rsid w:val="0099703D"/>
    <w:rsid w:val="009973E6"/>
    <w:rsid w:val="009A0319"/>
    <w:rsid w:val="009A1EC7"/>
    <w:rsid w:val="009A30C9"/>
    <w:rsid w:val="009A311B"/>
    <w:rsid w:val="009A3C3E"/>
    <w:rsid w:val="009A3C59"/>
    <w:rsid w:val="009A4435"/>
    <w:rsid w:val="009A5B05"/>
    <w:rsid w:val="009A76AF"/>
    <w:rsid w:val="009A7D8B"/>
    <w:rsid w:val="009B0041"/>
    <w:rsid w:val="009B0251"/>
    <w:rsid w:val="009B0712"/>
    <w:rsid w:val="009B1C9B"/>
    <w:rsid w:val="009B438F"/>
    <w:rsid w:val="009B4903"/>
    <w:rsid w:val="009B5116"/>
    <w:rsid w:val="009B54B2"/>
    <w:rsid w:val="009B5508"/>
    <w:rsid w:val="009B7DEA"/>
    <w:rsid w:val="009C0B92"/>
    <w:rsid w:val="009C0CBA"/>
    <w:rsid w:val="009C1125"/>
    <w:rsid w:val="009C1C48"/>
    <w:rsid w:val="009C2258"/>
    <w:rsid w:val="009C2F83"/>
    <w:rsid w:val="009C3921"/>
    <w:rsid w:val="009C3B8B"/>
    <w:rsid w:val="009C42EE"/>
    <w:rsid w:val="009C4D68"/>
    <w:rsid w:val="009C5AD2"/>
    <w:rsid w:val="009C627A"/>
    <w:rsid w:val="009C6E71"/>
    <w:rsid w:val="009C7D46"/>
    <w:rsid w:val="009D3D6C"/>
    <w:rsid w:val="009E0657"/>
    <w:rsid w:val="009E199B"/>
    <w:rsid w:val="009E1B36"/>
    <w:rsid w:val="009E2180"/>
    <w:rsid w:val="009E2B2F"/>
    <w:rsid w:val="009E3648"/>
    <w:rsid w:val="009E58FF"/>
    <w:rsid w:val="009E7B8D"/>
    <w:rsid w:val="009F252B"/>
    <w:rsid w:val="009F2CEA"/>
    <w:rsid w:val="009F494B"/>
    <w:rsid w:val="009F4BF2"/>
    <w:rsid w:val="009F5AA4"/>
    <w:rsid w:val="009F5BF0"/>
    <w:rsid w:val="009F66F9"/>
    <w:rsid w:val="009F6E14"/>
    <w:rsid w:val="00A019F5"/>
    <w:rsid w:val="00A01DF8"/>
    <w:rsid w:val="00A03C6F"/>
    <w:rsid w:val="00A03E50"/>
    <w:rsid w:val="00A04D1B"/>
    <w:rsid w:val="00A06048"/>
    <w:rsid w:val="00A060AA"/>
    <w:rsid w:val="00A07348"/>
    <w:rsid w:val="00A102F9"/>
    <w:rsid w:val="00A104A9"/>
    <w:rsid w:val="00A11030"/>
    <w:rsid w:val="00A14A3A"/>
    <w:rsid w:val="00A14DC1"/>
    <w:rsid w:val="00A164CC"/>
    <w:rsid w:val="00A16E9D"/>
    <w:rsid w:val="00A179DA"/>
    <w:rsid w:val="00A204EA"/>
    <w:rsid w:val="00A21177"/>
    <w:rsid w:val="00A21FB0"/>
    <w:rsid w:val="00A228D4"/>
    <w:rsid w:val="00A24D18"/>
    <w:rsid w:val="00A24E20"/>
    <w:rsid w:val="00A25918"/>
    <w:rsid w:val="00A27324"/>
    <w:rsid w:val="00A27A17"/>
    <w:rsid w:val="00A330D7"/>
    <w:rsid w:val="00A34018"/>
    <w:rsid w:val="00A35625"/>
    <w:rsid w:val="00A366F4"/>
    <w:rsid w:val="00A36774"/>
    <w:rsid w:val="00A4554C"/>
    <w:rsid w:val="00A4619D"/>
    <w:rsid w:val="00A50666"/>
    <w:rsid w:val="00A51199"/>
    <w:rsid w:val="00A51B88"/>
    <w:rsid w:val="00A52566"/>
    <w:rsid w:val="00A52A4D"/>
    <w:rsid w:val="00A545FF"/>
    <w:rsid w:val="00A549AD"/>
    <w:rsid w:val="00A54BAB"/>
    <w:rsid w:val="00A5532F"/>
    <w:rsid w:val="00A61FD8"/>
    <w:rsid w:val="00A63878"/>
    <w:rsid w:val="00A63A01"/>
    <w:rsid w:val="00A65C4F"/>
    <w:rsid w:val="00A65EBC"/>
    <w:rsid w:val="00A66FCD"/>
    <w:rsid w:val="00A7420C"/>
    <w:rsid w:val="00A7542E"/>
    <w:rsid w:val="00A7564E"/>
    <w:rsid w:val="00A77E3A"/>
    <w:rsid w:val="00A80820"/>
    <w:rsid w:val="00A820E3"/>
    <w:rsid w:val="00A82A65"/>
    <w:rsid w:val="00A84526"/>
    <w:rsid w:val="00A84A5A"/>
    <w:rsid w:val="00A862FB"/>
    <w:rsid w:val="00A911FD"/>
    <w:rsid w:val="00A91931"/>
    <w:rsid w:val="00A926DF"/>
    <w:rsid w:val="00A93AEA"/>
    <w:rsid w:val="00A96E0B"/>
    <w:rsid w:val="00A97925"/>
    <w:rsid w:val="00AA0D94"/>
    <w:rsid w:val="00AB181F"/>
    <w:rsid w:val="00AB22E3"/>
    <w:rsid w:val="00AB38CD"/>
    <w:rsid w:val="00AB49FA"/>
    <w:rsid w:val="00AB4BDE"/>
    <w:rsid w:val="00AB795C"/>
    <w:rsid w:val="00AC2889"/>
    <w:rsid w:val="00AC41F6"/>
    <w:rsid w:val="00AC525F"/>
    <w:rsid w:val="00AC5968"/>
    <w:rsid w:val="00AC6474"/>
    <w:rsid w:val="00AC67BD"/>
    <w:rsid w:val="00AC697F"/>
    <w:rsid w:val="00AC73BD"/>
    <w:rsid w:val="00AC7D8D"/>
    <w:rsid w:val="00AD0012"/>
    <w:rsid w:val="00AD1812"/>
    <w:rsid w:val="00AD24ED"/>
    <w:rsid w:val="00AD2513"/>
    <w:rsid w:val="00AD344D"/>
    <w:rsid w:val="00AD55C1"/>
    <w:rsid w:val="00AD5B47"/>
    <w:rsid w:val="00AD7AC0"/>
    <w:rsid w:val="00AE3549"/>
    <w:rsid w:val="00AE468F"/>
    <w:rsid w:val="00AE483D"/>
    <w:rsid w:val="00AE5107"/>
    <w:rsid w:val="00AE6035"/>
    <w:rsid w:val="00AE6943"/>
    <w:rsid w:val="00AE729D"/>
    <w:rsid w:val="00AF4884"/>
    <w:rsid w:val="00AF60A3"/>
    <w:rsid w:val="00AF637A"/>
    <w:rsid w:val="00AF672E"/>
    <w:rsid w:val="00AF6FF3"/>
    <w:rsid w:val="00AF7C6F"/>
    <w:rsid w:val="00B005F1"/>
    <w:rsid w:val="00B0081A"/>
    <w:rsid w:val="00B01634"/>
    <w:rsid w:val="00B0221D"/>
    <w:rsid w:val="00B045AC"/>
    <w:rsid w:val="00B04C32"/>
    <w:rsid w:val="00B053AF"/>
    <w:rsid w:val="00B05EC2"/>
    <w:rsid w:val="00B103CF"/>
    <w:rsid w:val="00B10C52"/>
    <w:rsid w:val="00B11F65"/>
    <w:rsid w:val="00B13035"/>
    <w:rsid w:val="00B13E4C"/>
    <w:rsid w:val="00B163B1"/>
    <w:rsid w:val="00B176B6"/>
    <w:rsid w:val="00B17D0E"/>
    <w:rsid w:val="00B20DD5"/>
    <w:rsid w:val="00B21CA9"/>
    <w:rsid w:val="00B2422A"/>
    <w:rsid w:val="00B24BBE"/>
    <w:rsid w:val="00B24D63"/>
    <w:rsid w:val="00B2659E"/>
    <w:rsid w:val="00B26D79"/>
    <w:rsid w:val="00B2713A"/>
    <w:rsid w:val="00B27A4A"/>
    <w:rsid w:val="00B31054"/>
    <w:rsid w:val="00B31404"/>
    <w:rsid w:val="00B31852"/>
    <w:rsid w:val="00B31BF7"/>
    <w:rsid w:val="00B31D61"/>
    <w:rsid w:val="00B31D64"/>
    <w:rsid w:val="00B322DD"/>
    <w:rsid w:val="00B350DD"/>
    <w:rsid w:val="00B403B3"/>
    <w:rsid w:val="00B41D04"/>
    <w:rsid w:val="00B43CA3"/>
    <w:rsid w:val="00B4407B"/>
    <w:rsid w:val="00B50969"/>
    <w:rsid w:val="00B515B8"/>
    <w:rsid w:val="00B52889"/>
    <w:rsid w:val="00B53D5B"/>
    <w:rsid w:val="00B53D94"/>
    <w:rsid w:val="00B5405F"/>
    <w:rsid w:val="00B54475"/>
    <w:rsid w:val="00B558A8"/>
    <w:rsid w:val="00B6079C"/>
    <w:rsid w:val="00B60A5B"/>
    <w:rsid w:val="00B616B1"/>
    <w:rsid w:val="00B616F4"/>
    <w:rsid w:val="00B633D3"/>
    <w:rsid w:val="00B65D2C"/>
    <w:rsid w:val="00B666E8"/>
    <w:rsid w:val="00B7059C"/>
    <w:rsid w:val="00B71825"/>
    <w:rsid w:val="00B720E8"/>
    <w:rsid w:val="00B72CDF"/>
    <w:rsid w:val="00B73C79"/>
    <w:rsid w:val="00B74360"/>
    <w:rsid w:val="00B744CB"/>
    <w:rsid w:val="00B759A3"/>
    <w:rsid w:val="00B75AFB"/>
    <w:rsid w:val="00B776CA"/>
    <w:rsid w:val="00B808C9"/>
    <w:rsid w:val="00B80AF7"/>
    <w:rsid w:val="00B81234"/>
    <w:rsid w:val="00B81BC9"/>
    <w:rsid w:val="00B82303"/>
    <w:rsid w:val="00B82C87"/>
    <w:rsid w:val="00B83177"/>
    <w:rsid w:val="00B835A1"/>
    <w:rsid w:val="00B83EE4"/>
    <w:rsid w:val="00B852E4"/>
    <w:rsid w:val="00B86057"/>
    <w:rsid w:val="00B86BF9"/>
    <w:rsid w:val="00B86DB5"/>
    <w:rsid w:val="00B8748D"/>
    <w:rsid w:val="00B87741"/>
    <w:rsid w:val="00B90CC7"/>
    <w:rsid w:val="00B916FB"/>
    <w:rsid w:val="00B96D36"/>
    <w:rsid w:val="00BA254D"/>
    <w:rsid w:val="00BA2B83"/>
    <w:rsid w:val="00BA32C6"/>
    <w:rsid w:val="00BA32DE"/>
    <w:rsid w:val="00BA35A7"/>
    <w:rsid w:val="00BA45B1"/>
    <w:rsid w:val="00BA7407"/>
    <w:rsid w:val="00BA7DB3"/>
    <w:rsid w:val="00BB22C3"/>
    <w:rsid w:val="00BB2D53"/>
    <w:rsid w:val="00BB55C7"/>
    <w:rsid w:val="00BB56BE"/>
    <w:rsid w:val="00BB5817"/>
    <w:rsid w:val="00BB6DA9"/>
    <w:rsid w:val="00BB7722"/>
    <w:rsid w:val="00BC01B0"/>
    <w:rsid w:val="00BC1D62"/>
    <w:rsid w:val="00BC23A9"/>
    <w:rsid w:val="00BC3F11"/>
    <w:rsid w:val="00BC45D0"/>
    <w:rsid w:val="00BC670C"/>
    <w:rsid w:val="00BC7145"/>
    <w:rsid w:val="00BD0282"/>
    <w:rsid w:val="00BD1054"/>
    <w:rsid w:val="00BD12B7"/>
    <w:rsid w:val="00BD1350"/>
    <w:rsid w:val="00BD2492"/>
    <w:rsid w:val="00BD355B"/>
    <w:rsid w:val="00BD43F2"/>
    <w:rsid w:val="00BD4F6B"/>
    <w:rsid w:val="00BD7342"/>
    <w:rsid w:val="00BE133F"/>
    <w:rsid w:val="00BE1FCD"/>
    <w:rsid w:val="00BE3100"/>
    <w:rsid w:val="00BE51DD"/>
    <w:rsid w:val="00BE6987"/>
    <w:rsid w:val="00BE6BC4"/>
    <w:rsid w:val="00BE7F20"/>
    <w:rsid w:val="00BF048C"/>
    <w:rsid w:val="00BF23A0"/>
    <w:rsid w:val="00BF4942"/>
    <w:rsid w:val="00BF4BE7"/>
    <w:rsid w:val="00BF65CE"/>
    <w:rsid w:val="00BF66E4"/>
    <w:rsid w:val="00C00F5B"/>
    <w:rsid w:val="00C02877"/>
    <w:rsid w:val="00C0494C"/>
    <w:rsid w:val="00C0560D"/>
    <w:rsid w:val="00C05A27"/>
    <w:rsid w:val="00C06197"/>
    <w:rsid w:val="00C0655C"/>
    <w:rsid w:val="00C066AF"/>
    <w:rsid w:val="00C0728C"/>
    <w:rsid w:val="00C124BD"/>
    <w:rsid w:val="00C14C65"/>
    <w:rsid w:val="00C14DE2"/>
    <w:rsid w:val="00C16D75"/>
    <w:rsid w:val="00C21681"/>
    <w:rsid w:val="00C219A8"/>
    <w:rsid w:val="00C227E9"/>
    <w:rsid w:val="00C23C15"/>
    <w:rsid w:val="00C24756"/>
    <w:rsid w:val="00C26FA0"/>
    <w:rsid w:val="00C27FB7"/>
    <w:rsid w:val="00C306A3"/>
    <w:rsid w:val="00C31B03"/>
    <w:rsid w:val="00C32A06"/>
    <w:rsid w:val="00C33633"/>
    <w:rsid w:val="00C33D08"/>
    <w:rsid w:val="00C343C6"/>
    <w:rsid w:val="00C34E1E"/>
    <w:rsid w:val="00C3525C"/>
    <w:rsid w:val="00C35707"/>
    <w:rsid w:val="00C37455"/>
    <w:rsid w:val="00C3794A"/>
    <w:rsid w:val="00C415FA"/>
    <w:rsid w:val="00C424A9"/>
    <w:rsid w:val="00C42942"/>
    <w:rsid w:val="00C43AF4"/>
    <w:rsid w:val="00C44E8F"/>
    <w:rsid w:val="00C47300"/>
    <w:rsid w:val="00C47BEB"/>
    <w:rsid w:val="00C5079A"/>
    <w:rsid w:val="00C50AB3"/>
    <w:rsid w:val="00C5760A"/>
    <w:rsid w:val="00C62D23"/>
    <w:rsid w:val="00C65AC1"/>
    <w:rsid w:val="00C65BE1"/>
    <w:rsid w:val="00C65F19"/>
    <w:rsid w:val="00C66A41"/>
    <w:rsid w:val="00C67144"/>
    <w:rsid w:val="00C6772E"/>
    <w:rsid w:val="00C67F86"/>
    <w:rsid w:val="00C705B1"/>
    <w:rsid w:val="00C723BD"/>
    <w:rsid w:val="00C7422C"/>
    <w:rsid w:val="00C75B85"/>
    <w:rsid w:val="00C76426"/>
    <w:rsid w:val="00C769C5"/>
    <w:rsid w:val="00C76D5B"/>
    <w:rsid w:val="00C76EDA"/>
    <w:rsid w:val="00C81276"/>
    <w:rsid w:val="00C823E0"/>
    <w:rsid w:val="00C82B73"/>
    <w:rsid w:val="00C84343"/>
    <w:rsid w:val="00C853C4"/>
    <w:rsid w:val="00C859D1"/>
    <w:rsid w:val="00C86E58"/>
    <w:rsid w:val="00C9010E"/>
    <w:rsid w:val="00C903A1"/>
    <w:rsid w:val="00C932F9"/>
    <w:rsid w:val="00C93EBC"/>
    <w:rsid w:val="00C94E0E"/>
    <w:rsid w:val="00C94E18"/>
    <w:rsid w:val="00C9576B"/>
    <w:rsid w:val="00C96892"/>
    <w:rsid w:val="00C9750A"/>
    <w:rsid w:val="00CA1D33"/>
    <w:rsid w:val="00CA223F"/>
    <w:rsid w:val="00CA3CF7"/>
    <w:rsid w:val="00CA4623"/>
    <w:rsid w:val="00CA4D23"/>
    <w:rsid w:val="00CA52E2"/>
    <w:rsid w:val="00CA785C"/>
    <w:rsid w:val="00CA7AD5"/>
    <w:rsid w:val="00CB1435"/>
    <w:rsid w:val="00CB1834"/>
    <w:rsid w:val="00CB1C77"/>
    <w:rsid w:val="00CB3EB5"/>
    <w:rsid w:val="00CB53DC"/>
    <w:rsid w:val="00CB56EC"/>
    <w:rsid w:val="00CB663A"/>
    <w:rsid w:val="00CB6B7B"/>
    <w:rsid w:val="00CB7B11"/>
    <w:rsid w:val="00CC0BAD"/>
    <w:rsid w:val="00CC184B"/>
    <w:rsid w:val="00CC1F6B"/>
    <w:rsid w:val="00CC36DC"/>
    <w:rsid w:val="00CC375E"/>
    <w:rsid w:val="00CC5845"/>
    <w:rsid w:val="00CC5FB6"/>
    <w:rsid w:val="00CC7C60"/>
    <w:rsid w:val="00CD185B"/>
    <w:rsid w:val="00CD1FB0"/>
    <w:rsid w:val="00CD233E"/>
    <w:rsid w:val="00CD2BBD"/>
    <w:rsid w:val="00CD2FF5"/>
    <w:rsid w:val="00CD3674"/>
    <w:rsid w:val="00CD3AE4"/>
    <w:rsid w:val="00CD3E98"/>
    <w:rsid w:val="00CD58D4"/>
    <w:rsid w:val="00CD7030"/>
    <w:rsid w:val="00CD7C60"/>
    <w:rsid w:val="00CE0A33"/>
    <w:rsid w:val="00CE0D3B"/>
    <w:rsid w:val="00CE13A4"/>
    <w:rsid w:val="00CE1F07"/>
    <w:rsid w:val="00CE2D88"/>
    <w:rsid w:val="00CE3D68"/>
    <w:rsid w:val="00CE4796"/>
    <w:rsid w:val="00CE4ABD"/>
    <w:rsid w:val="00CF02B9"/>
    <w:rsid w:val="00CF0F51"/>
    <w:rsid w:val="00CF105D"/>
    <w:rsid w:val="00CF1765"/>
    <w:rsid w:val="00CF210D"/>
    <w:rsid w:val="00CF2C6E"/>
    <w:rsid w:val="00CF2F4A"/>
    <w:rsid w:val="00CF3156"/>
    <w:rsid w:val="00CF3D7C"/>
    <w:rsid w:val="00CF64B2"/>
    <w:rsid w:val="00D01C51"/>
    <w:rsid w:val="00D02021"/>
    <w:rsid w:val="00D028CB"/>
    <w:rsid w:val="00D02EEF"/>
    <w:rsid w:val="00D03332"/>
    <w:rsid w:val="00D03B85"/>
    <w:rsid w:val="00D03BFC"/>
    <w:rsid w:val="00D040F4"/>
    <w:rsid w:val="00D05ADB"/>
    <w:rsid w:val="00D104B8"/>
    <w:rsid w:val="00D1070F"/>
    <w:rsid w:val="00D10C81"/>
    <w:rsid w:val="00D13060"/>
    <w:rsid w:val="00D143E3"/>
    <w:rsid w:val="00D14632"/>
    <w:rsid w:val="00D15BD3"/>
    <w:rsid w:val="00D167CC"/>
    <w:rsid w:val="00D1702D"/>
    <w:rsid w:val="00D17100"/>
    <w:rsid w:val="00D17499"/>
    <w:rsid w:val="00D20094"/>
    <w:rsid w:val="00D205CB"/>
    <w:rsid w:val="00D207BB"/>
    <w:rsid w:val="00D20E5D"/>
    <w:rsid w:val="00D20EF5"/>
    <w:rsid w:val="00D20F0C"/>
    <w:rsid w:val="00D21697"/>
    <w:rsid w:val="00D21D0E"/>
    <w:rsid w:val="00D2247A"/>
    <w:rsid w:val="00D2454A"/>
    <w:rsid w:val="00D248F3"/>
    <w:rsid w:val="00D26A00"/>
    <w:rsid w:val="00D26EAA"/>
    <w:rsid w:val="00D27819"/>
    <w:rsid w:val="00D3000F"/>
    <w:rsid w:val="00D32147"/>
    <w:rsid w:val="00D3287B"/>
    <w:rsid w:val="00D32A37"/>
    <w:rsid w:val="00D33047"/>
    <w:rsid w:val="00D33E98"/>
    <w:rsid w:val="00D34802"/>
    <w:rsid w:val="00D37933"/>
    <w:rsid w:val="00D37F68"/>
    <w:rsid w:val="00D4252A"/>
    <w:rsid w:val="00D42EF1"/>
    <w:rsid w:val="00D4304D"/>
    <w:rsid w:val="00D43D43"/>
    <w:rsid w:val="00D44A51"/>
    <w:rsid w:val="00D4547F"/>
    <w:rsid w:val="00D46A81"/>
    <w:rsid w:val="00D46D70"/>
    <w:rsid w:val="00D5259E"/>
    <w:rsid w:val="00D54FB2"/>
    <w:rsid w:val="00D5536A"/>
    <w:rsid w:val="00D60EB4"/>
    <w:rsid w:val="00D61980"/>
    <w:rsid w:val="00D62077"/>
    <w:rsid w:val="00D63406"/>
    <w:rsid w:val="00D6627C"/>
    <w:rsid w:val="00D66B63"/>
    <w:rsid w:val="00D66EB8"/>
    <w:rsid w:val="00D70AFD"/>
    <w:rsid w:val="00D718BB"/>
    <w:rsid w:val="00D741D9"/>
    <w:rsid w:val="00D7427F"/>
    <w:rsid w:val="00D75E23"/>
    <w:rsid w:val="00D763BE"/>
    <w:rsid w:val="00D77C7A"/>
    <w:rsid w:val="00D83046"/>
    <w:rsid w:val="00D83AAF"/>
    <w:rsid w:val="00D848F3"/>
    <w:rsid w:val="00D84E7F"/>
    <w:rsid w:val="00D85CF5"/>
    <w:rsid w:val="00D85F65"/>
    <w:rsid w:val="00D866EC"/>
    <w:rsid w:val="00D91075"/>
    <w:rsid w:val="00D910F2"/>
    <w:rsid w:val="00D91650"/>
    <w:rsid w:val="00D9215F"/>
    <w:rsid w:val="00D923B1"/>
    <w:rsid w:val="00D93296"/>
    <w:rsid w:val="00D9451A"/>
    <w:rsid w:val="00D94A47"/>
    <w:rsid w:val="00D95A47"/>
    <w:rsid w:val="00D97017"/>
    <w:rsid w:val="00DA2B9B"/>
    <w:rsid w:val="00DA31FD"/>
    <w:rsid w:val="00DA3AE2"/>
    <w:rsid w:val="00DA5AC8"/>
    <w:rsid w:val="00DB1C89"/>
    <w:rsid w:val="00DB1FD9"/>
    <w:rsid w:val="00DB2F2F"/>
    <w:rsid w:val="00DB3BC5"/>
    <w:rsid w:val="00DB4015"/>
    <w:rsid w:val="00DB4515"/>
    <w:rsid w:val="00DB544F"/>
    <w:rsid w:val="00DC000E"/>
    <w:rsid w:val="00DC0ECB"/>
    <w:rsid w:val="00DC1D60"/>
    <w:rsid w:val="00DC2611"/>
    <w:rsid w:val="00DC4E02"/>
    <w:rsid w:val="00DC779D"/>
    <w:rsid w:val="00DD00B8"/>
    <w:rsid w:val="00DD08AE"/>
    <w:rsid w:val="00DD142D"/>
    <w:rsid w:val="00DD163E"/>
    <w:rsid w:val="00DD292F"/>
    <w:rsid w:val="00DD35DC"/>
    <w:rsid w:val="00DD468A"/>
    <w:rsid w:val="00DE1320"/>
    <w:rsid w:val="00DE1451"/>
    <w:rsid w:val="00DE3840"/>
    <w:rsid w:val="00DE4349"/>
    <w:rsid w:val="00DE53D9"/>
    <w:rsid w:val="00DE586A"/>
    <w:rsid w:val="00DE5A3D"/>
    <w:rsid w:val="00DE5D24"/>
    <w:rsid w:val="00DE6BB1"/>
    <w:rsid w:val="00DF07C3"/>
    <w:rsid w:val="00DF1337"/>
    <w:rsid w:val="00DF1CC8"/>
    <w:rsid w:val="00DF256A"/>
    <w:rsid w:val="00DF277D"/>
    <w:rsid w:val="00DF3175"/>
    <w:rsid w:val="00DF61C0"/>
    <w:rsid w:val="00DF679C"/>
    <w:rsid w:val="00DF745C"/>
    <w:rsid w:val="00DF78B3"/>
    <w:rsid w:val="00E00BEF"/>
    <w:rsid w:val="00E03D83"/>
    <w:rsid w:val="00E05346"/>
    <w:rsid w:val="00E07EFD"/>
    <w:rsid w:val="00E10CAF"/>
    <w:rsid w:val="00E119C9"/>
    <w:rsid w:val="00E11E41"/>
    <w:rsid w:val="00E13B7E"/>
    <w:rsid w:val="00E13F1E"/>
    <w:rsid w:val="00E140AD"/>
    <w:rsid w:val="00E15D2A"/>
    <w:rsid w:val="00E15F2A"/>
    <w:rsid w:val="00E16795"/>
    <w:rsid w:val="00E167F2"/>
    <w:rsid w:val="00E2067E"/>
    <w:rsid w:val="00E2074C"/>
    <w:rsid w:val="00E2137D"/>
    <w:rsid w:val="00E21CDB"/>
    <w:rsid w:val="00E2319A"/>
    <w:rsid w:val="00E233A0"/>
    <w:rsid w:val="00E24609"/>
    <w:rsid w:val="00E2475E"/>
    <w:rsid w:val="00E25F1A"/>
    <w:rsid w:val="00E26988"/>
    <w:rsid w:val="00E27466"/>
    <w:rsid w:val="00E30D05"/>
    <w:rsid w:val="00E30E7B"/>
    <w:rsid w:val="00E30F3B"/>
    <w:rsid w:val="00E311E0"/>
    <w:rsid w:val="00E31252"/>
    <w:rsid w:val="00E3179B"/>
    <w:rsid w:val="00E31C63"/>
    <w:rsid w:val="00E32B42"/>
    <w:rsid w:val="00E334AA"/>
    <w:rsid w:val="00E34E93"/>
    <w:rsid w:val="00E34FC9"/>
    <w:rsid w:val="00E3620B"/>
    <w:rsid w:val="00E37DA8"/>
    <w:rsid w:val="00E40388"/>
    <w:rsid w:val="00E404C3"/>
    <w:rsid w:val="00E4445B"/>
    <w:rsid w:val="00E44909"/>
    <w:rsid w:val="00E44F78"/>
    <w:rsid w:val="00E45913"/>
    <w:rsid w:val="00E47069"/>
    <w:rsid w:val="00E502E6"/>
    <w:rsid w:val="00E5128A"/>
    <w:rsid w:val="00E5190E"/>
    <w:rsid w:val="00E537E6"/>
    <w:rsid w:val="00E53E16"/>
    <w:rsid w:val="00E555AB"/>
    <w:rsid w:val="00E55991"/>
    <w:rsid w:val="00E567BC"/>
    <w:rsid w:val="00E57AED"/>
    <w:rsid w:val="00E57CBE"/>
    <w:rsid w:val="00E60C2E"/>
    <w:rsid w:val="00E6170E"/>
    <w:rsid w:val="00E6172F"/>
    <w:rsid w:val="00E61E6A"/>
    <w:rsid w:val="00E63D4B"/>
    <w:rsid w:val="00E65192"/>
    <w:rsid w:val="00E6626A"/>
    <w:rsid w:val="00E6694C"/>
    <w:rsid w:val="00E70D65"/>
    <w:rsid w:val="00E71805"/>
    <w:rsid w:val="00E72CE6"/>
    <w:rsid w:val="00E73281"/>
    <w:rsid w:val="00E745F0"/>
    <w:rsid w:val="00E746CE"/>
    <w:rsid w:val="00E7576C"/>
    <w:rsid w:val="00E758BB"/>
    <w:rsid w:val="00E75A4B"/>
    <w:rsid w:val="00E75DA9"/>
    <w:rsid w:val="00E760AE"/>
    <w:rsid w:val="00E777D7"/>
    <w:rsid w:val="00E815B9"/>
    <w:rsid w:val="00E82096"/>
    <w:rsid w:val="00E82CEF"/>
    <w:rsid w:val="00E83E6D"/>
    <w:rsid w:val="00E857CF"/>
    <w:rsid w:val="00E858D0"/>
    <w:rsid w:val="00E873F4"/>
    <w:rsid w:val="00E90CD6"/>
    <w:rsid w:val="00E90EDF"/>
    <w:rsid w:val="00E912AE"/>
    <w:rsid w:val="00E91AF9"/>
    <w:rsid w:val="00E9219E"/>
    <w:rsid w:val="00E93E68"/>
    <w:rsid w:val="00E940CD"/>
    <w:rsid w:val="00E9613D"/>
    <w:rsid w:val="00E9685F"/>
    <w:rsid w:val="00E97CFA"/>
    <w:rsid w:val="00EA060A"/>
    <w:rsid w:val="00EA0CEE"/>
    <w:rsid w:val="00EA15F7"/>
    <w:rsid w:val="00EA1704"/>
    <w:rsid w:val="00EA24D7"/>
    <w:rsid w:val="00EA294F"/>
    <w:rsid w:val="00EA3A0F"/>
    <w:rsid w:val="00EA4034"/>
    <w:rsid w:val="00EA40A5"/>
    <w:rsid w:val="00EA559F"/>
    <w:rsid w:val="00EA5C64"/>
    <w:rsid w:val="00EA6877"/>
    <w:rsid w:val="00EA73C0"/>
    <w:rsid w:val="00EA7EAC"/>
    <w:rsid w:val="00EB283C"/>
    <w:rsid w:val="00EB2BED"/>
    <w:rsid w:val="00EB3329"/>
    <w:rsid w:val="00EB4736"/>
    <w:rsid w:val="00EB5873"/>
    <w:rsid w:val="00EB58C3"/>
    <w:rsid w:val="00EB5E03"/>
    <w:rsid w:val="00EB64AF"/>
    <w:rsid w:val="00EB7E50"/>
    <w:rsid w:val="00EC117C"/>
    <w:rsid w:val="00EC1BA3"/>
    <w:rsid w:val="00EC41CD"/>
    <w:rsid w:val="00EC6915"/>
    <w:rsid w:val="00EC7699"/>
    <w:rsid w:val="00ED0611"/>
    <w:rsid w:val="00ED0F3E"/>
    <w:rsid w:val="00ED37EB"/>
    <w:rsid w:val="00ED3B44"/>
    <w:rsid w:val="00ED3CBE"/>
    <w:rsid w:val="00ED4205"/>
    <w:rsid w:val="00ED476B"/>
    <w:rsid w:val="00ED5989"/>
    <w:rsid w:val="00ED65C6"/>
    <w:rsid w:val="00ED7615"/>
    <w:rsid w:val="00ED77B6"/>
    <w:rsid w:val="00ED7DF5"/>
    <w:rsid w:val="00EE0734"/>
    <w:rsid w:val="00EE091D"/>
    <w:rsid w:val="00EE1843"/>
    <w:rsid w:val="00EE1B71"/>
    <w:rsid w:val="00EE30B8"/>
    <w:rsid w:val="00EE4465"/>
    <w:rsid w:val="00EE6B5F"/>
    <w:rsid w:val="00EF103D"/>
    <w:rsid w:val="00EF1E5F"/>
    <w:rsid w:val="00EF3622"/>
    <w:rsid w:val="00EF55D8"/>
    <w:rsid w:val="00EF58D0"/>
    <w:rsid w:val="00EF6421"/>
    <w:rsid w:val="00EF64BE"/>
    <w:rsid w:val="00EF7FE8"/>
    <w:rsid w:val="00F01646"/>
    <w:rsid w:val="00F01EB5"/>
    <w:rsid w:val="00F01F72"/>
    <w:rsid w:val="00F02241"/>
    <w:rsid w:val="00F024A7"/>
    <w:rsid w:val="00F02581"/>
    <w:rsid w:val="00F03332"/>
    <w:rsid w:val="00F04AB2"/>
    <w:rsid w:val="00F125A6"/>
    <w:rsid w:val="00F12E70"/>
    <w:rsid w:val="00F131BA"/>
    <w:rsid w:val="00F138B1"/>
    <w:rsid w:val="00F13E77"/>
    <w:rsid w:val="00F14AF3"/>
    <w:rsid w:val="00F14E6B"/>
    <w:rsid w:val="00F15381"/>
    <w:rsid w:val="00F20026"/>
    <w:rsid w:val="00F20C2D"/>
    <w:rsid w:val="00F230D5"/>
    <w:rsid w:val="00F2380C"/>
    <w:rsid w:val="00F2392D"/>
    <w:rsid w:val="00F23EFD"/>
    <w:rsid w:val="00F2478A"/>
    <w:rsid w:val="00F25412"/>
    <w:rsid w:val="00F259F4"/>
    <w:rsid w:val="00F270E1"/>
    <w:rsid w:val="00F27447"/>
    <w:rsid w:val="00F27809"/>
    <w:rsid w:val="00F30217"/>
    <w:rsid w:val="00F30DC1"/>
    <w:rsid w:val="00F31353"/>
    <w:rsid w:val="00F322C4"/>
    <w:rsid w:val="00F33261"/>
    <w:rsid w:val="00F3372A"/>
    <w:rsid w:val="00F34831"/>
    <w:rsid w:val="00F35241"/>
    <w:rsid w:val="00F36705"/>
    <w:rsid w:val="00F369BE"/>
    <w:rsid w:val="00F36E03"/>
    <w:rsid w:val="00F40B14"/>
    <w:rsid w:val="00F41001"/>
    <w:rsid w:val="00F43396"/>
    <w:rsid w:val="00F43492"/>
    <w:rsid w:val="00F453CA"/>
    <w:rsid w:val="00F459EF"/>
    <w:rsid w:val="00F468C7"/>
    <w:rsid w:val="00F4726D"/>
    <w:rsid w:val="00F51362"/>
    <w:rsid w:val="00F51CE6"/>
    <w:rsid w:val="00F52C1A"/>
    <w:rsid w:val="00F54CA1"/>
    <w:rsid w:val="00F55304"/>
    <w:rsid w:val="00F57315"/>
    <w:rsid w:val="00F57CED"/>
    <w:rsid w:val="00F60167"/>
    <w:rsid w:val="00F606EA"/>
    <w:rsid w:val="00F622E3"/>
    <w:rsid w:val="00F62734"/>
    <w:rsid w:val="00F63792"/>
    <w:rsid w:val="00F64453"/>
    <w:rsid w:val="00F64DEB"/>
    <w:rsid w:val="00F652AC"/>
    <w:rsid w:val="00F66B54"/>
    <w:rsid w:val="00F66EF5"/>
    <w:rsid w:val="00F70AE7"/>
    <w:rsid w:val="00F7202C"/>
    <w:rsid w:val="00F72B7F"/>
    <w:rsid w:val="00F72D97"/>
    <w:rsid w:val="00F7481C"/>
    <w:rsid w:val="00F7535E"/>
    <w:rsid w:val="00F753A7"/>
    <w:rsid w:val="00F80448"/>
    <w:rsid w:val="00F80917"/>
    <w:rsid w:val="00F82725"/>
    <w:rsid w:val="00F82CFE"/>
    <w:rsid w:val="00F82EDA"/>
    <w:rsid w:val="00F85445"/>
    <w:rsid w:val="00F86267"/>
    <w:rsid w:val="00F86403"/>
    <w:rsid w:val="00F86A35"/>
    <w:rsid w:val="00F907C2"/>
    <w:rsid w:val="00F91C56"/>
    <w:rsid w:val="00F92B80"/>
    <w:rsid w:val="00F934CD"/>
    <w:rsid w:val="00F939C6"/>
    <w:rsid w:val="00F9484E"/>
    <w:rsid w:val="00F94AE8"/>
    <w:rsid w:val="00F94E53"/>
    <w:rsid w:val="00F978CA"/>
    <w:rsid w:val="00F97ED1"/>
    <w:rsid w:val="00FA0AA4"/>
    <w:rsid w:val="00FA141C"/>
    <w:rsid w:val="00FA2CE9"/>
    <w:rsid w:val="00FA303A"/>
    <w:rsid w:val="00FA3243"/>
    <w:rsid w:val="00FA3B79"/>
    <w:rsid w:val="00FA45B6"/>
    <w:rsid w:val="00FA4B9C"/>
    <w:rsid w:val="00FB06BC"/>
    <w:rsid w:val="00FB317A"/>
    <w:rsid w:val="00FB3C4E"/>
    <w:rsid w:val="00FB433D"/>
    <w:rsid w:val="00FB58A6"/>
    <w:rsid w:val="00FB677A"/>
    <w:rsid w:val="00FB77CC"/>
    <w:rsid w:val="00FB7DCD"/>
    <w:rsid w:val="00FC099A"/>
    <w:rsid w:val="00FC1165"/>
    <w:rsid w:val="00FC214F"/>
    <w:rsid w:val="00FC30CA"/>
    <w:rsid w:val="00FC38F6"/>
    <w:rsid w:val="00FC3FD0"/>
    <w:rsid w:val="00FC5318"/>
    <w:rsid w:val="00FC5431"/>
    <w:rsid w:val="00FC6032"/>
    <w:rsid w:val="00FD08A8"/>
    <w:rsid w:val="00FD0EA6"/>
    <w:rsid w:val="00FD1F48"/>
    <w:rsid w:val="00FD1FC4"/>
    <w:rsid w:val="00FD23B8"/>
    <w:rsid w:val="00FD3DB8"/>
    <w:rsid w:val="00FD497B"/>
    <w:rsid w:val="00FD5781"/>
    <w:rsid w:val="00FD7F84"/>
    <w:rsid w:val="00FE0A66"/>
    <w:rsid w:val="00FE2745"/>
    <w:rsid w:val="00FE633B"/>
    <w:rsid w:val="00FE7412"/>
    <w:rsid w:val="00FE7B7C"/>
    <w:rsid w:val="00FF13EC"/>
    <w:rsid w:val="00FF20D8"/>
    <w:rsid w:val="00FF2B00"/>
    <w:rsid w:val="00FF2DA8"/>
    <w:rsid w:val="00FF3837"/>
    <w:rsid w:val="00FF4483"/>
    <w:rsid w:val="00FF540B"/>
    <w:rsid w:val="00FF584B"/>
    <w:rsid w:val="00FF5FAC"/>
    <w:rsid w:val="00FF61E8"/>
    <w:rsid w:val="00FF7142"/>
    <w:rsid w:val="00FF78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7D806"/>
  <w15:chartTrackingRefBased/>
  <w15:docId w15:val="{D15BA596-647A-4015-A748-0BE6B3A3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AE5"/>
    <w:rPr>
      <w:rFonts w:ascii="Times New Roman" w:eastAsia="Times New Roman" w:hAnsi="Times New Roman"/>
      <w:sz w:val="24"/>
      <w:szCs w:val="24"/>
      <w:lang w:eastAsia="es-ES"/>
    </w:rPr>
  </w:style>
  <w:style w:type="paragraph" w:styleId="Ttulo1">
    <w:name w:val="heading 1"/>
    <w:basedOn w:val="Normal"/>
    <w:next w:val="Normal"/>
    <w:link w:val="Ttulo1Car"/>
    <w:uiPriority w:val="9"/>
    <w:qFormat/>
    <w:rsid w:val="008B4AE5"/>
    <w:pPr>
      <w:keepNext/>
      <w:keepLines/>
      <w:spacing w:before="480" w:line="276" w:lineRule="auto"/>
      <w:outlineLvl w:val="0"/>
    </w:pPr>
    <w:rPr>
      <w:rFonts w:ascii="Cambria" w:hAnsi="Cambria"/>
      <w:b/>
      <w:bCs/>
      <w:color w:val="365F91"/>
      <w:sz w:val="28"/>
      <w:szCs w:val="28"/>
      <w:lang w:eastAsia="en-US"/>
    </w:rPr>
  </w:style>
  <w:style w:type="paragraph" w:styleId="Ttulo2">
    <w:name w:val="heading 2"/>
    <w:basedOn w:val="Normal"/>
    <w:next w:val="Normal"/>
    <w:link w:val="Ttulo2Car"/>
    <w:uiPriority w:val="9"/>
    <w:semiHidden/>
    <w:unhideWhenUsed/>
    <w:qFormat/>
    <w:rsid w:val="00D54FB2"/>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
    <w:semiHidden/>
    <w:unhideWhenUsed/>
    <w:qFormat/>
    <w:rsid w:val="00286D25"/>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8B4AE5"/>
    <w:rPr>
      <w:rFonts w:ascii="Cambria" w:eastAsia="Times New Roman" w:hAnsi="Cambria" w:cs="Times New Roman"/>
      <w:b/>
      <w:bCs/>
      <w:color w:val="365F91"/>
      <w:sz w:val="28"/>
      <w:szCs w:val="28"/>
    </w:rPr>
  </w:style>
  <w:style w:type="paragraph" w:customStyle="1" w:styleId="corte1datos">
    <w:name w:val="corte1 datos"/>
    <w:basedOn w:val="Normal"/>
    <w:link w:val="corte1datosCar"/>
    <w:rsid w:val="008B4AE5"/>
    <w:pPr>
      <w:ind w:left="2552"/>
    </w:pPr>
    <w:rPr>
      <w:rFonts w:ascii="Arial" w:hAnsi="Arial"/>
      <w:b/>
      <w:caps/>
      <w:sz w:val="30"/>
    </w:rPr>
  </w:style>
  <w:style w:type="paragraph" w:customStyle="1" w:styleId="corte2ponente">
    <w:name w:val="corte2 ponente"/>
    <w:basedOn w:val="Normal"/>
    <w:rsid w:val="008B4AE5"/>
    <w:rPr>
      <w:rFonts w:ascii="Arial" w:hAnsi="Arial"/>
      <w:b/>
      <w:caps/>
      <w:sz w:val="30"/>
    </w:rPr>
  </w:style>
  <w:style w:type="paragraph" w:customStyle="1" w:styleId="corte3centro">
    <w:name w:val="corte3 centro"/>
    <w:basedOn w:val="Normal"/>
    <w:link w:val="corte3centroCar"/>
    <w:qFormat/>
    <w:rsid w:val="008B4AE5"/>
    <w:pPr>
      <w:spacing w:line="360" w:lineRule="auto"/>
      <w:jc w:val="center"/>
    </w:pPr>
    <w:rPr>
      <w:rFonts w:ascii="Arial" w:hAnsi="Arial"/>
      <w:b/>
      <w:sz w:val="30"/>
    </w:rPr>
  </w:style>
  <w:style w:type="paragraph" w:customStyle="1" w:styleId="corte4fondo">
    <w:name w:val="corte4 fondo"/>
    <w:basedOn w:val="Normal"/>
    <w:link w:val="corte4fondoCar"/>
    <w:qFormat/>
    <w:rsid w:val="008B4AE5"/>
    <w:pPr>
      <w:spacing w:line="360" w:lineRule="auto"/>
      <w:ind w:firstLine="709"/>
      <w:jc w:val="both"/>
    </w:pPr>
    <w:rPr>
      <w:rFonts w:ascii="Arial" w:hAnsi="Arial"/>
      <w:sz w:val="30"/>
    </w:rPr>
  </w:style>
  <w:style w:type="paragraph" w:customStyle="1" w:styleId="corte5transcripcion">
    <w:name w:val="corte5 transcripcion"/>
    <w:basedOn w:val="Normal"/>
    <w:link w:val="corte5transcripcionCar"/>
    <w:rsid w:val="008B4AE5"/>
    <w:pPr>
      <w:spacing w:line="360" w:lineRule="auto"/>
      <w:ind w:left="709" w:right="709"/>
      <w:jc w:val="both"/>
    </w:pPr>
    <w:rPr>
      <w:rFonts w:ascii="Arial" w:hAnsi="Arial"/>
      <w:b/>
      <w:i/>
      <w:sz w:val="30"/>
    </w:rPr>
  </w:style>
  <w:style w:type="paragraph" w:customStyle="1" w:styleId="TEXTONORMAL">
    <w:name w:val="TEXTO NORMAL"/>
    <w:basedOn w:val="Normal"/>
    <w:link w:val="TEXTONORMALCar"/>
    <w:rsid w:val="008B4AE5"/>
    <w:pPr>
      <w:spacing w:line="360" w:lineRule="auto"/>
      <w:ind w:firstLine="709"/>
      <w:jc w:val="both"/>
    </w:pPr>
    <w:rPr>
      <w:rFonts w:ascii="Arial" w:hAnsi="Arial" w:cs="Arial"/>
      <w:sz w:val="28"/>
      <w:szCs w:val="28"/>
    </w:rPr>
  </w:style>
  <w:style w:type="paragraph" w:customStyle="1" w:styleId="corte6cintilloypie">
    <w:name w:val="corte6 cintillo y pie"/>
    <w:basedOn w:val="Normal"/>
    <w:rsid w:val="008B4AE5"/>
    <w:pPr>
      <w:jc w:val="right"/>
    </w:pPr>
    <w:rPr>
      <w:rFonts w:ascii="Arial" w:hAnsi="Arial"/>
      <w:b/>
      <w:caps/>
    </w:rPr>
  </w:style>
  <w:style w:type="paragraph" w:customStyle="1" w:styleId="corte7tablas">
    <w:name w:val="corte7 tablas"/>
    <w:basedOn w:val="corte5transcripcion"/>
    <w:rsid w:val="008B4AE5"/>
    <w:pPr>
      <w:ind w:left="0" w:right="0"/>
      <w:jc w:val="center"/>
    </w:pPr>
    <w:rPr>
      <w:sz w:val="24"/>
    </w:rPr>
  </w:style>
  <w:style w:type="paragraph" w:customStyle="1" w:styleId="CITASTEXTUALESMAYORDE5LINEAS">
    <w:name w:val="CITAS TEXTUALES MAYOR DE 5 LINEAS"/>
    <w:basedOn w:val="TEXTONORMAL"/>
    <w:rsid w:val="008B4AE5"/>
    <w:pPr>
      <w:spacing w:line="240" w:lineRule="auto"/>
      <w:ind w:left="709" w:right="709" w:firstLine="0"/>
    </w:pPr>
  </w:style>
  <w:style w:type="paragraph" w:customStyle="1" w:styleId="NOTASALPIE1">
    <w:name w:val="NOTAS AL PIE1"/>
    <w:basedOn w:val="Normal"/>
    <w:rsid w:val="008B4AE5"/>
    <w:pPr>
      <w:jc w:val="both"/>
    </w:pPr>
    <w:rPr>
      <w:rFonts w:ascii="Arial" w:hAnsi="Arial" w:cs="Arial"/>
      <w:sz w:val="20"/>
      <w:szCs w:val="20"/>
    </w:rPr>
  </w:style>
  <w:style w:type="paragraph" w:customStyle="1" w:styleId="CORTE1DATOS0">
    <w:name w:val="CORTE1 DATOS"/>
    <w:basedOn w:val="Normal"/>
    <w:rsid w:val="008B4AE5"/>
    <w:pPr>
      <w:ind w:left="2552"/>
    </w:pPr>
    <w:rPr>
      <w:rFonts w:ascii="Arial" w:hAnsi="Arial"/>
      <w:b/>
      <w:sz w:val="30"/>
      <w:szCs w:val="30"/>
    </w:rPr>
  </w:style>
  <w:style w:type="paragraph" w:customStyle="1" w:styleId="CORTE2PONENTE0">
    <w:name w:val="CORTE2 PONENTE"/>
    <w:basedOn w:val="Normal"/>
    <w:rsid w:val="008B4AE5"/>
    <w:rPr>
      <w:rFonts w:ascii="Arial" w:hAnsi="Arial"/>
      <w:b/>
      <w:sz w:val="30"/>
      <w:szCs w:val="30"/>
    </w:rPr>
  </w:style>
  <w:style w:type="paragraph" w:styleId="Textonotapie">
    <w:name w:val="footnote text"/>
    <w:aliases w:val="Footnote reference,FA Fu,Footnote Text Char Char Char Char Char,Footnote Text Char Char Char Char Car,Footnote Text Char Char Char Char,Footnote Text Char Char Char,Footnote Text Cha,FA Fußnotentext,FA Fuﬂnotentext,Footnote Text Char Char"/>
    <w:basedOn w:val="Normal"/>
    <w:link w:val="TextonotapieCar"/>
    <w:qFormat/>
    <w:rsid w:val="008B4AE5"/>
    <w:rPr>
      <w:sz w:val="20"/>
      <w:szCs w:val="20"/>
    </w:rPr>
  </w:style>
  <w:style w:type="character" w:customStyle="1" w:styleId="TextonotapieCar">
    <w:name w:val="Texto nota pie Car"/>
    <w:aliases w:val="Footnote reference Car,FA Fu Car,Footnote Text Char Char Char Char Char Car,Footnote Text Char Char Char Char Car Car,Footnote Text Char Char Char Char Car1,Footnote Text Char Char Char Car,Footnote Text Cha Car,FA Fußnotentext Car"/>
    <w:link w:val="Textonotapie"/>
    <w:rsid w:val="008B4AE5"/>
    <w:rPr>
      <w:rFonts w:ascii="Times New Roman" w:eastAsia="Times New Roman" w:hAnsi="Times New Roman" w:cs="Times New Roman"/>
      <w:sz w:val="20"/>
      <w:szCs w:val="20"/>
      <w:lang w:eastAsia="es-ES"/>
    </w:rPr>
  </w:style>
  <w:style w:type="character" w:styleId="Refdenotaalpie">
    <w:name w:val="footnote reference"/>
    <w:aliases w:val="Texto de nota al pie,Appel note de bas de page,Ref. de nota al pie 2,Footnotes refss,referencia nota al pie,BVI fnr,Footnote number,f,4_G,16 Point,Superscript 6 Point,Texto nota al pie,Footnote Reference Char3,julio,Stinking Styles6"/>
    <w:qFormat/>
    <w:rsid w:val="008B4AE5"/>
    <w:rPr>
      <w:vertAlign w:val="superscript"/>
    </w:rPr>
  </w:style>
  <w:style w:type="paragraph" w:styleId="Encabezado">
    <w:name w:val="header"/>
    <w:basedOn w:val="Normal"/>
    <w:link w:val="EncabezadoCar"/>
    <w:rsid w:val="008B4AE5"/>
    <w:pPr>
      <w:tabs>
        <w:tab w:val="center" w:pos="4419"/>
        <w:tab w:val="right" w:pos="8838"/>
      </w:tabs>
    </w:pPr>
  </w:style>
  <w:style w:type="character" w:customStyle="1" w:styleId="EncabezadoCar">
    <w:name w:val="Encabezado Car"/>
    <w:link w:val="Encabezado"/>
    <w:rsid w:val="008B4AE5"/>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8B4AE5"/>
    <w:pPr>
      <w:tabs>
        <w:tab w:val="center" w:pos="4419"/>
        <w:tab w:val="right" w:pos="8838"/>
      </w:tabs>
    </w:pPr>
  </w:style>
  <w:style w:type="character" w:customStyle="1" w:styleId="PiedepginaCar">
    <w:name w:val="Pie de página Car"/>
    <w:link w:val="Piedepgina"/>
    <w:uiPriority w:val="99"/>
    <w:rsid w:val="008B4AE5"/>
    <w:rPr>
      <w:rFonts w:ascii="Times New Roman" w:eastAsia="Times New Roman" w:hAnsi="Times New Roman" w:cs="Times New Roman"/>
      <w:sz w:val="24"/>
      <w:szCs w:val="24"/>
      <w:lang w:eastAsia="es-ES"/>
    </w:rPr>
  </w:style>
  <w:style w:type="character" w:styleId="Nmerodepgina">
    <w:name w:val="page number"/>
    <w:rsid w:val="008B4AE5"/>
  </w:style>
  <w:style w:type="character" w:customStyle="1" w:styleId="corte4fondoCar">
    <w:name w:val="corte4 fondo Car"/>
    <w:link w:val="corte4fondo"/>
    <w:rsid w:val="008B4AE5"/>
    <w:rPr>
      <w:rFonts w:ascii="Arial" w:eastAsia="Times New Roman" w:hAnsi="Arial" w:cs="Times New Roman"/>
      <w:sz w:val="30"/>
      <w:szCs w:val="24"/>
      <w:lang w:eastAsia="es-ES"/>
    </w:rPr>
  </w:style>
  <w:style w:type="character" w:customStyle="1" w:styleId="corte5transcripcionCar">
    <w:name w:val="corte5 transcripcion Car"/>
    <w:link w:val="corte5transcripcion"/>
    <w:rsid w:val="008B4AE5"/>
    <w:rPr>
      <w:rFonts w:ascii="Arial" w:eastAsia="Times New Roman" w:hAnsi="Arial" w:cs="Times New Roman"/>
      <w:b/>
      <w:i/>
      <w:sz w:val="30"/>
      <w:szCs w:val="24"/>
      <w:lang w:eastAsia="es-ES"/>
    </w:rPr>
  </w:style>
  <w:style w:type="character" w:styleId="CitaHTML">
    <w:name w:val="HTML Cite"/>
    <w:rsid w:val="008B4AE5"/>
    <w:rPr>
      <w:rFonts w:ascii="Times New Roman" w:hAnsi="Times New Roman" w:cs="Times New Roman" w:hint="default"/>
      <w:i/>
      <w:iCs/>
      <w:sz w:val="18"/>
      <w:szCs w:val="18"/>
    </w:rPr>
  </w:style>
  <w:style w:type="paragraph" w:styleId="NormalWeb">
    <w:name w:val="Normal (Web)"/>
    <w:basedOn w:val="Normal"/>
    <w:uiPriority w:val="99"/>
    <w:rsid w:val="008B4AE5"/>
    <w:pPr>
      <w:widowControl w:val="0"/>
      <w:adjustRightInd w:val="0"/>
      <w:spacing w:before="100" w:beforeAutospacing="1" w:after="100" w:afterAutospacing="1" w:line="360" w:lineRule="atLeast"/>
      <w:jc w:val="both"/>
    </w:pPr>
    <w:rPr>
      <w:rFonts w:ascii="Verdana" w:hAnsi="Verdana"/>
      <w:sz w:val="17"/>
      <w:szCs w:val="17"/>
      <w:lang w:val="es-ES"/>
    </w:rPr>
  </w:style>
  <w:style w:type="character" w:customStyle="1" w:styleId="corte4fondoCar2CarCar">
    <w:name w:val="corte4 fondo Car2 Car Car"/>
    <w:link w:val="corte4fondoCar2Car"/>
    <w:rsid w:val="008B4AE5"/>
    <w:rPr>
      <w:rFonts w:ascii="Arial" w:hAnsi="Arial" w:cs="Arial"/>
      <w:sz w:val="30"/>
      <w:szCs w:val="24"/>
      <w:lang w:val="es-ES_tradnl" w:eastAsia="es-MX"/>
    </w:rPr>
  </w:style>
  <w:style w:type="paragraph" w:customStyle="1" w:styleId="corte4fondoCar2Car">
    <w:name w:val="corte4 fondo Car2 Car"/>
    <w:basedOn w:val="Normal"/>
    <w:link w:val="corte4fondoCar2CarCar"/>
    <w:rsid w:val="008B4AE5"/>
    <w:pPr>
      <w:widowControl w:val="0"/>
      <w:adjustRightInd w:val="0"/>
      <w:spacing w:line="360" w:lineRule="auto"/>
      <w:ind w:firstLine="709"/>
      <w:jc w:val="both"/>
    </w:pPr>
    <w:rPr>
      <w:rFonts w:ascii="Arial" w:eastAsia="Calibri" w:hAnsi="Arial" w:cs="Arial"/>
      <w:sz w:val="30"/>
      <w:lang w:val="es-ES_tradnl" w:eastAsia="es-MX"/>
    </w:rPr>
  </w:style>
  <w:style w:type="paragraph" w:styleId="Textoindependiente">
    <w:name w:val="Body Text"/>
    <w:basedOn w:val="Normal"/>
    <w:link w:val="TextoindependienteCar"/>
    <w:rsid w:val="008B4AE5"/>
    <w:pPr>
      <w:widowControl w:val="0"/>
      <w:adjustRightInd w:val="0"/>
      <w:spacing w:after="120" w:line="360" w:lineRule="atLeast"/>
      <w:jc w:val="both"/>
    </w:pPr>
    <w:rPr>
      <w:sz w:val="20"/>
      <w:szCs w:val="20"/>
      <w:lang w:val="es-ES_tradnl" w:eastAsia="es-MX"/>
    </w:rPr>
  </w:style>
  <w:style w:type="character" w:customStyle="1" w:styleId="TextoindependienteCar">
    <w:name w:val="Texto independiente Car"/>
    <w:link w:val="Textoindependiente"/>
    <w:rsid w:val="008B4AE5"/>
    <w:rPr>
      <w:rFonts w:ascii="Times New Roman" w:eastAsia="Times New Roman" w:hAnsi="Times New Roman" w:cs="Times New Roman"/>
      <w:sz w:val="20"/>
      <w:szCs w:val="20"/>
      <w:lang w:val="es-ES_tradnl" w:eastAsia="es-MX"/>
    </w:rPr>
  </w:style>
  <w:style w:type="paragraph" w:styleId="Sangra3detindependiente">
    <w:name w:val="Body Text Indent 3"/>
    <w:basedOn w:val="Normal"/>
    <w:link w:val="Sangra3detindependienteCar"/>
    <w:rsid w:val="008B4AE5"/>
    <w:pPr>
      <w:spacing w:after="120"/>
      <w:ind w:left="283"/>
    </w:pPr>
    <w:rPr>
      <w:sz w:val="16"/>
      <w:szCs w:val="16"/>
    </w:rPr>
  </w:style>
  <w:style w:type="character" w:customStyle="1" w:styleId="Sangra3detindependienteCar">
    <w:name w:val="Sangría 3 de t. independiente Car"/>
    <w:link w:val="Sangra3detindependiente"/>
    <w:rsid w:val="008B4AE5"/>
    <w:rPr>
      <w:rFonts w:ascii="Times New Roman" w:eastAsia="Times New Roman" w:hAnsi="Times New Roman" w:cs="Times New Roman"/>
      <w:sz w:val="16"/>
      <w:szCs w:val="16"/>
      <w:lang w:eastAsia="es-ES"/>
    </w:rPr>
  </w:style>
  <w:style w:type="paragraph" w:styleId="Textodeglobo">
    <w:name w:val="Balloon Text"/>
    <w:basedOn w:val="Normal"/>
    <w:link w:val="TextodegloboCar"/>
    <w:semiHidden/>
    <w:rsid w:val="008B4AE5"/>
    <w:rPr>
      <w:rFonts w:ascii="Tahoma" w:hAnsi="Tahoma" w:cs="Tahoma"/>
      <w:sz w:val="16"/>
      <w:szCs w:val="16"/>
    </w:rPr>
  </w:style>
  <w:style w:type="character" w:customStyle="1" w:styleId="TextodegloboCar">
    <w:name w:val="Texto de globo Car"/>
    <w:link w:val="Textodeglobo"/>
    <w:semiHidden/>
    <w:rsid w:val="008B4AE5"/>
    <w:rPr>
      <w:rFonts w:ascii="Tahoma" w:eastAsia="Times New Roman" w:hAnsi="Tahoma" w:cs="Tahoma"/>
      <w:sz w:val="16"/>
      <w:szCs w:val="16"/>
      <w:lang w:eastAsia="es-ES"/>
    </w:rPr>
  </w:style>
  <w:style w:type="paragraph" w:customStyle="1" w:styleId="Normal0">
    <w:name w:val="[Normal]"/>
    <w:rsid w:val="008B4AE5"/>
    <w:pPr>
      <w:autoSpaceDE w:val="0"/>
      <w:autoSpaceDN w:val="0"/>
      <w:adjustRightInd w:val="0"/>
    </w:pPr>
    <w:rPr>
      <w:rFonts w:ascii="Arial" w:eastAsia="Times New Roman" w:hAnsi="Arial" w:cs="Arial"/>
      <w:sz w:val="24"/>
      <w:szCs w:val="24"/>
    </w:rPr>
  </w:style>
  <w:style w:type="character" w:customStyle="1" w:styleId="corte4fondoCarCar">
    <w:name w:val="corte4 fondo Car Car"/>
    <w:rsid w:val="008B4AE5"/>
    <w:rPr>
      <w:rFonts w:ascii="Arial" w:hAnsi="Arial"/>
      <w:sz w:val="30"/>
      <w:szCs w:val="24"/>
      <w:lang w:val="es-ES" w:eastAsia="es-ES" w:bidi="ar-SA"/>
    </w:rPr>
  </w:style>
  <w:style w:type="character" w:customStyle="1" w:styleId="corte4fondoCar1">
    <w:name w:val="corte4 fondo Car1"/>
    <w:locked/>
    <w:rsid w:val="008B4AE5"/>
    <w:rPr>
      <w:rFonts w:ascii="Arial" w:hAnsi="Arial" w:cs="Arial"/>
      <w:sz w:val="30"/>
      <w:lang w:val="es-ES_tradnl" w:eastAsia="es-ES"/>
    </w:rPr>
  </w:style>
  <w:style w:type="character" w:customStyle="1" w:styleId="corte4fondoCarCar1">
    <w:name w:val="corte4 fondo Car Car1"/>
    <w:locked/>
    <w:rsid w:val="008B4AE5"/>
    <w:rPr>
      <w:rFonts w:ascii="Arial" w:hAnsi="Arial" w:cs="Arial"/>
      <w:sz w:val="30"/>
      <w:lang w:val="es-ES_tradnl"/>
    </w:rPr>
  </w:style>
  <w:style w:type="paragraph" w:styleId="Prrafodelista">
    <w:name w:val="List Paragraph"/>
    <w:aliases w:val="Cuadrícula clara - Énfasis 31,Cita texto,Footnote"/>
    <w:basedOn w:val="Normal"/>
    <w:link w:val="PrrafodelistaCar"/>
    <w:uiPriority w:val="34"/>
    <w:qFormat/>
    <w:rsid w:val="008B4AE5"/>
    <w:pPr>
      <w:ind w:left="708"/>
    </w:pPr>
  </w:style>
  <w:style w:type="table" w:styleId="Tablaconcuadrcula">
    <w:name w:val="Table Grid"/>
    <w:basedOn w:val="Tablanormal"/>
    <w:uiPriority w:val="59"/>
    <w:rsid w:val="008B4AE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
    <w:name w:val="List Bullet"/>
    <w:basedOn w:val="Normal"/>
    <w:rsid w:val="008B4AE5"/>
    <w:pPr>
      <w:numPr>
        <w:numId w:val="1"/>
      </w:numPr>
      <w:contextualSpacing/>
    </w:pPr>
  </w:style>
  <w:style w:type="character" w:styleId="Hipervnculo">
    <w:name w:val="Hyperlink"/>
    <w:uiPriority w:val="99"/>
    <w:unhideWhenUsed/>
    <w:rsid w:val="008B4AE5"/>
    <w:rPr>
      <w:color w:val="0000FF"/>
      <w:u w:val="single"/>
    </w:rPr>
  </w:style>
  <w:style w:type="character" w:customStyle="1" w:styleId="corte4fondoCarCarCar">
    <w:name w:val="corte4 fondo Car Car Car"/>
    <w:rsid w:val="008B4AE5"/>
    <w:rPr>
      <w:rFonts w:ascii="Arial" w:eastAsia="Times New Roman" w:hAnsi="Arial" w:cs="Times New Roman"/>
      <w:sz w:val="30"/>
      <w:szCs w:val="20"/>
      <w:lang w:val="es-ES_tradnl" w:eastAsia="es-MX"/>
    </w:rPr>
  </w:style>
  <w:style w:type="character" w:customStyle="1" w:styleId="corte4fondoCar2">
    <w:name w:val="corte4 fondo Car2"/>
    <w:locked/>
    <w:rsid w:val="008B4AE5"/>
    <w:rPr>
      <w:rFonts w:ascii="Arial" w:eastAsia="Times New Roman" w:hAnsi="Arial" w:cs="Arial"/>
      <w:sz w:val="30"/>
      <w:lang w:val="es-ES_tradnl" w:eastAsia="es-ES"/>
    </w:rPr>
  </w:style>
  <w:style w:type="character" w:customStyle="1" w:styleId="corte3centroCar">
    <w:name w:val="corte3 centro Car"/>
    <w:link w:val="corte3centro"/>
    <w:rsid w:val="008B4AE5"/>
    <w:rPr>
      <w:rFonts w:ascii="Arial" w:eastAsia="Times New Roman" w:hAnsi="Arial" w:cs="Times New Roman"/>
      <w:b/>
      <w:sz w:val="30"/>
      <w:szCs w:val="24"/>
      <w:lang w:eastAsia="es-ES"/>
    </w:rPr>
  </w:style>
  <w:style w:type="paragraph" w:styleId="Sinespaciado">
    <w:name w:val="No Spacing"/>
    <w:uiPriority w:val="1"/>
    <w:qFormat/>
    <w:rsid w:val="008B4AE5"/>
    <w:rPr>
      <w:rFonts w:ascii="Times New Roman" w:eastAsia="Times New Roman" w:hAnsi="Times New Roman"/>
      <w:sz w:val="24"/>
      <w:szCs w:val="24"/>
      <w:lang w:eastAsia="es-ES"/>
    </w:rPr>
  </w:style>
  <w:style w:type="character" w:customStyle="1" w:styleId="corte4fondoCar2CarCarCarCarCarCar">
    <w:name w:val="corte4 fondo Car2 Car Car Car Car Car Car"/>
    <w:link w:val="corte4fondoCar2CarCarCarCarCar"/>
    <w:rsid w:val="008B4AE5"/>
    <w:rPr>
      <w:rFonts w:ascii="Arial" w:hAnsi="Arial"/>
      <w:sz w:val="30"/>
      <w:szCs w:val="24"/>
      <w:lang w:val="es-ES_tradnl"/>
    </w:rPr>
  </w:style>
  <w:style w:type="paragraph" w:customStyle="1" w:styleId="corte4fondoCar2CarCarCarCarCar">
    <w:name w:val="corte4 fondo Car2 Car Car Car Car Car"/>
    <w:basedOn w:val="Normal"/>
    <w:link w:val="corte4fondoCar2CarCarCarCarCarCar"/>
    <w:rsid w:val="008B4AE5"/>
    <w:pPr>
      <w:spacing w:line="360" w:lineRule="auto"/>
      <w:ind w:firstLine="709"/>
      <w:jc w:val="both"/>
    </w:pPr>
    <w:rPr>
      <w:rFonts w:ascii="Arial" w:eastAsia="Calibri" w:hAnsi="Arial"/>
      <w:sz w:val="30"/>
      <w:lang w:val="es-ES_tradnl" w:eastAsia="en-US"/>
    </w:rPr>
  </w:style>
  <w:style w:type="character" w:customStyle="1" w:styleId="apple-converted-space">
    <w:name w:val="apple-converted-space"/>
    <w:rsid w:val="008B4AE5"/>
  </w:style>
  <w:style w:type="paragraph" w:customStyle="1" w:styleId="Default">
    <w:name w:val="Default"/>
    <w:rsid w:val="008B4AE5"/>
    <w:pPr>
      <w:autoSpaceDE w:val="0"/>
      <w:autoSpaceDN w:val="0"/>
      <w:adjustRightInd w:val="0"/>
    </w:pPr>
    <w:rPr>
      <w:rFonts w:ascii="Bookman Old Style" w:eastAsia="Times New Roman" w:hAnsi="Bookman Old Style" w:cs="Bookman Old Style"/>
      <w:color w:val="000000"/>
      <w:sz w:val="24"/>
      <w:szCs w:val="24"/>
    </w:rPr>
  </w:style>
  <w:style w:type="character" w:styleId="Textoennegrita">
    <w:name w:val="Strong"/>
    <w:uiPriority w:val="22"/>
    <w:qFormat/>
    <w:rsid w:val="008B4AE5"/>
    <w:rPr>
      <w:b/>
      <w:bCs/>
    </w:rPr>
  </w:style>
  <w:style w:type="character" w:customStyle="1" w:styleId="TEXTONORMALCar">
    <w:name w:val="TEXTO NORMAL Car"/>
    <w:link w:val="TEXTONORMAL"/>
    <w:locked/>
    <w:rsid w:val="008B4AE5"/>
    <w:rPr>
      <w:rFonts w:ascii="Arial" w:eastAsia="Times New Roman" w:hAnsi="Arial" w:cs="Arial"/>
      <w:sz w:val="28"/>
      <w:szCs w:val="28"/>
      <w:lang w:eastAsia="es-ES"/>
    </w:rPr>
  </w:style>
  <w:style w:type="character" w:customStyle="1" w:styleId="lbl-encabezado-blanco">
    <w:name w:val="lbl-encabezado-blanco"/>
    <w:rsid w:val="008B4AE5"/>
  </w:style>
  <w:style w:type="character" w:customStyle="1" w:styleId="red">
    <w:name w:val="red"/>
    <w:rsid w:val="008B4AE5"/>
  </w:style>
  <w:style w:type="paragraph" w:customStyle="1" w:styleId="Estilo">
    <w:name w:val="Estilo"/>
    <w:basedOn w:val="Sinespaciado"/>
    <w:link w:val="EstiloCar"/>
    <w:qFormat/>
    <w:rsid w:val="008B4AE5"/>
    <w:pPr>
      <w:jc w:val="both"/>
    </w:pPr>
    <w:rPr>
      <w:rFonts w:ascii="Arial" w:eastAsia="Calibri" w:hAnsi="Arial"/>
      <w:szCs w:val="22"/>
      <w:lang w:eastAsia="en-US"/>
    </w:rPr>
  </w:style>
  <w:style w:type="character" w:customStyle="1" w:styleId="EstiloCar">
    <w:name w:val="Estilo Car"/>
    <w:link w:val="Estilo"/>
    <w:rsid w:val="008B4AE5"/>
    <w:rPr>
      <w:rFonts w:ascii="Arial" w:eastAsia="Calibri" w:hAnsi="Arial" w:cs="Times New Roman"/>
      <w:sz w:val="24"/>
    </w:rPr>
  </w:style>
  <w:style w:type="character" w:customStyle="1" w:styleId="articulojustificado1">
    <w:name w:val="articulojustificado1"/>
    <w:rsid w:val="008B4AE5"/>
    <w:rPr>
      <w:rFonts w:ascii="Arial" w:hAnsi="Arial" w:cs="Arial" w:hint="default"/>
      <w:b w:val="0"/>
      <w:bCs w:val="0"/>
      <w:color w:val="000000"/>
      <w:sz w:val="18"/>
      <w:szCs w:val="18"/>
    </w:rPr>
  </w:style>
  <w:style w:type="paragraph" w:customStyle="1" w:styleId="CarCar1">
    <w:name w:val="Car Car1"/>
    <w:basedOn w:val="Normal"/>
    <w:rsid w:val="008B4AE5"/>
    <w:pPr>
      <w:spacing w:after="160" w:line="240" w:lineRule="exact"/>
      <w:jc w:val="right"/>
    </w:pPr>
    <w:rPr>
      <w:rFonts w:ascii="Verdana" w:hAnsi="Verdana" w:cs="Verdana"/>
      <w:sz w:val="20"/>
      <w:szCs w:val="20"/>
      <w:lang w:eastAsia="en-US"/>
    </w:rPr>
  </w:style>
  <w:style w:type="character" w:customStyle="1" w:styleId="red1">
    <w:name w:val="red1"/>
    <w:rsid w:val="008B4AE5"/>
    <w:rPr>
      <w:b/>
      <w:bCs/>
      <w:color w:val="0000FF"/>
      <w:shd w:val="clear" w:color="auto" w:fill="FFFF00"/>
    </w:rPr>
  </w:style>
  <w:style w:type="character" w:customStyle="1" w:styleId="Ttulo3Car">
    <w:name w:val="Título 3 Car"/>
    <w:link w:val="Ttulo3"/>
    <w:uiPriority w:val="9"/>
    <w:semiHidden/>
    <w:rsid w:val="00286D25"/>
    <w:rPr>
      <w:rFonts w:ascii="Cambria" w:eastAsia="Times New Roman" w:hAnsi="Cambria" w:cs="Times New Roman"/>
      <w:b/>
      <w:bCs/>
      <w:sz w:val="26"/>
      <w:szCs w:val="26"/>
      <w:lang w:eastAsia="es-ES"/>
    </w:rPr>
  </w:style>
  <w:style w:type="character" w:customStyle="1" w:styleId="Ttulo2Car">
    <w:name w:val="Título 2 Car"/>
    <w:link w:val="Ttulo2"/>
    <w:uiPriority w:val="9"/>
    <w:semiHidden/>
    <w:rsid w:val="00D54FB2"/>
    <w:rPr>
      <w:rFonts w:ascii="Calibri Light" w:eastAsia="Times New Roman" w:hAnsi="Calibri Light" w:cs="Times New Roman"/>
      <w:b/>
      <w:bCs/>
      <w:i/>
      <w:iCs/>
      <w:sz w:val="28"/>
      <w:szCs w:val="28"/>
      <w:lang w:eastAsia="es-ES"/>
    </w:rPr>
  </w:style>
  <w:style w:type="paragraph" w:styleId="Textosinformato">
    <w:name w:val="Plain Text"/>
    <w:basedOn w:val="Normal"/>
    <w:link w:val="TextosinformatoCar"/>
    <w:rsid w:val="00616AA8"/>
    <w:rPr>
      <w:rFonts w:ascii="Courier New" w:hAnsi="Courier New"/>
      <w:sz w:val="20"/>
      <w:szCs w:val="20"/>
      <w:lang w:val="es-ES"/>
    </w:rPr>
  </w:style>
  <w:style w:type="character" w:customStyle="1" w:styleId="TextosinformatoCar">
    <w:name w:val="Texto sin formato Car"/>
    <w:link w:val="Textosinformato"/>
    <w:rsid w:val="00616AA8"/>
    <w:rPr>
      <w:rFonts w:ascii="Courier New" w:eastAsia="Times New Roman" w:hAnsi="Courier New"/>
      <w:lang w:val="es-ES" w:eastAsia="es-ES"/>
    </w:rPr>
  </w:style>
  <w:style w:type="paragraph" w:customStyle="1" w:styleId="Texto">
    <w:name w:val="Texto"/>
    <w:basedOn w:val="Normal"/>
    <w:qFormat/>
    <w:rsid w:val="00616AA8"/>
    <w:pPr>
      <w:spacing w:after="101" w:line="216" w:lineRule="exact"/>
      <w:ind w:firstLine="288"/>
      <w:jc w:val="both"/>
    </w:pPr>
    <w:rPr>
      <w:rFonts w:ascii="Arial" w:hAnsi="Arial" w:cs="Arial"/>
      <w:sz w:val="18"/>
      <w:szCs w:val="18"/>
      <w:lang w:val="es-ES"/>
    </w:rPr>
  </w:style>
  <w:style w:type="character" w:styleId="Refdecomentario">
    <w:name w:val="annotation reference"/>
    <w:uiPriority w:val="99"/>
    <w:semiHidden/>
    <w:unhideWhenUsed/>
    <w:rsid w:val="00A330D7"/>
    <w:rPr>
      <w:sz w:val="16"/>
      <w:szCs w:val="16"/>
    </w:rPr>
  </w:style>
  <w:style w:type="paragraph" w:styleId="Textocomentario">
    <w:name w:val="annotation text"/>
    <w:basedOn w:val="Normal"/>
    <w:link w:val="TextocomentarioCar"/>
    <w:uiPriority w:val="99"/>
    <w:unhideWhenUsed/>
    <w:rsid w:val="00A330D7"/>
    <w:rPr>
      <w:sz w:val="20"/>
      <w:szCs w:val="20"/>
    </w:rPr>
  </w:style>
  <w:style w:type="character" w:customStyle="1" w:styleId="TextocomentarioCar">
    <w:name w:val="Texto comentario Car"/>
    <w:link w:val="Textocomentario"/>
    <w:uiPriority w:val="99"/>
    <w:rsid w:val="00A330D7"/>
    <w:rPr>
      <w:rFonts w:ascii="Times New Roman" w:eastAsia="Times New Roman" w:hAnsi="Times New Roman"/>
      <w:lang w:eastAsia="es-ES"/>
    </w:rPr>
  </w:style>
  <w:style w:type="paragraph" w:styleId="Asuntodelcomentario">
    <w:name w:val="annotation subject"/>
    <w:basedOn w:val="Textocomentario"/>
    <w:next w:val="Textocomentario"/>
    <w:link w:val="AsuntodelcomentarioCar"/>
    <w:uiPriority w:val="99"/>
    <w:semiHidden/>
    <w:unhideWhenUsed/>
    <w:rsid w:val="00A330D7"/>
    <w:rPr>
      <w:b/>
      <w:bCs/>
    </w:rPr>
  </w:style>
  <w:style w:type="character" w:customStyle="1" w:styleId="AsuntodelcomentarioCar">
    <w:name w:val="Asunto del comentario Car"/>
    <w:link w:val="Asuntodelcomentario"/>
    <w:uiPriority w:val="99"/>
    <w:semiHidden/>
    <w:rsid w:val="00A330D7"/>
    <w:rPr>
      <w:rFonts w:ascii="Times New Roman" w:eastAsia="Times New Roman" w:hAnsi="Times New Roman"/>
      <w:b/>
      <w:bCs/>
      <w:lang w:eastAsia="es-ES"/>
    </w:rPr>
  </w:style>
  <w:style w:type="paragraph" w:styleId="Revisin">
    <w:name w:val="Revision"/>
    <w:hidden/>
    <w:uiPriority w:val="99"/>
    <w:semiHidden/>
    <w:rsid w:val="00206FD7"/>
    <w:rPr>
      <w:rFonts w:ascii="Times New Roman" w:eastAsia="Times New Roman" w:hAnsi="Times New Roman"/>
      <w:sz w:val="24"/>
      <w:szCs w:val="24"/>
      <w:lang w:eastAsia="es-ES"/>
    </w:rPr>
  </w:style>
  <w:style w:type="character" w:customStyle="1" w:styleId="corte1datosCar">
    <w:name w:val="corte1 datos Car"/>
    <w:link w:val="corte1datos"/>
    <w:rsid w:val="00C7422C"/>
    <w:rPr>
      <w:rFonts w:ascii="Arial" w:eastAsia="Times New Roman" w:hAnsi="Arial"/>
      <w:b/>
      <w:caps/>
      <w:sz w:val="30"/>
      <w:szCs w:val="24"/>
      <w:lang w:eastAsia="es-ES"/>
    </w:rPr>
  </w:style>
  <w:style w:type="character" w:customStyle="1" w:styleId="PrrafodelistaCar">
    <w:name w:val="Párrafo de lista Car"/>
    <w:aliases w:val="Cuadrícula clara - Énfasis 31 Car,Cita texto Car,Footnote Car"/>
    <w:link w:val="Prrafodelista"/>
    <w:uiPriority w:val="34"/>
    <w:locked/>
    <w:rsid w:val="00867791"/>
    <w:rPr>
      <w:rFonts w:ascii="Times New Roman" w:eastAsia="Times New Roman" w:hAnsi="Times New Roman"/>
      <w:sz w:val="24"/>
      <w:szCs w:val="24"/>
      <w:lang w:eastAsia="es-ES"/>
    </w:rPr>
  </w:style>
  <w:style w:type="character" w:customStyle="1" w:styleId="corte4fondoCar3">
    <w:name w:val="corte4 fondo Car3"/>
    <w:locked/>
    <w:rsid w:val="00045616"/>
    <w:rPr>
      <w:rFonts w:ascii="Arial" w:eastAsia="Times New Roman" w:hAnsi="Arial" w:cs="Times New Roman"/>
      <w:sz w:val="30"/>
      <w:szCs w:val="20"/>
      <w:lang w:val="es-ES_tradnl" w:eastAsia="es-MX"/>
    </w:rPr>
  </w:style>
  <w:style w:type="character" w:styleId="Mencionar">
    <w:name w:val="Mention"/>
    <w:uiPriority w:val="99"/>
    <w:unhideWhenUsed/>
    <w:rsid w:val="00A65EBC"/>
    <w:rPr>
      <w:color w:val="2B579A"/>
      <w:shd w:val="clear" w:color="auto" w:fill="E1DFDD"/>
    </w:rPr>
  </w:style>
  <w:style w:type="character" w:styleId="Mencinsinresolver">
    <w:name w:val="Unresolved Mention"/>
    <w:uiPriority w:val="99"/>
    <w:semiHidden/>
    <w:unhideWhenUsed/>
    <w:rsid w:val="00DE586A"/>
    <w:rPr>
      <w:color w:val="605E5C"/>
      <w:shd w:val="clear" w:color="auto" w:fill="E1DFDD"/>
    </w:rPr>
  </w:style>
  <w:style w:type="character" w:styleId="Hipervnculovisitado">
    <w:name w:val="FollowedHyperlink"/>
    <w:uiPriority w:val="99"/>
    <w:semiHidden/>
    <w:unhideWhenUsed/>
    <w:rsid w:val="00DE586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12598">
      <w:bodyDiv w:val="1"/>
      <w:marLeft w:val="0"/>
      <w:marRight w:val="0"/>
      <w:marTop w:val="0"/>
      <w:marBottom w:val="0"/>
      <w:divBdr>
        <w:top w:val="none" w:sz="0" w:space="0" w:color="auto"/>
        <w:left w:val="none" w:sz="0" w:space="0" w:color="auto"/>
        <w:bottom w:val="none" w:sz="0" w:space="0" w:color="auto"/>
        <w:right w:val="none" w:sz="0" w:space="0" w:color="auto"/>
      </w:divBdr>
      <w:divsChild>
        <w:div w:id="1422723049">
          <w:marLeft w:val="0"/>
          <w:marRight w:val="0"/>
          <w:marTop w:val="0"/>
          <w:marBottom w:val="0"/>
          <w:divBdr>
            <w:top w:val="none" w:sz="0" w:space="0" w:color="auto"/>
            <w:left w:val="none" w:sz="0" w:space="0" w:color="auto"/>
            <w:bottom w:val="none" w:sz="0" w:space="0" w:color="auto"/>
            <w:right w:val="none" w:sz="0" w:space="0" w:color="auto"/>
          </w:divBdr>
          <w:divsChild>
            <w:div w:id="1819029152">
              <w:marLeft w:val="0"/>
              <w:marRight w:val="0"/>
              <w:marTop w:val="0"/>
              <w:marBottom w:val="0"/>
              <w:divBdr>
                <w:top w:val="none" w:sz="0" w:space="0" w:color="auto"/>
                <w:left w:val="none" w:sz="0" w:space="0" w:color="auto"/>
                <w:bottom w:val="none" w:sz="0" w:space="0" w:color="auto"/>
                <w:right w:val="none" w:sz="0" w:space="0" w:color="auto"/>
              </w:divBdr>
              <w:divsChild>
                <w:div w:id="9414501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924575">
      <w:bodyDiv w:val="1"/>
      <w:marLeft w:val="0"/>
      <w:marRight w:val="0"/>
      <w:marTop w:val="0"/>
      <w:marBottom w:val="0"/>
      <w:divBdr>
        <w:top w:val="none" w:sz="0" w:space="0" w:color="auto"/>
        <w:left w:val="none" w:sz="0" w:space="0" w:color="auto"/>
        <w:bottom w:val="none" w:sz="0" w:space="0" w:color="auto"/>
        <w:right w:val="none" w:sz="0" w:space="0" w:color="auto"/>
      </w:divBdr>
      <w:divsChild>
        <w:div w:id="2107726001">
          <w:marLeft w:val="0"/>
          <w:marRight w:val="0"/>
          <w:marTop w:val="0"/>
          <w:marBottom w:val="0"/>
          <w:divBdr>
            <w:top w:val="none" w:sz="0" w:space="0" w:color="auto"/>
            <w:left w:val="none" w:sz="0" w:space="0" w:color="auto"/>
            <w:bottom w:val="none" w:sz="0" w:space="0" w:color="auto"/>
            <w:right w:val="none" w:sz="0" w:space="0" w:color="auto"/>
          </w:divBdr>
          <w:divsChild>
            <w:div w:id="1221094116">
              <w:marLeft w:val="0"/>
              <w:marRight w:val="0"/>
              <w:marTop w:val="0"/>
              <w:marBottom w:val="0"/>
              <w:divBdr>
                <w:top w:val="none" w:sz="0" w:space="0" w:color="auto"/>
                <w:left w:val="none" w:sz="0" w:space="0" w:color="auto"/>
                <w:bottom w:val="none" w:sz="0" w:space="0" w:color="auto"/>
                <w:right w:val="none" w:sz="0" w:space="0" w:color="auto"/>
              </w:divBdr>
              <w:divsChild>
                <w:div w:id="7958332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13005">
      <w:bodyDiv w:val="1"/>
      <w:marLeft w:val="0"/>
      <w:marRight w:val="0"/>
      <w:marTop w:val="0"/>
      <w:marBottom w:val="0"/>
      <w:divBdr>
        <w:top w:val="none" w:sz="0" w:space="0" w:color="auto"/>
        <w:left w:val="none" w:sz="0" w:space="0" w:color="auto"/>
        <w:bottom w:val="none" w:sz="0" w:space="0" w:color="auto"/>
        <w:right w:val="none" w:sz="0" w:space="0" w:color="auto"/>
      </w:divBdr>
      <w:divsChild>
        <w:div w:id="169567213">
          <w:marLeft w:val="0"/>
          <w:marRight w:val="0"/>
          <w:marTop w:val="0"/>
          <w:marBottom w:val="0"/>
          <w:divBdr>
            <w:top w:val="none" w:sz="0" w:space="0" w:color="auto"/>
            <w:left w:val="none" w:sz="0" w:space="0" w:color="auto"/>
            <w:bottom w:val="none" w:sz="0" w:space="0" w:color="auto"/>
            <w:right w:val="none" w:sz="0" w:space="0" w:color="auto"/>
          </w:divBdr>
          <w:divsChild>
            <w:div w:id="1543902153">
              <w:marLeft w:val="0"/>
              <w:marRight w:val="0"/>
              <w:marTop w:val="0"/>
              <w:marBottom w:val="0"/>
              <w:divBdr>
                <w:top w:val="none" w:sz="0" w:space="0" w:color="auto"/>
                <w:left w:val="none" w:sz="0" w:space="0" w:color="auto"/>
                <w:bottom w:val="none" w:sz="0" w:space="0" w:color="auto"/>
                <w:right w:val="none" w:sz="0" w:space="0" w:color="auto"/>
              </w:divBdr>
              <w:divsChild>
                <w:div w:id="16929953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267936">
      <w:bodyDiv w:val="1"/>
      <w:marLeft w:val="0"/>
      <w:marRight w:val="0"/>
      <w:marTop w:val="0"/>
      <w:marBottom w:val="0"/>
      <w:divBdr>
        <w:top w:val="none" w:sz="0" w:space="0" w:color="auto"/>
        <w:left w:val="none" w:sz="0" w:space="0" w:color="auto"/>
        <w:bottom w:val="none" w:sz="0" w:space="0" w:color="auto"/>
        <w:right w:val="none" w:sz="0" w:space="0" w:color="auto"/>
      </w:divBdr>
    </w:div>
    <w:div w:id="1543244310">
      <w:bodyDiv w:val="1"/>
      <w:marLeft w:val="0"/>
      <w:marRight w:val="0"/>
      <w:marTop w:val="0"/>
      <w:marBottom w:val="0"/>
      <w:divBdr>
        <w:top w:val="none" w:sz="0" w:space="0" w:color="auto"/>
        <w:left w:val="none" w:sz="0" w:space="0" w:color="auto"/>
        <w:bottom w:val="none" w:sz="0" w:space="0" w:color="auto"/>
        <w:right w:val="none" w:sz="0" w:space="0" w:color="auto"/>
      </w:divBdr>
      <w:divsChild>
        <w:div w:id="979460932">
          <w:marLeft w:val="0"/>
          <w:marRight w:val="0"/>
          <w:marTop w:val="0"/>
          <w:marBottom w:val="0"/>
          <w:divBdr>
            <w:top w:val="none" w:sz="0" w:space="0" w:color="auto"/>
            <w:left w:val="none" w:sz="0" w:space="0" w:color="auto"/>
            <w:bottom w:val="none" w:sz="0" w:space="0" w:color="auto"/>
            <w:right w:val="none" w:sz="0" w:space="0" w:color="auto"/>
          </w:divBdr>
          <w:divsChild>
            <w:div w:id="68579310">
              <w:marLeft w:val="0"/>
              <w:marRight w:val="0"/>
              <w:marTop w:val="0"/>
              <w:marBottom w:val="0"/>
              <w:divBdr>
                <w:top w:val="none" w:sz="0" w:space="0" w:color="auto"/>
                <w:left w:val="none" w:sz="0" w:space="0" w:color="auto"/>
                <w:bottom w:val="none" w:sz="0" w:space="0" w:color="auto"/>
                <w:right w:val="none" w:sz="0" w:space="0" w:color="auto"/>
              </w:divBdr>
              <w:divsChild>
                <w:div w:id="158479497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993087">
      <w:bodyDiv w:val="1"/>
      <w:marLeft w:val="0"/>
      <w:marRight w:val="0"/>
      <w:marTop w:val="0"/>
      <w:marBottom w:val="0"/>
      <w:divBdr>
        <w:top w:val="none" w:sz="0" w:space="0" w:color="auto"/>
        <w:left w:val="none" w:sz="0" w:space="0" w:color="auto"/>
        <w:bottom w:val="none" w:sz="0" w:space="0" w:color="auto"/>
        <w:right w:val="none" w:sz="0" w:space="0" w:color="auto"/>
      </w:divBdr>
      <w:divsChild>
        <w:div w:id="2045868046">
          <w:marLeft w:val="0"/>
          <w:marRight w:val="0"/>
          <w:marTop w:val="0"/>
          <w:marBottom w:val="0"/>
          <w:divBdr>
            <w:top w:val="none" w:sz="0" w:space="0" w:color="auto"/>
            <w:left w:val="none" w:sz="0" w:space="0" w:color="auto"/>
            <w:bottom w:val="none" w:sz="0" w:space="0" w:color="auto"/>
            <w:right w:val="none" w:sz="0" w:space="0" w:color="auto"/>
          </w:divBdr>
          <w:divsChild>
            <w:div w:id="1658724046">
              <w:marLeft w:val="0"/>
              <w:marRight w:val="0"/>
              <w:marTop w:val="0"/>
              <w:marBottom w:val="0"/>
              <w:divBdr>
                <w:top w:val="none" w:sz="0" w:space="0" w:color="auto"/>
                <w:left w:val="none" w:sz="0" w:space="0" w:color="auto"/>
                <w:bottom w:val="none" w:sz="0" w:space="0" w:color="auto"/>
                <w:right w:val="none" w:sz="0" w:space="0" w:color="auto"/>
              </w:divBdr>
              <w:divsChild>
                <w:div w:id="191512402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381747">
      <w:bodyDiv w:val="1"/>
      <w:marLeft w:val="0"/>
      <w:marRight w:val="0"/>
      <w:marTop w:val="0"/>
      <w:marBottom w:val="0"/>
      <w:divBdr>
        <w:top w:val="none" w:sz="0" w:space="0" w:color="auto"/>
        <w:left w:val="none" w:sz="0" w:space="0" w:color="auto"/>
        <w:bottom w:val="none" w:sz="0" w:space="0" w:color="auto"/>
        <w:right w:val="none" w:sz="0" w:space="0" w:color="auto"/>
      </w:divBdr>
      <w:divsChild>
        <w:div w:id="1321421072">
          <w:marLeft w:val="0"/>
          <w:marRight w:val="0"/>
          <w:marTop w:val="0"/>
          <w:marBottom w:val="0"/>
          <w:divBdr>
            <w:top w:val="none" w:sz="0" w:space="0" w:color="auto"/>
            <w:left w:val="none" w:sz="0" w:space="0" w:color="auto"/>
            <w:bottom w:val="none" w:sz="0" w:space="0" w:color="auto"/>
            <w:right w:val="none" w:sz="0" w:space="0" w:color="auto"/>
          </w:divBdr>
          <w:divsChild>
            <w:div w:id="2110159684">
              <w:marLeft w:val="0"/>
              <w:marRight w:val="0"/>
              <w:marTop w:val="0"/>
              <w:marBottom w:val="0"/>
              <w:divBdr>
                <w:top w:val="none" w:sz="0" w:space="0" w:color="auto"/>
                <w:left w:val="none" w:sz="0" w:space="0" w:color="auto"/>
                <w:bottom w:val="none" w:sz="0" w:space="0" w:color="auto"/>
                <w:right w:val="none" w:sz="0" w:space="0" w:color="auto"/>
              </w:divBdr>
              <w:divsChild>
                <w:div w:id="196565186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184034">
      <w:bodyDiv w:val="1"/>
      <w:marLeft w:val="0"/>
      <w:marRight w:val="0"/>
      <w:marTop w:val="0"/>
      <w:marBottom w:val="0"/>
      <w:divBdr>
        <w:top w:val="none" w:sz="0" w:space="0" w:color="auto"/>
        <w:left w:val="none" w:sz="0" w:space="0" w:color="auto"/>
        <w:bottom w:val="none" w:sz="0" w:space="0" w:color="auto"/>
        <w:right w:val="none" w:sz="0" w:space="0" w:color="auto"/>
      </w:divBdr>
      <w:divsChild>
        <w:div w:id="1062753092">
          <w:marLeft w:val="0"/>
          <w:marRight w:val="0"/>
          <w:marTop w:val="0"/>
          <w:marBottom w:val="0"/>
          <w:divBdr>
            <w:top w:val="none" w:sz="0" w:space="0" w:color="auto"/>
            <w:left w:val="none" w:sz="0" w:space="0" w:color="auto"/>
            <w:bottom w:val="none" w:sz="0" w:space="0" w:color="auto"/>
            <w:right w:val="none" w:sz="0" w:space="0" w:color="auto"/>
          </w:divBdr>
          <w:divsChild>
            <w:div w:id="56127792">
              <w:marLeft w:val="0"/>
              <w:marRight w:val="0"/>
              <w:marTop w:val="0"/>
              <w:marBottom w:val="0"/>
              <w:divBdr>
                <w:top w:val="none" w:sz="0" w:space="0" w:color="auto"/>
                <w:left w:val="none" w:sz="0" w:space="0" w:color="auto"/>
                <w:bottom w:val="none" w:sz="0" w:space="0" w:color="auto"/>
                <w:right w:val="none" w:sz="0" w:space="0" w:color="auto"/>
              </w:divBdr>
              <w:divsChild>
                <w:div w:id="17427050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periodicooficial.oaxaca.gob.mx/files/2022/12/SEC51-07MA-2022-12-17.pdf" TargetMode="External"/><Relationship Id="rId1" Type="http://schemas.openxmlformats.org/officeDocument/2006/relationships/hyperlink" Target="http://www.periodicooficial.oaxaca.gob.mx/files/2022/01/SEC02-11VA-2022-01-08.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E19F8-E0CC-4D51-9485-934973CE5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19</Pages>
  <Words>4516</Words>
  <Characters>24840</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29298</CharactersWithSpaces>
  <SharedDoc>false</SharedDoc>
  <HLinks>
    <vt:vector size="12" baseType="variant">
      <vt:variant>
        <vt:i4>6029399</vt:i4>
      </vt:variant>
      <vt:variant>
        <vt:i4>3</vt:i4>
      </vt:variant>
      <vt:variant>
        <vt:i4>0</vt:i4>
      </vt:variant>
      <vt:variant>
        <vt:i4>5</vt:i4>
      </vt:variant>
      <vt:variant>
        <vt:lpwstr>http://www.periodicooficial.oaxaca.gob.mx/files/2022/12/SEC51-07MA-2022-12-17.pdf</vt:lpwstr>
      </vt:variant>
      <vt:variant>
        <vt:lpwstr/>
      </vt:variant>
      <vt:variant>
        <vt:i4>6029379</vt:i4>
      </vt:variant>
      <vt:variant>
        <vt:i4>0</vt:i4>
      </vt:variant>
      <vt:variant>
        <vt:i4>0</vt:i4>
      </vt:variant>
      <vt:variant>
        <vt:i4>5</vt:i4>
      </vt:variant>
      <vt:variant>
        <vt:lpwstr>http://www.periodicooficial.oaxaca.gob.mx/files/2022/01/SEC02-11VA-2022-01-08.pdf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EDUARDO MICHEL REGALADO</dc:creator>
  <cp:keywords/>
  <cp:lastModifiedBy>CHRISTIAN GEOVANNI SANDOVAL OCHOA</cp:lastModifiedBy>
  <cp:revision>48</cp:revision>
  <cp:lastPrinted>2018-07-11T04:55:00Z</cp:lastPrinted>
  <dcterms:created xsi:type="dcterms:W3CDTF">2023-03-28T18:00:00Z</dcterms:created>
  <dcterms:modified xsi:type="dcterms:W3CDTF">2023-03-31T16:40:00Z</dcterms:modified>
</cp:coreProperties>
</file>