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0D" w:rsidRPr="00830A4C" w:rsidRDefault="00875D0D" w:rsidP="00875D0D">
      <w:pPr>
        <w:jc w:val="both"/>
        <w:rPr>
          <w:rFonts w:asciiTheme="majorHAnsi" w:hAnsiTheme="majorHAnsi" w:cs="Arial"/>
          <w:b/>
          <w:sz w:val="22"/>
          <w:szCs w:val="26"/>
          <w:lang w:val="es-MX"/>
        </w:rPr>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875D0D" w:rsidRPr="004E1E63" w:rsidRDefault="00875D0D" w:rsidP="00875D0D">
      <w:pPr>
        <w:ind w:left="709"/>
        <w:jc w:val="both"/>
        <w:rPr>
          <w:rFonts w:ascii="Georgia" w:hAnsi="Georgia" w:cs="Arial"/>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sumarios: </w:t>
      </w:r>
      <w:r w:rsidRPr="004E1E63">
        <w:rPr>
          <w:rFonts w:ascii="Georgia" w:hAnsi="Georgia" w:cs="Arial"/>
          <w:b/>
          <w:sz w:val="22"/>
          <w:szCs w:val="26"/>
          <w:lang w:val="es-MX"/>
        </w:rPr>
        <w:t>9</w:t>
      </w:r>
      <w:r w:rsidR="00CC1A8E">
        <w:rPr>
          <w:rFonts w:ascii="Georgia" w:hAnsi="Georgia" w:cs="Arial"/>
          <w:b/>
          <w:sz w:val="22"/>
          <w:szCs w:val="26"/>
          <w:lang w:val="es-MX"/>
        </w:rPr>
        <w:t>6</w:t>
      </w:r>
      <w:r w:rsidR="00BA3A9A">
        <w:rPr>
          <w:rFonts w:ascii="Georgia" w:hAnsi="Georgia" w:cs="Arial"/>
          <w:b/>
          <w:sz w:val="22"/>
          <w:szCs w:val="26"/>
          <w:lang w:val="es-MX"/>
        </w:rPr>
        <w:t>.</w:t>
      </w:r>
      <w:r w:rsidR="00CC1A8E">
        <w:rPr>
          <w:rFonts w:ascii="Georgia" w:hAnsi="Georgia" w:cs="Arial"/>
          <w:b/>
          <w:sz w:val="22"/>
          <w:szCs w:val="26"/>
          <w:lang w:val="es-MX"/>
        </w:rPr>
        <w:t>81</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ordinarios: </w:t>
      </w:r>
      <w:r w:rsidR="00CC1A8E">
        <w:rPr>
          <w:rFonts w:ascii="Georgia" w:hAnsi="Georgia" w:cs="Arial"/>
          <w:b/>
          <w:sz w:val="22"/>
          <w:szCs w:val="26"/>
          <w:lang w:val="es-MX"/>
        </w:rPr>
        <w:t>3.19</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875D0D">
      <w:pPr>
        <w:ind w:left="709"/>
        <w:jc w:val="both"/>
        <w:rPr>
          <w:rFonts w:ascii="Georgia" w:hAnsi="Georgia" w:cs="Arial"/>
          <w:b/>
          <w:sz w:val="22"/>
          <w:szCs w:val="26"/>
          <w:lang w:val="es-MX"/>
        </w:rPr>
      </w:pPr>
      <w:r w:rsidRPr="00830A4C">
        <w:rPr>
          <w:rFonts w:ascii="Georgia" w:hAnsi="Georgia" w:cs="Arial"/>
          <w:b/>
          <w:sz w:val="22"/>
          <w:szCs w:val="26"/>
          <w:lang w:val="es-MX"/>
        </w:rPr>
        <w:t>Gráfica:</w:t>
      </w:r>
    </w:p>
    <w:p w:rsidR="00FE23D2" w:rsidRPr="00830A4C" w:rsidRDefault="00FE23D2" w:rsidP="00875D0D">
      <w:pPr>
        <w:ind w:left="709"/>
        <w:jc w:val="both"/>
        <w:rPr>
          <w:rFonts w:ascii="Georgia" w:hAnsi="Georgia" w:cs="Arial"/>
          <w:b/>
          <w:sz w:val="22"/>
          <w:szCs w:val="26"/>
          <w:lang w:val="es-MX"/>
        </w:rPr>
      </w:pPr>
    </w:p>
    <w:p w:rsidR="004040B6" w:rsidRDefault="00CC1A8E" w:rsidP="00CC1A8E">
      <w:pPr>
        <w:spacing w:after="200" w:line="276" w:lineRule="auto"/>
        <w:jc w:val="center"/>
        <w:rPr>
          <w:rFonts w:asciiTheme="minorHAnsi" w:eastAsia="Times New Roman" w:hAnsiTheme="minorHAnsi"/>
          <w:sz w:val="20"/>
          <w:szCs w:val="20"/>
          <w:lang w:val="es-ES" w:eastAsia="es-MX"/>
        </w:rPr>
      </w:pPr>
      <w:r>
        <w:rPr>
          <w:noProof/>
          <w:lang w:val="es-ES" w:eastAsia="es-ES"/>
        </w:rPr>
        <w:drawing>
          <wp:inline distT="0" distB="0" distL="0" distR="0" wp14:anchorId="319CB253" wp14:editId="6371FB08">
            <wp:extent cx="4696627" cy="265747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040B6">
        <w:br w:type="page"/>
      </w:r>
    </w:p>
    <w:p w:rsidR="00875D0D" w:rsidRPr="00830A4C" w:rsidRDefault="00875D0D" w:rsidP="00875D0D">
      <w:pPr>
        <w:numPr>
          <w:ilvl w:val="0"/>
          <w:numId w:val="2"/>
        </w:numPr>
        <w:jc w:val="both"/>
        <w:rPr>
          <w:rFonts w:ascii="Georgia" w:hAnsi="Georgia" w:cs="Arial"/>
          <w:b/>
          <w:sz w:val="22"/>
          <w:szCs w:val="26"/>
          <w:lang w:val="es-MX"/>
        </w:rPr>
      </w:pPr>
      <w:r w:rsidRPr="00830A4C">
        <w:rPr>
          <w:rFonts w:ascii="Georgia" w:hAnsi="Georgia" w:cs="Arial"/>
          <w:b/>
          <w:sz w:val="22"/>
          <w:szCs w:val="26"/>
          <w:lang w:val="es-MX"/>
        </w:rPr>
        <w:lastRenderedPageBreak/>
        <w:t>Trámite de solicitudes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875D0D" w:rsidRDefault="00875D0D" w:rsidP="00E975AD">
      <w:pPr>
        <w:ind w:left="709"/>
        <w:jc w:val="both"/>
      </w:pPr>
      <w:r w:rsidRPr="00830A4C">
        <w:rPr>
          <w:rFonts w:ascii="Georgia" w:hAnsi="Georgia" w:cs="Arial"/>
          <w:b/>
          <w:sz w:val="22"/>
          <w:szCs w:val="26"/>
        </w:rPr>
        <w:t>Resultados:</w:t>
      </w:r>
      <w:r w:rsidR="004E1E63">
        <w:tab/>
      </w:r>
    </w:p>
    <w:tbl>
      <w:tblPr>
        <w:tblpPr w:leftFromText="141" w:rightFromText="141" w:vertAnchor="text" w:tblpY="1"/>
        <w:tblOverlap w:val="never"/>
        <w:tblW w:w="7802" w:type="dxa"/>
        <w:tblInd w:w="708" w:type="dxa"/>
        <w:tblCellMar>
          <w:left w:w="70" w:type="dxa"/>
          <w:right w:w="70" w:type="dxa"/>
        </w:tblCellMar>
        <w:tblLook w:val="04A0" w:firstRow="1" w:lastRow="0" w:firstColumn="1" w:lastColumn="0" w:noHBand="0" w:noVBand="1"/>
      </w:tblPr>
      <w:tblGrid>
        <w:gridCol w:w="5000"/>
        <w:gridCol w:w="1434"/>
        <w:gridCol w:w="1368"/>
      </w:tblGrid>
      <w:tr w:rsidR="00875D0D" w:rsidRPr="008873FE" w:rsidTr="00C85EE0">
        <w:trPr>
          <w:trHeight w:val="270"/>
        </w:trPr>
        <w:tc>
          <w:tcPr>
            <w:tcW w:w="5000" w:type="dxa"/>
            <w:tcBorders>
              <w:top w:val="nil"/>
              <w:left w:val="nil"/>
              <w:bottom w:val="single" w:sz="8" w:space="0" w:color="auto"/>
              <w:right w:val="nil"/>
            </w:tcBorders>
            <w:shd w:val="clear" w:color="auto" w:fill="auto"/>
            <w:noWrap/>
            <w:vAlign w:val="bottom"/>
            <w:hideMark/>
          </w:tcPr>
          <w:p w:rsidR="00875D0D" w:rsidRPr="00875D0D" w:rsidRDefault="00875D0D" w:rsidP="00C85EE0">
            <w:pPr>
              <w:rPr>
                <w:rFonts w:ascii="Arial" w:hAnsi="Arial" w:cs="Arial"/>
                <w:sz w:val="20"/>
                <w:szCs w:val="20"/>
              </w:rPr>
            </w:pPr>
          </w:p>
        </w:tc>
        <w:tc>
          <w:tcPr>
            <w:tcW w:w="1434"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C85EE0">
            <w:pPr>
              <w:jc w:val="center"/>
              <w:rPr>
                <w:rFonts w:ascii="Arial" w:hAnsi="Arial" w:cs="Arial"/>
                <w:b/>
                <w:bCs/>
                <w:color w:val="FFFFFF"/>
                <w:sz w:val="20"/>
              </w:rPr>
            </w:pPr>
            <w:r w:rsidRPr="00875D0D">
              <w:rPr>
                <w:rFonts w:ascii="Arial" w:hAnsi="Arial" w:cs="Arial"/>
                <w:b/>
                <w:bCs/>
                <w:color w:val="FFFFFF"/>
                <w:sz w:val="20"/>
                <w:szCs w:val="22"/>
              </w:rPr>
              <w:t>Sumarios</w:t>
            </w:r>
          </w:p>
        </w:tc>
        <w:tc>
          <w:tcPr>
            <w:tcW w:w="13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C85EE0">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C85EE0">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C85EE0">
            <w:pPr>
              <w:jc w:val="center"/>
              <w:rPr>
                <w:rFonts w:ascii="Arial" w:hAnsi="Arial" w:cs="Arial"/>
                <w:b/>
                <w:bCs/>
                <w:color w:val="FFFFFF"/>
                <w:sz w:val="20"/>
              </w:rPr>
            </w:pPr>
            <w:r w:rsidRPr="00875D0D">
              <w:rPr>
                <w:rFonts w:ascii="Arial" w:hAnsi="Arial" w:cs="Arial"/>
                <w:b/>
                <w:bCs/>
                <w:color w:val="FFFFFF"/>
                <w:sz w:val="20"/>
                <w:szCs w:val="22"/>
              </w:rPr>
              <w:t>Ciudad</w:t>
            </w:r>
          </w:p>
        </w:tc>
        <w:tc>
          <w:tcPr>
            <w:tcW w:w="1434"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C85EE0">
            <w:pPr>
              <w:jc w:val="center"/>
              <w:rPr>
                <w:rFonts w:ascii="Arial" w:hAnsi="Arial" w:cs="Arial"/>
                <w:b/>
                <w:bCs/>
                <w:color w:val="FFFFFF"/>
                <w:sz w:val="20"/>
              </w:rPr>
            </w:pPr>
            <w:r w:rsidRPr="00875D0D">
              <w:rPr>
                <w:rFonts w:ascii="Arial" w:hAnsi="Arial" w:cs="Arial"/>
                <w:b/>
                <w:bCs/>
                <w:color w:val="FFFFFF"/>
                <w:sz w:val="20"/>
                <w:szCs w:val="22"/>
              </w:rPr>
              <w:t>Tramitados</w:t>
            </w:r>
          </w:p>
        </w:tc>
        <w:tc>
          <w:tcPr>
            <w:tcW w:w="13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C85EE0">
            <w:pPr>
              <w:rPr>
                <w:rFonts w:ascii="Arial" w:hAnsi="Arial" w:cs="Arial"/>
                <w:b/>
                <w:bCs/>
                <w:color w:val="FFFFFF"/>
                <w:sz w:val="20"/>
              </w:rPr>
            </w:pPr>
          </w:p>
        </w:tc>
      </w:tr>
      <w:tr w:rsidR="00875D0D" w:rsidRPr="008725AA" w:rsidTr="008D420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hideMark/>
          </w:tcPr>
          <w:p w:rsidR="00875D0D" w:rsidRPr="00577FA5" w:rsidRDefault="00875D0D" w:rsidP="00C85EE0">
            <w:pPr>
              <w:rPr>
                <w:rFonts w:ascii="Georgia" w:hAnsi="Georgia" w:cs="Arial"/>
                <w:sz w:val="20"/>
                <w:szCs w:val="20"/>
              </w:rPr>
            </w:pPr>
            <w:r w:rsidRPr="00577FA5">
              <w:rPr>
                <w:rFonts w:ascii="Georgia" w:hAnsi="Georgia" w:cs="Arial"/>
                <w:sz w:val="20"/>
                <w:szCs w:val="20"/>
              </w:rPr>
              <w:t>Distrito Federal</w:t>
            </w:r>
            <w:r w:rsidRPr="00577FA5">
              <w:rPr>
                <w:rStyle w:val="Refdenotaalpie"/>
                <w:rFonts w:ascii="Georgia" w:hAnsi="Georgia" w:cs="Arial"/>
                <w:sz w:val="20"/>
                <w:szCs w:val="20"/>
              </w:rPr>
              <w:footnoteReference w:id="3"/>
            </w:r>
          </w:p>
        </w:tc>
        <w:tc>
          <w:tcPr>
            <w:tcW w:w="1434" w:type="dxa"/>
            <w:tcBorders>
              <w:top w:val="nil"/>
              <w:left w:val="nil"/>
              <w:bottom w:val="single" w:sz="8" w:space="0" w:color="auto"/>
              <w:right w:val="single" w:sz="8" w:space="0" w:color="auto"/>
            </w:tcBorders>
            <w:shd w:val="clear" w:color="auto" w:fill="auto"/>
            <w:noWrap/>
            <w:vAlign w:val="center"/>
          </w:tcPr>
          <w:p w:rsidR="00875D0D" w:rsidRPr="00577FA5" w:rsidRDefault="00CC1A8E" w:rsidP="00C85EE0">
            <w:pPr>
              <w:jc w:val="center"/>
              <w:rPr>
                <w:rFonts w:ascii="Georgia" w:hAnsi="Georgia" w:cs="Arial"/>
                <w:sz w:val="20"/>
                <w:szCs w:val="20"/>
              </w:rPr>
            </w:pPr>
            <w:r>
              <w:rPr>
                <w:rFonts w:ascii="Georgia" w:hAnsi="Georgia" w:cs="Arial"/>
                <w:sz w:val="20"/>
                <w:szCs w:val="20"/>
              </w:rPr>
              <w:t>2,924</w:t>
            </w:r>
          </w:p>
        </w:tc>
        <w:tc>
          <w:tcPr>
            <w:tcW w:w="1368" w:type="dxa"/>
            <w:tcBorders>
              <w:top w:val="nil"/>
              <w:left w:val="nil"/>
              <w:bottom w:val="single" w:sz="8" w:space="0" w:color="auto"/>
              <w:right w:val="single" w:sz="8" w:space="0" w:color="auto"/>
            </w:tcBorders>
            <w:shd w:val="clear" w:color="auto" w:fill="auto"/>
            <w:noWrap/>
            <w:vAlign w:val="center"/>
          </w:tcPr>
          <w:p w:rsidR="00875D0D" w:rsidRPr="00577FA5" w:rsidRDefault="00CC1A8E" w:rsidP="006771FE">
            <w:pPr>
              <w:jc w:val="center"/>
              <w:rPr>
                <w:rFonts w:ascii="Georgia" w:hAnsi="Georgia" w:cs="Arial"/>
                <w:sz w:val="20"/>
                <w:szCs w:val="20"/>
              </w:rPr>
            </w:pPr>
            <w:r>
              <w:rPr>
                <w:rFonts w:ascii="Georgia" w:hAnsi="Georgia" w:cs="Arial"/>
                <w:sz w:val="20"/>
                <w:szCs w:val="20"/>
              </w:rPr>
              <w:t>23.98%</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Zacatecas, Zac.</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1,117</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9.16%</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Tlaxcala, Tlax.</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784</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6.43%</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Toluca, Estado de Mex.</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599</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4.91%</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Aguascalientes, Ags</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444</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3.64%</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Oaxaca, Oax</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396</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3.25%</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Colima, Col.</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370</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3.03%</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Morelia, Mich.</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340</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2.79%</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Durango, Dgo.</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322</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2.64%</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Villahermosa, Tab.</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310</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2.54%</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Cancún, Q. Roo</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275</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2.25%</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Ciudad Obregón, Son.</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271</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2.22%</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lang w:val="es-MX"/>
              </w:rPr>
            </w:pPr>
            <w:r w:rsidRPr="00402C70">
              <w:rPr>
                <w:rFonts w:asciiTheme="majorHAnsi" w:hAnsiTheme="majorHAnsi" w:cs="Arial"/>
                <w:sz w:val="20"/>
                <w:szCs w:val="20"/>
                <w:lang w:val="es-MX"/>
              </w:rPr>
              <w:t>San Luis Potosí, S.L.P.</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245</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2.01%</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 xml:space="preserve">Acapulco, Gro. </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236</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1.94%</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Ensenada, B.C.</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209</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1.71%</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Culiacán, Sin.</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204</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1.67%</w:t>
            </w:r>
          </w:p>
        </w:tc>
      </w:tr>
      <w:tr w:rsidR="00CC1A8E" w:rsidRPr="00402C70" w:rsidTr="00C651D1">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Torreón, Coah.</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203</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1.66%</w:t>
            </w:r>
          </w:p>
        </w:tc>
      </w:tr>
    </w:tbl>
    <w:tbl>
      <w:tblPr>
        <w:tblW w:w="7802" w:type="dxa"/>
        <w:tblInd w:w="708" w:type="dxa"/>
        <w:tblCellMar>
          <w:left w:w="70" w:type="dxa"/>
          <w:right w:w="70" w:type="dxa"/>
        </w:tblCellMar>
        <w:tblLook w:val="04A0" w:firstRow="1" w:lastRow="0" w:firstColumn="1" w:lastColumn="0" w:noHBand="0" w:noVBand="1"/>
      </w:tblPr>
      <w:tblGrid>
        <w:gridCol w:w="5000"/>
        <w:gridCol w:w="1434"/>
        <w:gridCol w:w="1368"/>
      </w:tblGrid>
      <w:tr w:rsidR="00CC1A8E" w:rsidRPr="00402C70" w:rsidTr="004273F9">
        <w:trPr>
          <w:trHeight w:val="319"/>
        </w:trPr>
        <w:tc>
          <w:tcPr>
            <w:tcW w:w="5000" w:type="dxa"/>
            <w:tcBorders>
              <w:top w:val="nil"/>
              <w:left w:val="single" w:sz="8" w:space="0" w:color="auto"/>
              <w:bottom w:val="single" w:sz="8" w:space="0" w:color="auto"/>
              <w:right w:val="single" w:sz="8" w:space="0" w:color="auto"/>
            </w:tcBorders>
            <w:shd w:val="clear" w:color="auto" w:fill="auto"/>
            <w:noWrap/>
            <w:vAlign w:val="bottom"/>
          </w:tcPr>
          <w:p w:rsidR="00CC1A8E" w:rsidRPr="00402C70" w:rsidRDefault="00CC1A8E">
            <w:pPr>
              <w:rPr>
                <w:rFonts w:asciiTheme="majorHAnsi" w:hAnsiTheme="majorHAnsi" w:cs="Arial"/>
                <w:sz w:val="20"/>
                <w:szCs w:val="20"/>
              </w:rPr>
            </w:pPr>
            <w:r w:rsidRPr="00402C70">
              <w:rPr>
                <w:rFonts w:asciiTheme="majorHAnsi" w:hAnsiTheme="majorHAnsi" w:cs="Arial"/>
                <w:sz w:val="20"/>
                <w:szCs w:val="20"/>
              </w:rPr>
              <w:t>Mexicali, B.C</w:t>
            </w:r>
          </w:p>
        </w:tc>
        <w:tc>
          <w:tcPr>
            <w:tcW w:w="1434"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197</w:t>
            </w:r>
          </w:p>
        </w:tc>
        <w:tc>
          <w:tcPr>
            <w:tcW w:w="1368" w:type="dxa"/>
            <w:tcBorders>
              <w:top w:val="nil"/>
              <w:left w:val="nil"/>
              <w:bottom w:val="single" w:sz="8" w:space="0" w:color="auto"/>
              <w:right w:val="single" w:sz="8" w:space="0" w:color="auto"/>
            </w:tcBorders>
            <w:shd w:val="clear" w:color="auto" w:fill="auto"/>
            <w:noWrap/>
            <w:vAlign w:val="bottom"/>
          </w:tcPr>
          <w:p w:rsidR="00CC1A8E" w:rsidRPr="00402C70" w:rsidRDefault="00CC1A8E" w:rsidP="00402C70">
            <w:pPr>
              <w:jc w:val="center"/>
              <w:rPr>
                <w:rFonts w:asciiTheme="majorHAnsi" w:hAnsiTheme="majorHAnsi" w:cs="Arial"/>
                <w:sz w:val="20"/>
                <w:szCs w:val="20"/>
              </w:rPr>
            </w:pPr>
            <w:r w:rsidRPr="00402C70">
              <w:rPr>
                <w:rFonts w:asciiTheme="majorHAnsi" w:hAnsiTheme="majorHAnsi" w:cs="Arial"/>
                <w:sz w:val="20"/>
                <w:szCs w:val="20"/>
              </w:rPr>
              <w:t>1.62%</w:t>
            </w:r>
          </w:p>
        </w:tc>
      </w:tr>
      <w:tr w:rsidR="00402C70" w:rsidTr="00402C70">
        <w:trPr>
          <w:trHeight w:val="319"/>
        </w:trPr>
        <w:tc>
          <w:tcPr>
            <w:tcW w:w="5000" w:type="dxa"/>
            <w:tcBorders>
              <w:top w:val="nil"/>
              <w:left w:val="single" w:sz="8" w:space="0" w:color="auto"/>
              <w:bottom w:val="single" w:sz="8" w:space="0" w:color="auto"/>
              <w:right w:val="single" w:sz="8" w:space="0" w:color="auto"/>
            </w:tcBorders>
            <w:shd w:val="clear" w:color="auto" w:fill="auto"/>
            <w:noWrap/>
            <w:vAlign w:val="bottom"/>
          </w:tcPr>
          <w:p w:rsidR="00402C70" w:rsidRPr="00402C70" w:rsidRDefault="00402C70" w:rsidP="007428EF">
            <w:pPr>
              <w:rPr>
                <w:rFonts w:asciiTheme="majorHAnsi" w:hAnsiTheme="majorHAnsi" w:cs="Arial"/>
                <w:sz w:val="20"/>
                <w:szCs w:val="20"/>
              </w:rPr>
            </w:pPr>
            <w:r w:rsidRPr="00402C70">
              <w:rPr>
                <w:rFonts w:asciiTheme="majorHAnsi" w:hAnsiTheme="majorHAnsi" w:cs="Arial"/>
                <w:sz w:val="20"/>
                <w:szCs w:val="20"/>
              </w:rPr>
              <w:t>León, Gto.</w:t>
            </w:r>
          </w:p>
        </w:tc>
        <w:tc>
          <w:tcPr>
            <w:tcW w:w="1434" w:type="dxa"/>
            <w:tcBorders>
              <w:top w:val="nil"/>
              <w:left w:val="nil"/>
              <w:bottom w:val="single" w:sz="8" w:space="0" w:color="auto"/>
              <w:right w:val="single" w:sz="8" w:space="0" w:color="auto"/>
            </w:tcBorders>
            <w:shd w:val="clear" w:color="auto" w:fill="auto"/>
            <w:noWrap/>
            <w:vAlign w:val="bottom"/>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191</w:t>
            </w:r>
          </w:p>
        </w:tc>
        <w:tc>
          <w:tcPr>
            <w:tcW w:w="1368" w:type="dxa"/>
            <w:tcBorders>
              <w:top w:val="nil"/>
              <w:left w:val="nil"/>
              <w:bottom w:val="single" w:sz="8" w:space="0" w:color="auto"/>
              <w:right w:val="single" w:sz="8" w:space="0" w:color="auto"/>
            </w:tcBorders>
            <w:shd w:val="clear" w:color="auto" w:fill="auto"/>
            <w:noWrap/>
            <w:vAlign w:val="bottom"/>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1.57%</w:t>
            </w:r>
          </w:p>
        </w:tc>
      </w:tr>
      <w:tr w:rsidR="002D0E84" w:rsidRPr="00875D0D" w:rsidTr="0017624E">
        <w:trPr>
          <w:trHeight w:val="270"/>
        </w:trPr>
        <w:tc>
          <w:tcPr>
            <w:tcW w:w="5000" w:type="dxa"/>
            <w:tcBorders>
              <w:top w:val="nil"/>
              <w:left w:val="nil"/>
              <w:bottom w:val="single" w:sz="8" w:space="0" w:color="auto"/>
              <w:right w:val="nil"/>
            </w:tcBorders>
            <w:shd w:val="clear" w:color="auto" w:fill="auto"/>
            <w:noWrap/>
            <w:vAlign w:val="bottom"/>
            <w:hideMark/>
          </w:tcPr>
          <w:p w:rsidR="002D0E84" w:rsidRPr="00875D0D" w:rsidRDefault="00E975AD" w:rsidP="0017624E">
            <w:pPr>
              <w:rPr>
                <w:rFonts w:ascii="Arial" w:hAnsi="Arial" w:cs="Arial"/>
                <w:sz w:val="20"/>
                <w:szCs w:val="20"/>
              </w:rPr>
            </w:pPr>
            <w:r>
              <w:lastRenderedPageBreak/>
              <w:tab/>
            </w:r>
            <w:r w:rsidR="002D0E84">
              <w:tab/>
            </w:r>
          </w:p>
        </w:tc>
        <w:tc>
          <w:tcPr>
            <w:tcW w:w="1434"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3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17624E">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434"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3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Monterrey, N.L.</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191</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1.57%</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 xml:space="preserve">Tepic, Nay. </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173</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1.42%</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Puebla, Pue.</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152</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1.25%</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Cuernavaca, Mor.</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149</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1.22%</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Guadalajara, Jal.</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145</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1.19%</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Tapachula, Chis.</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131</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1.07%</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Guanajuato, Gto.</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116</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0.95%</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La Paz, B.C.S.</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110</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0.90%</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Querétaro, Qro.</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107</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0.88%</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Mazatlán, Sin.</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104</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0.85%</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Mérida, Yuc.</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99</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0.81%</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Tijuana, B.C.</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96</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0.79%</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Chihuahua, Chih.</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95</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0.78%</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Uruapan, Mich.</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94</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0.77%</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 xml:space="preserve">Pachuca, Hgo. </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93</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0.76%</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Xalapa, Ver.</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90</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0.74%</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Saltillo, Coah.</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81</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0.66%</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Tuxtla Gutiérrez, Chis.</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80</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0.66%</w:t>
            </w:r>
          </w:p>
        </w:tc>
      </w:tr>
      <w:tr w:rsidR="00402C70" w:rsidRPr="00A83E36"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Nuevo Laredo, Tamps.</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80</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0.66%</w:t>
            </w:r>
          </w:p>
        </w:tc>
      </w:tr>
      <w:tr w:rsidR="00402C70" w:rsidRPr="00A83E36"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Veracruz, Ver.</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64</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0.52%</w:t>
            </w:r>
          </w:p>
        </w:tc>
      </w:tr>
      <w:tr w:rsidR="00402C70" w:rsidRPr="00A83E36"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Ciudad Juárez, Chih.</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58</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0.48%</w:t>
            </w:r>
          </w:p>
        </w:tc>
      </w:tr>
      <w:tr w:rsidR="00402C70" w:rsidRPr="00A83E36"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Ciudad Victoria, Tamps.</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58</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0.48%</w:t>
            </w:r>
          </w:p>
        </w:tc>
      </w:tr>
      <w:tr w:rsidR="00402C70" w:rsidRPr="00A83E36"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Chetumal, Q.Roo</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56</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0.46%</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Matamoros, Tamps.</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51</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0.42%</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Campeche, Camp.</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27</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0.22%</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Celaya, Gto.</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21</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0.17%</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Lerma, Estado de Mex.</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19</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0.16%</w:t>
            </w:r>
          </w:p>
        </w:tc>
      </w:tr>
      <w:tr w:rsidR="00402C70" w:rsidRPr="00577FA5" w:rsidTr="00402C70">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402C70" w:rsidRPr="00402C70" w:rsidRDefault="00402C70" w:rsidP="00402C70">
            <w:pPr>
              <w:rPr>
                <w:rFonts w:asciiTheme="majorHAnsi" w:hAnsiTheme="majorHAnsi" w:cs="Arial"/>
                <w:sz w:val="20"/>
                <w:szCs w:val="20"/>
              </w:rPr>
            </w:pPr>
            <w:r w:rsidRPr="00402C70">
              <w:rPr>
                <w:rFonts w:asciiTheme="majorHAnsi" w:hAnsiTheme="majorHAnsi" w:cs="Arial"/>
                <w:sz w:val="20"/>
                <w:szCs w:val="20"/>
              </w:rPr>
              <w:t>Hermosillo, Son.</w:t>
            </w:r>
          </w:p>
        </w:tc>
        <w:tc>
          <w:tcPr>
            <w:tcW w:w="1434"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19</w:t>
            </w:r>
          </w:p>
        </w:tc>
        <w:tc>
          <w:tcPr>
            <w:tcW w:w="1368" w:type="dxa"/>
            <w:tcBorders>
              <w:top w:val="nil"/>
              <w:left w:val="nil"/>
              <w:bottom w:val="single" w:sz="8" w:space="0" w:color="auto"/>
              <w:right w:val="single" w:sz="8" w:space="0" w:color="auto"/>
            </w:tcBorders>
            <w:shd w:val="clear" w:color="auto" w:fill="auto"/>
            <w:noWrap/>
            <w:vAlign w:val="center"/>
          </w:tcPr>
          <w:p w:rsidR="00402C70" w:rsidRPr="00402C70" w:rsidRDefault="00402C70" w:rsidP="00402C70">
            <w:pPr>
              <w:jc w:val="center"/>
              <w:rPr>
                <w:rFonts w:asciiTheme="majorHAnsi" w:hAnsiTheme="majorHAnsi" w:cs="Arial"/>
                <w:sz w:val="20"/>
                <w:szCs w:val="20"/>
              </w:rPr>
            </w:pPr>
            <w:r w:rsidRPr="00402C70">
              <w:rPr>
                <w:rFonts w:asciiTheme="majorHAnsi" w:hAnsiTheme="majorHAnsi" w:cs="Arial"/>
                <w:sz w:val="20"/>
                <w:szCs w:val="20"/>
              </w:rPr>
              <w:t>0.16%</w:t>
            </w:r>
          </w:p>
        </w:tc>
      </w:tr>
      <w:tr w:rsidR="002D0E84" w:rsidTr="002D0E84">
        <w:trPr>
          <w:trHeight w:val="340"/>
        </w:trPr>
        <w:tc>
          <w:tcPr>
            <w:tcW w:w="5000" w:type="dxa"/>
            <w:tcBorders>
              <w:top w:val="nil"/>
              <w:left w:val="single" w:sz="8" w:space="0" w:color="auto"/>
              <w:bottom w:val="single" w:sz="8" w:space="0" w:color="auto"/>
              <w:right w:val="single" w:sz="8" w:space="0" w:color="auto"/>
            </w:tcBorders>
            <w:shd w:val="clear" w:color="auto" w:fill="auto"/>
            <w:noWrap/>
            <w:hideMark/>
          </w:tcPr>
          <w:p w:rsidR="002D0E84" w:rsidRPr="001A52FD" w:rsidRDefault="002D0E84" w:rsidP="002D0E84">
            <w:pPr>
              <w:rPr>
                <w:b/>
              </w:rPr>
            </w:pPr>
            <w:r w:rsidRPr="001A52FD">
              <w:rPr>
                <w:b/>
                <w:sz w:val="22"/>
              </w:rPr>
              <w:t>Total</w:t>
            </w:r>
          </w:p>
        </w:tc>
        <w:tc>
          <w:tcPr>
            <w:tcW w:w="1434" w:type="dxa"/>
            <w:tcBorders>
              <w:top w:val="nil"/>
              <w:left w:val="nil"/>
              <w:bottom w:val="single" w:sz="8" w:space="0" w:color="auto"/>
              <w:right w:val="single" w:sz="8" w:space="0" w:color="auto"/>
            </w:tcBorders>
            <w:shd w:val="clear" w:color="auto" w:fill="auto"/>
            <w:noWrap/>
            <w:hideMark/>
          </w:tcPr>
          <w:p w:rsidR="002D0E84" w:rsidRPr="001A52FD" w:rsidRDefault="004040B6" w:rsidP="00402C70">
            <w:pPr>
              <w:jc w:val="center"/>
              <w:rPr>
                <w:b/>
              </w:rPr>
            </w:pPr>
            <w:r w:rsidRPr="001A52FD">
              <w:rPr>
                <w:b/>
                <w:sz w:val="22"/>
              </w:rPr>
              <w:t>1</w:t>
            </w:r>
            <w:r w:rsidR="00402C70">
              <w:rPr>
                <w:b/>
                <w:sz w:val="22"/>
              </w:rPr>
              <w:t>2</w:t>
            </w:r>
            <w:r w:rsidRPr="001A52FD">
              <w:rPr>
                <w:b/>
                <w:sz w:val="22"/>
              </w:rPr>
              <w:t>,</w:t>
            </w:r>
            <w:r w:rsidR="00402C70">
              <w:rPr>
                <w:b/>
                <w:sz w:val="22"/>
              </w:rPr>
              <w:t>196</w:t>
            </w:r>
            <w:r w:rsidR="00E975AD" w:rsidRPr="001A52FD">
              <w:rPr>
                <w:rStyle w:val="Refdenotaalpie"/>
                <w:b/>
                <w:sz w:val="22"/>
              </w:rPr>
              <w:footnoteReference w:id="4"/>
            </w:r>
          </w:p>
        </w:tc>
        <w:tc>
          <w:tcPr>
            <w:tcW w:w="1368" w:type="dxa"/>
            <w:tcBorders>
              <w:top w:val="nil"/>
              <w:left w:val="nil"/>
              <w:bottom w:val="single" w:sz="8" w:space="0" w:color="auto"/>
              <w:right w:val="single" w:sz="8" w:space="0" w:color="auto"/>
            </w:tcBorders>
            <w:shd w:val="clear" w:color="auto" w:fill="auto"/>
            <w:noWrap/>
            <w:hideMark/>
          </w:tcPr>
          <w:p w:rsidR="002D0E84" w:rsidRPr="001A52FD" w:rsidRDefault="002D0E84" w:rsidP="00384F28">
            <w:pPr>
              <w:jc w:val="center"/>
              <w:rPr>
                <w:b/>
              </w:rPr>
            </w:pPr>
            <w:r w:rsidRPr="001A52FD">
              <w:rPr>
                <w:b/>
                <w:sz w:val="22"/>
              </w:rPr>
              <w:t>100%</w:t>
            </w:r>
          </w:p>
        </w:tc>
      </w:tr>
    </w:tbl>
    <w:p w:rsidR="00CE48C4" w:rsidRDefault="00402C70" w:rsidP="00CE48C4">
      <w:pPr>
        <w:ind w:left="720"/>
        <w:jc w:val="both"/>
        <w:rPr>
          <w:rFonts w:ascii="Georgia" w:hAnsi="Georgia" w:cs="Arial"/>
          <w:b/>
          <w:sz w:val="22"/>
          <w:szCs w:val="22"/>
          <w:lang w:val="es-MX"/>
        </w:rPr>
      </w:pPr>
      <w:r>
        <w:rPr>
          <w:noProof/>
          <w:lang w:val="es-ES" w:eastAsia="es-ES"/>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238750" cy="7600950"/>
            <wp:effectExtent l="0" t="0" r="0" b="0"/>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E665E9">
        <w:rPr>
          <w:rFonts w:ascii="Georgia" w:hAnsi="Georgia" w:cs="Arial"/>
          <w:b/>
          <w:sz w:val="22"/>
          <w:szCs w:val="22"/>
          <w:lang w:val="es-MX"/>
        </w:rPr>
        <w:br w:type="textWrapping" w:clear="all"/>
      </w:r>
    </w:p>
    <w:p w:rsidR="00F578C7" w:rsidRDefault="00F578C7" w:rsidP="001A52FD">
      <w:pPr>
        <w:numPr>
          <w:ilvl w:val="0"/>
          <w:numId w:val="2"/>
        </w:numPr>
        <w:jc w:val="both"/>
        <w:rPr>
          <w:rFonts w:ascii="Georgia" w:hAnsi="Georgia" w:cs="Arial"/>
          <w:b/>
          <w:sz w:val="22"/>
          <w:szCs w:val="22"/>
          <w:lang w:val="es-MX"/>
        </w:rPr>
      </w:pPr>
      <w:r w:rsidRPr="003640DF">
        <w:rPr>
          <w:rFonts w:ascii="Georgia" w:hAnsi="Georgia" w:cs="Arial"/>
          <w:b/>
          <w:sz w:val="22"/>
          <w:szCs w:val="22"/>
          <w:lang w:val="es-MX"/>
        </w:rPr>
        <w:t xml:space="preserve">Medio preferido por los gobernados para presentar sus solicitudes de </w:t>
      </w:r>
      <w:r w:rsidR="001A52FD">
        <w:rPr>
          <w:rFonts w:ascii="Georgia" w:hAnsi="Georgia" w:cs="Arial"/>
          <w:b/>
          <w:sz w:val="22"/>
          <w:szCs w:val="22"/>
          <w:lang w:val="es-MX"/>
        </w:rPr>
        <w:t>a</w:t>
      </w:r>
      <w:r w:rsidRPr="003640DF">
        <w:rPr>
          <w:rFonts w:ascii="Georgia" w:hAnsi="Georgia" w:cs="Arial"/>
          <w:b/>
          <w:sz w:val="22"/>
          <w:szCs w:val="22"/>
          <w:lang w:val="es-MX"/>
        </w:rPr>
        <w:t>cceso a la información</w:t>
      </w:r>
      <w:r w:rsidRPr="003640DF">
        <w:rPr>
          <w:rStyle w:val="Refdenotaalpie"/>
          <w:rFonts w:ascii="Georgia" w:hAnsi="Georgia" w:cs="Arial"/>
          <w:b/>
          <w:sz w:val="22"/>
          <w:szCs w:val="22"/>
        </w:rPr>
        <w:footnoteReference w:id="5"/>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de manera presencial: </w:t>
      </w:r>
      <w:r w:rsidR="00DB16B4">
        <w:rPr>
          <w:rFonts w:ascii="Georgia" w:hAnsi="Georgia" w:cs="Arial"/>
          <w:b/>
          <w:sz w:val="22"/>
          <w:szCs w:val="22"/>
          <w:lang w:val="es-MX"/>
        </w:rPr>
        <w:t>89.46</w:t>
      </w:r>
      <w:r w:rsidRPr="003640DF">
        <w:rPr>
          <w:rFonts w:ascii="Georgia" w:hAnsi="Georgia" w:cs="Arial"/>
          <w:b/>
          <w:sz w:val="22"/>
          <w:szCs w:val="22"/>
          <w:lang w:val="es-MX"/>
        </w:rPr>
        <w:t>%</w:t>
      </w:r>
    </w:p>
    <w:p w:rsidR="00F578C7" w:rsidRPr="003640DF"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por medios electrónicos: </w:t>
      </w:r>
      <w:r w:rsidR="00DB16B4">
        <w:rPr>
          <w:rFonts w:ascii="Georgia" w:hAnsi="Georgia" w:cs="Arial"/>
          <w:b/>
          <w:sz w:val="22"/>
          <w:szCs w:val="22"/>
          <w:lang w:val="es-MX"/>
        </w:rPr>
        <w:t>10.54</w:t>
      </w:r>
      <w:r w:rsidRPr="003640DF">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DB16B4" w:rsidP="001A52FD">
      <w:pPr>
        <w:pStyle w:val="Lugaryfecha"/>
        <w:ind w:left="0"/>
        <w:jc w:val="center"/>
        <w:rPr>
          <w:lang w:val="es-MX"/>
        </w:rPr>
      </w:pPr>
      <w:r>
        <w:rPr>
          <w:noProof/>
          <w:lang w:eastAsia="es-ES"/>
        </w:rPr>
        <w:drawing>
          <wp:inline distT="0" distB="0" distL="0" distR="0" wp14:anchorId="6E8BF44D" wp14:editId="0A2819DF">
            <wp:extent cx="5143501" cy="2909887"/>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4C5C24" w:rsidRDefault="004C5C24"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t>Conocimiento de las personas respecto de la información que pueden obtener de la Suprema Corte de Justicia de la Nación</w:t>
      </w:r>
      <w:r w:rsidRPr="00574F2C">
        <w:rPr>
          <w:rStyle w:val="Refdenotaalpie"/>
          <w:rFonts w:asciiTheme="majorHAnsi" w:hAnsiTheme="majorHAnsi" w:cs="Arial"/>
          <w:b/>
          <w:sz w:val="22"/>
          <w:szCs w:val="26"/>
        </w:rPr>
        <w:footnoteReference w:id="6"/>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canalizaciones al Consejo de la Judicatura Federal respecto del total de solicitudes: </w:t>
      </w:r>
      <w:r w:rsidR="00DB16B4">
        <w:rPr>
          <w:rFonts w:asciiTheme="majorHAnsi" w:hAnsiTheme="majorHAnsi" w:cs="Arial"/>
          <w:b/>
          <w:sz w:val="22"/>
          <w:szCs w:val="26"/>
          <w:lang w:val="es-MX"/>
        </w:rPr>
        <w:t>33</w:t>
      </w:r>
      <w:r w:rsidRPr="00574F2C">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solicitudes: </w:t>
      </w:r>
      <w:r w:rsidR="00DB16B4">
        <w:rPr>
          <w:rFonts w:asciiTheme="majorHAnsi" w:hAnsiTheme="majorHAnsi" w:cs="Arial"/>
          <w:b/>
          <w:sz w:val="22"/>
          <w:szCs w:val="26"/>
          <w:lang w:val="es-MX"/>
        </w:rPr>
        <w:t>37</w:t>
      </w:r>
      <w:r w:rsidRPr="00574F2C">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3640DF" w:rsidRDefault="00DB16B4" w:rsidP="004C5C24">
      <w:pPr>
        <w:pStyle w:val="Lugaryfecha"/>
        <w:ind w:left="360"/>
        <w:jc w:val="center"/>
        <w:rPr>
          <w:lang w:val="es-MX"/>
        </w:rPr>
      </w:pPr>
      <w:r>
        <w:rPr>
          <w:noProof/>
          <w:lang w:eastAsia="es-ES"/>
        </w:rPr>
        <w:drawing>
          <wp:inline distT="0" distB="0" distL="0" distR="0" wp14:anchorId="69299BBA" wp14:editId="74EA2516">
            <wp:extent cx="5612130" cy="317119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Tipo de información solicitada por los peticionarios mediante procedimiento ordinario</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8"/>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solicitudes de información administrativa: </w:t>
      </w:r>
      <w:r w:rsidR="00B83C59">
        <w:rPr>
          <w:rFonts w:asciiTheme="majorHAnsi" w:hAnsiTheme="majorHAnsi" w:cs="Arial"/>
          <w:b/>
          <w:sz w:val="22"/>
          <w:szCs w:val="26"/>
          <w:lang w:val="es-MX"/>
        </w:rPr>
        <w:t>8</w:t>
      </w:r>
      <w:r w:rsidR="00BB4F5A">
        <w:rPr>
          <w:rFonts w:asciiTheme="majorHAnsi" w:hAnsiTheme="majorHAnsi" w:cs="Arial"/>
          <w:b/>
          <w:sz w:val="22"/>
          <w:szCs w:val="26"/>
          <w:lang w:val="es-MX"/>
        </w:rPr>
        <w:t>.</w:t>
      </w:r>
      <w:r w:rsidR="00B83C59">
        <w:rPr>
          <w:rFonts w:asciiTheme="majorHAnsi" w:hAnsiTheme="majorHAnsi" w:cs="Arial"/>
          <w:b/>
          <w:sz w:val="22"/>
          <w:szCs w:val="26"/>
          <w:lang w:val="es-MX"/>
        </w:rPr>
        <w:t>22</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Porcentaje de solicitudes de información jurisdiccional: </w:t>
      </w:r>
      <w:r w:rsidR="00B83C59">
        <w:rPr>
          <w:rFonts w:asciiTheme="majorHAnsi" w:hAnsiTheme="majorHAnsi" w:cs="Arial"/>
          <w:b/>
          <w:sz w:val="22"/>
          <w:szCs w:val="26"/>
          <w:lang w:val="es-MX"/>
        </w:rPr>
        <w:t>91</w:t>
      </w:r>
      <w:r w:rsidR="00BB4F5A">
        <w:rPr>
          <w:rFonts w:asciiTheme="majorHAnsi" w:hAnsiTheme="majorHAnsi" w:cs="Arial"/>
          <w:b/>
          <w:sz w:val="22"/>
          <w:szCs w:val="26"/>
          <w:lang w:val="es-MX"/>
        </w:rPr>
        <w:t>.</w:t>
      </w:r>
      <w:r w:rsidR="00B83C59">
        <w:rPr>
          <w:rFonts w:asciiTheme="majorHAnsi" w:hAnsiTheme="majorHAnsi" w:cs="Arial"/>
          <w:b/>
          <w:sz w:val="22"/>
          <w:szCs w:val="26"/>
          <w:lang w:val="es-MX"/>
        </w:rPr>
        <w:t>78</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B83C59" w:rsidP="00F578C7">
      <w:pPr>
        <w:pStyle w:val="Lugaryfecha"/>
        <w:rPr>
          <w:lang w:val="es-MX"/>
        </w:rPr>
      </w:pPr>
      <w:r>
        <w:rPr>
          <w:noProof/>
          <w:lang w:eastAsia="es-ES"/>
        </w:rPr>
        <w:drawing>
          <wp:inline distT="0" distB="0" distL="0" distR="0" wp14:anchorId="3447EF84" wp14:editId="46BC5B51">
            <wp:extent cx="4778409" cy="2817018"/>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Intervención del Comité de Acceso a la Información y de Protección de Datos Personales dentro del procedimiento ordinario</w:t>
      </w:r>
      <w:r w:rsidRPr="00574F2C">
        <w:rPr>
          <w:rStyle w:val="Refdenotaalpie"/>
          <w:rFonts w:asciiTheme="majorHAnsi" w:hAnsiTheme="majorHAnsi" w:cs="Arial"/>
          <w:b/>
          <w:sz w:val="22"/>
          <w:szCs w:val="26"/>
        </w:rPr>
        <w:footnoteReference w:id="9"/>
      </w:r>
      <w:r w:rsidRPr="00574F2C">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establecer el grado de intervención del Comité de Acceso a la Información y de Protección de Datos Personales 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Acceso a la Información y de Protección de Datos Personales respecto del total de expedientes de solicitudes de información tramitadas mediante el procedimiento ordinario: </w:t>
      </w:r>
      <w:r w:rsidR="00B83C59">
        <w:rPr>
          <w:rFonts w:asciiTheme="majorHAnsi" w:hAnsiTheme="majorHAnsi" w:cs="Arial"/>
          <w:b/>
          <w:sz w:val="22"/>
          <w:szCs w:val="26"/>
          <w:lang w:val="es-MX"/>
        </w:rPr>
        <w:t>1</w:t>
      </w:r>
      <w:r w:rsidR="0062793D">
        <w:rPr>
          <w:rFonts w:asciiTheme="majorHAnsi" w:hAnsiTheme="majorHAnsi" w:cs="Arial"/>
          <w:b/>
          <w:sz w:val="22"/>
          <w:szCs w:val="26"/>
          <w:lang w:val="es-MX"/>
        </w:rPr>
        <w:t>1</w:t>
      </w:r>
      <w:r w:rsidRPr="00574F2C">
        <w:rPr>
          <w:rFonts w:asciiTheme="majorHAnsi" w:hAnsiTheme="majorHAnsi" w:cs="Arial"/>
          <w:b/>
          <w:sz w:val="22"/>
          <w:szCs w:val="26"/>
          <w:lang w:val="es-MX"/>
        </w:rPr>
        <w:t>.</w:t>
      </w:r>
      <w:r w:rsidR="0062793D">
        <w:rPr>
          <w:rFonts w:asciiTheme="majorHAnsi" w:hAnsiTheme="majorHAnsi" w:cs="Arial"/>
          <w:b/>
          <w:sz w:val="22"/>
          <w:szCs w:val="26"/>
          <w:lang w:val="es-MX"/>
        </w:rPr>
        <w:t>50</w:t>
      </w:r>
      <w:r w:rsidRPr="00574F2C">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B019C0" w:rsidRDefault="00B019C0" w:rsidP="00574F2C">
      <w:pPr>
        <w:ind w:left="709"/>
        <w:jc w:val="both"/>
        <w:rPr>
          <w:rFonts w:asciiTheme="majorHAnsi" w:hAnsiTheme="majorHAnsi" w:cs="Arial"/>
          <w:b/>
          <w:sz w:val="22"/>
          <w:szCs w:val="26"/>
        </w:rPr>
      </w:pPr>
    </w:p>
    <w:p w:rsidR="00B019C0" w:rsidRPr="00574F2C" w:rsidRDefault="0062793D" w:rsidP="008A5BCD">
      <w:pPr>
        <w:ind w:left="1416"/>
        <w:jc w:val="both"/>
        <w:rPr>
          <w:rFonts w:asciiTheme="majorHAnsi" w:hAnsiTheme="majorHAnsi" w:cs="Arial"/>
          <w:b/>
          <w:sz w:val="22"/>
          <w:szCs w:val="26"/>
        </w:rPr>
      </w:pPr>
      <w:r>
        <w:rPr>
          <w:noProof/>
          <w:lang w:val="es-ES" w:eastAsia="es-ES"/>
        </w:rPr>
        <w:drawing>
          <wp:inline distT="0" distB="0" distL="0" distR="0" wp14:anchorId="2D2AC339" wp14:editId="5C903314">
            <wp:extent cx="4279106" cy="2888129"/>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40DF" w:rsidRDefault="003640DF" w:rsidP="008A5BCD">
      <w:pPr>
        <w:pStyle w:val="Lugaryfecha"/>
        <w:rPr>
          <w:lang w:val="es-MX"/>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574F2C">
        <w:rPr>
          <w:rFonts w:asciiTheme="majorHAnsi" w:hAnsiTheme="majorHAnsi" w:cs="Arial"/>
          <w:b/>
          <w:sz w:val="22"/>
          <w:szCs w:val="22"/>
          <w:lang w:val="es-MX"/>
        </w:rPr>
        <w:lastRenderedPageBreak/>
        <w:t>Aceptación de las resoluciones del Comité de Acceso a la Información y de Protección de  Datos Personales por parte de los solicitantes</w:t>
      </w:r>
      <w:r w:rsidRPr="00574F2C">
        <w:rPr>
          <w:rStyle w:val="Refdenotaalpie"/>
          <w:rFonts w:asciiTheme="majorHAnsi" w:hAnsiTheme="majorHAnsi" w:cs="Arial"/>
          <w:b/>
          <w:sz w:val="22"/>
          <w:szCs w:val="22"/>
        </w:rPr>
        <w:footnoteReference w:id="10"/>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 xml:space="preserve">Número de recursos de revisión promovidos en contra de resoluciones del Comité de Acceso a la Información y de Protección de Datos Personales: </w:t>
      </w:r>
      <w:r w:rsidR="00A4190A">
        <w:rPr>
          <w:rFonts w:asciiTheme="majorHAnsi" w:hAnsiTheme="majorHAnsi" w:cs="Arial"/>
          <w:b/>
          <w:sz w:val="22"/>
          <w:szCs w:val="22"/>
          <w:lang w:val="es-MX"/>
        </w:rPr>
        <w:t>1</w:t>
      </w:r>
      <w:r>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6D16EB" w:rsidP="00F578C7">
      <w:pPr>
        <w:pStyle w:val="Lugaryfecha"/>
        <w:rPr>
          <w:lang w:val="es-MX"/>
        </w:rPr>
      </w:pPr>
      <w:r>
        <w:rPr>
          <w:noProof/>
          <w:lang w:eastAsia="es-ES"/>
        </w:rPr>
        <w:drawing>
          <wp:inline distT="0" distB="0" distL="0" distR="0" wp14:anchorId="0F8DF20E" wp14:editId="538BCD44">
            <wp:extent cx="5476875" cy="290512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534D7D">
        <w:rPr>
          <w:rFonts w:ascii="Georgia" w:hAnsi="Georgia" w:cs="Arial"/>
          <w:b/>
          <w:sz w:val="22"/>
          <w:szCs w:val="22"/>
        </w:rPr>
        <w:t xml:space="preserve">abril a junio </w:t>
      </w:r>
      <w:r w:rsidRPr="008068C9">
        <w:rPr>
          <w:rFonts w:ascii="Georgia" w:hAnsi="Georgia" w:cs="Arial"/>
          <w:b/>
          <w:sz w:val="22"/>
          <w:szCs w:val="22"/>
        </w:rPr>
        <w:t>de 201</w:t>
      </w:r>
      <w:r w:rsidR="00B019C0">
        <w:rPr>
          <w:rFonts w:ascii="Georgia" w:hAnsi="Georgia" w:cs="Arial"/>
          <w:b/>
          <w:sz w:val="22"/>
          <w:szCs w:val="22"/>
        </w:rPr>
        <w:t>3</w:t>
      </w:r>
      <w:r w:rsidRPr="008068C9">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de información recibidas: </w:t>
      </w:r>
      <w:r w:rsidR="00CD73B5">
        <w:rPr>
          <w:rFonts w:ascii="Georgia" w:hAnsi="Georgia" w:cs="Arial"/>
          <w:sz w:val="22"/>
          <w:szCs w:val="22"/>
        </w:rPr>
        <w:t>13,820</w:t>
      </w:r>
      <w:r w:rsidRPr="008068C9">
        <w:rPr>
          <w:rFonts w:ascii="Georgia" w:hAnsi="Georgia" w:cs="Arial"/>
          <w:sz w:val="22"/>
          <w:szCs w:val="22"/>
        </w:rPr>
        <w:t>.</w:t>
      </w:r>
    </w:p>
    <w:p w:rsidR="008068C9" w:rsidRPr="008068C9" w:rsidRDefault="008068C9" w:rsidP="008068C9">
      <w:pPr>
        <w:ind w:left="1134"/>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en trámite: </w:t>
      </w:r>
      <w:r w:rsidR="00CD73B5">
        <w:rPr>
          <w:rFonts w:ascii="Georgia" w:hAnsi="Georgia" w:cs="Arial"/>
          <w:sz w:val="22"/>
          <w:szCs w:val="22"/>
        </w:rPr>
        <w:t>57</w:t>
      </w:r>
      <w:r w:rsidRPr="008068C9">
        <w:rPr>
          <w:rFonts w:ascii="Georgia" w:hAnsi="Georgia" w:cs="Arial"/>
          <w:sz w:val="22"/>
          <w:szCs w:val="22"/>
        </w:rPr>
        <w:t>.</w:t>
      </w:r>
    </w:p>
    <w:p w:rsidR="008068C9" w:rsidRPr="008068C9" w:rsidRDefault="008068C9" w:rsidP="008068C9">
      <w:pPr>
        <w:pStyle w:val="Prrafodelista"/>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de información resueltas: </w:t>
      </w:r>
      <w:r w:rsidR="00CD73B5">
        <w:rPr>
          <w:rFonts w:ascii="Georgia" w:hAnsi="Georgia" w:cs="Arial"/>
          <w:sz w:val="22"/>
          <w:szCs w:val="22"/>
        </w:rPr>
        <w:t>13,763</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realizadas a través de medios electrónicos: </w:t>
      </w:r>
      <w:r w:rsidR="005A5648">
        <w:rPr>
          <w:rFonts w:ascii="Georgia" w:hAnsi="Georgia" w:cs="Arial"/>
          <w:sz w:val="22"/>
          <w:szCs w:val="22"/>
        </w:rPr>
        <w:t>1,</w:t>
      </w:r>
      <w:r w:rsidR="00CD73B5">
        <w:rPr>
          <w:rFonts w:ascii="Georgia" w:hAnsi="Georgia" w:cs="Arial"/>
          <w:sz w:val="22"/>
          <w:szCs w:val="22"/>
        </w:rPr>
        <w:t>457</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solicitudes realizadas de manera presencial: </w:t>
      </w:r>
      <w:r w:rsidR="00CD73B5">
        <w:rPr>
          <w:rFonts w:ascii="Georgia" w:hAnsi="Georgia" w:cs="Arial"/>
          <w:sz w:val="22"/>
          <w:szCs w:val="22"/>
        </w:rPr>
        <w:t>12,363</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orientaciones realizadas para que el solicitante presente su solicitud ante otra Unidad de Enlace: </w:t>
      </w:r>
      <w:r w:rsidR="00CD73B5">
        <w:rPr>
          <w:rFonts w:ascii="Georgia" w:hAnsi="Georgia" w:cs="Arial"/>
          <w:sz w:val="22"/>
          <w:szCs w:val="22"/>
        </w:rPr>
        <w:t>37</w:t>
      </w:r>
      <w:r w:rsidRPr="008068C9">
        <w:rPr>
          <w:rFonts w:ascii="Georgia" w:hAnsi="Georgia" w:cs="Arial"/>
          <w:sz w:val="22"/>
          <w:szCs w:val="22"/>
        </w:rPr>
        <w:t>.</w:t>
      </w:r>
    </w:p>
    <w:p w:rsidR="008068C9" w:rsidRPr="008068C9" w:rsidRDefault="008068C9" w:rsidP="008068C9">
      <w:pPr>
        <w:pStyle w:val="Prrafodelista"/>
        <w:tabs>
          <w:tab w:val="left" w:pos="3390"/>
        </w:tabs>
        <w:jc w:val="both"/>
        <w:rPr>
          <w:rFonts w:ascii="Georgia" w:hAnsi="Georgia" w:cs="Arial"/>
          <w:b/>
          <w:sz w:val="22"/>
          <w:szCs w:val="22"/>
        </w:rPr>
      </w:pPr>
      <w:r>
        <w:rPr>
          <w:rFonts w:ascii="Georgia" w:hAnsi="Georgia" w:cs="Arial"/>
          <w:b/>
          <w:sz w:val="22"/>
          <w:szCs w:val="22"/>
        </w:rPr>
        <w:tab/>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Sumario.</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w:t>
      </w:r>
      <w:r w:rsidR="00CD73B5">
        <w:rPr>
          <w:rFonts w:ascii="Georgia" w:hAnsi="Georgia" w:cs="Arial"/>
          <w:sz w:val="22"/>
          <w:szCs w:val="22"/>
        </w:rPr>
        <w:t>12,944</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a través de los Módulos de Acceso a la Información: </w:t>
      </w:r>
      <w:r w:rsidR="00CD73B5">
        <w:rPr>
          <w:rFonts w:ascii="Georgia" w:hAnsi="Georgia" w:cs="Arial"/>
          <w:sz w:val="22"/>
          <w:szCs w:val="22"/>
        </w:rPr>
        <w:t>12,196</w:t>
      </w:r>
      <w:r w:rsidRPr="008068C9">
        <w:rPr>
          <w:rFonts w:ascii="Georgia" w:hAnsi="Georgia" w:cs="Arial"/>
          <w:sz w:val="22"/>
          <w:szCs w:val="22"/>
        </w:rPr>
        <w:t>.</w:t>
      </w:r>
    </w:p>
    <w:p w:rsidR="008068C9" w:rsidRPr="008068C9" w:rsidRDefault="008068C9" w:rsidP="008068C9">
      <w:pPr>
        <w:ind w:left="1560" w:hanging="425"/>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consultas de información legislativa y bibliohemerográfica en el Distrito Federal: </w:t>
      </w:r>
      <w:r w:rsidR="00CD73B5">
        <w:rPr>
          <w:rFonts w:ascii="Georgia" w:hAnsi="Georgia" w:cs="Arial"/>
          <w:sz w:val="22"/>
          <w:szCs w:val="22"/>
        </w:rPr>
        <w:t>748</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ante la Unidad de Enlace: </w:t>
      </w:r>
      <w:r w:rsidR="00CD73B5">
        <w:rPr>
          <w:rFonts w:ascii="Georgia" w:hAnsi="Georgia" w:cs="Arial"/>
          <w:sz w:val="22"/>
          <w:szCs w:val="22"/>
        </w:rPr>
        <w:t>876</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Total de solicitudes canalizadas al Consejo de la Judicatura Federal</w:t>
      </w:r>
      <w:r w:rsidR="006B2A12">
        <w:rPr>
          <w:rFonts w:ascii="Georgia" w:hAnsi="Georgia" w:cs="Arial"/>
          <w:sz w:val="22"/>
          <w:szCs w:val="22"/>
        </w:rPr>
        <w:t xml:space="preserve"> o alguna otra institución pública</w:t>
      </w:r>
      <w:r w:rsidRPr="008068C9">
        <w:rPr>
          <w:rFonts w:ascii="Georgia" w:hAnsi="Georgia" w:cs="Arial"/>
          <w:sz w:val="22"/>
          <w:szCs w:val="22"/>
        </w:rPr>
        <w:t xml:space="preserve">: </w:t>
      </w:r>
      <w:r w:rsidR="00CD73B5">
        <w:rPr>
          <w:rFonts w:ascii="Georgia" w:hAnsi="Georgia" w:cs="Arial"/>
          <w:sz w:val="22"/>
          <w:szCs w:val="22"/>
        </w:rPr>
        <w:t>33</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que se ordenó su archivo por no desahogarse la prevención: </w:t>
      </w:r>
      <w:r w:rsidR="00CD73B5">
        <w:rPr>
          <w:rFonts w:ascii="Georgia" w:hAnsi="Georgia" w:cs="Arial"/>
          <w:sz w:val="22"/>
          <w:szCs w:val="22"/>
        </w:rPr>
        <w:t>417</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ordinario: </w:t>
      </w:r>
      <w:r w:rsidR="00CD73B5">
        <w:rPr>
          <w:rFonts w:ascii="Georgia" w:hAnsi="Georgia" w:cs="Arial"/>
          <w:sz w:val="22"/>
          <w:szCs w:val="22"/>
        </w:rPr>
        <w:t>426</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administrativo: </w:t>
      </w:r>
      <w:r w:rsidR="00CD73B5">
        <w:rPr>
          <w:rFonts w:ascii="Georgia" w:hAnsi="Georgia" w:cs="Arial"/>
          <w:sz w:val="22"/>
          <w:szCs w:val="22"/>
        </w:rPr>
        <w:t>35</w:t>
      </w:r>
      <w:r w:rsidRPr="008068C9">
        <w:rPr>
          <w:rFonts w:ascii="Georgia" w:hAnsi="Georgia" w:cs="Arial"/>
          <w:sz w:val="22"/>
          <w:szCs w:val="22"/>
        </w:rPr>
        <w:t>.</w:t>
      </w:r>
    </w:p>
    <w:p w:rsidR="008068C9" w:rsidRPr="008068C9" w:rsidRDefault="008068C9" w:rsidP="008068C9">
      <w:pPr>
        <w:pStyle w:val="Prrafodelista"/>
        <w:ind w:left="1560"/>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jurisdiccional: </w:t>
      </w:r>
      <w:r w:rsidR="00CD73B5">
        <w:rPr>
          <w:rFonts w:ascii="Georgia" w:hAnsi="Georgia" w:cs="Arial"/>
          <w:sz w:val="22"/>
          <w:szCs w:val="22"/>
        </w:rPr>
        <w:t>391</w:t>
      </w:r>
      <w:r w:rsidRPr="008068C9">
        <w:rPr>
          <w:rFonts w:ascii="Georgia" w:hAnsi="Georgia" w:cs="Arial"/>
          <w:sz w:val="22"/>
          <w:szCs w:val="22"/>
        </w:rPr>
        <w:t>.</w:t>
      </w:r>
    </w:p>
    <w:p w:rsidR="008068C9" w:rsidRPr="008068C9" w:rsidRDefault="008068C9" w:rsidP="008068C9">
      <w:pPr>
        <w:ind w:left="1440"/>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lastRenderedPageBreak/>
        <w:t xml:space="preserve">Solicitudes de información tramitadas mediante el procedimiento ordinario, en las cuales la Unidad de Enlace  declaró la inexistencia temporal del engrose de las sentencias emitidas por el Pleno y las Salas de este Alto Tribunal: </w:t>
      </w:r>
      <w:r w:rsidR="00CD73B5">
        <w:rPr>
          <w:rFonts w:ascii="Georgia" w:hAnsi="Georgia" w:cs="Arial"/>
          <w:sz w:val="22"/>
          <w:szCs w:val="22"/>
        </w:rPr>
        <w:t>50</w:t>
      </w:r>
      <w:r w:rsidRPr="008068C9">
        <w:rPr>
          <w:rFonts w:ascii="Georgia" w:hAnsi="Georgia" w:cs="Arial"/>
          <w:sz w:val="22"/>
          <w:szCs w:val="22"/>
        </w:rPr>
        <w:t>.</w:t>
      </w:r>
    </w:p>
    <w:p w:rsidR="008068C9" w:rsidRDefault="008068C9" w:rsidP="008068C9">
      <w:pPr>
        <w:ind w:left="1080"/>
        <w:jc w:val="both"/>
        <w:rPr>
          <w:rFonts w:ascii="Georgia" w:hAnsi="Georgia" w:cs="Arial"/>
          <w:sz w:val="22"/>
          <w:szCs w:val="22"/>
          <w:lang w:val="es-MX"/>
        </w:rPr>
      </w:pPr>
    </w:p>
    <w:p w:rsidR="009940CE" w:rsidRPr="008068C9" w:rsidRDefault="009940CE" w:rsidP="009940CE">
      <w:pPr>
        <w:pStyle w:val="Prrafodelista"/>
        <w:numPr>
          <w:ilvl w:val="0"/>
          <w:numId w:val="7"/>
        </w:numPr>
        <w:ind w:left="1134"/>
        <w:contextualSpacing w:val="0"/>
        <w:jc w:val="both"/>
        <w:rPr>
          <w:rFonts w:ascii="Georgia" w:hAnsi="Georgia" w:cs="Arial"/>
          <w:sz w:val="22"/>
          <w:szCs w:val="22"/>
        </w:rPr>
      </w:pPr>
      <w:r w:rsidRPr="009940CE">
        <w:rPr>
          <w:rFonts w:ascii="Georgia" w:hAnsi="Georgia" w:cs="Arial"/>
          <w:sz w:val="22"/>
          <w:szCs w:val="22"/>
        </w:rPr>
        <w:t>Solicitudes de acceso, rectificación, cancelación u oposición a la publicación de datos personales:</w:t>
      </w:r>
      <w:r w:rsidRPr="008068C9">
        <w:rPr>
          <w:rFonts w:ascii="Georgia" w:hAnsi="Georgia" w:cs="Arial"/>
          <w:sz w:val="22"/>
          <w:szCs w:val="22"/>
        </w:rPr>
        <w:t xml:space="preserve"> </w:t>
      </w:r>
      <w:r w:rsidR="00CD73B5">
        <w:rPr>
          <w:rFonts w:ascii="Georgia" w:hAnsi="Georgia" w:cs="Arial"/>
          <w:sz w:val="22"/>
          <w:szCs w:val="22"/>
        </w:rPr>
        <w:t>0</w:t>
      </w:r>
      <w:r w:rsidRPr="008068C9">
        <w:rPr>
          <w:rFonts w:ascii="Georgia" w:hAnsi="Georgia" w:cs="Arial"/>
          <w:sz w:val="22"/>
          <w:szCs w:val="22"/>
        </w:rPr>
        <w:t>.</w:t>
      </w:r>
    </w:p>
    <w:p w:rsidR="009940CE" w:rsidRDefault="009940CE" w:rsidP="008068C9">
      <w:pPr>
        <w:ind w:left="1080"/>
        <w:jc w:val="both"/>
        <w:rPr>
          <w:rFonts w:ascii="Georgia" w:hAnsi="Georgia" w:cs="Arial"/>
          <w:sz w:val="22"/>
          <w:szCs w:val="22"/>
          <w:lang w:val="es-MX"/>
        </w:rPr>
      </w:pPr>
    </w:p>
    <w:p w:rsidR="009940CE" w:rsidRPr="008068C9" w:rsidRDefault="009940CE"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Comité de Acceso a la Información y de Protección de Datos Personales.</w:t>
      </w:r>
    </w:p>
    <w:p w:rsidR="008068C9" w:rsidRPr="008068C9" w:rsidRDefault="008068C9" w:rsidP="008068C9">
      <w:pPr>
        <w:ind w:left="1080"/>
        <w:jc w:val="both"/>
        <w:rPr>
          <w:rFonts w:ascii="Georgia" w:hAnsi="Georgia" w:cs="Arial"/>
          <w:b/>
          <w:sz w:val="22"/>
          <w:szCs w:val="22"/>
          <w:lang w:val="es-MX"/>
        </w:rPr>
      </w:pPr>
    </w:p>
    <w:p w:rsidR="008068C9" w:rsidRPr="008068C9" w:rsidRDefault="008068C9" w:rsidP="008068C9">
      <w:pPr>
        <w:numPr>
          <w:ilvl w:val="1"/>
          <w:numId w:val="5"/>
        </w:numPr>
        <w:jc w:val="both"/>
        <w:rPr>
          <w:rFonts w:ascii="Georgia" w:hAnsi="Georgia" w:cs="Arial"/>
          <w:b/>
          <w:sz w:val="22"/>
          <w:szCs w:val="22"/>
        </w:rPr>
      </w:pPr>
      <w:r w:rsidRPr="008068C9">
        <w:rPr>
          <w:rFonts w:ascii="Georgia" w:hAnsi="Georgia" w:cs="Arial"/>
          <w:sz w:val="22"/>
          <w:szCs w:val="22"/>
        </w:rPr>
        <w:t xml:space="preserve">Expedientes turnados: </w:t>
      </w:r>
      <w:r w:rsidR="00CD73B5">
        <w:rPr>
          <w:rFonts w:ascii="Georgia" w:hAnsi="Georgia" w:cs="Arial"/>
          <w:sz w:val="22"/>
          <w:szCs w:val="22"/>
        </w:rPr>
        <w:t>49</w:t>
      </w:r>
      <w:r w:rsidRPr="008068C9">
        <w:rPr>
          <w:rFonts w:ascii="Georgia" w:hAnsi="Georgia" w:cs="Arial"/>
          <w:sz w:val="22"/>
          <w:szCs w:val="22"/>
        </w:rPr>
        <w:t>.</w:t>
      </w:r>
    </w:p>
    <w:p w:rsidR="008068C9" w:rsidRPr="008068C9" w:rsidRDefault="008068C9" w:rsidP="008068C9">
      <w:pPr>
        <w:pStyle w:val="Prrafodelista"/>
        <w:rPr>
          <w:rFonts w:ascii="Georgia" w:hAnsi="Georgia" w:cs="Arial"/>
          <w:b/>
          <w:sz w:val="22"/>
          <w:szCs w:val="22"/>
        </w:rPr>
      </w:pPr>
    </w:p>
    <w:p w:rsidR="008068C9" w:rsidRPr="008068C9" w:rsidRDefault="008068C9" w:rsidP="008068C9">
      <w:pPr>
        <w:numPr>
          <w:ilvl w:val="1"/>
          <w:numId w:val="5"/>
        </w:numPr>
        <w:jc w:val="both"/>
        <w:rPr>
          <w:rFonts w:ascii="Georgia" w:hAnsi="Georgia" w:cs="Arial"/>
          <w:sz w:val="22"/>
          <w:szCs w:val="22"/>
        </w:rPr>
      </w:pPr>
      <w:r w:rsidRPr="008068C9">
        <w:rPr>
          <w:rFonts w:ascii="Georgia" w:hAnsi="Georgia" w:cs="Arial"/>
          <w:sz w:val="22"/>
          <w:szCs w:val="22"/>
        </w:rPr>
        <w:t>Clasificaciones de información:</w:t>
      </w:r>
      <w:r w:rsidR="006D16EB">
        <w:rPr>
          <w:rFonts w:ascii="Georgia" w:hAnsi="Georgia" w:cs="Arial"/>
          <w:sz w:val="22"/>
          <w:szCs w:val="22"/>
        </w:rPr>
        <w:t xml:space="preserve"> 22</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Comisión para la Transparencia, Acceso a la Información Pública Gubernamental y Protección de Datos Personales.</w:t>
      </w:r>
    </w:p>
    <w:p w:rsidR="008068C9" w:rsidRPr="008068C9" w:rsidRDefault="008068C9" w:rsidP="008068C9">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r w:rsidRPr="008068C9">
        <w:rPr>
          <w:rFonts w:ascii="Georgia" w:hAnsi="Georgia" w:cs="Arial"/>
          <w:sz w:val="22"/>
          <w:szCs w:val="22"/>
        </w:rPr>
        <w:t xml:space="preserve">Recursos de </w:t>
      </w:r>
      <w:r w:rsidR="008956EE">
        <w:rPr>
          <w:rFonts w:ascii="Georgia" w:hAnsi="Georgia" w:cs="Arial"/>
          <w:sz w:val="22"/>
          <w:szCs w:val="22"/>
        </w:rPr>
        <w:t>r</w:t>
      </w:r>
      <w:r w:rsidRPr="008068C9">
        <w:rPr>
          <w:rFonts w:ascii="Georgia" w:hAnsi="Georgia" w:cs="Arial"/>
          <w:sz w:val="22"/>
          <w:szCs w:val="22"/>
        </w:rPr>
        <w:t xml:space="preserve">evisión interpuestos: </w:t>
      </w:r>
      <w:r w:rsidR="00CD73B5">
        <w:rPr>
          <w:rFonts w:ascii="Georgia" w:hAnsi="Georgia" w:cs="Arial"/>
          <w:sz w:val="22"/>
          <w:szCs w:val="22"/>
        </w:rPr>
        <w:t>2</w:t>
      </w:r>
      <w:r w:rsidRPr="008068C9">
        <w:rPr>
          <w:rFonts w:ascii="Georgia" w:hAnsi="Georgia" w:cs="Arial"/>
          <w:sz w:val="22"/>
          <w:szCs w:val="22"/>
        </w:rPr>
        <w:t>.</w:t>
      </w:r>
    </w:p>
    <w:p w:rsidR="00693E25" w:rsidRDefault="00693E25" w:rsidP="00693E25">
      <w:pPr>
        <w:ind w:left="1440"/>
        <w:jc w:val="both"/>
        <w:rPr>
          <w:rFonts w:asciiTheme="majorHAnsi" w:hAnsiTheme="majorHAnsi" w:cs="Arial"/>
          <w:sz w:val="22"/>
          <w:szCs w:val="22"/>
          <w:lang w:val="es-MX"/>
        </w:rPr>
      </w:pPr>
    </w:p>
    <w:p w:rsidR="00693E25" w:rsidRDefault="00693E25" w:rsidP="00693E25">
      <w:pPr>
        <w:numPr>
          <w:ilvl w:val="1"/>
          <w:numId w:val="5"/>
        </w:numPr>
        <w:jc w:val="both"/>
        <w:rPr>
          <w:rFonts w:asciiTheme="majorHAnsi" w:hAnsiTheme="majorHAnsi" w:cs="Arial"/>
          <w:sz w:val="22"/>
          <w:szCs w:val="22"/>
          <w:lang w:val="es-MX"/>
        </w:rPr>
      </w:pPr>
      <w:r w:rsidRPr="008F5B1E">
        <w:rPr>
          <w:rFonts w:asciiTheme="majorHAnsi" w:hAnsiTheme="majorHAnsi" w:cs="Arial"/>
          <w:sz w:val="22"/>
          <w:szCs w:val="22"/>
          <w:lang w:val="es-MX"/>
        </w:rPr>
        <w:t xml:space="preserve">Recursos de </w:t>
      </w:r>
      <w:r w:rsidR="008956EE">
        <w:rPr>
          <w:rFonts w:asciiTheme="majorHAnsi" w:hAnsiTheme="majorHAnsi" w:cs="Arial"/>
          <w:sz w:val="22"/>
          <w:szCs w:val="22"/>
          <w:lang w:val="es-MX"/>
        </w:rPr>
        <w:t>r</w:t>
      </w:r>
      <w:r w:rsidRPr="008F5B1E">
        <w:rPr>
          <w:rFonts w:asciiTheme="majorHAnsi" w:hAnsiTheme="majorHAnsi" w:cs="Arial"/>
          <w:sz w:val="22"/>
          <w:szCs w:val="22"/>
          <w:lang w:val="es-MX"/>
        </w:rPr>
        <w:t xml:space="preserve">evisión </w:t>
      </w:r>
      <w:r>
        <w:rPr>
          <w:rFonts w:asciiTheme="majorHAnsi" w:hAnsiTheme="majorHAnsi" w:cs="Arial"/>
          <w:sz w:val="22"/>
          <w:szCs w:val="22"/>
          <w:lang w:val="es-MX"/>
        </w:rPr>
        <w:t xml:space="preserve">promovidos en contra de resoluciones del Comité de Acceso a la Información: </w:t>
      </w:r>
      <w:r w:rsidR="00A4190A">
        <w:rPr>
          <w:rFonts w:asciiTheme="majorHAnsi" w:hAnsiTheme="majorHAnsi" w:cs="Arial"/>
          <w:sz w:val="22"/>
          <w:szCs w:val="22"/>
          <w:lang w:val="es-MX"/>
        </w:rPr>
        <w:t>1</w:t>
      </w:r>
      <w:r>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5A261D">
      <w:headerReference w:type="default" r:id="rId19"/>
      <w:footerReference w:type="default" r:id="rId20"/>
      <w:headerReference w:type="first" r:id="rId21"/>
      <w:footerReference w:type="first" r:id="rId22"/>
      <w:pgSz w:w="12242" w:h="15842" w:code="1"/>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33" w:rsidRDefault="001B4633" w:rsidP="000B572B">
      <w:r>
        <w:separator/>
      </w:r>
    </w:p>
  </w:endnote>
  <w:endnote w:type="continuationSeparator" w:id="0">
    <w:p w:rsidR="001B4633" w:rsidRDefault="001B4633"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5C7DEC">
          <w:rPr>
            <w:noProof/>
            <w:sz w:val="20"/>
          </w:rPr>
          <w:t>1</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06" w:rsidRDefault="001B4633">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33" w:rsidRDefault="001B4633" w:rsidP="000B572B">
      <w:r>
        <w:separator/>
      </w:r>
    </w:p>
  </w:footnote>
  <w:footnote w:type="continuationSeparator" w:id="0">
    <w:p w:rsidR="001B4633" w:rsidRDefault="001B4633" w:rsidP="000B572B">
      <w:r>
        <w:continuationSeparator/>
      </w:r>
    </w:p>
  </w:footnote>
  <w:footnote w:id="1">
    <w:p w:rsidR="0017624E" w:rsidRPr="00875D0D"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sumario </w:t>
      </w:r>
      <w:r w:rsidR="004B3F0A">
        <w:rPr>
          <w:rFonts w:ascii="Arial" w:hAnsi="Arial" w:cs="Arial"/>
          <w:sz w:val="16"/>
          <w:szCs w:val="16"/>
          <w:lang w:val="es-MX"/>
        </w:rPr>
        <w:t>(</w:t>
      </w:r>
      <w:r w:rsidR="00CC1A8E">
        <w:rPr>
          <w:rFonts w:ascii="Arial" w:hAnsi="Arial" w:cs="Arial"/>
          <w:sz w:val="16"/>
          <w:szCs w:val="16"/>
          <w:lang w:val="es-MX"/>
        </w:rPr>
        <w:t>12,944</w:t>
      </w:r>
      <w:r w:rsidR="004B3F0A">
        <w:rPr>
          <w:rFonts w:ascii="Arial" w:hAnsi="Arial" w:cs="Arial"/>
          <w:sz w:val="16"/>
          <w:szCs w:val="16"/>
          <w:lang w:val="es-MX"/>
        </w:rPr>
        <w:t xml:space="preserve">) </w:t>
      </w:r>
      <w:r w:rsidRPr="00875D0D">
        <w:rPr>
          <w:rFonts w:ascii="Arial" w:hAnsi="Arial" w:cs="Arial"/>
          <w:sz w:val="16"/>
          <w:szCs w:val="16"/>
          <w:lang w:val="es-MX"/>
        </w:rPr>
        <w:t xml:space="preserve">de </w:t>
      </w:r>
      <w:r w:rsidR="006771FE">
        <w:rPr>
          <w:rFonts w:ascii="Arial" w:hAnsi="Arial" w:cs="Arial"/>
          <w:sz w:val="16"/>
          <w:szCs w:val="16"/>
          <w:lang w:val="es-MX"/>
        </w:rPr>
        <w:t xml:space="preserve">abril </w:t>
      </w:r>
      <w:r w:rsidRPr="00875D0D">
        <w:rPr>
          <w:rFonts w:ascii="Arial" w:hAnsi="Arial" w:cs="Arial"/>
          <w:sz w:val="16"/>
          <w:szCs w:val="16"/>
          <w:lang w:val="es-MX"/>
        </w:rPr>
        <w:t xml:space="preserve">a </w:t>
      </w:r>
      <w:r w:rsidR="006771FE">
        <w:rPr>
          <w:rFonts w:ascii="Arial" w:hAnsi="Arial" w:cs="Arial"/>
          <w:sz w:val="16"/>
          <w:szCs w:val="16"/>
          <w:lang w:val="es-MX"/>
        </w:rPr>
        <w:t xml:space="preserve">junio </w:t>
      </w:r>
      <w:r w:rsidRPr="00875D0D">
        <w:rPr>
          <w:rFonts w:ascii="Arial" w:hAnsi="Arial" w:cs="Arial"/>
          <w:sz w:val="16"/>
          <w:szCs w:val="16"/>
          <w:lang w:val="es-MX"/>
        </w:rPr>
        <w:t>de 201</w:t>
      </w:r>
      <w:r w:rsidR="00CC1A8E">
        <w:rPr>
          <w:rFonts w:ascii="Arial" w:hAnsi="Arial" w:cs="Arial"/>
          <w:sz w:val="16"/>
          <w:szCs w:val="16"/>
          <w:lang w:val="es-MX"/>
        </w:rPr>
        <w:t>5</w:t>
      </w:r>
      <w:r w:rsidRPr="00875D0D">
        <w:rPr>
          <w:rFonts w:ascii="Arial" w:hAnsi="Arial" w:cs="Arial"/>
          <w:sz w:val="16"/>
          <w:szCs w:val="16"/>
          <w:lang w:val="es-MX"/>
        </w:rPr>
        <w:t>,</w:t>
      </w:r>
      <w:r w:rsidRPr="00875D0D">
        <w:rPr>
          <w:rFonts w:ascii="Arial" w:hAnsi="Arial" w:cs="Arial"/>
          <w:b/>
          <w:sz w:val="16"/>
          <w:szCs w:val="16"/>
          <w:lang w:val="es-MX"/>
        </w:rPr>
        <w:t xml:space="preserve"> </w:t>
      </w:r>
      <w:r w:rsidRPr="00875D0D">
        <w:rPr>
          <w:rFonts w:ascii="Arial" w:hAnsi="Arial" w:cs="Arial"/>
          <w:sz w:val="16"/>
          <w:szCs w:val="16"/>
          <w:lang w:val="es-MX"/>
        </w:rPr>
        <w:t xml:space="preserve">número solicitudes tramitadas mediante procedimiento ordinario </w:t>
      </w:r>
      <w:r w:rsidR="004B3F0A">
        <w:rPr>
          <w:rFonts w:ascii="Arial" w:hAnsi="Arial" w:cs="Arial"/>
          <w:sz w:val="16"/>
          <w:szCs w:val="16"/>
          <w:lang w:val="es-MX"/>
        </w:rPr>
        <w:t>(</w:t>
      </w:r>
      <w:r w:rsidR="00CC1A8E">
        <w:rPr>
          <w:rFonts w:ascii="Arial" w:hAnsi="Arial" w:cs="Arial"/>
          <w:sz w:val="16"/>
          <w:szCs w:val="16"/>
          <w:lang w:val="es-MX"/>
        </w:rPr>
        <w:t>426</w:t>
      </w:r>
      <w:r w:rsidR="004B3F0A">
        <w:rPr>
          <w:rFonts w:ascii="Arial" w:hAnsi="Arial" w:cs="Arial"/>
          <w:sz w:val="16"/>
          <w:szCs w:val="16"/>
          <w:lang w:val="es-MX"/>
        </w:rPr>
        <w:t xml:space="preserve">) </w:t>
      </w:r>
      <w:r w:rsidRPr="00875D0D">
        <w:rPr>
          <w:rFonts w:ascii="Arial" w:hAnsi="Arial" w:cs="Arial"/>
          <w:sz w:val="16"/>
          <w:szCs w:val="16"/>
          <w:lang w:val="es-MX"/>
        </w:rPr>
        <w:t xml:space="preserve">durante el mismo periodo. </w:t>
      </w:r>
    </w:p>
    <w:p w:rsidR="0017624E" w:rsidRPr="00875D0D"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d</w:t>
      </w:r>
      <w:r w:rsidRPr="00421584">
        <w:rPr>
          <w:rFonts w:ascii="Arial" w:hAnsi="Arial" w:cs="Arial"/>
          <w:sz w:val="16"/>
          <w:szCs w:val="16"/>
        </w:rPr>
        <w:t>el cien por ciento de las solicitudes se extraerá el porcentaje de procedimientos sumarios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olicitudes de información a través de procedimiento sumario de cada Módulo de Acceso a la Información.</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17624E" w:rsidRPr="006F66AC" w:rsidRDefault="0017624E" w:rsidP="003E4A06">
      <w:pPr>
        <w:pStyle w:val="Textonotapie"/>
        <w:ind w:left="357"/>
        <w:jc w:val="both"/>
        <w:rPr>
          <w:lang w:val="es-MX"/>
        </w:rPr>
      </w:pPr>
      <w:r w:rsidRPr="003E4A06">
        <w:rPr>
          <w:rStyle w:val="Refdenotaalpie"/>
          <w:rFonts w:ascii="Arial" w:hAnsi="Arial" w:cs="Arial"/>
        </w:rPr>
        <w:footnoteRef/>
      </w:r>
      <w:r>
        <w:t xml:space="preserve"> </w:t>
      </w:r>
      <w:r w:rsidRPr="00211B21">
        <w:rPr>
          <w:rFonts w:ascii="Arial" w:hAnsi="Arial" w:cs="Arial"/>
          <w:sz w:val="16"/>
          <w:szCs w:val="16"/>
        </w:rPr>
        <w:t>Para la interpretación de este resultado debe advertirse que el Distrito Federal cuenta con 5 Módulos de Acceso a la Información  instalados en diversos inmuebles, a diferencia de las demás ciudades que sólo cuentan con uno</w:t>
      </w:r>
      <w:r>
        <w:rPr>
          <w:rFonts w:ascii="Arial" w:hAnsi="Arial" w:cs="Arial"/>
          <w:sz w:val="16"/>
          <w:szCs w:val="16"/>
        </w:rPr>
        <w:t>; además de que se contabilizan en este rubro las solicitudes presentadas ante la Secretaría General de Acuerdos, Subsecretaría General de Acuerdos y Secretarías de Acuerdos de la Primera y Segunda Salas, cuando estas fungen como Módulos de Acceso a la Información.</w:t>
      </w:r>
    </w:p>
  </w:footnote>
  <w:footnote w:id="4">
    <w:p w:rsidR="00E975AD" w:rsidRPr="00611810" w:rsidRDefault="00E975AD"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Pr="00611810">
        <w:rPr>
          <w:rFonts w:asciiTheme="minorHAnsi" w:hAnsiTheme="minorHAnsi" w:cstheme="minorHAnsi"/>
          <w:sz w:val="16"/>
        </w:rPr>
        <w:t xml:space="preserve"> Esta cifra sumada a las </w:t>
      </w:r>
      <w:r w:rsidR="00402C70">
        <w:rPr>
          <w:rFonts w:asciiTheme="minorHAnsi" w:hAnsiTheme="minorHAnsi" w:cstheme="minorHAnsi"/>
          <w:sz w:val="16"/>
        </w:rPr>
        <w:t xml:space="preserve">748 </w:t>
      </w:r>
      <w:r w:rsidRPr="00611810">
        <w:rPr>
          <w:rFonts w:asciiTheme="minorHAnsi" w:hAnsiTheme="minorHAnsi" w:cstheme="minorHAnsi"/>
          <w:sz w:val="16"/>
        </w:rPr>
        <w:t xml:space="preserve">consultas de información legislativa y bibliohemerográfica en el Distrito Federal, representan los </w:t>
      </w:r>
      <w:r w:rsidR="004040B6">
        <w:rPr>
          <w:rFonts w:asciiTheme="minorHAnsi" w:hAnsiTheme="minorHAnsi" w:cstheme="minorHAnsi"/>
          <w:sz w:val="16"/>
        </w:rPr>
        <w:t>1</w:t>
      </w:r>
      <w:r w:rsidR="00402C70">
        <w:rPr>
          <w:rFonts w:asciiTheme="minorHAnsi" w:hAnsiTheme="minorHAnsi" w:cstheme="minorHAnsi"/>
          <w:sz w:val="16"/>
        </w:rPr>
        <w:t>2</w:t>
      </w:r>
      <w:r w:rsidR="004040B6">
        <w:rPr>
          <w:rFonts w:asciiTheme="minorHAnsi" w:hAnsiTheme="minorHAnsi" w:cstheme="minorHAnsi"/>
          <w:sz w:val="16"/>
        </w:rPr>
        <w:t>,</w:t>
      </w:r>
      <w:r w:rsidR="00402C70">
        <w:rPr>
          <w:rFonts w:asciiTheme="minorHAnsi" w:hAnsiTheme="minorHAnsi" w:cstheme="minorHAnsi"/>
          <w:sz w:val="16"/>
        </w:rPr>
        <w:t>944</w:t>
      </w:r>
      <w:r w:rsidR="004040B6">
        <w:rPr>
          <w:rFonts w:asciiTheme="minorHAnsi" w:hAnsiTheme="minorHAnsi" w:cstheme="minorHAnsi"/>
          <w:sz w:val="16"/>
        </w:rPr>
        <w:t xml:space="preserve"> </w:t>
      </w:r>
      <w:r w:rsidRPr="00611810">
        <w:rPr>
          <w:rFonts w:asciiTheme="minorHAnsi" w:hAnsiTheme="minorHAnsi" w:cstheme="minorHAnsi"/>
          <w:sz w:val="16"/>
        </w:rPr>
        <w:t>procedimientos sumarios reportados.</w:t>
      </w:r>
    </w:p>
  </w:footnote>
  <w:footnote w:id="5">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solicitudes de información presentadas por las personas a través de medios electrónicos y solicitudes de información presentadas por las personas de manera presencial ante los Módulos de Acceso a la Información.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presentadas</w:t>
      </w:r>
      <w:r w:rsidR="00B6709D">
        <w:rPr>
          <w:rFonts w:ascii="Arial" w:hAnsi="Arial" w:cs="Arial"/>
          <w:sz w:val="16"/>
          <w:szCs w:val="16"/>
          <w:lang w:val="es-MX"/>
        </w:rPr>
        <w:t xml:space="preserve"> (1</w:t>
      </w:r>
      <w:r w:rsidR="00DB16B4">
        <w:rPr>
          <w:rFonts w:ascii="Arial" w:hAnsi="Arial" w:cs="Arial"/>
          <w:sz w:val="16"/>
          <w:szCs w:val="16"/>
          <w:lang w:val="es-MX"/>
        </w:rPr>
        <w:t>3</w:t>
      </w:r>
      <w:r w:rsidR="00B6709D">
        <w:rPr>
          <w:rFonts w:ascii="Arial" w:hAnsi="Arial" w:cs="Arial"/>
          <w:sz w:val="16"/>
          <w:szCs w:val="16"/>
          <w:lang w:val="es-MX"/>
        </w:rPr>
        <w:t>,</w:t>
      </w:r>
      <w:r w:rsidR="00DB16B4">
        <w:rPr>
          <w:rFonts w:ascii="Arial" w:hAnsi="Arial" w:cs="Arial"/>
          <w:sz w:val="16"/>
          <w:szCs w:val="16"/>
          <w:lang w:val="es-MX"/>
        </w:rPr>
        <w:t>820</w:t>
      </w:r>
      <w:r w:rsidR="00B6709D">
        <w:rPr>
          <w:rFonts w:ascii="Arial" w:hAnsi="Arial" w:cs="Arial"/>
          <w:sz w:val="16"/>
          <w:szCs w:val="16"/>
          <w:lang w:val="es-MX"/>
        </w:rPr>
        <w:t>)</w:t>
      </w:r>
      <w:r w:rsidRPr="00574F2C">
        <w:rPr>
          <w:rFonts w:ascii="Arial" w:hAnsi="Arial" w:cs="Arial"/>
          <w:sz w:val="16"/>
          <w:szCs w:val="16"/>
          <w:lang w:val="es-MX"/>
        </w:rPr>
        <w:t>. Canalizaciones de solicitudes al Consejo de la Judicatura Federal</w:t>
      </w:r>
      <w:r w:rsidR="003C5D50">
        <w:rPr>
          <w:rFonts w:ascii="Arial" w:hAnsi="Arial" w:cs="Arial"/>
          <w:sz w:val="16"/>
          <w:szCs w:val="16"/>
          <w:lang w:val="es-MX"/>
        </w:rPr>
        <w:t xml:space="preserve"> o alguna otra institución pública</w:t>
      </w:r>
      <w:r w:rsidR="00B6709D">
        <w:rPr>
          <w:rFonts w:ascii="Arial" w:hAnsi="Arial" w:cs="Arial"/>
          <w:sz w:val="16"/>
          <w:szCs w:val="16"/>
          <w:lang w:val="es-MX"/>
        </w:rPr>
        <w:t xml:space="preserve"> (</w:t>
      </w:r>
      <w:r w:rsidR="00DB16B4">
        <w:rPr>
          <w:rFonts w:ascii="Arial" w:hAnsi="Arial" w:cs="Arial"/>
          <w:sz w:val="16"/>
          <w:szCs w:val="16"/>
          <w:lang w:val="es-MX"/>
        </w:rPr>
        <w:t>33</w:t>
      </w:r>
      <w:r w:rsidR="00B6709D">
        <w:rPr>
          <w:rFonts w:ascii="Arial" w:hAnsi="Arial" w:cs="Arial"/>
          <w:sz w:val="16"/>
          <w:szCs w:val="16"/>
          <w:lang w:val="es-MX"/>
        </w:rPr>
        <w:t>)</w:t>
      </w:r>
      <w:r w:rsidRPr="00574F2C">
        <w:rPr>
          <w:rFonts w:ascii="Arial" w:hAnsi="Arial" w:cs="Arial"/>
          <w:sz w:val="16"/>
          <w:szCs w:val="16"/>
          <w:lang w:val="es-MX"/>
        </w:rPr>
        <w:t>. Orientaciones otorgadas a las personas para que acudan a otra dependencia, entidad, órgano de gobierno, institución pública</w:t>
      </w:r>
      <w:r w:rsidR="00B6709D">
        <w:rPr>
          <w:rFonts w:ascii="Arial" w:hAnsi="Arial" w:cs="Arial"/>
          <w:sz w:val="16"/>
          <w:szCs w:val="16"/>
          <w:lang w:val="es-MX"/>
        </w:rPr>
        <w:t xml:space="preserve"> (</w:t>
      </w:r>
      <w:r w:rsidR="00DB16B4">
        <w:rPr>
          <w:rFonts w:ascii="Arial" w:hAnsi="Arial" w:cs="Arial"/>
          <w:sz w:val="16"/>
          <w:szCs w:val="16"/>
          <w:lang w:val="es-MX"/>
        </w:rPr>
        <w:t>37</w:t>
      </w:r>
      <w:r w:rsidR="00B6709D">
        <w:rPr>
          <w:rFonts w:ascii="Arial" w:hAnsi="Arial" w:cs="Arial"/>
          <w:sz w:val="16"/>
          <w:szCs w:val="16"/>
          <w:lang w:val="es-MX"/>
        </w:rPr>
        <w:t>)</w:t>
      </w:r>
      <w:r w:rsidRPr="00574F2C">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7">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w:t>
      </w:r>
      <w:r w:rsidR="00B61412">
        <w:rPr>
          <w:rFonts w:ascii="Arial" w:hAnsi="Arial" w:cs="Arial"/>
          <w:sz w:val="16"/>
          <w:szCs w:val="16"/>
          <w:lang w:val="es-MX"/>
        </w:rPr>
        <w:t xml:space="preserve"> (</w:t>
      </w:r>
      <w:r w:rsidR="00B83C59">
        <w:rPr>
          <w:rFonts w:ascii="Arial" w:hAnsi="Arial" w:cs="Arial"/>
          <w:sz w:val="16"/>
          <w:szCs w:val="16"/>
          <w:lang w:val="es-MX"/>
        </w:rPr>
        <w:t>426</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8">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A partir del primero de agosto del 2008, el Comité de Acceso a la Información y de Protección de Datos Personales 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Pr>
          <w:rFonts w:ascii="Arial" w:hAnsi="Arial" w:cs="Arial"/>
          <w:sz w:val="16"/>
          <w:szCs w:val="16"/>
        </w:rPr>
        <w:t xml:space="preserve">, razón por la cual a partir de esa fecha se incrementó el porcentaje de asuntos de carácter jurisdiccional. </w:t>
      </w:r>
    </w:p>
    <w:p w:rsidR="00574F2C" w:rsidRPr="009158D0" w:rsidRDefault="00574F2C" w:rsidP="00574F2C">
      <w:pPr>
        <w:pStyle w:val="Textonotapie"/>
        <w:rPr>
          <w:lang w:val="es-MX"/>
        </w:rPr>
      </w:pPr>
    </w:p>
  </w:footnote>
  <w:footnote w:id="9">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tramitados mediante el procedimiento ordinario</w:t>
      </w:r>
      <w:r w:rsidR="00B61412">
        <w:rPr>
          <w:rFonts w:ascii="Arial" w:hAnsi="Arial" w:cs="Arial"/>
          <w:sz w:val="16"/>
          <w:szCs w:val="16"/>
          <w:lang w:val="es-MX"/>
        </w:rPr>
        <w:t xml:space="preserve"> (</w:t>
      </w:r>
      <w:r w:rsidR="0062793D">
        <w:rPr>
          <w:rFonts w:ascii="Arial" w:hAnsi="Arial" w:cs="Arial"/>
          <w:sz w:val="16"/>
          <w:szCs w:val="16"/>
          <w:lang w:val="es-MX"/>
        </w:rPr>
        <w:t>426</w:t>
      </w:r>
      <w:r w:rsidR="00B61412">
        <w:rPr>
          <w:rFonts w:ascii="Arial" w:hAnsi="Arial" w:cs="Arial"/>
          <w:sz w:val="16"/>
          <w:szCs w:val="16"/>
          <w:lang w:val="es-MX"/>
        </w:rPr>
        <w:t>)</w:t>
      </w:r>
      <w:r w:rsidRPr="00574F2C">
        <w:rPr>
          <w:rFonts w:ascii="Arial" w:hAnsi="Arial" w:cs="Arial"/>
          <w:sz w:val="16"/>
          <w:szCs w:val="16"/>
          <w:lang w:val="es-MX"/>
        </w:rPr>
        <w:t xml:space="preserve"> y turnos al Comité de Acceso a la Información y de Protección de Datos Personales</w:t>
      </w:r>
      <w:r w:rsidR="00B61412">
        <w:rPr>
          <w:rFonts w:ascii="Arial" w:hAnsi="Arial" w:cs="Arial"/>
          <w:sz w:val="16"/>
          <w:szCs w:val="16"/>
          <w:lang w:val="es-MX"/>
        </w:rPr>
        <w:t xml:space="preserve"> (</w:t>
      </w:r>
      <w:r w:rsidR="0062793D">
        <w:rPr>
          <w:rFonts w:ascii="Arial" w:hAnsi="Arial" w:cs="Arial"/>
          <w:sz w:val="16"/>
          <w:szCs w:val="16"/>
          <w:lang w:val="es-MX"/>
        </w:rPr>
        <w:t>49</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4674B8">
        <w:rPr>
          <w:rFonts w:ascii="Arial" w:hAnsi="Arial" w:cs="Arial"/>
          <w:sz w:val="16"/>
          <w:szCs w:val="16"/>
        </w:rPr>
        <w:t xml:space="preserve">  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10">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 y que fueron turnadas al Comité de Acceso a la Información y de Protección de Datos Personales y Clasificaciones de Información emitidas por dicho Comité. Recursos de Revisión presentados ante la Comisión para la Transparencia, Acceso a la Información Pública Gubernamental y Protección de Datos Personales.</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de Acceso a la Información</w:t>
      </w:r>
      <w:r>
        <w:rPr>
          <w:rFonts w:ascii="Arial" w:hAnsi="Arial" w:cs="Arial"/>
          <w:sz w:val="16"/>
          <w:szCs w:val="16"/>
        </w:rPr>
        <w:t xml:space="preserve"> y de Protección de Datos Personales</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6771FE">
    <w:pPr>
      <w:pStyle w:val="Encabezado"/>
    </w:pPr>
    <w:r>
      <w:rPr>
        <w:noProof/>
        <w:lang w:val="es-ES" w:eastAsia="es-ES"/>
      </w:rPr>
      <mc:AlternateContent>
        <mc:Choice Requires="wps">
          <w:drawing>
            <wp:anchor distT="0" distB="0" distL="114300" distR="114300" simplePos="0" relativeHeight="251663360" behindDoc="0" locked="0" layoutInCell="1" allowOverlap="1" wp14:anchorId="4826A351" wp14:editId="0D54243C">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Pr>
        <w:noProof/>
        <w:lang w:val="es-ES" w:eastAsia="es-ES"/>
      </w:rPr>
      <w:drawing>
        <wp:anchor distT="0" distB="0" distL="114300" distR="114300" simplePos="0" relativeHeight="251668480" behindDoc="1" locked="0" layoutInCell="1" allowOverlap="1" wp14:anchorId="6FFEC20C" wp14:editId="1B6745AA">
          <wp:simplePos x="0" y="0"/>
          <wp:positionH relativeFrom="page">
            <wp:posOffset>-224790</wp:posOffset>
          </wp:positionH>
          <wp:positionV relativeFrom="page">
            <wp:posOffset>-177165</wp:posOffset>
          </wp:positionV>
          <wp:extent cx="7773670" cy="1623695"/>
          <wp:effectExtent l="0" t="0" r="0" b="0"/>
          <wp:wrapSquare wrapText="bothSides"/>
          <wp:docPr id="2" name="4 Imagen" descr="SCJN_Comunicad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SCJN_Comunicado_2.png"/>
                  <pic:cNvPicPr>
                    <a:picLocks noChangeAspect="1" noChangeArrowheads="1"/>
                  </pic:cNvPicPr>
                </pic:nvPicPr>
                <pic:blipFill>
                  <a:blip r:embed="rId1"/>
                  <a:srcRect/>
                  <a:stretch>
                    <a:fillRect/>
                  </a:stretch>
                </pic:blipFill>
                <pic:spPr bwMode="auto">
                  <a:xfrm>
                    <a:off x="0" y="0"/>
                    <a:ext cx="7773670" cy="1623695"/>
                  </a:xfrm>
                  <a:prstGeom prst="rect">
                    <a:avLst/>
                  </a:prstGeom>
                  <a:noFill/>
                  <a:ln w="9525">
                    <a:noFill/>
                    <a:miter lim="800000"/>
                    <a:headEnd/>
                    <a:tailEnd/>
                  </a:ln>
                </pic:spPr>
              </pic:pic>
            </a:graphicData>
          </a:graphic>
        </wp:anchor>
      </w:drawing>
    </w:r>
    <w:r w:rsidR="00FC0BC6">
      <w:rPr>
        <w:noProof/>
        <w:lang w:val="es-ES" w:eastAsia="es-ES"/>
      </w:rPr>
      <mc:AlternateContent>
        <mc:Choice Requires="wps">
          <w:drawing>
            <wp:anchor distT="0" distB="0" distL="114300" distR="114300" simplePos="0" relativeHeight="251670528" behindDoc="0" locked="0" layoutInCell="1" allowOverlap="1" wp14:anchorId="63E8559C" wp14:editId="63292D1E">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0E0475" w:rsidP="00F53901">
                          <w:pPr>
                            <w:jc w:val="right"/>
                            <w:rPr>
                              <w:sz w:val="22"/>
                              <w:lang w:val="es-MX"/>
                            </w:rPr>
                          </w:pPr>
                          <w:r>
                            <w:rPr>
                              <w:sz w:val="22"/>
                              <w:lang w:val="es-MX"/>
                            </w:rPr>
                            <w:t>Abril a Junio de 201</w:t>
                          </w:r>
                          <w:r w:rsidR="00CC1A8E">
                            <w:rPr>
                              <w:sz w:val="22"/>
                              <w:lang w:val="es-MX"/>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0E0475" w:rsidP="00F53901">
                    <w:pPr>
                      <w:jc w:val="right"/>
                      <w:rPr>
                        <w:sz w:val="22"/>
                        <w:lang w:val="es-MX"/>
                      </w:rPr>
                    </w:pPr>
                    <w:r>
                      <w:rPr>
                        <w:sz w:val="22"/>
                        <w:lang w:val="es-MX"/>
                      </w:rPr>
                      <w:t>Abril a Junio de 201</w:t>
                    </w:r>
                    <w:r w:rsidR="00CC1A8E">
                      <w:rPr>
                        <w:sz w:val="22"/>
                        <w:lang w:val="es-MX"/>
                      </w:rPr>
                      <w:t>5</w:t>
                    </w:r>
                  </w:p>
                </w:txbxContent>
              </v:textbox>
            </v:shape>
          </w:pict>
        </mc:Fallback>
      </mc:AlternateContent>
    </w:r>
    <w:r w:rsidR="00FC0BC6">
      <w:rPr>
        <w:noProof/>
        <w:lang w:val="es-ES" w:eastAsia="es-ES"/>
      </w:rPr>
      <mc:AlternateContent>
        <mc:Choice Requires="wps">
          <w:drawing>
            <wp:anchor distT="0" distB="0" distL="114300" distR="114300" simplePos="0" relativeHeight="251664384" behindDoc="0" locked="0" layoutInCell="1" allowOverlap="1" wp14:anchorId="3DB4C3DF" wp14:editId="5ACB1209">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FC0BC6">
    <w:pPr>
      <w:pStyle w:val="Encabezado"/>
    </w:pPr>
    <w:r>
      <w:rPr>
        <w:noProof/>
        <w:lang w:val="es-ES" w:eastAsia="es-ES"/>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ES" w:eastAsia="es-ES"/>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A"/>
      </v:shape>
    </w:pict>
  </w:numPicBullet>
  <w:abstractNum w:abstractNumId="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CE"/>
    <w:rsid w:val="00003D66"/>
    <w:rsid w:val="00062098"/>
    <w:rsid w:val="0007154F"/>
    <w:rsid w:val="00086FAD"/>
    <w:rsid w:val="00087F00"/>
    <w:rsid w:val="000952AA"/>
    <w:rsid w:val="000A0284"/>
    <w:rsid w:val="000A0C86"/>
    <w:rsid w:val="000B078D"/>
    <w:rsid w:val="000B572B"/>
    <w:rsid w:val="000D5F4A"/>
    <w:rsid w:val="000E0475"/>
    <w:rsid w:val="00127378"/>
    <w:rsid w:val="00132FA2"/>
    <w:rsid w:val="0015393D"/>
    <w:rsid w:val="0017624E"/>
    <w:rsid w:val="00176D8D"/>
    <w:rsid w:val="00180598"/>
    <w:rsid w:val="001863CE"/>
    <w:rsid w:val="001A52FD"/>
    <w:rsid w:val="001B4633"/>
    <w:rsid w:val="001C21C1"/>
    <w:rsid w:val="0020117F"/>
    <w:rsid w:val="0021411F"/>
    <w:rsid w:val="00233FCC"/>
    <w:rsid w:val="00292B77"/>
    <w:rsid w:val="002C23D4"/>
    <w:rsid w:val="002D0E84"/>
    <w:rsid w:val="002D2D1E"/>
    <w:rsid w:val="002D454B"/>
    <w:rsid w:val="002E484B"/>
    <w:rsid w:val="002E5296"/>
    <w:rsid w:val="002F1FC1"/>
    <w:rsid w:val="00304F30"/>
    <w:rsid w:val="003142A0"/>
    <w:rsid w:val="00343AB8"/>
    <w:rsid w:val="003532A8"/>
    <w:rsid w:val="0036119F"/>
    <w:rsid w:val="003640DF"/>
    <w:rsid w:val="00375121"/>
    <w:rsid w:val="00384F28"/>
    <w:rsid w:val="003A32C0"/>
    <w:rsid w:val="003B5E4C"/>
    <w:rsid w:val="003C5D50"/>
    <w:rsid w:val="003D1E0F"/>
    <w:rsid w:val="003E1486"/>
    <w:rsid w:val="003E4A06"/>
    <w:rsid w:val="00402C70"/>
    <w:rsid w:val="004040B6"/>
    <w:rsid w:val="00430FFF"/>
    <w:rsid w:val="004657FA"/>
    <w:rsid w:val="004A641F"/>
    <w:rsid w:val="004B3F0A"/>
    <w:rsid w:val="004C0B4B"/>
    <w:rsid w:val="004C1906"/>
    <w:rsid w:val="004C1917"/>
    <w:rsid w:val="004C5C24"/>
    <w:rsid w:val="004E1E63"/>
    <w:rsid w:val="004E4FAE"/>
    <w:rsid w:val="00512258"/>
    <w:rsid w:val="00534D7D"/>
    <w:rsid w:val="00537198"/>
    <w:rsid w:val="005454A1"/>
    <w:rsid w:val="00546B9F"/>
    <w:rsid w:val="005541A0"/>
    <w:rsid w:val="00564CF8"/>
    <w:rsid w:val="00574F2C"/>
    <w:rsid w:val="00577FA5"/>
    <w:rsid w:val="005A261D"/>
    <w:rsid w:val="005A4480"/>
    <w:rsid w:val="005A5648"/>
    <w:rsid w:val="005B709B"/>
    <w:rsid w:val="005C7DEC"/>
    <w:rsid w:val="005D24D6"/>
    <w:rsid w:val="005D3B93"/>
    <w:rsid w:val="005E6BE7"/>
    <w:rsid w:val="005F4AA8"/>
    <w:rsid w:val="00611810"/>
    <w:rsid w:val="0062793D"/>
    <w:rsid w:val="006336F7"/>
    <w:rsid w:val="00665DF2"/>
    <w:rsid w:val="006771FE"/>
    <w:rsid w:val="00691E19"/>
    <w:rsid w:val="00693E25"/>
    <w:rsid w:val="006A2A1E"/>
    <w:rsid w:val="006B2A12"/>
    <w:rsid w:val="006C42AB"/>
    <w:rsid w:val="006D16EB"/>
    <w:rsid w:val="007039C5"/>
    <w:rsid w:val="00725941"/>
    <w:rsid w:val="00727013"/>
    <w:rsid w:val="00744A32"/>
    <w:rsid w:val="00751AFF"/>
    <w:rsid w:val="0076149D"/>
    <w:rsid w:val="00775A57"/>
    <w:rsid w:val="00775B11"/>
    <w:rsid w:val="00775B38"/>
    <w:rsid w:val="00795ED9"/>
    <w:rsid w:val="00796E14"/>
    <w:rsid w:val="007C1BB1"/>
    <w:rsid w:val="007D0908"/>
    <w:rsid w:val="007E3ACF"/>
    <w:rsid w:val="008068C9"/>
    <w:rsid w:val="00810D81"/>
    <w:rsid w:val="00816679"/>
    <w:rsid w:val="00830A4C"/>
    <w:rsid w:val="0083275C"/>
    <w:rsid w:val="00835B90"/>
    <w:rsid w:val="0084356E"/>
    <w:rsid w:val="008451EC"/>
    <w:rsid w:val="00875D0D"/>
    <w:rsid w:val="008956EE"/>
    <w:rsid w:val="008A54B2"/>
    <w:rsid w:val="008A5BCD"/>
    <w:rsid w:val="008A5D85"/>
    <w:rsid w:val="008D420C"/>
    <w:rsid w:val="008F5C63"/>
    <w:rsid w:val="00920F33"/>
    <w:rsid w:val="009247BA"/>
    <w:rsid w:val="00934AD2"/>
    <w:rsid w:val="00941A63"/>
    <w:rsid w:val="0094308E"/>
    <w:rsid w:val="00970C3F"/>
    <w:rsid w:val="009828E5"/>
    <w:rsid w:val="009940CE"/>
    <w:rsid w:val="009A424C"/>
    <w:rsid w:val="009C59EF"/>
    <w:rsid w:val="009E5FC9"/>
    <w:rsid w:val="00A16870"/>
    <w:rsid w:val="00A3454E"/>
    <w:rsid w:val="00A4190A"/>
    <w:rsid w:val="00A5717A"/>
    <w:rsid w:val="00A67EDD"/>
    <w:rsid w:val="00A7560F"/>
    <w:rsid w:val="00A83E36"/>
    <w:rsid w:val="00AA1B75"/>
    <w:rsid w:val="00AA3881"/>
    <w:rsid w:val="00AB56E2"/>
    <w:rsid w:val="00AD1792"/>
    <w:rsid w:val="00AD6BE6"/>
    <w:rsid w:val="00AE14E9"/>
    <w:rsid w:val="00AE1B2D"/>
    <w:rsid w:val="00AE6808"/>
    <w:rsid w:val="00B019C0"/>
    <w:rsid w:val="00B036FE"/>
    <w:rsid w:val="00B03E16"/>
    <w:rsid w:val="00B07518"/>
    <w:rsid w:val="00B2529E"/>
    <w:rsid w:val="00B34B30"/>
    <w:rsid w:val="00B460A8"/>
    <w:rsid w:val="00B5490A"/>
    <w:rsid w:val="00B555BE"/>
    <w:rsid w:val="00B61412"/>
    <w:rsid w:val="00B645C9"/>
    <w:rsid w:val="00B6709D"/>
    <w:rsid w:val="00B83C59"/>
    <w:rsid w:val="00BA3A9A"/>
    <w:rsid w:val="00BA4F6A"/>
    <w:rsid w:val="00BA5F54"/>
    <w:rsid w:val="00BA7ADD"/>
    <w:rsid w:val="00BB18E6"/>
    <w:rsid w:val="00BB4F5A"/>
    <w:rsid w:val="00BC1124"/>
    <w:rsid w:val="00BF3E18"/>
    <w:rsid w:val="00BF4C2A"/>
    <w:rsid w:val="00C21F44"/>
    <w:rsid w:val="00C23F85"/>
    <w:rsid w:val="00C4377E"/>
    <w:rsid w:val="00C75CAC"/>
    <w:rsid w:val="00C85EE0"/>
    <w:rsid w:val="00C86B07"/>
    <w:rsid w:val="00C912BE"/>
    <w:rsid w:val="00CC1A8E"/>
    <w:rsid w:val="00CC28C4"/>
    <w:rsid w:val="00CD73B5"/>
    <w:rsid w:val="00CE48C4"/>
    <w:rsid w:val="00CF30E6"/>
    <w:rsid w:val="00D54F0B"/>
    <w:rsid w:val="00D677DC"/>
    <w:rsid w:val="00D712C2"/>
    <w:rsid w:val="00D71A07"/>
    <w:rsid w:val="00D75561"/>
    <w:rsid w:val="00D836C5"/>
    <w:rsid w:val="00D96944"/>
    <w:rsid w:val="00DB16B4"/>
    <w:rsid w:val="00DC0826"/>
    <w:rsid w:val="00E3200E"/>
    <w:rsid w:val="00E50368"/>
    <w:rsid w:val="00E5354A"/>
    <w:rsid w:val="00E665E9"/>
    <w:rsid w:val="00E903E4"/>
    <w:rsid w:val="00E975AD"/>
    <w:rsid w:val="00EA297B"/>
    <w:rsid w:val="00EF2B2C"/>
    <w:rsid w:val="00F12BC1"/>
    <w:rsid w:val="00F20611"/>
    <w:rsid w:val="00F36D63"/>
    <w:rsid w:val="00F53901"/>
    <w:rsid w:val="00F578C7"/>
    <w:rsid w:val="00F64D03"/>
    <w:rsid w:val="00F72BB6"/>
    <w:rsid w:val="00F775F5"/>
    <w:rsid w:val="00F8014E"/>
    <w:rsid w:val="00FB369D"/>
    <w:rsid w:val="00FC0BC6"/>
    <w:rsid w:val="00FC5CDB"/>
    <w:rsid w:val="00FE158B"/>
    <w:rsid w:val="00FE2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Segundo%20Trimestre%20201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ruizc\Documents\CETAI\ESTAD&#205;STICAS\2015\CONSOLIDADOS\INDICADORES%20DE%20GESTI&#211;N\Segundo%20Trimestre%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Segundo%20Trimestre%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Segundo%20Trimestre%2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Segundo%20Trimestre%20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Segundo%20Trimestre%20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Segundo%20Trimestre%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ES"/>
                </a:p>
              </c:txPr>
              <c:showLegendKey val="0"/>
              <c:showVal val="1"/>
              <c:showCatName val="1"/>
              <c:showSerName val="0"/>
              <c:showPercent val="0"/>
              <c:showBubbleSize val="0"/>
            </c:dLbl>
            <c:dLbl>
              <c:idx val="1"/>
              <c:layout>
                <c:manualLayout>
                  <c:x val="-8.1122047801539272E-3"/>
                  <c:y val="0"/>
                </c:manualLayout>
              </c:layout>
              <c:spPr/>
              <c:txPr>
                <a:bodyPr/>
                <a:lstStyle/>
                <a:p>
                  <a:pPr>
                    <a:defRPr sz="800" b="1">
                      <a:latin typeface="Georgia" pitchFamily="18" charset="0"/>
                    </a:defRPr>
                  </a:pPr>
                  <a:endParaRPr lang="es-ES"/>
                </a:p>
              </c:txPr>
              <c:showLegendKey val="0"/>
              <c:showVal val="1"/>
              <c:showCatName val="1"/>
              <c:showSerName val="0"/>
              <c:showPercent val="0"/>
              <c:showBubbleSize val="0"/>
            </c:dLbl>
            <c:txPr>
              <a:bodyPr/>
              <a:lstStyle/>
              <a:p>
                <a:pPr>
                  <a:defRPr sz="800">
                    <a:latin typeface="Georgia" pitchFamily="18" charset="0"/>
                  </a:defRPr>
                </a:pPr>
                <a:endParaRPr lang="es-ES"/>
              </a:p>
            </c:txPr>
            <c:showLegendKey val="0"/>
            <c:showVal val="1"/>
            <c:showCatName val="1"/>
            <c:showSerName val="0"/>
            <c:showPercent val="0"/>
            <c:showBubbleSize val="0"/>
            <c:showLeaderLines val="0"/>
          </c:dLbls>
          <c:cat>
            <c:strRef>
              <c:f>'2015'!$A$5:$A$6</c:f>
              <c:strCache>
                <c:ptCount val="2"/>
                <c:pt idx="0">
                  <c:v>Procedimientos Sumarios</c:v>
                </c:pt>
                <c:pt idx="1">
                  <c:v>Procedimientos Ordinarios</c:v>
                </c:pt>
              </c:strCache>
            </c:strRef>
          </c:cat>
          <c:val>
            <c:numRef>
              <c:f>'2015'!$C$5:$C$6</c:f>
              <c:numCache>
                <c:formatCode>0.00%</c:formatCode>
                <c:ptCount val="2"/>
                <c:pt idx="0">
                  <c:v>0.96813762154076288</c:v>
                </c:pt>
                <c:pt idx="1">
                  <c:v>3.1862378459237096E-2</c:v>
                </c:pt>
              </c:numCache>
            </c:numRef>
          </c:val>
        </c:ser>
        <c:dLbls>
          <c:showLegendKey val="0"/>
          <c:showVal val="0"/>
          <c:showCatName val="1"/>
          <c:showSerName val="0"/>
          <c:showPercent val="0"/>
          <c:showBubbleSize val="0"/>
        </c:dLbls>
        <c:gapWidth val="76"/>
        <c:axId val="107296256"/>
        <c:axId val="133863616"/>
      </c:barChart>
      <c:catAx>
        <c:axId val="107296256"/>
        <c:scaling>
          <c:orientation val="minMax"/>
        </c:scaling>
        <c:delete val="1"/>
        <c:axPos val="b"/>
        <c:majorTickMark val="out"/>
        <c:minorTickMark val="none"/>
        <c:tickLblPos val="none"/>
        <c:crossAx val="133863616"/>
        <c:crosses val="autoZero"/>
        <c:auto val="1"/>
        <c:lblAlgn val="ctr"/>
        <c:lblOffset val="100"/>
        <c:noMultiLvlLbl val="0"/>
      </c:catAx>
      <c:valAx>
        <c:axId val="13386361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ES"/>
          </a:p>
        </c:txPr>
        <c:crossAx val="1072962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'2015'!$B$12</c:f>
              <c:strCache>
                <c:ptCount val="1"/>
                <c:pt idx="0">
                  <c:v>Tramitados</c:v>
                </c:pt>
              </c:strCache>
            </c:strRef>
          </c:tx>
          <c:spPr>
            <a:solidFill>
              <a:srgbClr val="73AFB6"/>
            </a:solidFill>
            <a:ln>
              <a:noFill/>
            </a:ln>
            <a:effectLst/>
          </c:spPr>
          <c:invertIfNegative val="0"/>
          <c:dLbls>
            <c:txPr>
              <a:bodyPr rot="0" vert="horz"/>
              <a:lstStyle/>
              <a:p>
                <a:pPr>
                  <a:defRPr/>
                </a:pPr>
                <a:endParaRPr lang="es-ES"/>
              </a:p>
            </c:txPr>
            <c:dLblPos val="outEnd"/>
            <c:showLegendKey val="0"/>
            <c:showVal val="1"/>
            <c:showCatName val="0"/>
            <c:showSerName val="0"/>
            <c:showPercent val="0"/>
            <c:showBubbleSize val="0"/>
            <c:showLeaderLines val="0"/>
          </c:dLbls>
          <c:cat>
            <c:strRef>
              <c:f>'2015'!$A$13:$A$59</c:f>
              <c:strCache>
                <c:ptCount val="47"/>
                <c:pt idx="0">
                  <c:v>Lerma, Estado de Mex.</c:v>
                </c:pt>
                <c:pt idx="1">
                  <c:v>Hermosillo, Son.</c:v>
                </c:pt>
                <c:pt idx="2">
                  <c:v>Celaya, Gto.</c:v>
                </c:pt>
                <c:pt idx="3">
                  <c:v>Campeche, Camp.</c:v>
                </c:pt>
                <c:pt idx="4">
                  <c:v>Matamoros, Tamps.</c:v>
                </c:pt>
                <c:pt idx="5">
                  <c:v>Chetumal, Q.Roo</c:v>
                </c:pt>
                <c:pt idx="6">
                  <c:v>Ciudad Juárez, Chih.</c:v>
                </c:pt>
                <c:pt idx="7">
                  <c:v>Ciudad Victoria, Tamps.</c:v>
                </c:pt>
                <c:pt idx="8">
                  <c:v>Veracruz, Ver.</c:v>
                </c:pt>
                <c:pt idx="9">
                  <c:v>Tuxtla Gutiérrez, Chis.</c:v>
                </c:pt>
                <c:pt idx="10">
                  <c:v>Nuevo Laredo, Tamps.</c:v>
                </c:pt>
                <c:pt idx="11">
                  <c:v>Saltillo, Coah.</c:v>
                </c:pt>
                <c:pt idx="12">
                  <c:v>Xalapa, Ver.</c:v>
                </c:pt>
                <c:pt idx="13">
                  <c:v>Pachuca, Hgo. </c:v>
                </c:pt>
                <c:pt idx="14">
                  <c:v>Uruapan, Mich.</c:v>
                </c:pt>
                <c:pt idx="15">
                  <c:v>Chihuahua, Chih.</c:v>
                </c:pt>
                <c:pt idx="16">
                  <c:v>Tijuana, B.C.</c:v>
                </c:pt>
                <c:pt idx="17">
                  <c:v>Mérida, Yuc.</c:v>
                </c:pt>
                <c:pt idx="18">
                  <c:v>Mazatlán, Sin.</c:v>
                </c:pt>
                <c:pt idx="19">
                  <c:v>Querétaro, Qro.</c:v>
                </c:pt>
                <c:pt idx="20">
                  <c:v>La Paz, B.C.S.</c:v>
                </c:pt>
                <c:pt idx="21">
                  <c:v>Guanajuato, Gto.</c:v>
                </c:pt>
                <c:pt idx="22">
                  <c:v>Tapachula, Chis.</c:v>
                </c:pt>
                <c:pt idx="23">
                  <c:v>Guadalajara, Jal.</c:v>
                </c:pt>
                <c:pt idx="24">
                  <c:v>Cuernavaca, Mor.</c:v>
                </c:pt>
                <c:pt idx="25">
                  <c:v>Puebla, Pue.</c:v>
                </c:pt>
                <c:pt idx="26">
                  <c:v>Tepic, Nay. </c:v>
                </c:pt>
                <c:pt idx="27">
                  <c:v>León, Gto.</c:v>
                </c:pt>
                <c:pt idx="28">
                  <c:v>Monterrey, N.L.</c:v>
                </c:pt>
                <c:pt idx="29">
                  <c:v>Mexicali, B.C</c:v>
                </c:pt>
                <c:pt idx="30">
                  <c:v>Torreón, Coah.</c:v>
                </c:pt>
                <c:pt idx="31">
                  <c:v>Culiacán, Sin.</c:v>
                </c:pt>
                <c:pt idx="32">
                  <c:v>Ensenada, B.C.</c:v>
                </c:pt>
                <c:pt idx="33">
                  <c:v>Acapulco, Gro. </c:v>
                </c:pt>
                <c:pt idx="34">
                  <c:v>San Luis Potosí, S.L.P.</c:v>
                </c:pt>
                <c:pt idx="35">
                  <c:v>Ciudad Obregón, Son.</c:v>
                </c:pt>
                <c:pt idx="36">
                  <c:v>Cancún, Q. Roo</c:v>
                </c:pt>
                <c:pt idx="37">
                  <c:v>Villahermosa, Tab.</c:v>
                </c:pt>
                <c:pt idx="38">
                  <c:v>Durango, Dgo.</c:v>
                </c:pt>
                <c:pt idx="39">
                  <c:v>Morelia, Mich.</c:v>
                </c:pt>
                <c:pt idx="40">
                  <c:v>Colima, Col.</c:v>
                </c:pt>
                <c:pt idx="41">
                  <c:v>Oaxaca, Oax</c:v>
                </c:pt>
                <c:pt idx="42">
                  <c:v>Aguascalientes, Ags</c:v>
                </c:pt>
                <c:pt idx="43">
                  <c:v>Toluca, Estado de Mex.</c:v>
                </c:pt>
                <c:pt idx="44">
                  <c:v>Tlaxcala, Tlax.</c:v>
                </c:pt>
                <c:pt idx="45">
                  <c:v>Zacatecas, Zac.</c:v>
                </c:pt>
                <c:pt idx="46">
                  <c:v>Distrito Federal</c:v>
                </c:pt>
              </c:strCache>
            </c:strRef>
          </c:cat>
          <c:val>
            <c:numRef>
              <c:f>'2015'!$B$13:$B$59</c:f>
              <c:numCache>
                <c:formatCode>#,##0</c:formatCode>
                <c:ptCount val="47"/>
                <c:pt idx="0">
                  <c:v>19</c:v>
                </c:pt>
                <c:pt idx="1">
                  <c:v>19</c:v>
                </c:pt>
                <c:pt idx="2">
                  <c:v>21</c:v>
                </c:pt>
                <c:pt idx="3">
                  <c:v>27</c:v>
                </c:pt>
                <c:pt idx="4">
                  <c:v>51</c:v>
                </c:pt>
                <c:pt idx="5">
                  <c:v>56</c:v>
                </c:pt>
                <c:pt idx="6">
                  <c:v>58</c:v>
                </c:pt>
                <c:pt idx="7">
                  <c:v>58</c:v>
                </c:pt>
                <c:pt idx="8">
                  <c:v>64</c:v>
                </c:pt>
                <c:pt idx="9">
                  <c:v>80</c:v>
                </c:pt>
                <c:pt idx="10">
                  <c:v>80</c:v>
                </c:pt>
                <c:pt idx="11">
                  <c:v>81</c:v>
                </c:pt>
                <c:pt idx="12">
                  <c:v>90</c:v>
                </c:pt>
                <c:pt idx="13">
                  <c:v>93</c:v>
                </c:pt>
                <c:pt idx="14">
                  <c:v>94</c:v>
                </c:pt>
                <c:pt idx="15">
                  <c:v>95</c:v>
                </c:pt>
                <c:pt idx="16">
                  <c:v>96</c:v>
                </c:pt>
                <c:pt idx="17">
                  <c:v>99</c:v>
                </c:pt>
                <c:pt idx="18">
                  <c:v>104</c:v>
                </c:pt>
                <c:pt idx="19">
                  <c:v>107</c:v>
                </c:pt>
                <c:pt idx="20">
                  <c:v>110</c:v>
                </c:pt>
                <c:pt idx="21">
                  <c:v>116</c:v>
                </c:pt>
                <c:pt idx="22">
                  <c:v>131</c:v>
                </c:pt>
                <c:pt idx="23">
                  <c:v>145</c:v>
                </c:pt>
                <c:pt idx="24">
                  <c:v>149</c:v>
                </c:pt>
                <c:pt idx="25">
                  <c:v>152</c:v>
                </c:pt>
                <c:pt idx="26">
                  <c:v>173</c:v>
                </c:pt>
                <c:pt idx="27">
                  <c:v>191</c:v>
                </c:pt>
                <c:pt idx="28">
                  <c:v>191</c:v>
                </c:pt>
                <c:pt idx="29">
                  <c:v>197</c:v>
                </c:pt>
                <c:pt idx="30">
                  <c:v>203</c:v>
                </c:pt>
                <c:pt idx="31">
                  <c:v>204</c:v>
                </c:pt>
                <c:pt idx="32">
                  <c:v>209</c:v>
                </c:pt>
                <c:pt idx="33">
                  <c:v>236</c:v>
                </c:pt>
                <c:pt idx="34">
                  <c:v>245</c:v>
                </c:pt>
                <c:pt idx="35">
                  <c:v>271</c:v>
                </c:pt>
                <c:pt idx="36">
                  <c:v>275</c:v>
                </c:pt>
                <c:pt idx="37">
                  <c:v>310</c:v>
                </c:pt>
                <c:pt idx="38">
                  <c:v>322</c:v>
                </c:pt>
                <c:pt idx="39">
                  <c:v>340</c:v>
                </c:pt>
                <c:pt idx="40">
                  <c:v>370</c:v>
                </c:pt>
                <c:pt idx="41">
                  <c:v>396</c:v>
                </c:pt>
                <c:pt idx="42">
                  <c:v>444</c:v>
                </c:pt>
                <c:pt idx="43">
                  <c:v>599</c:v>
                </c:pt>
                <c:pt idx="44">
                  <c:v>784</c:v>
                </c:pt>
                <c:pt idx="45">
                  <c:v>1117</c:v>
                </c:pt>
                <c:pt idx="46">
                  <c:v>2924</c:v>
                </c:pt>
              </c:numCache>
            </c:numRef>
          </c:val>
        </c:ser>
        <c:dLbls>
          <c:showLegendKey val="0"/>
          <c:showVal val="1"/>
          <c:showCatName val="0"/>
          <c:showSerName val="0"/>
          <c:showPercent val="0"/>
          <c:showBubbleSize val="0"/>
        </c:dLbls>
        <c:gapWidth val="150"/>
        <c:axId val="86341632"/>
        <c:axId val="133881856"/>
      </c:barChart>
      <c:catAx>
        <c:axId val="86341632"/>
        <c:scaling>
          <c:orientation val="minMax"/>
        </c:scaling>
        <c:delete val="0"/>
        <c:axPos val="l"/>
        <c:numFmt formatCode="General" sourceLinked="1"/>
        <c:majorTickMark val="out"/>
        <c:minorTickMark val="none"/>
        <c:tickLblPos val="nextTo"/>
        <c:txPr>
          <a:bodyPr rot="0" vert="horz"/>
          <a:lstStyle/>
          <a:p>
            <a:pPr>
              <a:defRPr sz="800" b="1"/>
            </a:pPr>
            <a:endParaRPr lang="es-ES"/>
          </a:p>
        </c:txPr>
        <c:crossAx val="133881856"/>
        <c:crosses val="autoZero"/>
        <c:auto val="1"/>
        <c:lblAlgn val="ctr"/>
        <c:lblOffset val="100"/>
        <c:tickLblSkip val="1"/>
        <c:tickMarkSkip val="1"/>
        <c:noMultiLvlLbl val="0"/>
      </c:catAx>
      <c:valAx>
        <c:axId val="133881856"/>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ES"/>
          </a:p>
        </c:txPr>
        <c:crossAx val="86341632"/>
        <c:crosses val="autoZero"/>
        <c:crossBetween val="between"/>
        <c:majorUnit val="500"/>
      </c:valAx>
      <c:spPr>
        <a:noFill/>
        <a:ln>
          <a:solidFill>
            <a:schemeClr val="tx1">
              <a:lumMod val="50000"/>
              <a:lumOff val="50000"/>
            </a:schemeClr>
          </a:solidFill>
        </a:ln>
      </c:spPr>
    </c:plotArea>
    <c:plotVisOnly val="1"/>
    <c:dispBlanksAs val="gap"/>
    <c:showDLblsOverMax val="0"/>
  </c:chart>
  <c:spPr>
    <a:noFill/>
    <a:ln>
      <a:noFill/>
    </a:ln>
  </c:spPr>
  <c:txPr>
    <a:bodyPr/>
    <a:lstStyle/>
    <a:p>
      <a:pPr>
        <a:defRPr>
          <a:latin typeface="Georgia" pitchFamily="18" charset="0"/>
        </a:defRPr>
      </a:pPr>
      <a:endParaRPr lang="es-E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dLbl>
            <c:dLbl>
              <c:idx val="1"/>
              <c:layout>
                <c:manualLayout>
                  <c:x val="-5.7489247110090964E-2"/>
                  <c:y val="9.8199689541208987E-3"/>
                </c:manualLayout>
              </c:layout>
              <c:dLblPos val="bestFit"/>
              <c:showLegendKey val="0"/>
              <c:showVal val="1"/>
              <c:showCatName val="1"/>
              <c:showSerName val="0"/>
              <c:showPercent val="0"/>
              <c:showBubbleSize val="0"/>
            </c:dLbl>
            <c:txPr>
              <a:bodyPr/>
              <a:lstStyle/>
              <a:p>
                <a:pPr>
                  <a:defRPr b="1"/>
                </a:pPr>
                <a:endParaRPr lang="es-ES"/>
              </a:p>
            </c:txPr>
            <c:dLblPos val="bestFit"/>
            <c:showLegendKey val="0"/>
            <c:showVal val="1"/>
            <c:showCatName val="1"/>
            <c:showSerName val="0"/>
            <c:showPercent val="0"/>
            <c:showBubbleSize val="0"/>
            <c:showLeaderLines val="0"/>
          </c:dLbls>
          <c:cat>
            <c:strRef>
              <c:f>'2015'!$A$69:$A$70</c:f>
              <c:strCache>
                <c:ptCount val="2"/>
                <c:pt idx="0">
                  <c:v>Solicitudes recibidas de manera presencial</c:v>
                </c:pt>
                <c:pt idx="1">
                  <c:v>Solicitudes recibidas por medios electrónicos</c:v>
                </c:pt>
              </c:strCache>
            </c:strRef>
          </c:cat>
          <c:val>
            <c:numRef>
              <c:f>'2015'!$C$69:$C$70</c:f>
              <c:numCache>
                <c:formatCode>0.00%</c:formatCode>
                <c:ptCount val="2"/>
                <c:pt idx="0">
                  <c:v>0.89457308248914613</c:v>
                </c:pt>
                <c:pt idx="1">
                  <c:v>0.10542691751085384</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ES"/>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dLbl>
            <c:txPr>
              <a:bodyPr/>
              <a:lstStyle/>
              <a:p>
                <a:pPr>
                  <a:defRPr sz="900" b="1">
                    <a:latin typeface="+mj-lt"/>
                    <a:cs typeface="Arial" pitchFamily="34" charset="0"/>
                  </a:defRPr>
                </a:pPr>
                <a:endParaRPr lang="es-ES"/>
              </a:p>
            </c:txPr>
            <c:showLegendKey val="0"/>
            <c:showVal val="1"/>
            <c:showCatName val="0"/>
            <c:showSerName val="0"/>
            <c:showPercent val="0"/>
            <c:showBubbleSize val="0"/>
            <c:showLeaderLines val="0"/>
          </c:dLbls>
          <c:cat>
            <c:strRef>
              <c:f>'2015'!$A$77:$A$79</c:f>
              <c:strCache>
                <c:ptCount val="3"/>
                <c:pt idx="0">
                  <c:v>Orientaciones</c:v>
                </c:pt>
                <c:pt idx="1">
                  <c:v>Canalizaciones</c:v>
                </c:pt>
                <c:pt idx="2">
                  <c:v>Solicitudes</c:v>
                </c:pt>
              </c:strCache>
            </c:strRef>
          </c:cat>
          <c:val>
            <c:numRef>
              <c:f>'2015'!$B$77:$B$79</c:f>
              <c:numCache>
                <c:formatCode>General</c:formatCode>
                <c:ptCount val="3"/>
                <c:pt idx="0" formatCode="#,##0">
                  <c:v>37</c:v>
                </c:pt>
                <c:pt idx="1">
                  <c:v>33</c:v>
                </c:pt>
                <c:pt idx="2" formatCode="#,##0">
                  <c:v>13820</c:v>
                </c:pt>
              </c:numCache>
            </c:numRef>
          </c:val>
        </c:ser>
        <c:dLbls>
          <c:showLegendKey val="0"/>
          <c:showVal val="1"/>
          <c:showCatName val="0"/>
          <c:showSerName val="0"/>
          <c:showPercent val="0"/>
          <c:showBubbleSize val="0"/>
        </c:dLbls>
        <c:gapWidth val="75"/>
        <c:axId val="107298304"/>
        <c:axId val="133884736"/>
      </c:barChart>
      <c:catAx>
        <c:axId val="107298304"/>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ES"/>
          </a:p>
        </c:txPr>
        <c:crossAx val="133884736"/>
        <c:crosses val="autoZero"/>
        <c:auto val="1"/>
        <c:lblAlgn val="ctr"/>
        <c:lblOffset val="100"/>
        <c:tickLblSkip val="1"/>
        <c:tickMarkSkip val="1"/>
        <c:noMultiLvlLbl val="0"/>
      </c:catAx>
      <c:valAx>
        <c:axId val="133884736"/>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ES"/>
          </a:p>
        </c:txPr>
        <c:crossAx val="107298304"/>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dLbl>
            <c:dLbl>
              <c:idx val="1"/>
              <c:layout>
                <c:manualLayout>
                  <c:x val="-2.6579976724470425E-3"/>
                  <c:y val="-4.5083134009083377E-2"/>
                </c:manualLayout>
              </c:layout>
              <c:showLegendKey val="0"/>
              <c:showVal val="1"/>
              <c:showCatName val="0"/>
              <c:showSerName val="0"/>
              <c:showPercent val="0"/>
              <c:showBubbleSize val="0"/>
            </c:dLbl>
            <c:txPr>
              <a:bodyPr/>
              <a:lstStyle/>
              <a:p>
                <a:pPr>
                  <a:defRPr sz="900" b="1">
                    <a:latin typeface="+mj-lt"/>
                    <a:cs typeface="Arial" pitchFamily="34" charset="0"/>
                  </a:defRPr>
                </a:pPr>
                <a:endParaRPr lang="es-ES"/>
              </a:p>
            </c:txPr>
            <c:showLegendKey val="0"/>
            <c:showVal val="1"/>
            <c:showCatName val="0"/>
            <c:showSerName val="0"/>
            <c:showPercent val="0"/>
            <c:showBubbleSize val="0"/>
            <c:showLeaderLines val="0"/>
          </c:dLbls>
          <c:cat>
            <c:strRef>
              <c:f>'2015'!$A$84:$A$85</c:f>
              <c:strCache>
                <c:ptCount val="2"/>
                <c:pt idx="0">
                  <c:v>Administrativa</c:v>
                </c:pt>
                <c:pt idx="1">
                  <c:v>Jurisdiccional</c:v>
                </c:pt>
              </c:strCache>
            </c:strRef>
          </c:cat>
          <c:val>
            <c:numRef>
              <c:f>'2015'!$C$84:$C$85</c:f>
              <c:numCache>
                <c:formatCode>0.00%</c:formatCode>
                <c:ptCount val="2"/>
                <c:pt idx="0">
                  <c:v>8.2159624413145546E-2</c:v>
                </c:pt>
                <c:pt idx="1">
                  <c:v>0.9178403755868545</c:v>
                </c:pt>
              </c:numCache>
            </c:numRef>
          </c:val>
        </c:ser>
        <c:dLbls>
          <c:showLegendKey val="0"/>
          <c:showVal val="1"/>
          <c:showCatName val="0"/>
          <c:showSerName val="0"/>
          <c:showPercent val="0"/>
          <c:showBubbleSize val="0"/>
        </c:dLbls>
        <c:gapWidth val="103"/>
        <c:overlap val="88"/>
        <c:axId val="86343168"/>
        <c:axId val="133886464"/>
      </c:barChart>
      <c:catAx>
        <c:axId val="86343168"/>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ES"/>
          </a:p>
        </c:txPr>
        <c:crossAx val="133886464"/>
        <c:crosses val="autoZero"/>
        <c:auto val="1"/>
        <c:lblAlgn val="ctr"/>
        <c:lblOffset val="100"/>
        <c:tickLblSkip val="1"/>
        <c:tickMarkSkip val="1"/>
        <c:noMultiLvlLbl val="0"/>
      </c:catAx>
      <c:valAx>
        <c:axId val="133886464"/>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ES"/>
          </a:p>
        </c:txPr>
        <c:crossAx val="86343168"/>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4329778229377819"/>
          <c:y val="0.11087039394708477"/>
          <c:w val="0.52527630771474232"/>
          <c:h val="0.77825921210583049"/>
        </c:manualLayout>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0031894512545378"/>
                  <c:y val="-0.12362848058379663"/>
                </c:manualLayout>
              </c:layout>
              <c:numFmt formatCode="0.00%" sourceLinked="0"/>
              <c:spPr/>
              <c:txPr>
                <a:bodyPr/>
                <a:lstStyle/>
                <a:p>
                  <a:pPr>
                    <a:defRPr sz="800" b="1">
                      <a:latin typeface="Georgia" panose="02040502050405020303" pitchFamily="18" charset="0"/>
                      <a:cs typeface="Calibri" pitchFamily="34" charset="0"/>
                    </a:defRPr>
                  </a:pPr>
                  <a:endParaRPr lang="es-ES"/>
                </a:p>
              </c:txPr>
              <c:showLegendKey val="0"/>
              <c:showVal val="1"/>
              <c:showCatName val="1"/>
              <c:showSerName val="0"/>
              <c:showPercent val="0"/>
              <c:showBubbleSize val="0"/>
            </c:dLbl>
            <c:dLbl>
              <c:idx val="1"/>
              <c:layout>
                <c:manualLayout>
                  <c:x val="-2.9944661580203626E-2"/>
                  <c:y val="1.7035989082942578E-2"/>
                </c:manualLayout>
              </c:layout>
              <c:numFmt formatCode="0.00%" sourceLinked="0"/>
              <c:spPr/>
              <c:txPr>
                <a:bodyPr/>
                <a:lstStyle/>
                <a:p>
                  <a:pPr>
                    <a:defRPr sz="800" b="1">
                      <a:solidFill>
                        <a:sysClr val="windowText" lastClr="000000"/>
                      </a:solidFill>
                      <a:latin typeface="Georgia" panose="02040502050405020303" pitchFamily="18" charset="0"/>
                      <a:cs typeface="Calibri" pitchFamily="34" charset="0"/>
                    </a:defRPr>
                  </a:pPr>
                  <a:endParaRPr lang="es-ES"/>
                </a:p>
              </c:txPr>
              <c:showLegendKey val="0"/>
              <c:showVal val="1"/>
              <c:showCatName val="1"/>
              <c:showSerName val="0"/>
              <c:showPercent val="0"/>
              <c:showBubbleSize val="0"/>
            </c:dLbl>
            <c:numFmt formatCode="0.00%" sourceLinked="0"/>
            <c:txPr>
              <a:bodyPr/>
              <a:lstStyle/>
              <a:p>
                <a:pPr>
                  <a:defRPr sz="1000" b="1">
                    <a:latin typeface="+mn-lt"/>
                    <a:cs typeface="Calibri" pitchFamily="34" charset="0"/>
                  </a:defRPr>
                </a:pPr>
                <a:endParaRPr lang="es-ES"/>
              </a:p>
            </c:txPr>
            <c:showLegendKey val="0"/>
            <c:showVal val="1"/>
            <c:showCatName val="1"/>
            <c:showSerName val="0"/>
            <c:showPercent val="0"/>
            <c:showBubbleSize val="0"/>
            <c:showLeaderLines val="0"/>
          </c:dLbls>
          <c:cat>
            <c:strRef>
              <c:f>'2015'!$A$92:$A$93</c:f>
              <c:strCache>
                <c:ptCount val="2"/>
                <c:pt idx="0">
                  <c:v>Tramitados sin intervención del Comité</c:v>
                </c:pt>
                <c:pt idx="1">
                  <c:v>Turnos al Comité</c:v>
                </c:pt>
              </c:strCache>
            </c:strRef>
          </c:cat>
          <c:val>
            <c:numRef>
              <c:f>'2015'!$B$92:$B$93</c:f>
              <c:numCache>
                <c:formatCode>0.00%</c:formatCode>
                <c:ptCount val="2"/>
                <c:pt idx="0">
                  <c:v>0.88497652582159625</c:v>
                </c:pt>
                <c:pt idx="1">
                  <c:v>0.11502347417840375</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dLbl>
            <c:dLbl>
              <c:idx val="1"/>
              <c:layout>
                <c:manualLayout>
                  <c:x val="0"/>
                  <c:y val="-1.60642570281125E-2"/>
                </c:manualLayout>
              </c:layout>
              <c:showLegendKey val="0"/>
              <c:showVal val="1"/>
              <c:showCatName val="1"/>
              <c:showSerName val="0"/>
              <c:showPercent val="0"/>
              <c:showBubbleSize val="0"/>
            </c:dLbl>
            <c:txPr>
              <a:bodyPr/>
              <a:lstStyle/>
              <a:p>
                <a:pPr>
                  <a:defRPr sz="900" b="1">
                    <a:latin typeface="Georgia" pitchFamily="18" charset="0"/>
                    <a:cs typeface="Arial" pitchFamily="34" charset="0"/>
                  </a:defRPr>
                </a:pPr>
                <a:endParaRPr lang="es-ES"/>
              </a:p>
            </c:txPr>
            <c:showLegendKey val="0"/>
            <c:showVal val="1"/>
            <c:showCatName val="1"/>
            <c:showSerName val="0"/>
            <c:showPercent val="0"/>
            <c:showBubbleSize val="0"/>
            <c:showLeaderLines val="0"/>
          </c:dLbls>
          <c:cat>
            <c:strRef>
              <c:f>'2015'!$A$96:$A$97</c:f>
              <c:strCache>
                <c:ptCount val="2"/>
                <c:pt idx="0">
                  <c:v>Clasificaciones emitidas por el Comité</c:v>
                </c:pt>
                <c:pt idx="1">
                  <c:v>Recursos de Revisión promovidos</c:v>
                </c:pt>
              </c:strCache>
            </c:strRef>
          </c:cat>
          <c:val>
            <c:numRef>
              <c:f>'2015'!$B$96:$B$97</c:f>
              <c:numCache>
                <c:formatCode>General</c:formatCode>
                <c:ptCount val="2"/>
                <c:pt idx="0">
                  <c:v>22</c:v>
                </c:pt>
                <c:pt idx="1">
                  <c:v>1</c:v>
                </c:pt>
              </c:numCache>
            </c:numRef>
          </c:val>
        </c:ser>
        <c:dLbls>
          <c:showLegendKey val="0"/>
          <c:showVal val="1"/>
          <c:showCatName val="1"/>
          <c:showSerName val="0"/>
          <c:showPercent val="0"/>
          <c:showBubbleSize val="0"/>
        </c:dLbls>
        <c:gapWidth val="150"/>
        <c:axId val="107294720"/>
        <c:axId val="133889344"/>
      </c:barChart>
      <c:catAx>
        <c:axId val="107294720"/>
        <c:scaling>
          <c:orientation val="minMax"/>
        </c:scaling>
        <c:delete val="1"/>
        <c:axPos val="b"/>
        <c:majorTickMark val="out"/>
        <c:minorTickMark val="none"/>
        <c:tickLblPos val="none"/>
        <c:crossAx val="133889344"/>
        <c:crosses val="autoZero"/>
        <c:auto val="1"/>
        <c:lblAlgn val="ctr"/>
        <c:lblOffset val="100"/>
        <c:noMultiLvlLbl val="0"/>
      </c:catAx>
      <c:valAx>
        <c:axId val="133889344"/>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ES"/>
          </a:p>
        </c:txPr>
        <c:crossAx val="107294720"/>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0.23411</cdr:x>
      <cdr:y>0</cdr:y>
    </cdr:from>
    <cdr:to>
      <cdr:x>0.98447</cdr:x>
      <cdr:y>0.0256</cdr:y>
    </cdr:to>
    <cdr:sp macro="" textlink="">
      <cdr:nvSpPr>
        <cdr:cNvPr id="2" name="2 CuadroTexto"/>
        <cdr:cNvSpPr txBox="1"/>
      </cdr:nvSpPr>
      <cdr:spPr>
        <a:xfrm xmlns:a="http://schemas.openxmlformats.org/drawingml/2006/main">
          <a:off x="1226458" y="0"/>
          <a:ext cx="3930948" cy="19458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F27142D21CD24AB850A6B619196703" ma:contentTypeVersion="1" ma:contentTypeDescription="Crear nuevo documento." ma:contentTypeScope="" ma:versionID="4f35d0d8836457d652ccc175df40a5ea">
  <xsd:schema xmlns:xsd="http://www.w3.org/2001/XMLSchema" xmlns:xs="http://www.w3.org/2001/XMLSchema" xmlns:p="http://schemas.microsoft.com/office/2006/metadata/properties" xmlns:ns1="http://schemas.microsoft.com/sharepoint/v3" targetNamespace="http://schemas.microsoft.com/office/2006/metadata/properties" ma:root="true" ma:fieldsID="abef88b8f65146705a8b63b1dbb381b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3B73-BEB4-42A1-AC15-165090D69F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EBAC47-DB1E-4EF3-B81D-A3FFE10C5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38244-5087-43DE-8D55-37AAD53AF261}">
  <ds:schemaRefs>
    <ds:schemaRef ds:uri="http://schemas.microsoft.com/sharepoint/v3/contenttype/forms"/>
  </ds:schemaRefs>
</ds:datastoreItem>
</file>

<file path=customXml/itemProps4.xml><?xml version="1.0" encoding="utf-8"?>
<ds:datastoreItem xmlns:ds="http://schemas.openxmlformats.org/officeDocument/2006/customXml" ds:itemID="{A3CDA60F-02C7-4861-9866-BA44CC58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1002</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Teresa Francisco Sotelo</cp:lastModifiedBy>
  <cp:revision>2</cp:revision>
  <cp:lastPrinted>2015-02-17T15:09:00Z</cp:lastPrinted>
  <dcterms:created xsi:type="dcterms:W3CDTF">2016-12-15T00:30:00Z</dcterms:created>
  <dcterms:modified xsi:type="dcterms:W3CDTF">2016-12-15T00:30:00Z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0x01010091F27142D21CD24AB850A6B619196703</vt:lpwstr>
  </property>
  <property fmtid="{D5CDD505-2E9C-101B-9397-08002B2CF9AE}" pid="3" name="Order">
    <vt:r8>1244900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