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0D" w:rsidRPr="00830A4C" w:rsidRDefault="00875D0D" w:rsidP="00875D0D">
      <w:pPr>
        <w:jc w:val="both"/>
        <w:rPr>
          <w:rFonts w:asciiTheme="majorHAnsi" w:hAnsiTheme="majorHAnsi" w:cs="Arial"/>
          <w:b/>
          <w:sz w:val="22"/>
          <w:szCs w:val="26"/>
          <w:lang w:val="es-MX"/>
        </w:rPr>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sumarios: </w:t>
      </w:r>
      <w:r w:rsidRPr="004E1E63">
        <w:rPr>
          <w:rFonts w:ascii="Georgia" w:hAnsi="Georgia" w:cs="Arial"/>
          <w:b/>
          <w:sz w:val="22"/>
          <w:szCs w:val="26"/>
          <w:lang w:val="es-MX"/>
        </w:rPr>
        <w:t>9</w:t>
      </w:r>
      <w:r w:rsidR="001E30E6">
        <w:rPr>
          <w:rFonts w:ascii="Georgia" w:hAnsi="Georgia" w:cs="Arial"/>
          <w:b/>
          <w:sz w:val="22"/>
          <w:szCs w:val="26"/>
          <w:lang w:val="es-MX"/>
        </w:rPr>
        <w:t>7</w:t>
      </w:r>
      <w:r w:rsidR="00BA3A9A">
        <w:rPr>
          <w:rFonts w:ascii="Georgia" w:hAnsi="Georgia" w:cs="Arial"/>
          <w:b/>
          <w:sz w:val="22"/>
          <w:szCs w:val="26"/>
          <w:lang w:val="es-MX"/>
        </w:rPr>
        <w:t>.</w:t>
      </w:r>
      <w:r w:rsidR="00CC1A8E">
        <w:rPr>
          <w:rFonts w:ascii="Georgia" w:hAnsi="Georgia" w:cs="Arial"/>
          <w:b/>
          <w:sz w:val="22"/>
          <w:szCs w:val="26"/>
          <w:lang w:val="es-MX"/>
        </w:rPr>
        <w:t>8</w:t>
      </w:r>
      <w:r w:rsidR="001E30E6">
        <w:rPr>
          <w:rFonts w:ascii="Georgia" w:hAnsi="Georgia" w:cs="Arial"/>
          <w:b/>
          <w:sz w:val="22"/>
          <w:szCs w:val="26"/>
          <w:lang w:val="es-MX"/>
        </w:rPr>
        <w:t>3</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ordinarios: </w:t>
      </w:r>
      <w:r w:rsidR="001E30E6">
        <w:rPr>
          <w:rFonts w:ascii="Georgia" w:hAnsi="Georgia" w:cs="Arial"/>
          <w:b/>
          <w:sz w:val="22"/>
          <w:szCs w:val="26"/>
          <w:lang w:val="es-MX"/>
        </w:rPr>
        <w:t>2</w:t>
      </w:r>
      <w:r w:rsidR="00CC1A8E">
        <w:rPr>
          <w:rFonts w:ascii="Georgia" w:hAnsi="Georgia" w:cs="Arial"/>
          <w:b/>
          <w:sz w:val="22"/>
          <w:szCs w:val="26"/>
          <w:lang w:val="es-MX"/>
        </w:rPr>
        <w:t>.</w:t>
      </w:r>
      <w:r w:rsidR="001E30E6">
        <w:rPr>
          <w:rFonts w:ascii="Georgia" w:hAnsi="Georgia" w:cs="Arial"/>
          <w:b/>
          <w:sz w:val="22"/>
          <w:szCs w:val="26"/>
          <w:lang w:val="es-MX"/>
        </w:rPr>
        <w:t>17</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875D0D">
      <w:pPr>
        <w:ind w:left="709"/>
        <w:jc w:val="both"/>
        <w:rPr>
          <w:rFonts w:ascii="Georgia" w:hAnsi="Georgia" w:cs="Arial"/>
          <w:b/>
          <w:sz w:val="22"/>
          <w:szCs w:val="26"/>
          <w:lang w:val="es-MX"/>
        </w:rPr>
      </w:pPr>
      <w:r w:rsidRPr="00830A4C">
        <w:rPr>
          <w:rFonts w:ascii="Georgia" w:hAnsi="Georgia" w:cs="Arial"/>
          <w:b/>
          <w:sz w:val="22"/>
          <w:szCs w:val="26"/>
          <w:lang w:val="es-MX"/>
        </w:rPr>
        <w:t>Gráfica:</w:t>
      </w:r>
    </w:p>
    <w:p w:rsidR="00FE23D2" w:rsidRPr="00830A4C" w:rsidRDefault="00FE23D2" w:rsidP="00875D0D">
      <w:pPr>
        <w:ind w:left="709"/>
        <w:jc w:val="both"/>
        <w:rPr>
          <w:rFonts w:ascii="Georgia" w:hAnsi="Georgia" w:cs="Arial"/>
          <w:b/>
          <w:sz w:val="22"/>
          <w:szCs w:val="26"/>
          <w:lang w:val="es-MX"/>
        </w:rPr>
      </w:pPr>
    </w:p>
    <w:p w:rsidR="004040B6" w:rsidRDefault="000F4586" w:rsidP="00CC1A8E">
      <w:pPr>
        <w:spacing w:after="200" w:line="276" w:lineRule="auto"/>
        <w:jc w:val="center"/>
        <w:rPr>
          <w:rFonts w:asciiTheme="minorHAnsi" w:eastAsia="Times New Roman" w:hAnsiTheme="minorHAnsi"/>
          <w:sz w:val="20"/>
          <w:szCs w:val="20"/>
          <w:lang w:val="es-ES" w:eastAsia="es-MX"/>
        </w:rPr>
      </w:pPr>
      <w:r>
        <w:rPr>
          <w:noProof/>
          <w:lang w:val="es-ES" w:eastAsia="es-ES"/>
        </w:rPr>
        <w:drawing>
          <wp:inline distT="0" distB="0" distL="0" distR="0" wp14:anchorId="764ACEC2" wp14:editId="2EEACEC1">
            <wp:extent cx="4696627" cy="2657475"/>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040B6">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tbl>
      <w:tblPr>
        <w:tblpPr w:leftFromText="141" w:rightFromText="141" w:vertAnchor="text" w:tblpY="1"/>
        <w:tblOverlap w:val="never"/>
        <w:tblW w:w="7802" w:type="dxa"/>
        <w:tblInd w:w="708" w:type="dxa"/>
        <w:tblCellMar>
          <w:left w:w="70" w:type="dxa"/>
          <w:right w:w="70" w:type="dxa"/>
        </w:tblCellMar>
        <w:tblLook w:val="04A0" w:firstRow="1" w:lastRow="0" w:firstColumn="1" w:lastColumn="0" w:noHBand="0" w:noVBand="1"/>
      </w:tblPr>
      <w:tblGrid>
        <w:gridCol w:w="5000"/>
        <w:gridCol w:w="1434"/>
        <w:gridCol w:w="1368"/>
      </w:tblGrid>
      <w:tr w:rsidR="00875D0D" w:rsidRPr="008873FE" w:rsidTr="00C85EE0">
        <w:trPr>
          <w:trHeight w:val="270"/>
        </w:trPr>
        <w:tc>
          <w:tcPr>
            <w:tcW w:w="5000" w:type="dxa"/>
            <w:tcBorders>
              <w:top w:val="nil"/>
              <w:left w:val="nil"/>
              <w:bottom w:val="single" w:sz="8" w:space="0" w:color="auto"/>
              <w:right w:val="nil"/>
            </w:tcBorders>
            <w:shd w:val="clear" w:color="auto" w:fill="auto"/>
            <w:noWrap/>
            <w:vAlign w:val="bottom"/>
            <w:hideMark/>
          </w:tcPr>
          <w:p w:rsidR="00875D0D" w:rsidRPr="00875D0D" w:rsidRDefault="00875D0D" w:rsidP="00C85EE0">
            <w:pPr>
              <w:rPr>
                <w:rFonts w:ascii="Arial" w:hAnsi="Arial" w:cs="Arial"/>
                <w:sz w:val="20"/>
                <w:szCs w:val="20"/>
              </w:rPr>
            </w:pPr>
          </w:p>
        </w:tc>
        <w:tc>
          <w:tcPr>
            <w:tcW w:w="1434"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C85EE0">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C85EE0">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C85EE0">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C85EE0">
            <w:pPr>
              <w:jc w:val="center"/>
              <w:rPr>
                <w:rFonts w:ascii="Arial" w:hAnsi="Arial" w:cs="Arial"/>
                <w:b/>
                <w:bCs/>
                <w:color w:val="FFFFFF"/>
                <w:sz w:val="20"/>
              </w:rPr>
            </w:pPr>
            <w:r w:rsidRPr="00875D0D">
              <w:rPr>
                <w:rFonts w:ascii="Arial" w:hAnsi="Arial" w:cs="Arial"/>
                <w:b/>
                <w:bCs/>
                <w:color w:val="FFFFFF"/>
                <w:sz w:val="20"/>
                <w:szCs w:val="22"/>
              </w:rPr>
              <w:t>Ciudad</w:t>
            </w:r>
          </w:p>
        </w:tc>
        <w:tc>
          <w:tcPr>
            <w:tcW w:w="1434"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C85EE0">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3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C85EE0">
            <w:pPr>
              <w:rPr>
                <w:rFonts w:ascii="Arial" w:hAnsi="Arial" w:cs="Arial"/>
                <w:b/>
                <w:bCs/>
                <w:color w:val="FFFFFF"/>
                <w:sz w:val="20"/>
              </w:rPr>
            </w:pPr>
          </w:p>
        </w:tc>
      </w:tr>
      <w:tr w:rsidR="00875D0D" w:rsidRPr="008725AA" w:rsidTr="008D420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875D0D" w:rsidRPr="00577FA5" w:rsidRDefault="00875D0D" w:rsidP="00C85EE0">
            <w:pPr>
              <w:rPr>
                <w:rFonts w:ascii="Georgia" w:hAnsi="Georgia" w:cs="Arial"/>
                <w:sz w:val="20"/>
                <w:szCs w:val="20"/>
              </w:rPr>
            </w:pPr>
            <w:r w:rsidRPr="00577FA5">
              <w:rPr>
                <w:rFonts w:ascii="Georgia" w:hAnsi="Georgia" w:cs="Arial"/>
                <w:sz w:val="20"/>
                <w:szCs w:val="20"/>
              </w:rPr>
              <w:t>Distrito Federal</w:t>
            </w:r>
            <w:r w:rsidRPr="00577FA5">
              <w:rPr>
                <w:rStyle w:val="Refdenotaalpie"/>
                <w:rFonts w:ascii="Georgia" w:hAnsi="Georgia" w:cs="Arial"/>
                <w:sz w:val="20"/>
                <w:szCs w:val="20"/>
              </w:rPr>
              <w:footnoteReference w:id="3"/>
            </w:r>
          </w:p>
        </w:tc>
        <w:tc>
          <w:tcPr>
            <w:tcW w:w="1434" w:type="dxa"/>
            <w:tcBorders>
              <w:top w:val="nil"/>
              <w:left w:val="nil"/>
              <w:bottom w:val="single" w:sz="8" w:space="0" w:color="auto"/>
              <w:right w:val="single" w:sz="8" w:space="0" w:color="auto"/>
            </w:tcBorders>
            <w:shd w:val="clear" w:color="auto" w:fill="auto"/>
            <w:noWrap/>
            <w:vAlign w:val="center"/>
          </w:tcPr>
          <w:p w:rsidR="00875D0D" w:rsidRPr="00577FA5" w:rsidRDefault="00CC1A8E" w:rsidP="00C41FC1">
            <w:pPr>
              <w:jc w:val="center"/>
              <w:rPr>
                <w:rFonts w:ascii="Georgia" w:hAnsi="Georgia" w:cs="Arial"/>
                <w:sz w:val="20"/>
                <w:szCs w:val="20"/>
              </w:rPr>
            </w:pPr>
            <w:r>
              <w:rPr>
                <w:rFonts w:ascii="Georgia" w:hAnsi="Georgia" w:cs="Arial"/>
                <w:sz w:val="20"/>
                <w:szCs w:val="20"/>
              </w:rPr>
              <w:t>2,</w:t>
            </w:r>
            <w:r w:rsidR="00F303BA">
              <w:rPr>
                <w:rFonts w:ascii="Georgia" w:hAnsi="Georgia" w:cs="Arial"/>
                <w:sz w:val="20"/>
                <w:szCs w:val="20"/>
              </w:rPr>
              <w:t>2</w:t>
            </w:r>
            <w:r w:rsidR="00C41FC1">
              <w:rPr>
                <w:rFonts w:ascii="Georgia" w:hAnsi="Georgia" w:cs="Arial"/>
                <w:sz w:val="20"/>
                <w:szCs w:val="20"/>
              </w:rPr>
              <w:t>1</w:t>
            </w:r>
            <w:r w:rsidR="00F303BA">
              <w:rPr>
                <w:rFonts w:ascii="Georgia" w:hAnsi="Georgia" w:cs="Arial"/>
                <w:sz w:val="20"/>
                <w:szCs w:val="20"/>
              </w:rPr>
              <w:t>1</w:t>
            </w:r>
          </w:p>
        </w:tc>
        <w:tc>
          <w:tcPr>
            <w:tcW w:w="1368" w:type="dxa"/>
            <w:tcBorders>
              <w:top w:val="nil"/>
              <w:left w:val="nil"/>
              <w:bottom w:val="single" w:sz="8" w:space="0" w:color="auto"/>
              <w:right w:val="single" w:sz="8" w:space="0" w:color="auto"/>
            </w:tcBorders>
            <w:shd w:val="clear" w:color="auto" w:fill="auto"/>
            <w:noWrap/>
            <w:vAlign w:val="center"/>
          </w:tcPr>
          <w:p w:rsidR="00875D0D" w:rsidRPr="00577FA5" w:rsidRDefault="00CC1A8E" w:rsidP="00F303BA">
            <w:pPr>
              <w:jc w:val="center"/>
              <w:rPr>
                <w:rFonts w:ascii="Georgia" w:hAnsi="Georgia" w:cs="Arial"/>
                <w:sz w:val="20"/>
                <w:szCs w:val="20"/>
              </w:rPr>
            </w:pPr>
            <w:r>
              <w:rPr>
                <w:rFonts w:ascii="Georgia" w:hAnsi="Georgia" w:cs="Arial"/>
                <w:sz w:val="20"/>
                <w:szCs w:val="20"/>
              </w:rPr>
              <w:t>2</w:t>
            </w:r>
            <w:r w:rsidR="00F303BA">
              <w:rPr>
                <w:rFonts w:ascii="Georgia" w:hAnsi="Georgia" w:cs="Arial"/>
                <w:sz w:val="20"/>
                <w:szCs w:val="20"/>
              </w:rPr>
              <w:t>1.3</w:t>
            </w:r>
            <w:r>
              <w:rPr>
                <w:rFonts w:ascii="Georgia" w:hAnsi="Georgia" w:cs="Arial"/>
                <w:sz w:val="20"/>
                <w:szCs w:val="20"/>
              </w:rPr>
              <w:t>%</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Toluca, Estado de Mex.</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695</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6.7%</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Zacatecas, Zac.</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658</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6.3%</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Oaxaca, </w:t>
            </w:r>
            <w:proofErr w:type="spellStart"/>
            <w:r w:rsidRPr="00F303BA">
              <w:rPr>
                <w:rFonts w:asciiTheme="majorHAnsi" w:hAnsiTheme="majorHAnsi"/>
                <w:sz w:val="20"/>
              </w:rPr>
              <w:t>Oax</w:t>
            </w:r>
            <w:proofErr w:type="spellEnd"/>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442</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4.3%</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Ensenada, B.C.</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431</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4.2%</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Ciudad </w:t>
            </w:r>
            <w:proofErr w:type="spellStart"/>
            <w:r w:rsidRPr="00F303BA">
              <w:rPr>
                <w:rFonts w:asciiTheme="majorHAnsi" w:hAnsiTheme="majorHAnsi"/>
                <w:sz w:val="20"/>
              </w:rPr>
              <w:t>Obregón</w:t>
            </w:r>
            <w:proofErr w:type="spellEnd"/>
            <w:r w:rsidRPr="00F303BA">
              <w:rPr>
                <w:rFonts w:asciiTheme="majorHAnsi" w:hAnsiTheme="majorHAnsi"/>
                <w:sz w:val="20"/>
              </w:rPr>
              <w:t>, Son.</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427</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4.1%</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lang w:val="es-MX"/>
              </w:rPr>
            </w:pPr>
            <w:r w:rsidRPr="00F303BA">
              <w:rPr>
                <w:rFonts w:asciiTheme="majorHAnsi" w:hAnsiTheme="majorHAnsi"/>
                <w:sz w:val="20"/>
                <w:lang w:val="es-MX"/>
              </w:rPr>
              <w:t>San Luis Potosí, S.L.P.</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425</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4.1%</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Tlaxcala, </w:t>
            </w:r>
            <w:proofErr w:type="spellStart"/>
            <w:r w:rsidRPr="00F303BA">
              <w:rPr>
                <w:rFonts w:asciiTheme="majorHAnsi" w:hAnsiTheme="majorHAnsi"/>
                <w:sz w:val="20"/>
              </w:rPr>
              <w:t>Tlax</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375</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3.6%</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proofErr w:type="spellStart"/>
            <w:r w:rsidRPr="00F303BA">
              <w:rPr>
                <w:rFonts w:asciiTheme="majorHAnsi" w:hAnsiTheme="majorHAnsi"/>
                <w:sz w:val="20"/>
              </w:rPr>
              <w:t>Cancún</w:t>
            </w:r>
            <w:proofErr w:type="spellEnd"/>
            <w:r w:rsidRPr="00F303BA">
              <w:rPr>
                <w:rFonts w:asciiTheme="majorHAnsi" w:hAnsiTheme="majorHAnsi"/>
                <w:sz w:val="20"/>
              </w:rPr>
              <w:t xml:space="preserve">, Q. </w:t>
            </w:r>
            <w:proofErr w:type="spellStart"/>
            <w:r w:rsidRPr="00F303BA">
              <w:rPr>
                <w:rFonts w:asciiTheme="majorHAnsi" w:hAnsiTheme="majorHAnsi"/>
                <w:sz w:val="20"/>
              </w:rPr>
              <w:t>Roo</w:t>
            </w:r>
            <w:proofErr w:type="spellEnd"/>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319</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3.1%</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Tepic, Nay. </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289</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2.8%</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Morelia, Mich.</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278</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2.7%</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Aguascalientes, </w:t>
            </w:r>
            <w:proofErr w:type="spellStart"/>
            <w:r w:rsidRPr="00F303BA">
              <w:rPr>
                <w:rFonts w:asciiTheme="majorHAnsi" w:hAnsiTheme="majorHAnsi"/>
                <w:sz w:val="20"/>
              </w:rPr>
              <w:t>Ags</w:t>
            </w:r>
            <w:proofErr w:type="spellEnd"/>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259</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2.5%</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Colima, Col.</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254</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2.4%</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Durango, </w:t>
            </w:r>
            <w:proofErr w:type="spellStart"/>
            <w:r w:rsidRPr="00F303BA">
              <w:rPr>
                <w:rFonts w:asciiTheme="majorHAnsi" w:hAnsiTheme="majorHAnsi"/>
                <w:sz w:val="20"/>
              </w:rPr>
              <w:t>Dgo</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217</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2.1%</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proofErr w:type="spellStart"/>
            <w:r w:rsidRPr="00F303BA">
              <w:rPr>
                <w:rFonts w:asciiTheme="majorHAnsi" w:hAnsiTheme="majorHAnsi"/>
                <w:sz w:val="20"/>
              </w:rPr>
              <w:t>Culiacán</w:t>
            </w:r>
            <w:proofErr w:type="spellEnd"/>
            <w:r w:rsidRPr="00F303BA">
              <w:rPr>
                <w:rFonts w:asciiTheme="majorHAnsi" w:hAnsiTheme="majorHAnsi"/>
                <w:sz w:val="20"/>
              </w:rPr>
              <w:t>, Sin.</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198</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1.9%</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Monterrey, N.L.</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186</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1.8%</w:t>
            </w:r>
          </w:p>
        </w:tc>
      </w:tr>
      <w:tr w:rsidR="00F303BA" w:rsidRPr="00402C70"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Tijuana, B.C.</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170</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1.6%</w:t>
            </w:r>
          </w:p>
        </w:tc>
      </w:tr>
    </w:tbl>
    <w:tbl>
      <w:tblPr>
        <w:tblW w:w="7802" w:type="dxa"/>
        <w:tblInd w:w="708" w:type="dxa"/>
        <w:tblCellMar>
          <w:left w:w="70" w:type="dxa"/>
          <w:right w:w="70" w:type="dxa"/>
        </w:tblCellMar>
        <w:tblLook w:val="04A0" w:firstRow="1" w:lastRow="0" w:firstColumn="1" w:lastColumn="0" w:noHBand="0" w:noVBand="1"/>
      </w:tblPr>
      <w:tblGrid>
        <w:gridCol w:w="5000"/>
        <w:gridCol w:w="1434"/>
        <w:gridCol w:w="1368"/>
      </w:tblGrid>
      <w:tr w:rsidR="00F303BA" w:rsidRPr="00402C70" w:rsidTr="00F303BA">
        <w:trPr>
          <w:trHeight w:val="319"/>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szCs w:val="20"/>
              </w:rPr>
            </w:pPr>
            <w:r w:rsidRPr="00F303BA">
              <w:rPr>
                <w:rFonts w:asciiTheme="majorHAnsi" w:hAnsiTheme="majorHAnsi"/>
                <w:sz w:val="20"/>
                <w:szCs w:val="20"/>
              </w:rPr>
              <w:t xml:space="preserve">Pachuca, </w:t>
            </w:r>
            <w:proofErr w:type="spellStart"/>
            <w:r w:rsidRPr="00F303BA">
              <w:rPr>
                <w:rFonts w:asciiTheme="majorHAnsi" w:hAnsiTheme="majorHAnsi"/>
                <w:sz w:val="20"/>
                <w:szCs w:val="20"/>
              </w:rPr>
              <w:t>Hgo</w:t>
            </w:r>
            <w:proofErr w:type="spellEnd"/>
            <w:r w:rsidRPr="00F303BA">
              <w:rPr>
                <w:rFonts w:asciiTheme="majorHAnsi" w:hAnsiTheme="majorHAnsi"/>
                <w:sz w:val="20"/>
                <w:szCs w:val="20"/>
              </w:rPr>
              <w:t xml:space="preserve">. </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szCs w:val="20"/>
              </w:rPr>
            </w:pPr>
            <w:r w:rsidRPr="00F303BA">
              <w:rPr>
                <w:rFonts w:asciiTheme="majorHAnsi" w:hAnsiTheme="majorHAnsi"/>
                <w:sz w:val="20"/>
                <w:szCs w:val="20"/>
              </w:rPr>
              <w:t>169</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szCs w:val="20"/>
              </w:rPr>
            </w:pPr>
            <w:r w:rsidRPr="00F303BA">
              <w:rPr>
                <w:rFonts w:asciiTheme="majorHAnsi" w:hAnsiTheme="majorHAnsi"/>
                <w:sz w:val="20"/>
                <w:szCs w:val="20"/>
              </w:rPr>
              <w:t>1.6%</w:t>
            </w:r>
          </w:p>
        </w:tc>
      </w:tr>
      <w:tr w:rsidR="00F303BA" w:rsidTr="00F303BA">
        <w:trPr>
          <w:trHeight w:val="319"/>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szCs w:val="20"/>
              </w:rPr>
            </w:pPr>
            <w:proofErr w:type="spellStart"/>
            <w:r w:rsidRPr="00F303BA">
              <w:rPr>
                <w:rFonts w:asciiTheme="majorHAnsi" w:hAnsiTheme="majorHAnsi"/>
                <w:sz w:val="20"/>
                <w:szCs w:val="20"/>
              </w:rPr>
              <w:t>Chetumal</w:t>
            </w:r>
            <w:proofErr w:type="spellEnd"/>
            <w:r w:rsidRPr="00F303BA">
              <w:rPr>
                <w:rFonts w:asciiTheme="majorHAnsi" w:hAnsiTheme="majorHAnsi"/>
                <w:sz w:val="20"/>
                <w:szCs w:val="20"/>
              </w:rPr>
              <w:t xml:space="preserve">, </w:t>
            </w:r>
            <w:proofErr w:type="spellStart"/>
            <w:r w:rsidRPr="00F303BA">
              <w:rPr>
                <w:rFonts w:asciiTheme="majorHAnsi" w:hAnsiTheme="majorHAnsi"/>
                <w:sz w:val="20"/>
                <w:szCs w:val="20"/>
              </w:rPr>
              <w:t>Q.Roo</w:t>
            </w:r>
            <w:proofErr w:type="spellEnd"/>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szCs w:val="20"/>
              </w:rPr>
            </w:pPr>
            <w:r w:rsidRPr="00F303BA">
              <w:rPr>
                <w:rFonts w:asciiTheme="majorHAnsi" w:hAnsiTheme="majorHAnsi"/>
                <w:sz w:val="20"/>
                <w:szCs w:val="20"/>
              </w:rPr>
              <w:t>157</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szCs w:val="20"/>
              </w:rPr>
            </w:pPr>
            <w:r w:rsidRPr="00F303BA">
              <w:rPr>
                <w:rFonts w:asciiTheme="majorHAnsi" w:hAnsiTheme="majorHAnsi"/>
                <w:sz w:val="20"/>
                <w:szCs w:val="20"/>
              </w:rPr>
              <w:t>1.5%</w:t>
            </w:r>
          </w:p>
        </w:tc>
      </w:tr>
      <w:tr w:rsidR="002D0E84" w:rsidRPr="00875D0D" w:rsidTr="0017624E">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E975AD" w:rsidP="0017624E">
            <w:pPr>
              <w:rPr>
                <w:rFonts w:ascii="Arial" w:hAnsi="Arial" w:cs="Arial"/>
                <w:sz w:val="20"/>
                <w:szCs w:val="20"/>
              </w:rPr>
            </w:pPr>
            <w:r>
              <w:lastRenderedPageBreak/>
              <w:tab/>
            </w:r>
            <w:r w:rsidR="002D0E84">
              <w:tab/>
            </w:r>
          </w:p>
        </w:tc>
        <w:tc>
          <w:tcPr>
            <w:tcW w:w="1434"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17624E">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434"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3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Mérida, </w:t>
            </w:r>
            <w:proofErr w:type="spellStart"/>
            <w:r w:rsidRPr="00F303BA">
              <w:rPr>
                <w:rFonts w:asciiTheme="majorHAnsi" w:hAnsiTheme="majorHAnsi"/>
                <w:sz w:val="20"/>
              </w:rPr>
              <w:t>Yuc</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150</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Cuernavaca, Mor.</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148</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Guadalajara, Jal.</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144</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Puebla, </w:t>
            </w:r>
            <w:proofErr w:type="spellStart"/>
            <w:r w:rsidRPr="00F303BA">
              <w:rPr>
                <w:rFonts w:asciiTheme="majorHAnsi" w:hAnsiTheme="majorHAnsi"/>
                <w:sz w:val="20"/>
              </w:rPr>
              <w:t>Pue</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142</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1.4%</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León, </w:t>
            </w:r>
            <w:proofErr w:type="spellStart"/>
            <w:r w:rsidRPr="00F303BA">
              <w:rPr>
                <w:rFonts w:asciiTheme="majorHAnsi" w:hAnsiTheme="majorHAnsi"/>
                <w:sz w:val="20"/>
              </w:rPr>
              <w:t>Gto</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134</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1.3%</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Uruapan, Mich.</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131</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1.3%</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Acapulco, Gro. </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126</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1.2%</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proofErr w:type="spellStart"/>
            <w:r w:rsidRPr="00F303BA">
              <w:rPr>
                <w:rFonts w:asciiTheme="majorHAnsi" w:hAnsiTheme="majorHAnsi"/>
                <w:sz w:val="20"/>
              </w:rPr>
              <w:t>Torreón</w:t>
            </w:r>
            <w:proofErr w:type="spellEnd"/>
            <w:r w:rsidRPr="00F303BA">
              <w:rPr>
                <w:rFonts w:asciiTheme="majorHAnsi" w:hAnsiTheme="majorHAnsi"/>
                <w:sz w:val="20"/>
              </w:rPr>
              <w:t xml:space="preserve">, </w:t>
            </w:r>
            <w:proofErr w:type="spellStart"/>
            <w:r w:rsidRPr="00F303BA">
              <w:rPr>
                <w:rFonts w:asciiTheme="majorHAnsi" w:hAnsiTheme="majorHAnsi"/>
                <w:sz w:val="20"/>
              </w:rPr>
              <w:t>Coah</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117</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1.1%</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proofErr w:type="spellStart"/>
            <w:r w:rsidRPr="00F303BA">
              <w:rPr>
                <w:rFonts w:asciiTheme="majorHAnsi" w:hAnsiTheme="majorHAnsi"/>
                <w:sz w:val="20"/>
              </w:rPr>
              <w:t>Xalapa</w:t>
            </w:r>
            <w:proofErr w:type="spellEnd"/>
            <w:r w:rsidRPr="00F303BA">
              <w:rPr>
                <w:rFonts w:asciiTheme="majorHAnsi" w:hAnsiTheme="majorHAnsi"/>
                <w:sz w:val="20"/>
              </w:rPr>
              <w:t>, Ver.</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104</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1.0%</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Saltillo, </w:t>
            </w:r>
            <w:proofErr w:type="spellStart"/>
            <w:r w:rsidRPr="00F303BA">
              <w:rPr>
                <w:rFonts w:asciiTheme="majorHAnsi" w:hAnsiTheme="majorHAnsi"/>
                <w:sz w:val="20"/>
              </w:rPr>
              <w:t>Coah</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90</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0.9%</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proofErr w:type="spellStart"/>
            <w:r w:rsidRPr="00F303BA">
              <w:rPr>
                <w:rFonts w:asciiTheme="majorHAnsi" w:hAnsiTheme="majorHAnsi"/>
                <w:sz w:val="20"/>
              </w:rPr>
              <w:t>Tapachula</w:t>
            </w:r>
            <w:proofErr w:type="spellEnd"/>
            <w:r w:rsidRPr="00F303BA">
              <w:rPr>
                <w:rFonts w:asciiTheme="majorHAnsi" w:hAnsiTheme="majorHAnsi"/>
                <w:sz w:val="20"/>
              </w:rPr>
              <w:t>, Chis.</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87</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0.8%</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Querétaro, </w:t>
            </w:r>
            <w:proofErr w:type="spellStart"/>
            <w:r w:rsidRPr="00F303BA">
              <w:rPr>
                <w:rFonts w:asciiTheme="majorHAnsi" w:hAnsiTheme="majorHAnsi"/>
                <w:sz w:val="20"/>
              </w:rPr>
              <w:t>Qro</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86</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0.8%</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Chihuahua, </w:t>
            </w:r>
            <w:proofErr w:type="spellStart"/>
            <w:r w:rsidRPr="00F303BA">
              <w:rPr>
                <w:rFonts w:asciiTheme="majorHAnsi" w:hAnsiTheme="majorHAnsi"/>
                <w:sz w:val="20"/>
              </w:rPr>
              <w:t>Chih</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84</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0.8%</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Tuxtla Gutiérrez, Chis.</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81</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0.8%</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La Paz, B.C.S.</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78</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0.8%</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Mazatlán, Sin.</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69</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0.7%</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Campeche, Camp.</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66</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0.6%</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Ciudad </w:t>
            </w:r>
            <w:proofErr w:type="spellStart"/>
            <w:r w:rsidRPr="00F303BA">
              <w:rPr>
                <w:rFonts w:asciiTheme="majorHAnsi" w:hAnsiTheme="majorHAnsi"/>
                <w:sz w:val="20"/>
              </w:rPr>
              <w:t>Juárez</w:t>
            </w:r>
            <w:proofErr w:type="spellEnd"/>
            <w:r w:rsidRPr="00F303BA">
              <w:rPr>
                <w:rFonts w:asciiTheme="majorHAnsi" w:hAnsiTheme="majorHAnsi"/>
                <w:sz w:val="20"/>
              </w:rPr>
              <w:t xml:space="preserve">, </w:t>
            </w:r>
            <w:proofErr w:type="spellStart"/>
            <w:r w:rsidRPr="00F303BA">
              <w:rPr>
                <w:rFonts w:asciiTheme="majorHAnsi" w:hAnsiTheme="majorHAnsi"/>
                <w:sz w:val="20"/>
              </w:rPr>
              <w:t>Chih</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61</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0.6%</w:t>
            </w:r>
          </w:p>
        </w:tc>
      </w:tr>
      <w:tr w:rsidR="00F303BA" w:rsidRPr="00A83E36"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Nuevo Laredo, Tamps.</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56</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0.5%</w:t>
            </w:r>
          </w:p>
        </w:tc>
      </w:tr>
      <w:tr w:rsidR="00F303BA" w:rsidRPr="00A83E36"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Guanajuato, </w:t>
            </w:r>
            <w:proofErr w:type="spellStart"/>
            <w:r w:rsidRPr="00F303BA">
              <w:rPr>
                <w:rFonts w:asciiTheme="majorHAnsi" w:hAnsiTheme="majorHAnsi"/>
                <w:sz w:val="20"/>
              </w:rPr>
              <w:t>Gto</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50</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0.5%</w:t>
            </w:r>
          </w:p>
        </w:tc>
      </w:tr>
      <w:tr w:rsidR="00F303BA" w:rsidRPr="00A83E36"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Ciudad Victoria, Tamps.</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49</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0.5%</w:t>
            </w:r>
          </w:p>
        </w:tc>
      </w:tr>
      <w:tr w:rsidR="00F303BA" w:rsidRPr="00A83E36"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Villahermosa, Tab.</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41</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0.4%</w:t>
            </w:r>
          </w:p>
        </w:tc>
      </w:tr>
      <w:tr w:rsidR="00F303BA" w:rsidRPr="00A83E36"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 xml:space="preserve">Celaya, </w:t>
            </w:r>
            <w:proofErr w:type="spellStart"/>
            <w:r w:rsidRPr="00F303BA">
              <w:rPr>
                <w:rFonts w:asciiTheme="majorHAnsi" w:hAnsiTheme="majorHAnsi"/>
                <w:sz w:val="20"/>
              </w:rPr>
              <w:t>Gto</w:t>
            </w:r>
            <w:proofErr w:type="spellEnd"/>
            <w:r w:rsidRPr="00F303BA">
              <w:rPr>
                <w:rFonts w:asciiTheme="majorHAnsi" w:hAnsiTheme="majorHAnsi"/>
                <w:sz w:val="20"/>
              </w:rPr>
              <w:t>.</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35</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0.3%</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Hermosillo, Son.</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33</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0.3%</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Matamoros, Tamps.</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26</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0.3%</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Veracruz, Ver.</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18</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0.2%</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Lerma, Estado de Mex.</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11</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0.1%</w:t>
            </w:r>
          </w:p>
        </w:tc>
      </w:tr>
      <w:tr w:rsidR="00F303BA" w:rsidRPr="00577FA5" w:rsidTr="00F303BA">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F303BA" w:rsidP="00F303BA">
            <w:pPr>
              <w:rPr>
                <w:rFonts w:asciiTheme="majorHAnsi" w:hAnsiTheme="majorHAnsi"/>
                <w:sz w:val="20"/>
              </w:rPr>
            </w:pPr>
            <w:r w:rsidRPr="00F303BA">
              <w:rPr>
                <w:rFonts w:asciiTheme="majorHAnsi" w:hAnsiTheme="majorHAnsi"/>
                <w:sz w:val="20"/>
              </w:rPr>
              <w:t>Mexicali, B.C</w:t>
            </w:r>
          </w:p>
        </w:tc>
        <w:tc>
          <w:tcPr>
            <w:tcW w:w="1434"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w:t>
            </w:r>
          </w:p>
        </w:tc>
        <w:tc>
          <w:tcPr>
            <w:tcW w:w="1368" w:type="dxa"/>
            <w:tcBorders>
              <w:top w:val="nil"/>
              <w:left w:val="nil"/>
              <w:bottom w:val="single" w:sz="8" w:space="0" w:color="auto"/>
              <w:right w:val="single" w:sz="8" w:space="0" w:color="auto"/>
            </w:tcBorders>
            <w:shd w:val="clear" w:color="auto" w:fill="auto"/>
            <w:noWrap/>
            <w:vAlign w:val="center"/>
          </w:tcPr>
          <w:p w:rsidR="00F303BA" w:rsidRPr="00F303BA" w:rsidRDefault="00F303BA" w:rsidP="00F303BA">
            <w:pPr>
              <w:jc w:val="center"/>
              <w:rPr>
                <w:rFonts w:asciiTheme="majorHAnsi" w:hAnsiTheme="majorHAnsi"/>
                <w:sz w:val="20"/>
              </w:rPr>
            </w:pPr>
            <w:r w:rsidRPr="00F303BA">
              <w:rPr>
                <w:rFonts w:asciiTheme="majorHAnsi" w:hAnsiTheme="majorHAnsi"/>
                <w:sz w:val="20"/>
              </w:rPr>
              <w:t>0.0%</w:t>
            </w:r>
          </w:p>
        </w:tc>
      </w:tr>
      <w:tr w:rsidR="002D0E84" w:rsidTr="002D0E84">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2D0E84" w:rsidRPr="001A52FD" w:rsidRDefault="002D0E84" w:rsidP="002D0E84">
            <w:pPr>
              <w:rPr>
                <w:b/>
              </w:rPr>
            </w:pPr>
            <w:r w:rsidRPr="001A52FD">
              <w:rPr>
                <w:b/>
                <w:sz w:val="22"/>
              </w:rPr>
              <w:t>Total</w:t>
            </w:r>
          </w:p>
        </w:tc>
        <w:tc>
          <w:tcPr>
            <w:tcW w:w="1434" w:type="dxa"/>
            <w:tcBorders>
              <w:top w:val="nil"/>
              <w:left w:val="nil"/>
              <w:bottom w:val="single" w:sz="8" w:space="0" w:color="auto"/>
              <w:right w:val="single" w:sz="8" w:space="0" w:color="auto"/>
            </w:tcBorders>
            <w:shd w:val="clear" w:color="auto" w:fill="auto"/>
            <w:noWrap/>
            <w:hideMark/>
          </w:tcPr>
          <w:p w:rsidR="002D0E84" w:rsidRPr="001A52FD" w:rsidRDefault="004040B6" w:rsidP="00F303BA">
            <w:pPr>
              <w:jc w:val="center"/>
              <w:rPr>
                <w:b/>
              </w:rPr>
            </w:pPr>
            <w:r w:rsidRPr="001A52FD">
              <w:rPr>
                <w:b/>
                <w:sz w:val="22"/>
              </w:rPr>
              <w:t>1</w:t>
            </w:r>
            <w:r w:rsidR="00F303BA">
              <w:rPr>
                <w:b/>
                <w:sz w:val="22"/>
              </w:rPr>
              <w:t>0</w:t>
            </w:r>
            <w:r w:rsidRPr="001A52FD">
              <w:rPr>
                <w:b/>
                <w:sz w:val="22"/>
              </w:rPr>
              <w:t>,</w:t>
            </w:r>
            <w:r w:rsidR="00F303BA">
              <w:rPr>
                <w:b/>
                <w:sz w:val="22"/>
              </w:rPr>
              <w:t>377</w:t>
            </w:r>
            <w:r w:rsidR="00E975AD" w:rsidRPr="001A52FD">
              <w:rPr>
                <w:rStyle w:val="Refdenotaalpie"/>
                <w:b/>
                <w:sz w:val="22"/>
              </w:rPr>
              <w:footnoteReference w:id="4"/>
            </w:r>
          </w:p>
        </w:tc>
        <w:tc>
          <w:tcPr>
            <w:tcW w:w="1368" w:type="dxa"/>
            <w:tcBorders>
              <w:top w:val="nil"/>
              <w:left w:val="nil"/>
              <w:bottom w:val="single" w:sz="8" w:space="0" w:color="auto"/>
              <w:right w:val="single" w:sz="8" w:space="0" w:color="auto"/>
            </w:tcBorders>
            <w:shd w:val="clear" w:color="auto" w:fill="auto"/>
            <w:noWrap/>
            <w:hideMark/>
          </w:tcPr>
          <w:p w:rsidR="002D0E84" w:rsidRPr="001A52FD" w:rsidRDefault="002D0E84" w:rsidP="00384F28">
            <w:pPr>
              <w:jc w:val="center"/>
              <w:rPr>
                <w:b/>
              </w:rPr>
            </w:pPr>
            <w:r w:rsidRPr="001A52FD">
              <w:rPr>
                <w:b/>
                <w:sz w:val="22"/>
              </w:rPr>
              <w:t>100%</w:t>
            </w:r>
          </w:p>
        </w:tc>
      </w:tr>
    </w:tbl>
    <w:p w:rsidR="00CE48C4" w:rsidRDefault="00F303BA" w:rsidP="00CE48C4">
      <w:pPr>
        <w:ind w:left="720"/>
        <w:jc w:val="both"/>
        <w:rPr>
          <w:rFonts w:ascii="Georgia" w:hAnsi="Georgia" w:cs="Arial"/>
          <w:b/>
          <w:sz w:val="22"/>
          <w:szCs w:val="22"/>
          <w:lang w:val="es-MX"/>
        </w:rPr>
      </w:pPr>
      <w:r>
        <w:rPr>
          <w:noProof/>
          <w:lang w:val="es-ES" w:eastAsia="es-ES"/>
        </w:rPr>
        <w:lastRenderedPageBreak/>
        <w:drawing>
          <wp:inline distT="0" distB="0" distL="0" distR="0" wp14:anchorId="2D025BA1" wp14:editId="2A80B67E">
            <wp:extent cx="5612130" cy="8216900"/>
            <wp:effectExtent l="0" t="0" r="26670" b="1270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78C7" w:rsidRDefault="00F578C7" w:rsidP="001A52FD">
      <w:pPr>
        <w:numPr>
          <w:ilvl w:val="0"/>
          <w:numId w:val="2"/>
        </w:numPr>
        <w:jc w:val="both"/>
        <w:rPr>
          <w:rFonts w:ascii="Georgia" w:hAnsi="Georgia" w:cs="Arial"/>
          <w:b/>
          <w:sz w:val="22"/>
          <w:szCs w:val="22"/>
          <w:lang w:val="es-MX"/>
        </w:rPr>
      </w:pPr>
      <w:r w:rsidRPr="003640DF">
        <w:rPr>
          <w:rFonts w:ascii="Georgia" w:hAnsi="Georgia" w:cs="Arial"/>
          <w:b/>
          <w:sz w:val="22"/>
          <w:szCs w:val="22"/>
          <w:lang w:val="es-MX"/>
        </w:rPr>
        <w:lastRenderedPageBreak/>
        <w:t xml:space="preserve">Medio preferido por los gobernados para presentar sus solicitudes de </w:t>
      </w:r>
      <w:r w:rsidR="001A52FD">
        <w:rPr>
          <w:rFonts w:ascii="Georgia" w:hAnsi="Georgia" w:cs="Arial"/>
          <w:b/>
          <w:sz w:val="22"/>
          <w:szCs w:val="22"/>
          <w:lang w:val="es-MX"/>
        </w:rPr>
        <w:t>a</w:t>
      </w:r>
      <w:r w:rsidRPr="003640DF">
        <w:rPr>
          <w:rFonts w:ascii="Georgia" w:hAnsi="Georgia" w:cs="Arial"/>
          <w:b/>
          <w:sz w:val="22"/>
          <w:szCs w:val="22"/>
          <w:lang w:val="es-MX"/>
        </w:rPr>
        <w:t>cceso a la información</w:t>
      </w:r>
      <w:r w:rsidRPr="003640DF">
        <w:rPr>
          <w:rStyle w:val="Refdenotaalpie"/>
          <w:rFonts w:ascii="Georgia" w:hAnsi="Georgia" w:cs="Arial"/>
          <w:b/>
          <w:sz w:val="22"/>
          <w:szCs w:val="22"/>
        </w:rPr>
        <w:footnoteReference w:id="5"/>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F303BA">
        <w:rPr>
          <w:rFonts w:ascii="Georgia" w:hAnsi="Georgia" w:cs="Arial"/>
          <w:b/>
          <w:sz w:val="22"/>
          <w:szCs w:val="22"/>
          <w:lang w:val="es-MX"/>
        </w:rPr>
        <w:t>90.99</w:t>
      </w:r>
      <w:r w:rsidRPr="003640DF">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F303BA">
        <w:rPr>
          <w:rFonts w:ascii="Georgia" w:hAnsi="Georgia" w:cs="Arial"/>
          <w:b/>
          <w:sz w:val="22"/>
          <w:szCs w:val="22"/>
          <w:lang w:val="es-MX"/>
        </w:rPr>
        <w:t>9.01</w:t>
      </w:r>
      <w:r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F303BA" w:rsidP="001A52FD">
      <w:pPr>
        <w:pStyle w:val="Lugaryfecha"/>
        <w:ind w:left="0"/>
        <w:jc w:val="center"/>
        <w:rPr>
          <w:lang w:val="es-MX"/>
        </w:rPr>
      </w:pPr>
      <w:r>
        <w:rPr>
          <w:noProof/>
          <w:lang w:eastAsia="es-ES"/>
        </w:rPr>
        <w:drawing>
          <wp:inline distT="0" distB="0" distL="0" distR="0" wp14:anchorId="4EBF76F7" wp14:editId="2243D14D">
            <wp:extent cx="5143501" cy="2909887"/>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4C5C24" w:rsidRDefault="004C5C24"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respecto del total de solicitudes: </w:t>
      </w:r>
      <w:r w:rsidR="00F303BA">
        <w:rPr>
          <w:rFonts w:asciiTheme="majorHAnsi" w:hAnsiTheme="majorHAnsi" w:cs="Arial"/>
          <w:b/>
          <w:sz w:val="22"/>
          <w:szCs w:val="26"/>
          <w:lang w:val="es-MX"/>
        </w:rPr>
        <w:t>9</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F303BA">
        <w:rPr>
          <w:rFonts w:asciiTheme="majorHAnsi" w:hAnsiTheme="majorHAnsi" w:cs="Arial"/>
          <w:b/>
          <w:sz w:val="22"/>
          <w:szCs w:val="26"/>
          <w:lang w:val="es-MX"/>
        </w:rPr>
        <w:t>21</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3640DF" w:rsidRDefault="00F303BA" w:rsidP="004C5C24">
      <w:pPr>
        <w:pStyle w:val="Lugaryfecha"/>
        <w:ind w:left="360"/>
        <w:jc w:val="center"/>
        <w:rPr>
          <w:lang w:val="es-MX"/>
        </w:rPr>
      </w:pPr>
      <w:r>
        <w:rPr>
          <w:noProof/>
          <w:lang w:eastAsia="es-ES"/>
        </w:rPr>
        <w:drawing>
          <wp:inline distT="0" distB="0" distL="0" distR="0" wp14:anchorId="05F2FBA8" wp14:editId="6E0D1F4E">
            <wp:extent cx="5612130" cy="317119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F303BA">
        <w:rPr>
          <w:rFonts w:asciiTheme="majorHAnsi" w:hAnsiTheme="majorHAnsi" w:cs="Arial"/>
          <w:b/>
          <w:sz w:val="22"/>
          <w:szCs w:val="26"/>
          <w:lang w:val="es-MX"/>
        </w:rPr>
        <w:t>21.72</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F303BA">
        <w:rPr>
          <w:rFonts w:asciiTheme="majorHAnsi" w:hAnsiTheme="majorHAnsi" w:cs="Arial"/>
          <w:b/>
          <w:sz w:val="22"/>
          <w:szCs w:val="26"/>
          <w:lang w:val="es-MX"/>
        </w:rPr>
        <w:t>78</w:t>
      </w:r>
      <w:r w:rsidR="00BB4F5A">
        <w:rPr>
          <w:rFonts w:asciiTheme="majorHAnsi" w:hAnsiTheme="majorHAnsi" w:cs="Arial"/>
          <w:b/>
          <w:sz w:val="22"/>
          <w:szCs w:val="26"/>
          <w:lang w:val="es-MX"/>
        </w:rPr>
        <w:t>.</w:t>
      </w:r>
      <w:r w:rsidR="00F303BA">
        <w:rPr>
          <w:rFonts w:asciiTheme="majorHAnsi" w:hAnsiTheme="majorHAnsi" w:cs="Arial"/>
          <w:b/>
          <w:sz w:val="22"/>
          <w:szCs w:val="26"/>
          <w:lang w:val="es-MX"/>
        </w:rPr>
        <w:t>2</w:t>
      </w:r>
      <w:r w:rsidR="00B83C59">
        <w:rPr>
          <w:rFonts w:asciiTheme="majorHAnsi" w:hAnsiTheme="majorHAnsi" w:cs="Arial"/>
          <w:b/>
          <w:sz w:val="22"/>
          <w:szCs w:val="26"/>
          <w:lang w:val="es-MX"/>
        </w:rPr>
        <w:t>8</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B019C0" w:rsidRDefault="00F303BA" w:rsidP="00F578C7">
      <w:pPr>
        <w:pStyle w:val="Lugaryfecha"/>
        <w:rPr>
          <w:lang w:val="es-MX"/>
        </w:rPr>
      </w:pPr>
      <w:r>
        <w:rPr>
          <w:noProof/>
          <w:lang w:eastAsia="es-ES"/>
        </w:rPr>
        <w:drawing>
          <wp:inline distT="0" distB="0" distL="0" distR="0" wp14:anchorId="69A1823E" wp14:editId="740E6388">
            <wp:extent cx="4778409" cy="2817018"/>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Intervención del Comité de Acceso a la Información y de Protección de Datos Personales dentro del procedimiento ordinario</w:t>
      </w:r>
      <w:r w:rsidRPr="00574F2C">
        <w:rPr>
          <w:rStyle w:val="Refdenotaalpie"/>
          <w:rFonts w:asciiTheme="majorHAnsi" w:hAnsiTheme="majorHAnsi" w:cs="Arial"/>
          <w:b/>
          <w:sz w:val="22"/>
          <w:szCs w:val="26"/>
        </w:rPr>
        <w:footnoteReference w:id="9"/>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establecer el grado de intervención del Comité de Acceso a la Información y de Protección de Datos Personales 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Acceso a la Información y de Protección de Datos Personales respecto del total de expedientes de solicitudes de información tramitadas mediante el procedimiento ordinario: </w:t>
      </w:r>
      <w:r w:rsidR="00EA741A">
        <w:rPr>
          <w:rFonts w:asciiTheme="majorHAnsi" w:hAnsiTheme="majorHAnsi" w:cs="Arial"/>
          <w:b/>
          <w:sz w:val="22"/>
          <w:szCs w:val="26"/>
          <w:lang w:val="es-MX"/>
        </w:rPr>
        <w:t>13.93</w:t>
      </w:r>
      <w:r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rsidR="00B019C0" w:rsidRDefault="00B019C0" w:rsidP="00574F2C">
      <w:pPr>
        <w:ind w:left="709"/>
        <w:jc w:val="both"/>
        <w:rPr>
          <w:rFonts w:asciiTheme="majorHAnsi" w:hAnsiTheme="majorHAnsi" w:cs="Arial"/>
          <w:b/>
          <w:sz w:val="22"/>
          <w:szCs w:val="26"/>
        </w:rPr>
      </w:pPr>
    </w:p>
    <w:p w:rsidR="00B019C0" w:rsidRPr="00574F2C" w:rsidRDefault="00E20E51" w:rsidP="008A5BCD">
      <w:pPr>
        <w:ind w:left="1416"/>
        <w:jc w:val="both"/>
        <w:rPr>
          <w:rFonts w:asciiTheme="majorHAnsi" w:hAnsiTheme="majorHAnsi" w:cs="Arial"/>
          <w:b/>
          <w:sz w:val="22"/>
          <w:szCs w:val="26"/>
        </w:rPr>
      </w:pPr>
      <w:r>
        <w:rPr>
          <w:noProof/>
          <w:lang w:val="es-ES" w:eastAsia="es-ES"/>
        </w:rPr>
        <w:drawing>
          <wp:inline distT="0" distB="0" distL="0" distR="0" wp14:anchorId="419D1782" wp14:editId="690935FE">
            <wp:extent cx="4279106" cy="2888129"/>
            <wp:effectExtent l="0" t="0" r="762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40DF" w:rsidRDefault="003640DF" w:rsidP="008A5BCD">
      <w:pPr>
        <w:pStyle w:val="Lugaryfecha"/>
        <w:rPr>
          <w:lang w:val="es-MX"/>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Aceptación de las resoluciones del Comité de Acceso a la Información y de Protección de  Datos Personales por parte de los solicitantes</w:t>
      </w:r>
      <w:r w:rsidRPr="00574F2C">
        <w:rPr>
          <w:rStyle w:val="Refdenotaalpie"/>
          <w:rFonts w:asciiTheme="majorHAnsi" w:hAnsiTheme="majorHAnsi" w:cs="Arial"/>
          <w:b/>
          <w:sz w:val="22"/>
          <w:szCs w:val="22"/>
        </w:rPr>
        <w:footnoteReference w:id="10"/>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Acceso a la Información y de Protección de Datos Personales: </w:t>
      </w:r>
      <w:r w:rsidR="002C23D4">
        <w:rPr>
          <w:rFonts w:asciiTheme="majorHAnsi" w:hAnsiTheme="majorHAnsi" w:cs="Arial"/>
          <w:b/>
          <w:sz w:val="22"/>
          <w:szCs w:val="22"/>
          <w:lang w:val="es-MX"/>
        </w:rPr>
        <w:t>0</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E20E51" w:rsidP="00F578C7">
      <w:pPr>
        <w:pStyle w:val="Lugaryfecha"/>
        <w:rPr>
          <w:lang w:val="es-MX"/>
        </w:rPr>
      </w:pPr>
      <w:r>
        <w:rPr>
          <w:noProof/>
          <w:lang w:eastAsia="es-ES"/>
        </w:rPr>
        <w:drawing>
          <wp:inline distT="0" distB="0" distL="0" distR="0" wp14:anchorId="69D07800" wp14:editId="7D987A87">
            <wp:extent cx="5476875" cy="290512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534D7D">
        <w:rPr>
          <w:rFonts w:ascii="Georgia" w:hAnsi="Georgia" w:cs="Arial"/>
          <w:b/>
          <w:sz w:val="22"/>
          <w:szCs w:val="22"/>
        </w:rPr>
        <w:t xml:space="preserve">abril a junio </w:t>
      </w:r>
      <w:r w:rsidRPr="008068C9">
        <w:rPr>
          <w:rFonts w:ascii="Georgia" w:hAnsi="Georgia" w:cs="Arial"/>
          <w:b/>
          <w:sz w:val="22"/>
          <w:szCs w:val="22"/>
        </w:rPr>
        <w:t>de 201</w:t>
      </w:r>
      <w:r w:rsidR="00B019C0">
        <w:rPr>
          <w:rFonts w:ascii="Georgia" w:hAnsi="Georgia" w:cs="Arial"/>
          <w:b/>
          <w:sz w:val="22"/>
          <w:szCs w:val="22"/>
        </w:rPr>
        <w:t>3</w:t>
      </w:r>
      <w:r w:rsidRPr="008068C9">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de información recibidas: </w:t>
      </w:r>
      <w:r w:rsidR="00EA741A">
        <w:rPr>
          <w:rFonts w:ascii="Georgia" w:hAnsi="Georgia" w:cs="Arial"/>
          <w:sz w:val="22"/>
          <w:szCs w:val="22"/>
        </w:rPr>
        <w:t>11,287</w:t>
      </w:r>
      <w:r w:rsidRPr="008068C9">
        <w:rPr>
          <w:rFonts w:ascii="Georgia" w:hAnsi="Georgia" w:cs="Arial"/>
          <w:sz w:val="22"/>
          <w:szCs w:val="22"/>
        </w:rPr>
        <w:t>.</w:t>
      </w:r>
    </w:p>
    <w:p w:rsidR="008068C9" w:rsidRPr="008068C9" w:rsidRDefault="008068C9" w:rsidP="008068C9">
      <w:pPr>
        <w:ind w:left="1134"/>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en trámite: </w:t>
      </w:r>
      <w:r w:rsidR="00EA741A">
        <w:rPr>
          <w:rFonts w:ascii="Georgia" w:hAnsi="Georgia" w:cs="Arial"/>
          <w:sz w:val="22"/>
          <w:szCs w:val="22"/>
        </w:rPr>
        <w:t>39</w:t>
      </w:r>
      <w:r w:rsidRPr="008068C9">
        <w:rPr>
          <w:rFonts w:ascii="Georgia" w:hAnsi="Georgia" w:cs="Arial"/>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de información resueltas: </w:t>
      </w:r>
      <w:r w:rsidR="00EA741A">
        <w:rPr>
          <w:rFonts w:ascii="Georgia" w:hAnsi="Georgia" w:cs="Arial"/>
          <w:sz w:val="22"/>
          <w:szCs w:val="22"/>
        </w:rPr>
        <w:t>11,248</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EA741A">
        <w:rPr>
          <w:rFonts w:ascii="Georgia" w:hAnsi="Georgia" w:cs="Arial"/>
          <w:sz w:val="22"/>
          <w:szCs w:val="22"/>
        </w:rPr>
        <w:t>1,017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CD73B5">
        <w:rPr>
          <w:rFonts w:ascii="Georgia" w:hAnsi="Georgia" w:cs="Arial"/>
          <w:sz w:val="22"/>
          <w:szCs w:val="22"/>
        </w:rPr>
        <w:t>1</w:t>
      </w:r>
      <w:r w:rsidR="00EA741A">
        <w:rPr>
          <w:rFonts w:ascii="Georgia" w:hAnsi="Georgia" w:cs="Arial"/>
          <w:sz w:val="22"/>
          <w:szCs w:val="22"/>
        </w:rPr>
        <w:t>0,270</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EA741A">
        <w:rPr>
          <w:rFonts w:ascii="Georgia" w:hAnsi="Georgia" w:cs="Arial"/>
          <w:sz w:val="22"/>
          <w:szCs w:val="22"/>
        </w:rPr>
        <w:t>21</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Sumario.</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w:t>
      </w:r>
      <w:r w:rsidR="00EA741A">
        <w:rPr>
          <w:rFonts w:ascii="Georgia" w:hAnsi="Georgia" w:cs="Arial"/>
          <w:sz w:val="22"/>
          <w:szCs w:val="22"/>
        </w:rPr>
        <w:t>10,997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a través de los Módulos de Acceso a la Información: </w:t>
      </w:r>
      <w:r w:rsidR="00EA741A">
        <w:rPr>
          <w:rFonts w:ascii="Georgia" w:hAnsi="Georgia" w:cs="Arial"/>
          <w:sz w:val="22"/>
          <w:szCs w:val="22"/>
        </w:rPr>
        <w:t>10,377</w:t>
      </w:r>
      <w:r w:rsidRPr="008068C9">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bibliohemerográfica en el Distrito Federal: </w:t>
      </w:r>
      <w:r w:rsidR="00EA741A">
        <w:rPr>
          <w:rFonts w:ascii="Georgia" w:hAnsi="Georgia" w:cs="Arial"/>
          <w:sz w:val="22"/>
          <w:szCs w:val="22"/>
        </w:rPr>
        <w:t>620</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EA741A">
        <w:rPr>
          <w:rFonts w:ascii="Georgia" w:hAnsi="Georgia" w:cs="Arial"/>
          <w:sz w:val="22"/>
          <w:szCs w:val="22"/>
        </w:rPr>
        <w:t>290</w:t>
      </w:r>
      <w:r w:rsidRPr="008068C9">
        <w:rPr>
          <w:rFonts w:ascii="Georgia" w:hAnsi="Georgia" w:cs="Arial"/>
          <w:sz w:val="22"/>
          <w:szCs w:val="22"/>
        </w:rPr>
        <w:t>.</w:t>
      </w:r>
    </w:p>
    <w:p w:rsid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EA741A">
        <w:rPr>
          <w:rFonts w:ascii="Georgia" w:hAnsi="Georgia" w:cs="Arial"/>
          <w:sz w:val="22"/>
          <w:szCs w:val="22"/>
        </w:rPr>
        <w:t>9</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EA741A">
        <w:rPr>
          <w:rFonts w:ascii="Georgia" w:hAnsi="Georgia" w:cs="Arial"/>
          <w:sz w:val="22"/>
          <w:szCs w:val="22"/>
        </w:rPr>
        <w:t>37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EA741A">
        <w:rPr>
          <w:rFonts w:ascii="Georgia" w:hAnsi="Georgia" w:cs="Arial"/>
          <w:sz w:val="22"/>
          <w:szCs w:val="22"/>
        </w:rPr>
        <w:t>244</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EA741A">
        <w:rPr>
          <w:rFonts w:ascii="Georgia" w:hAnsi="Georgia" w:cs="Arial"/>
          <w:sz w:val="22"/>
          <w:szCs w:val="22"/>
        </w:rPr>
        <w:t>53</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EA741A">
        <w:rPr>
          <w:rFonts w:ascii="Georgia" w:hAnsi="Georgia" w:cs="Arial"/>
          <w:sz w:val="22"/>
          <w:szCs w:val="22"/>
        </w:rPr>
        <w:t>191</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lastRenderedPageBreak/>
        <w:t xml:space="preserve">Solicitudes de información tramitadas mediante el procedimiento ordinario, en las cuales la Unidad de Enlace  declaró la inexistencia temporal del engrose de las sentencias emitidas por el Pleno y las Salas de este Alto Tribunal: </w:t>
      </w:r>
      <w:r w:rsidR="00EA741A">
        <w:rPr>
          <w:rFonts w:ascii="Georgia" w:hAnsi="Georgia" w:cs="Arial"/>
          <w:sz w:val="22"/>
          <w:szCs w:val="22"/>
        </w:rPr>
        <w:t>5</w:t>
      </w:r>
      <w:r w:rsidRPr="008068C9">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CD73B5">
        <w:rPr>
          <w:rFonts w:ascii="Georgia" w:hAnsi="Georgia" w:cs="Arial"/>
          <w:sz w:val="22"/>
          <w:szCs w:val="22"/>
        </w:rPr>
        <w:t>0</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Comité de Acceso a la Información y de Protección de Datos Personales.</w:t>
      </w:r>
    </w:p>
    <w:p w:rsidR="008068C9" w:rsidRPr="008068C9" w:rsidRDefault="008068C9" w:rsidP="008068C9">
      <w:pPr>
        <w:ind w:left="1080"/>
        <w:jc w:val="both"/>
        <w:rPr>
          <w:rFonts w:ascii="Georgia" w:hAnsi="Georgia" w:cs="Arial"/>
          <w:b/>
          <w:sz w:val="22"/>
          <w:szCs w:val="22"/>
          <w:lang w:val="es-MX"/>
        </w:rPr>
      </w:pPr>
    </w:p>
    <w:p w:rsidR="008068C9" w:rsidRPr="008068C9" w:rsidRDefault="008068C9" w:rsidP="008068C9">
      <w:pPr>
        <w:numPr>
          <w:ilvl w:val="1"/>
          <w:numId w:val="5"/>
        </w:numPr>
        <w:jc w:val="both"/>
        <w:rPr>
          <w:rFonts w:ascii="Georgia" w:hAnsi="Georgia" w:cs="Arial"/>
          <w:b/>
          <w:sz w:val="22"/>
          <w:szCs w:val="22"/>
        </w:rPr>
      </w:pPr>
      <w:proofErr w:type="spellStart"/>
      <w:r w:rsidRPr="008068C9">
        <w:rPr>
          <w:rFonts w:ascii="Georgia" w:hAnsi="Georgia" w:cs="Arial"/>
          <w:sz w:val="22"/>
          <w:szCs w:val="22"/>
        </w:rPr>
        <w:t>Expedientes</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turnados</w:t>
      </w:r>
      <w:proofErr w:type="spellEnd"/>
      <w:r w:rsidRPr="008068C9">
        <w:rPr>
          <w:rFonts w:ascii="Georgia" w:hAnsi="Georgia" w:cs="Arial"/>
          <w:sz w:val="22"/>
          <w:szCs w:val="22"/>
        </w:rPr>
        <w:t xml:space="preserve">: </w:t>
      </w:r>
      <w:r w:rsidR="00EA741A">
        <w:rPr>
          <w:rFonts w:ascii="Georgia" w:hAnsi="Georgia" w:cs="Arial"/>
          <w:sz w:val="22"/>
          <w:szCs w:val="22"/>
        </w:rPr>
        <w:t>34</w:t>
      </w:r>
      <w:r w:rsidRPr="008068C9">
        <w:rPr>
          <w:rFonts w:ascii="Georgia" w:hAnsi="Georgia" w:cs="Arial"/>
          <w:sz w:val="22"/>
          <w:szCs w:val="22"/>
        </w:rPr>
        <w:t>.</w:t>
      </w:r>
    </w:p>
    <w:p w:rsidR="008068C9" w:rsidRPr="008068C9" w:rsidRDefault="008068C9" w:rsidP="008068C9">
      <w:pPr>
        <w:pStyle w:val="Prrafodelista"/>
        <w:rPr>
          <w:rFonts w:ascii="Georgia" w:hAnsi="Georgia" w:cs="Arial"/>
          <w:b/>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Clasificaciones</w:t>
      </w:r>
      <w:proofErr w:type="spellEnd"/>
      <w:r w:rsidRPr="008068C9">
        <w:rPr>
          <w:rFonts w:ascii="Georgia" w:hAnsi="Georgia" w:cs="Arial"/>
          <w:sz w:val="22"/>
          <w:szCs w:val="22"/>
        </w:rPr>
        <w:t xml:space="preserve"> de </w:t>
      </w:r>
      <w:proofErr w:type="spellStart"/>
      <w:r w:rsidRPr="008068C9">
        <w:rPr>
          <w:rFonts w:ascii="Georgia" w:hAnsi="Georgia" w:cs="Arial"/>
          <w:sz w:val="22"/>
          <w:szCs w:val="22"/>
        </w:rPr>
        <w:t>información</w:t>
      </w:r>
      <w:proofErr w:type="spellEnd"/>
      <w:r w:rsidRPr="008068C9">
        <w:rPr>
          <w:rFonts w:ascii="Georgia" w:hAnsi="Georgia" w:cs="Arial"/>
          <w:sz w:val="22"/>
          <w:szCs w:val="22"/>
        </w:rPr>
        <w:t>:</w:t>
      </w:r>
      <w:r w:rsidR="00350507">
        <w:rPr>
          <w:rFonts w:ascii="Georgia" w:hAnsi="Georgia" w:cs="Arial"/>
          <w:sz w:val="22"/>
          <w:szCs w:val="22"/>
        </w:rPr>
        <w:t xml:space="preserve"> 30</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Comisión para la Transparencia, Acceso a la Información Pública Gubernamental y Protección de Datos Personales.</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Recursos</w:t>
      </w:r>
      <w:proofErr w:type="spellEnd"/>
      <w:r w:rsidRPr="008068C9">
        <w:rPr>
          <w:rFonts w:ascii="Georgia" w:hAnsi="Georgia" w:cs="Arial"/>
          <w:sz w:val="22"/>
          <w:szCs w:val="22"/>
        </w:rPr>
        <w:t xml:space="preserve"> de </w:t>
      </w:r>
      <w:proofErr w:type="spellStart"/>
      <w:r w:rsidR="008956EE">
        <w:rPr>
          <w:rFonts w:ascii="Georgia" w:hAnsi="Georgia" w:cs="Arial"/>
          <w:sz w:val="22"/>
          <w:szCs w:val="22"/>
        </w:rPr>
        <w:t>r</w:t>
      </w:r>
      <w:r w:rsidRPr="008068C9">
        <w:rPr>
          <w:rFonts w:ascii="Georgia" w:hAnsi="Georgia" w:cs="Arial"/>
          <w:sz w:val="22"/>
          <w:szCs w:val="22"/>
        </w:rPr>
        <w:t>evisión</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interpuestos</w:t>
      </w:r>
      <w:proofErr w:type="spellEnd"/>
      <w:r w:rsidRPr="008068C9">
        <w:rPr>
          <w:rFonts w:ascii="Georgia" w:hAnsi="Georgia" w:cs="Arial"/>
          <w:sz w:val="22"/>
          <w:szCs w:val="22"/>
        </w:rPr>
        <w:t xml:space="preserve">: </w:t>
      </w:r>
      <w:r w:rsidR="00EA741A">
        <w:rPr>
          <w:rFonts w:ascii="Georgia" w:hAnsi="Georgia" w:cs="Arial"/>
          <w:sz w:val="22"/>
          <w:szCs w:val="22"/>
        </w:rPr>
        <w:t>0</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Acceso a la Información: </w:t>
      </w:r>
      <w:r w:rsidR="00BA4F6A">
        <w:rPr>
          <w:rFonts w:asciiTheme="majorHAnsi" w:hAnsiTheme="majorHAnsi" w:cs="Arial"/>
          <w:sz w:val="22"/>
          <w:szCs w:val="22"/>
          <w:lang w:val="es-MX"/>
        </w:rPr>
        <w:t>0</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5A261D">
      <w:headerReference w:type="default" r:id="rId19"/>
      <w:footerReference w:type="default" r:id="rId20"/>
      <w:headerReference w:type="first" r:id="rId21"/>
      <w:footerReference w:type="first" r:id="rId22"/>
      <w:pgSz w:w="12242" w:h="15842" w:code="1"/>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05" w:rsidRDefault="00167505" w:rsidP="000B572B">
      <w:r>
        <w:separator/>
      </w:r>
    </w:p>
  </w:endnote>
  <w:endnote w:type="continuationSeparator" w:id="0">
    <w:p w:rsidR="00167505" w:rsidRDefault="00167505"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1E1950">
          <w:rPr>
            <w:noProof/>
            <w:sz w:val="20"/>
          </w:rPr>
          <w:t>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06" w:rsidRDefault="00167505">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05" w:rsidRDefault="00167505" w:rsidP="000B572B">
      <w:r>
        <w:separator/>
      </w:r>
    </w:p>
  </w:footnote>
  <w:footnote w:type="continuationSeparator" w:id="0">
    <w:p w:rsidR="00167505" w:rsidRDefault="00167505"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1E30E6">
        <w:rPr>
          <w:rFonts w:ascii="Arial" w:hAnsi="Arial" w:cs="Arial"/>
          <w:sz w:val="16"/>
          <w:szCs w:val="16"/>
          <w:lang w:val="es-MX"/>
        </w:rPr>
        <w:t>1</w:t>
      </w:r>
      <w:r w:rsidR="000F4586">
        <w:rPr>
          <w:rFonts w:ascii="Arial" w:hAnsi="Arial" w:cs="Arial"/>
          <w:sz w:val="16"/>
          <w:szCs w:val="16"/>
          <w:lang w:val="es-MX"/>
        </w:rPr>
        <w:t>0</w:t>
      </w:r>
      <w:r w:rsidR="00CC1A8E">
        <w:rPr>
          <w:rFonts w:ascii="Arial" w:hAnsi="Arial" w:cs="Arial"/>
          <w:sz w:val="16"/>
          <w:szCs w:val="16"/>
          <w:lang w:val="es-MX"/>
        </w:rPr>
        <w:t>,</w:t>
      </w:r>
      <w:r w:rsidR="000F4586">
        <w:rPr>
          <w:rFonts w:ascii="Arial" w:hAnsi="Arial" w:cs="Arial"/>
          <w:sz w:val="16"/>
          <w:szCs w:val="16"/>
          <w:lang w:val="es-MX"/>
        </w:rPr>
        <w:t>997</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0F4586">
        <w:rPr>
          <w:rFonts w:ascii="Arial" w:hAnsi="Arial" w:cs="Arial"/>
          <w:sz w:val="16"/>
          <w:szCs w:val="16"/>
          <w:lang w:val="es-MX"/>
        </w:rPr>
        <w:t xml:space="preserve">julio a septiembre </w:t>
      </w:r>
      <w:r w:rsidRPr="00875D0D">
        <w:rPr>
          <w:rFonts w:ascii="Arial" w:hAnsi="Arial" w:cs="Arial"/>
          <w:sz w:val="16"/>
          <w:szCs w:val="16"/>
          <w:lang w:val="es-MX"/>
        </w:rPr>
        <w:t>de 201</w:t>
      </w:r>
      <w:r w:rsidR="00CC1A8E">
        <w:rPr>
          <w:rFonts w:ascii="Arial" w:hAnsi="Arial" w:cs="Arial"/>
          <w:sz w:val="16"/>
          <w:szCs w:val="16"/>
          <w:lang w:val="es-MX"/>
        </w:rPr>
        <w:t>5</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0F4586">
        <w:rPr>
          <w:rFonts w:ascii="Arial" w:hAnsi="Arial" w:cs="Arial"/>
          <w:sz w:val="16"/>
          <w:szCs w:val="16"/>
          <w:lang w:val="es-MX"/>
        </w:rPr>
        <w:t>244</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olicitudes de información a través de procedimiento sumario de cada Módulo de Acceso a la Información.</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17624E" w:rsidRPr="006F66AC" w:rsidRDefault="0017624E" w:rsidP="003E4A06">
      <w:pPr>
        <w:pStyle w:val="Textonotapie"/>
        <w:ind w:left="357"/>
        <w:jc w:val="both"/>
        <w:rPr>
          <w:lang w:val="es-MX"/>
        </w:rPr>
      </w:pPr>
      <w:r w:rsidRPr="003E4A06">
        <w:rPr>
          <w:rStyle w:val="Refdenotaalpie"/>
          <w:rFonts w:ascii="Arial" w:hAnsi="Arial" w:cs="Arial"/>
        </w:rPr>
        <w:footnoteRef/>
      </w:r>
      <w:r>
        <w:t xml:space="preserve"> </w:t>
      </w:r>
      <w:r w:rsidRPr="00211B21">
        <w:rPr>
          <w:rFonts w:ascii="Arial" w:hAnsi="Arial" w:cs="Arial"/>
          <w:sz w:val="16"/>
          <w:szCs w:val="16"/>
        </w:rPr>
        <w:t>Para la interpretación de este resultado debe advertirse que el Distrito Federal cuenta con 5 Módulos de Acceso a la Información  instalados en diversos inmuebles, a diferencia de las demás ciudades que sólo cuentan con uno</w:t>
      </w:r>
      <w:r>
        <w:rPr>
          <w:rFonts w:ascii="Arial" w:hAnsi="Arial" w:cs="Arial"/>
          <w:sz w:val="16"/>
          <w:szCs w:val="16"/>
        </w:rPr>
        <w:t>; además de que se contabilizan en este rubro las solicitudes presentadas ante la Secretaría General de Acuerdos, Subsecretaría General de Acuerdos y Secretarías de Acuerdos de la Primera y Segunda Salas, cuando estas fungen como Módulos de Acceso a la Información.</w:t>
      </w:r>
    </w:p>
  </w:footnote>
  <w:footnote w:id="4">
    <w:p w:rsidR="00E975AD" w:rsidRPr="00611810" w:rsidRDefault="00E975AD"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C41FC1">
        <w:rPr>
          <w:rFonts w:asciiTheme="minorHAnsi" w:hAnsiTheme="minorHAnsi" w:cstheme="minorHAnsi"/>
          <w:sz w:val="16"/>
        </w:rPr>
        <w:t xml:space="preserve"> Esta cifra sumada a las6</w:t>
      </w:r>
      <w:r w:rsidR="00F303BA">
        <w:rPr>
          <w:rFonts w:asciiTheme="minorHAnsi" w:hAnsiTheme="minorHAnsi" w:cstheme="minorHAnsi"/>
          <w:sz w:val="16"/>
        </w:rPr>
        <w:t>20</w:t>
      </w:r>
      <w:r w:rsidR="00402C70">
        <w:rPr>
          <w:rFonts w:asciiTheme="minorHAnsi" w:hAnsiTheme="minorHAnsi" w:cstheme="minorHAnsi"/>
          <w:sz w:val="16"/>
        </w:rPr>
        <w:t xml:space="preserve"> </w:t>
      </w:r>
      <w:r w:rsidRPr="00611810">
        <w:rPr>
          <w:rFonts w:asciiTheme="minorHAnsi" w:hAnsiTheme="minorHAnsi" w:cstheme="minorHAnsi"/>
          <w:sz w:val="16"/>
        </w:rPr>
        <w:t xml:space="preserve">consultas de información legislativa y bibliohemerográfica en el Distrito Federal, representan los </w:t>
      </w:r>
      <w:r w:rsidR="00F303BA">
        <w:rPr>
          <w:rFonts w:asciiTheme="minorHAnsi" w:hAnsiTheme="minorHAnsi" w:cstheme="minorHAnsi"/>
          <w:sz w:val="16"/>
        </w:rPr>
        <w:t>10,997</w:t>
      </w:r>
      <w:r w:rsidR="004040B6">
        <w:rPr>
          <w:rFonts w:asciiTheme="minorHAnsi" w:hAnsiTheme="minorHAnsi" w:cstheme="minorHAnsi"/>
          <w:sz w:val="16"/>
        </w:rPr>
        <w:t xml:space="preserve"> </w:t>
      </w:r>
      <w:r w:rsidRPr="00611810">
        <w:rPr>
          <w:rFonts w:asciiTheme="minorHAnsi" w:hAnsiTheme="minorHAnsi" w:cstheme="minorHAnsi"/>
          <w:sz w:val="16"/>
        </w:rPr>
        <w:t>procedimientos sumarios reportados.</w:t>
      </w:r>
    </w:p>
  </w:footnote>
  <w:footnote w:id="5">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solicitudes de información presentadas por las personas a través de medios electrónicos y solicitudes de información presentadas por las personas de manera presencial ante los Módulos de Acceso a la Información.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F303BA">
        <w:rPr>
          <w:rFonts w:ascii="Arial" w:hAnsi="Arial" w:cs="Arial"/>
          <w:sz w:val="16"/>
          <w:szCs w:val="16"/>
          <w:lang w:val="es-MX"/>
        </w:rPr>
        <w:t>11,287</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F303BA">
        <w:rPr>
          <w:rFonts w:ascii="Arial" w:hAnsi="Arial" w:cs="Arial"/>
          <w:sz w:val="16"/>
          <w:szCs w:val="16"/>
          <w:lang w:val="es-MX"/>
        </w:rPr>
        <w:t>9</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F303BA">
        <w:rPr>
          <w:rFonts w:ascii="Arial" w:hAnsi="Arial" w:cs="Arial"/>
          <w:sz w:val="16"/>
          <w:szCs w:val="16"/>
          <w:lang w:val="es-MX"/>
        </w:rPr>
        <w:t>21</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7">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F303BA">
        <w:rPr>
          <w:rFonts w:ascii="Arial" w:hAnsi="Arial" w:cs="Arial"/>
          <w:sz w:val="16"/>
          <w:szCs w:val="16"/>
          <w:lang w:val="es-MX"/>
        </w:rPr>
        <w:t>244</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8">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A partir del primero de agosto del 2008, el Comité de Acceso a la Información y de Protección de Datos Personales 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Pr>
          <w:rFonts w:ascii="Arial" w:hAnsi="Arial" w:cs="Arial"/>
          <w:sz w:val="16"/>
          <w:szCs w:val="16"/>
        </w:rPr>
        <w:t xml:space="preserve">, razón por la cual a partir de esa fecha se incrementó el porcentaje de asuntos de carácter jurisdiccional. </w:t>
      </w:r>
    </w:p>
    <w:p w:rsidR="00574F2C" w:rsidRPr="009158D0" w:rsidRDefault="00574F2C" w:rsidP="00574F2C">
      <w:pPr>
        <w:pStyle w:val="Textonotapie"/>
        <w:rPr>
          <w:lang w:val="es-MX"/>
        </w:rPr>
      </w:pPr>
    </w:p>
  </w:footnote>
  <w:footnote w:id="9">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expedientes de solicitudes de información </w:t>
      </w:r>
      <w:proofErr w:type="gramStart"/>
      <w:r w:rsidRPr="00574F2C">
        <w:rPr>
          <w:rFonts w:ascii="Arial" w:hAnsi="Arial" w:cs="Arial"/>
          <w:sz w:val="16"/>
          <w:szCs w:val="16"/>
          <w:lang w:val="es-MX"/>
        </w:rPr>
        <w:t>tramitados</w:t>
      </w:r>
      <w:proofErr w:type="gramEnd"/>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EA741A">
        <w:rPr>
          <w:rFonts w:ascii="Arial" w:hAnsi="Arial" w:cs="Arial"/>
          <w:sz w:val="16"/>
          <w:szCs w:val="16"/>
          <w:lang w:val="es-MX"/>
        </w:rPr>
        <w:t>244</w:t>
      </w:r>
      <w:r w:rsidR="00B61412">
        <w:rPr>
          <w:rFonts w:ascii="Arial" w:hAnsi="Arial" w:cs="Arial"/>
          <w:sz w:val="16"/>
          <w:szCs w:val="16"/>
          <w:lang w:val="es-MX"/>
        </w:rPr>
        <w:t>)</w:t>
      </w:r>
      <w:r w:rsidRPr="00574F2C">
        <w:rPr>
          <w:rFonts w:ascii="Arial" w:hAnsi="Arial" w:cs="Arial"/>
          <w:sz w:val="16"/>
          <w:szCs w:val="16"/>
          <w:lang w:val="es-MX"/>
        </w:rPr>
        <w:t xml:space="preserve"> y turnos al Comité de Acceso a la Información y de Protección de Datos Personales</w:t>
      </w:r>
      <w:r w:rsidR="00B61412">
        <w:rPr>
          <w:rFonts w:ascii="Arial" w:hAnsi="Arial" w:cs="Arial"/>
          <w:sz w:val="16"/>
          <w:szCs w:val="16"/>
          <w:lang w:val="es-MX"/>
        </w:rPr>
        <w:t xml:space="preserve"> (</w:t>
      </w:r>
      <w:r w:rsidR="00EA741A">
        <w:rPr>
          <w:rFonts w:ascii="Arial" w:hAnsi="Arial" w:cs="Arial"/>
          <w:sz w:val="16"/>
          <w:szCs w:val="16"/>
          <w:lang w:val="es-MX"/>
        </w:rPr>
        <w:t>34</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4674B8">
        <w:rPr>
          <w:rFonts w:ascii="Arial" w:hAnsi="Arial" w:cs="Arial"/>
          <w:sz w:val="16"/>
          <w:szCs w:val="16"/>
        </w:rPr>
        <w:t xml:space="preserve">  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10">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 y que fueron turnadas al Comité de Acceso a la Información y de Protección de Datos Personales y Clasificaciones de Información emitidas por dicho Comité. Recursos de Revisión presentados ante la Comisión para la Transparencia, Acceso a la Información Pública Gubernamental y Protección de Datos Personales.</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de Acceso a la Información</w:t>
      </w:r>
      <w:r>
        <w:rPr>
          <w:rFonts w:ascii="Arial" w:hAnsi="Arial" w:cs="Arial"/>
          <w:sz w:val="16"/>
          <w:szCs w:val="16"/>
        </w:rPr>
        <w:t xml:space="preserve"> y de Protección de Datos Personales</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6771FE">
    <w:pPr>
      <w:pStyle w:val="Encabezado"/>
    </w:pPr>
    <w:r>
      <w:rPr>
        <w:noProof/>
        <w:lang w:val="es-ES" w:eastAsia="es-ES"/>
      </w:rPr>
      <mc:AlternateContent>
        <mc:Choice Requires="wps">
          <w:drawing>
            <wp:anchor distT="0" distB="0" distL="114300" distR="114300" simplePos="0" relativeHeight="251663360" behindDoc="0" locked="0" layoutInCell="1" allowOverlap="1" wp14:anchorId="4826A351" wp14:editId="0D54243C">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Pr>
        <w:noProof/>
        <w:lang w:val="es-ES" w:eastAsia="es-ES"/>
      </w:rPr>
      <w:drawing>
        <wp:anchor distT="0" distB="0" distL="114300" distR="114300" simplePos="0" relativeHeight="251668480" behindDoc="1" locked="0" layoutInCell="1" allowOverlap="1" wp14:anchorId="6FFEC20C" wp14:editId="1B6745AA">
          <wp:simplePos x="0" y="0"/>
          <wp:positionH relativeFrom="page">
            <wp:posOffset>-224790</wp:posOffset>
          </wp:positionH>
          <wp:positionV relativeFrom="page">
            <wp:posOffset>-177165</wp:posOffset>
          </wp:positionV>
          <wp:extent cx="7773670" cy="1623695"/>
          <wp:effectExtent l="0" t="0" r="0" b="0"/>
          <wp:wrapSquare wrapText="bothSides"/>
          <wp:docPr id="2" name="4 Imagen" descr="SCJN_Comunicad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SCJN_Comunicado_2.png"/>
                  <pic:cNvPicPr>
                    <a:picLocks noChangeAspect="1" noChangeArrowheads="1"/>
                  </pic:cNvPicPr>
                </pic:nvPicPr>
                <pic:blipFill>
                  <a:blip r:embed="rId1"/>
                  <a:srcRect/>
                  <a:stretch>
                    <a:fillRect/>
                  </a:stretch>
                </pic:blipFill>
                <pic:spPr bwMode="auto">
                  <a:xfrm>
                    <a:off x="0" y="0"/>
                    <a:ext cx="7773670" cy="1623695"/>
                  </a:xfrm>
                  <a:prstGeom prst="rect">
                    <a:avLst/>
                  </a:prstGeom>
                  <a:noFill/>
                  <a:ln w="9525">
                    <a:noFill/>
                    <a:miter lim="800000"/>
                    <a:headEnd/>
                    <a:tailEnd/>
                  </a:ln>
                </pic:spPr>
              </pic:pic>
            </a:graphicData>
          </a:graphic>
        </wp:anchor>
      </w:drawing>
    </w:r>
    <w:r w:rsidR="00FC0BC6">
      <w:rPr>
        <w:noProof/>
        <w:lang w:val="es-ES" w:eastAsia="es-ES"/>
      </w:rPr>
      <mc:AlternateContent>
        <mc:Choice Requires="wps">
          <w:drawing>
            <wp:anchor distT="0" distB="0" distL="114300" distR="114300" simplePos="0" relativeHeight="251670528" behindDoc="0" locked="0" layoutInCell="1" allowOverlap="1" wp14:anchorId="63E8559C" wp14:editId="63292D1E">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1E30E6" w:rsidP="00F53901">
                          <w:pPr>
                            <w:jc w:val="right"/>
                            <w:rPr>
                              <w:sz w:val="22"/>
                              <w:lang w:val="es-MX"/>
                            </w:rPr>
                          </w:pPr>
                          <w:r>
                            <w:rPr>
                              <w:sz w:val="22"/>
                              <w:lang w:val="es-MX"/>
                            </w:rPr>
                            <w:t xml:space="preserve">Julio a Septiembre </w:t>
                          </w:r>
                          <w:r w:rsidR="000E0475">
                            <w:rPr>
                              <w:sz w:val="22"/>
                              <w:lang w:val="es-MX"/>
                            </w:rPr>
                            <w:t>de 201</w:t>
                          </w:r>
                          <w:r w:rsidR="00CC1A8E">
                            <w:rPr>
                              <w:sz w:val="22"/>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1E30E6" w:rsidP="00F53901">
                    <w:pPr>
                      <w:jc w:val="right"/>
                      <w:rPr>
                        <w:sz w:val="22"/>
                        <w:lang w:val="es-MX"/>
                      </w:rPr>
                    </w:pPr>
                    <w:r>
                      <w:rPr>
                        <w:sz w:val="22"/>
                        <w:lang w:val="es-MX"/>
                      </w:rPr>
                      <w:t xml:space="preserve">Julio a Septiembre </w:t>
                    </w:r>
                    <w:r w:rsidR="000E0475">
                      <w:rPr>
                        <w:sz w:val="22"/>
                        <w:lang w:val="es-MX"/>
                      </w:rPr>
                      <w:t>de 201</w:t>
                    </w:r>
                    <w:r w:rsidR="00CC1A8E">
                      <w:rPr>
                        <w:sz w:val="22"/>
                        <w:lang w:val="es-MX"/>
                      </w:rPr>
                      <w:t>5</w:t>
                    </w:r>
                  </w:p>
                </w:txbxContent>
              </v:textbox>
            </v:shape>
          </w:pict>
        </mc:Fallback>
      </mc:AlternateContent>
    </w:r>
    <w:r w:rsidR="00FC0BC6">
      <w:rPr>
        <w:noProof/>
        <w:lang w:val="es-ES" w:eastAsia="es-ES"/>
      </w:rPr>
      <mc:AlternateContent>
        <mc:Choice Requires="wps">
          <w:drawing>
            <wp:anchor distT="0" distB="0" distL="114300" distR="114300" simplePos="0" relativeHeight="251664384" behindDoc="0" locked="0" layoutInCell="1" allowOverlap="1" wp14:anchorId="3DB4C3DF" wp14:editId="5ACB1209">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FC0BC6">
    <w:pPr>
      <w:pStyle w:val="Encabezado"/>
    </w:pPr>
    <w:r>
      <w:rPr>
        <w:noProof/>
        <w:lang w:val="es-ES" w:eastAsia="es-ES"/>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ES" w:eastAsia="es-ES"/>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A"/>
      </v:shape>
    </w:pict>
  </w:numPicBullet>
  <w:abstractNum w:abstractNumId="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E"/>
    <w:rsid w:val="00003D66"/>
    <w:rsid w:val="00062098"/>
    <w:rsid w:val="0007154F"/>
    <w:rsid w:val="00086FAD"/>
    <w:rsid w:val="00087F00"/>
    <w:rsid w:val="000952AA"/>
    <w:rsid w:val="000A0284"/>
    <w:rsid w:val="000A0C86"/>
    <w:rsid w:val="000B572B"/>
    <w:rsid w:val="000D5F4A"/>
    <w:rsid w:val="000E0475"/>
    <w:rsid w:val="000F4586"/>
    <w:rsid w:val="00127378"/>
    <w:rsid w:val="00132FA2"/>
    <w:rsid w:val="0015393D"/>
    <w:rsid w:val="00167505"/>
    <w:rsid w:val="0017624E"/>
    <w:rsid w:val="00180598"/>
    <w:rsid w:val="001863CE"/>
    <w:rsid w:val="001A52FD"/>
    <w:rsid w:val="001C21C1"/>
    <w:rsid w:val="001E1950"/>
    <w:rsid w:val="001E30E6"/>
    <w:rsid w:val="0020117F"/>
    <w:rsid w:val="0021411F"/>
    <w:rsid w:val="00233FCC"/>
    <w:rsid w:val="00292B77"/>
    <w:rsid w:val="002C23D4"/>
    <w:rsid w:val="002D0E84"/>
    <w:rsid w:val="002D2D1E"/>
    <w:rsid w:val="002D454B"/>
    <w:rsid w:val="002E484B"/>
    <w:rsid w:val="002E5296"/>
    <w:rsid w:val="002F1FC1"/>
    <w:rsid w:val="00304F30"/>
    <w:rsid w:val="003142A0"/>
    <w:rsid w:val="00343AB8"/>
    <w:rsid w:val="00350507"/>
    <w:rsid w:val="003532A8"/>
    <w:rsid w:val="0036119F"/>
    <w:rsid w:val="003640DF"/>
    <w:rsid w:val="00375121"/>
    <w:rsid w:val="00384F28"/>
    <w:rsid w:val="003A32C0"/>
    <w:rsid w:val="003B5E4C"/>
    <w:rsid w:val="003C5D50"/>
    <w:rsid w:val="003D1E0F"/>
    <w:rsid w:val="003E1486"/>
    <w:rsid w:val="003E4A06"/>
    <w:rsid w:val="00402C70"/>
    <w:rsid w:val="004040B6"/>
    <w:rsid w:val="00430FFF"/>
    <w:rsid w:val="004657FA"/>
    <w:rsid w:val="00492121"/>
    <w:rsid w:val="004A641F"/>
    <w:rsid w:val="004B3F0A"/>
    <w:rsid w:val="004C0B4B"/>
    <w:rsid w:val="004C1906"/>
    <w:rsid w:val="004C1917"/>
    <w:rsid w:val="004C5C24"/>
    <w:rsid w:val="004E1E63"/>
    <w:rsid w:val="004E4FAE"/>
    <w:rsid w:val="00512258"/>
    <w:rsid w:val="00534D7D"/>
    <w:rsid w:val="00537198"/>
    <w:rsid w:val="005454A1"/>
    <w:rsid w:val="00546B9F"/>
    <w:rsid w:val="005541A0"/>
    <w:rsid w:val="00564CF8"/>
    <w:rsid w:val="00574F2C"/>
    <w:rsid w:val="00577FA5"/>
    <w:rsid w:val="005A261D"/>
    <w:rsid w:val="005A4480"/>
    <w:rsid w:val="005A5648"/>
    <w:rsid w:val="005B709B"/>
    <w:rsid w:val="005D24D6"/>
    <w:rsid w:val="005D3B93"/>
    <w:rsid w:val="005E6BE7"/>
    <w:rsid w:val="005F4AA8"/>
    <w:rsid w:val="00611810"/>
    <w:rsid w:val="006336F7"/>
    <w:rsid w:val="00665DF2"/>
    <w:rsid w:val="006771FE"/>
    <w:rsid w:val="00691E19"/>
    <w:rsid w:val="00693E25"/>
    <w:rsid w:val="006A2A1E"/>
    <w:rsid w:val="006B2A12"/>
    <w:rsid w:val="006C42AB"/>
    <w:rsid w:val="007039C5"/>
    <w:rsid w:val="00725941"/>
    <w:rsid w:val="00727013"/>
    <w:rsid w:val="00744A32"/>
    <w:rsid w:val="00751AFF"/>
    <w:rsid w:val="0076149D"/>
    <w:rsid w:val="00775A57"/>
    <w:rsid w:val="00775B11"/>
    <w:rsid w:val="00775B38"/>
    <w:rsid w:val="00795ED9"/>
    <w:rsid w:val="00796E14"/>
    <w:rsid w:val="007C1BB1"/>
    <w:rsid w:val="007D0908"/>
    <w:rsid w:val="007E3ACF"/>
    <w:rsid w:val="008068C9"/>
    <w:rsid w:val="00810D81"/>
    <w:rsid w:val="00816679"/>
    <w:rsid w:val="00830A4C"/>
    <w:rsid w:val="0083275C"/>
    <w:rsid w:val="00835B90"/>
    <w:rsid w:val="0084356E"/>
    <w:rsid w:val="008451EC"/>
    <w:rsid w:val="00875D0D"/>
    <w:rsid w:val="008956EE"/>
    <w:rsid w:val="008A54B2"/>
    <w:rsid w:val="008A5BCD"/>
    <w:rsid w:val="008A5D85"/>
    <w:rsid w:val="008D420C"/>
    <w:rsid w:val="008F5C63"/>
    <w:rsid w:val="00920F33"/>
    <w:rsid w:val="009247BA"/>
    <w:rsid w:val="00934AD2"/>
    <w:rsid w:val="00941A63"/>
    <w:rsid w:val="00970C3F"/>
    <w:rsid w:val="009828E5"/>
    <w:rsid w:val="009940CE"/>
    <w:rsid w:val="009A424C"/>
    <w:rsid w:val="009C59EF"/>
    <w:rsid w:val="009E5FC9"/>
    <w:rsid w:val="00A16870"/>
    <w:rsid w:val="00A3454E"/>
    <w:rsid w:val="00A5717A"/>
    <w:rsid w:val="00A67EDD"/>
    <w:rsid w:val="00A7560F"/>
    <w:rsid w:val="00A83E36"/>
    <w:rsid w:val="00AA1B75"/>
    <w:rsid w:val="00AA3881"/>
    <w:rsid w:val="00AB56E2"/>
    <w:rsid w:val="00AB7C49"/>
    <w:rsid w:val="00AD1792"/>
    <w:rsid w:val="00AD6BE6"/>
    <w:rsid w:val="00AE14E9"/>
    <w:rsid w:val="00AE1B2D"/>
    <w:rsid w:val="00AE6808"/>
    <w:rsid w:val="00B019C0"/>
    <w:rsid w:val="00B036FE"/>
    <w:rsid w:val="00B03E16"/>
    <w:rsid w:val="00B07518"/>
    <w:rsid w:val="00B2529E"/>
    <w:rsid w:val="00B34B30"/>
    <w:rsid w:val="00B460A8"/>
    <w:rsid w:val="00B5490A"/>
    <w:rsid w:val="00B555BE"/>
    <w:rsid w:val="00B61412"/>
    <w:rsid w:val="00B645C9"/>
    <w:rsid w:val="00B6709D"/>
    <w:rsid w:val="00B83C59"/>
    <w:rsid w:val="00BA3A9A"/>
    <w:rsid w:val="00BA4F6A"/>
    <w:rsid w:val="00BA5F54"/>
    <w:rsid w:val="00BA7ADD"/>
    <w:rsid w:val="00BB18E6"/>
    <w:rsid w:val="00BB411B"/>
    <w:rsid w:val="00BB4F5A"/>
    <w:rsid w:val="00BC1124"/>
    <w:rsid w:val="00BF3E18"/>
    <w:rsid w:val="00BF4C2A"/>
    <w:rsid w:val="00C21F44"/>
    <w:rsid w:val="00C23F85"/>
    <w:rsid w:val="00C41FC1"/>
    <w:rsid w:val="00C4377E"/>
    <w:rsid w:val="00C75CAC"/>
    <w:rsid w:val="00C85EE0"/>
    <w:rsid w:val="00C86B07"/>
    <w:rsid w:val="00C912BE"/>
    <w:rsid w:val="00CC1A8E"/>
    <w:rsid w:val="00CC28C4"/>
    <w:rsid w:val="00CD73B5"/>
    <w:rsid w:val="00CE48C4"/>
    <w:rsid w:val="00CF30E6"/>
    <w:rsid w:val="00D54F0B"/>
    <w:rsid w:val="00D55723"/>
    <w:rsid w:val="00D677DC"/>
    <w:rsid w:val="00D712C2"/>
    <w:rsid w:val="00D71A07"/>
    <w:rsid w:val="00D75561"/>
    <w:rsid w:val="00D836C5"/>
    <w:rsid w:val="00D96944"/>
    <w:rsid w:val="00DB16B4"/>
    <w:rsid w:val="00DC0826"/>
    <w:rsid w:val="00E20E51"/>
    <w:rsid w:val="00E3200E"/>
    <w:rsid w:val="00E50368"/>
    <w:rsid w:val="00E5354A"/>
    <w:rsid w:val="00E903E4"/>
    <w:rsid w:val="00E975AD"/>
    <w:rsid w:val="00EA297B"/>
    <w:rsid w:val="00EA741A"/>
    <w:rsid w:val="00EF2B2C"/>
    <w:rsid w:val="00F12BC1"/>
    <w:rsid w:val="00F20611"/>
    <w:rsid w:val="00F303BA"/>
    <w:rsid w:val="00F36D63"/>
    <w:rsid w:val="00F53901"/>
    <w:rsid w:val="00F578C7"/>
    <w:rsid w:val="00F64D03"/>
    <w:rsid w:val="00F72BB6"/>
    <w:rsid w:val="00F8014E"/>
    <w:rsid w:val="00FB369D"/>
    <w:rsid w:val="00FC0BC6"/>
    <w:rsid w:val="00FC5CDB"/>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Tercer%20Trimestre%20201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ruizc\Documents\CETAI\ESTAD&#205;STICAS\2015\CONSOLIDADOS\INDICADORES%20DE%20GESTI&#211;N\Tercer%20Trimestre%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Tercer%20Trimestre%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Tercer%20Trimestre%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Tercer%20Trimestre%2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Tercer%20Trimestre%20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Tercer%20Trimestre%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ES"/>
                </a:p>
              </c:txPr>
              <c:showLegendKey val="0"/>
              <c:showVal val="1"/>
              <c:showCatName val="1"/>
              <c:showSerName val="0"/>
              <c:showPercent val="0"/>
              <c:showBubbleSize val="0"/>
            </c:dLbl>
            <c:dLbl>
              <c:idx val="1"/>
              <c:layout>
                <c:manualLayout>
                  <c:x val="-8.1122047801539272E-3"/>
                  <c:y val="0"/>
                </c:manualLayout>
              </c:layout>
              <c:spPr/>
              <c:txPr>
                <a:bodyPr/>
                <a:lstStyle/>
                <a:p>
                  <a:pPr>
                    <a:defRPr sz="800" b="1">
                      <a:latin typeface="Georgia" pitchFamily="18" charset="0"/>
                    </a:defRPr>
                  </a:pPr>
                  <a:endParaRPr lang="es-ES"/>
                </a:p>
              </c:txPr>
              <c:showLegendKey val="0"/>
              <c:showVal val="1"/>
              <c:showCatName val="1"/>
              <c:showSerName val="0"/>
              <c:showPercent val="0"/>
              <c:showBubbleSize val="0"/>
            </c:dLbl>
            <c:txPr>
              <a:bodyPr/>
              <a:lstStyle/>
              <a:p>
                <a:pPr>
                  <a:defRPr sz="800">
                    <a:latin typeface="Georgia" pitchFamily="18" charset="0"/>
                  </a:defRPr>
                </a:pPr>
                <a:endParaRPr lang="es-ES"/>
              </a:p>
            </c:txPr>
            <c:showLegendKey val="0"/>
            <c:showVal val="1"/>
            <c:showCatName val="1"/>
            <c:showSerName val="0"/>
            <c:showPercent val="0"/>
            <c:showBubbleSize val="0"/>
            <c:showLeaderLines val="0"/>
          </c:dLbls>
          <c:cat>
            <c:strRef>
              <c:f>'2015'!$A$5:$A$6</c:f>
              <c:strCache>
                <c:ptCount val="2"/>
                <c:pt idx="0">
                  <c:v>Procedimientos Sumarios</c:v>
                </c:pt>
                <c:pt idx="1">
                  <c:v>Procedimientos Ordinarios</c:v>
                </c:pt>
              </c:strCache>
            </c:strRef>
          </c:cat>
          <c:val>
            <c:numRef>
              <c:f>'2015'!$C$5:$C$6</c:f>
              <c:numCache>
                <c:formatCode>0.00%</c:formatCode>
                <c:ptCount val="2"/>
                <c:pt idx="0">
                  <c:v>0.97829374610799746</c:v>
                </c:pt>
                <c:pt idx="1">
                  <c:v>2.1706253892002491E-2</c:v>
                </c:pt>
              </c:numCache>
            </c:numRef>
          </c:val>
        </c:ser>
        <c:dLbls>
          <c:showLegendKey val="0"/>
          <c:showVal val="0"/>
          <c:showCatName val="1"/>
          <c:showSerName val="0"/>
          <c:showPercent val="0"/>
          <c:showBubbleSize val="0"/>
        </c:dLbls>
        <c:gapWidth val="76"/>
        <c:axId val="84241408"/>
        <c:axId val="85917696"/>
      </c:barChart>
      <c:catAx>
        <c:axId val="84241408"/>
        <c:scaling>
          <c:orientation val="minMax"/>
        </c:scaling>
        <c:delete val="1"/>
        <c:axPos val="b"/>
        <c:majorTickMark val="out"/>
        <c:minorTickMark val="none"/>
        <c:tickLblPos val="none"/>
        <c:crossAx val="85917696"/>
        <c:crosses val="autoZero"/>
        <c:auto val="1"/>
        <c:lblAlgn val="ctr"/>
        <c:lblOffset val="100"/>
        <c:noMultiLvlLbl val="0"/>
      </c:catAx>
      <c:valAx>
        <c:axId val="8591769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ES"/>
          </a:p>
        </c:txPr>
        <c:crossAx val="84241408"/>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'2015'!$B$12</c:f>
              <c:strCache>
                <c:ptCount val="1"/>
                <c:pt idx="0">
                  <c:v>Tramitados</c:v>
                </c:pt>
              </c:strCache>
            </c:strRef>
          </c:tx>
          <c:spPr>
            <a:solidFill>
              <a:srgbClr val="73AFB6"/>
            </a:solidFill>
            <a:ln>
              <a:noFill/>
            </a:ln>
            <a:effectLst/>
          </c:spPr>
          <c:invertIfNegative val="0"/>
          <c:dLbls>
            <c:txPr>
              <a:bodyPr rot="0" vert="horz"/>
              <a:lstStyle/>
              <a:p>
                <a:pPr>
                  <a:defRPr/>
                </a:pPr>
                <a:endParaRPr lang="es-ES"/>
              </a:p>
            </c:txPr>
            <c:dLblPos val="outEnd"/>
            <c:showLegendKey val="0"/>
            <c:showVal val="1"/>
            <c:showCatName val="0"/>
            <c:showSerName val="0"/>
            <c:showPercent val="0"/>
            <c:showBubbleSize val="0"/>
            <c:showLeaderLines val="0"/>
          </c:dLbls>
          <c:cat>
            <c:strRef>
              <c:f>'2015'!$A$13:$A$59</c:f>
              <c:strCache>
                <c:ptCount val="47"/>
                <c:pt idx="0">
                  <c:v>Mexicali, B.C</c:v>
                </c:pt>
                <c:pt idx="1">
                  <c:v>Lerma, Estado de Mex.</c:v>
                </c:pt>
                <c:pt idx="2">
                  <c:v>Veracruz, Ver.</c:v>
                </c:pt>
                <c:pt idx="3">
                  <c:v>Matamoros, Tamps.</c:v>
                </c:pt>
                <c:pt idx="4">
                  <c:v>Hermosillo, Son.</c:v>
                </c:pt>
                <c:pt idx="5">
                  <c:v>Celaya, Gto.</c:v>
                </c:pt>
                <c:pt idx="6">
                  <c:v>Villahermosa, Tab.</c:v>
                </c:pt>
                <c:pt idx="7">
                  <c:v>Ciudad Victoria, Tamps.</c:v>
                </c:pt>
                <c:pt idx="8">
                  <c:v>Guanajuato, Gto.</c:v>
                </c:pt>
                <c:pt idx="9">
                  <c:v>Nuevo Laredo, Tamps.</c:v>
                </c:pt>
                <c:pt idx="10">
                  <c:v>Ciudad Juárez, Chih.</c:v>
                </c:pt>
                <c:pt idx="11">
                  <c:v>Campeche, Camp.</c:v>
                </c:pt>
                <c:pt idx="12">
                  <c:v>Mazatlán, Sin.</c:v>
                </c:pt>
                <c:pt idx="13">
                  <c:v>La Paz, B.C.S.</c:v>
                </c:pt>
                <c:pt idx="14">
                  <c:v>Tuxtla Gutiérrez, Chis.</c:v>
                </c:pt>
                <c:pt idx="15">
                  <c:v>Chihuahua, Chih.</c:v>
                </c:pt>
                <c:pt idx="16">
                  <c:v>Querétaro, Qro.</c:v>
                </c:pt>
                <c:pt idx="17">
                  <c:v>Tapachula, Chis.</c:v>
                </c:pt>
                <c:pt idx="18">
                  <c:v>Saltillo, Coah,</c:v>
                </c:pt>
                <c:pt idx="19">
                  <c:v>Xalapa, Ver.</c:v>
                </c:pt>
                <c:pt idx="20">
                  <c:v>Torreón, Coah.</c:v>
                </c:pt>
                <c:pt idx="21">
                  <c:v>Acapulco, Gro. </c:v>
                </c:pt>
                <c:pt idx="22">
                  <c:v>Uruapan, Mich.</c:v>
                </c:pt>
                <c:pt idx="23">
                  <c:v>León, Gto.</c:v>
                </c:pt>
                <c:pt idx="24">
                  <c:v>Puebla, Pue.</c:v>
                </c:pt>
                <c:pt idx="25">
                  <c:v>Guadalajara, Jal.</c:v>
                </c:pt>
                <c:pt idx="26">
                  <c:v>Cuernavaca, Mor.</c:v>
                </c:pt>
                <c:pt idx="27">
                  <c:v>Mérida, Yuc.</c:v>
                </c:pt>
                <c:pt idx="28">
                  <c:v>Chetumal, Q.Roo</c:v>
                </c:pt>
                <c:pt idx="29">
                  <c:v>Pachuca, Hgo. </c:v>
                </c:pt>
                <c:pt idx="30">
                  <c:v>Tijuana, B.C.</c:v>
                </c:pt>
                <c:pt idx="31">
                  <c:v>Monterrey, N.L.</c:v>
                </c:pt>
                <c:pt idx="32">
                  <c:v>Culiacán, Sin.</c:v>
                </c:pt>
                <c:pt idx="33">
                  <c:v>Durango, Dgo.</c:v>
                </c:pt>
                <c:pt idx="34">
                  <c:v>Colima, Col.</c:v>
                </c:pt>
                <c:pt idx="35">
                  <c:v>Aguascalientes, Ags</c:v>
                </c:pt>
                <c:pt idx="36">
                  <c:v>Morelia, Mich.</c:v>
                </c:pt>
                <c:pt idx="37">
                  <c:v>Tepic, Nay. </c:v>
                </c:pt>
                <c:pt idx="38">
                  <c:v>Cancún, Q. Roo</c:v>
                </c:pt>
                <c:pt idx="39">
                  <c:v>Tlaxcala, Tlax.</c:v>
                </c:pt>
                <c:pt idx="40">
                  <c:v>San Luis Potosí, S.L.P.</c:v>
                </c:pt>
                <c:pt idx="41">
                  <c:v>Ciudad Obregón, Son.</c:v>
                </c:pt>
                <c:pt idx="42">
                  <c:v>Ensenada, B.C.</c:v>
                </c:pt>
                <c:pt idx="43">
                  <c:v>Oaxaca, Oax</c:v>
                </c:pt>
                <c:pt idx="44">
                  <c:v>Zacatecas, Zac.</c:v>
                </c:pt>
                <c:pt idx="45">
                  <c:v>Toluca, Estado de Mex.</c:v>
                </c:pt>
                <c:pt idx="46">
                  <c:v>Distrito Federal</c:v>
                </c:pt>
              </c:strCache>
            </c:strRef>
          </c:cat>
          <c:val>
            <c:numRef>
              <c:f>'2015'!$B$13:$B$59</c:f>
              <c:numCache>
                <c:formatCode>#,##0</c:formatCode>
                <c:ptCount val="47"/>
                <c:pt idx="0">
                  <c:v>0</c:v>
                </c:pt>
                <c:pt idx="1">
                  <c:v>11</c:v>
                </c:pt>
                <c:pt idx="2">
                  <c:v>18</c:v>
                </c:pt>
                <c:pt idx="3">
                  <c:v>26</c:v>
                </c:pt>
                <c:pt idx="4">
                  <c:v>33</c:v>
                </c:pt>
                <c:pt idx="5">
                  <c:v>35</c:v>
                </c:pt>
                <c:pt idx="6">
                  <c:v>41</c:v>
                </c:pt>
                <c:pt idx="7">
                  <c:v>49</c:v>
                </c:pt>
                <c:pt idx="8">
                  <c:v>50</c:v>
                </c:pt>
                <c:pt idx="9">
                  <c:v>56</c:v>
                </c:pt>
                <c:pt idx="10">
                  <c:v>61</c:v>
                </c:pt>
                <c:pt idx="11">
                  <c:v>66</c:v>
                </c:pt>
                <c:pt idx="12">
                  <c:v>69</c:v>
                </c:pt>
                <c:pt idx="13">
                  <c:v>78</c:v>
                </c:pt>
                <c:pt idx="14">
                  <c:v>81</c:v>
                </c:pt>
                <c:pt idx="15">
                  <c:v>84</c:v>
                </c:pt>
                <c:pt idx="16">
                  <c:v>86</c:v>
                </c:pt>
                <c:pt idx="17">
                  <c:v>87</c:v>
                </c:pt>
                <c:pt idx="18">
                  <c:v>90</c:v>
                </c:pt>
                <c:pt idx="19">
                  <c:v>104</c:v>
                </c:pt>
                <c:pt idx="20">
                  <c:v>117</c:v>
                </c:pt>
                <c:pt idx="21">
                  <c:v>126</c:v>
                </c:pt>
                <c:pt idx="22">
                  <c:v>131</c:v>
                </c:pt>
                <c:pt idx="23">
                  <c:v>134</c:v>
                </c:pt>
                <c:pt idx="24">
                  <c:v>142</c:v>
                </c:pt>
                <c:pt idx="25">
                  <c:v>144</c:v>
                </c:pt>
                <c:pt idx="26">
                  <c:v>148</c:v>
                </c:pt>
                <c:pt idx="27">
                  <c:v>150</c:v>
                </c:pt>
                <c:pt idx="28">
                  <c:v>157</c:v>
                </c:pt>
                <c:pt idx="29">
                  <c:v>169</c:v>
                </c:pt>
                <c:pt idx="30">
                  <c:v>170</c:v>
                </c:pt>
                <c:pt idx="31">
                  <c:v>186</c:v>
                </c:pt>
                <c:pt idx="32">
                  <c:v>198</c:v>
                </c:pt>
                <c:pt idx="33">
                  <c:v>217</c:v>
                </c:pt>
                <c:pt idx="34">
                  <c:v>254</c:v>
                </c:pt>
                <c:pt idx="35">
                  <c:v>259</c:v>
                </c:pt>
                <c:pt idx="36">
                  <c:v>278</c:v>
                </c:pt>
                <c:pt idx="37">
                  <c:v>289</c:v>
                </c:pt>
                <c:pt idx="38">
                  <c:v>319</c:v>
                </c:pt>
                <c:pt idx="39">
                  <c:v>375</c:v>
                </c:pt>
                <c:pt idx="40">
                  <c:v>425</c:v>
                </c:pt>
                <c:pt idx="41">
                  <c:v>427</c:v>
                </c:pt>
                <c:pt idx="42">
                  <c:v>431</c:v>
                </c:pt>
                <c:pt idx="43">
                  <c:v>442</c:v>
                </c:pt>
                <c:pt idx="44">
                  <c:v>658</c:v>
                </c:pt>
                <c:pt idx="45">
                  <c:v>695</c:v>
                </c:pt>
                <c:pt idx="46">
                  <c:v>2211</c:v>
                </c:pt>
              </c:numCache>
            </c:numRef>
          </c:val>
        </c:ser>
        <c:dLbls>
          <c:showLegendKey val="0"/>
          <c:showVal val="1"/>
          <c:showCatName val="0"/>
          <c:showSerName val="0"/>
          <c:showPercent val="0"/>
          <c:showBubbleSize val="0"/>
        </c:dLbls>
        <c:gapWidth val="150"/>
        <c:axId val="118845440"/>
        <c:axId val="85919424"/>
      </c:barChart>
      <c:catAx>
        <c:axId val="118845440"/>
        <c:scaling>
          <c:orientation val="minMax"/>
        </c:scaling>
        <c:delete val="0"/>
        <c:axPos val="l"/>
        <c:numFmt formatCode="General" sourceLinked="1"/>
        <c:majorTickMark val="out"/>
        <c:minorTickMark val="none"/>
        <c:tickLblPos val="nextTo"/>
        <c:txPr>
          <a:bodyPr rot="0" vert="horz"/>
          <a:lstStyle/>
          <a:p>
            <a:pPr>
              <a:defRPr sz="800" b="1"/>
            </a:pPr>
            <a:endParaRPr lang="es-ES"/>
          </a:p>
        </c:txPr>
        <c:crossAx val="85919424"/>
        <c:crosses val="autoZero"/>
        <c:auto val="1"/>
        <c:lblAlgn val="ctr"/>
        <c:lblOffset val="100"/>
        <c:tickLblSkip val="1"/>
        <c:tickMarkSkip val="1"/>
        <c:noMultiLvlLbl val="0"/>
      </c:catAx>
      <c:valAx>
        <c:axId val="85919424"/>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ES"/>
          </a:p>
        </c:txPr>
        <c:crossAx val="118845440"/>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E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dLbl>
            <c:dLbl>
              <c:idx val="1"/>
              <c:layout>
                <c:manualLayout>
                  <c:x val="-5.7489247110090964E-2"/>
                  <c:y val="9.8199689541208987E-3"/>
                </c:manualLayout>
              </c:layout>
              <c:dLblPos val="bestFit"/>
              <c:showLegendKey val="0"/>
              <c:showVal val="1"/>
              <c:showCatName val="1"/>
              <c:showSerName val="0"/>
              <c:showPercent val="0"/>
              <c:showBubbleSize val="0"/>
            </c:dLbl>
            <c:txPr>
              <a:bodyPr/>
              <a:lstStyle/>
              <a:p>
                <a:pPr>
                  <a:defRPr b="1"/>
                </a:pPr>
                <a:endParaRPr lang="es-ES"/>
              </a:p>
            </c:txPr>
            <c:dLblPos val="bestFit"/>
            <c:showLegendKey val="0"/>
            <c:showVal val="1"/>
            <c:showCatName val="1"/>
            <c:showSerName val="0"/>
            <c:showPercent val="0"/>
            <c:showBubbleSize val="0"/>
            <c:showLeaderLines val="0"/>
          </c:dLbls>
          <c:cat>
            <c:strRef>
              <c:f>'2015'!$A$69:$A$70</c:f>
              <c:strCache>
                <c:ptCount val="2"/>
                <c:pt idx="0">
                  <c:v>Solicitudes recibidas de manera presencial</c:v>
                </c:pt>
                <c:pt idx="1">
                  <c:v>Solicitudes recibidas por medios electrónicos</c:v>
                </c:pt>
              </c:strCache>
            </c:strRef>
          </c:cat>
          <c:val>
            <c:numRef>
              <c:f>'2015'!$C$69:$C$70</c:f>
              <c:numCache>
                <c:formatCode>0.00%</c:formatCode>
                <c:ptCount val="2"/>
                <c:pt idx="0">
                  <c:v>0.90989634092318594</c:v>
                </c:pt>
                <c:pt idx="1">
                  <c:v>9.010365907681403E-2</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ES"/>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dLbl>
            <c:txPr>
              <a:bodyPr/>
              <a:lstStyle/>
              <a:p>
                <a:pPr>
                  <a:defRPr sz="900" b="1">
                    <a:latin typeface="+mj-lt"/>
                    <a:cs typeface="Arial" pitchFamily="34" charset="0"/>
                  </a:defRPr>
                </a:pPr>
                <a:endParaRPr lang="es-ES"/>
              </a:p>
            </c:txPr>
            <c:showLegendKey val="0"/>
            <c:showVal val="1"/>
            <c:showCatName val="0"/>
            <c:showSerName val="0"/>
            <c:showPercent val="0"/>
            <c:showBubbleSize val="0"/>
            <c:showLeaderLines val="0"/>
          </c:dLbls>
          <c:cat>
            <c:strRef>
              <c:f>'2015'!$A$77:$A$79</c:f>
              <c:strCache>
                <c:ptCount val="3"/>
                <c:pt idx="0">
                  <c:v>Orientaciones</c:v>
                </c:pt>
                <c:pt idx="1">
                  <c:v>Canalizaciones</c:v>
                </c:pt>
                <c:pt idx="2">
                  <c:v>Solicitudes</c:v>
                </c:pt>
              </c:strCache>
            </c:strRef>
          </c:cat>
          <c:val>
            <c:numRef>
              <c:f>'2015'!$B$77:$B$79</c:f>
              <c:numCache>
                <c:formatCode>General</c:formatCode>
                <c:ptCount val="3"/>
                <c:pt idx="0" formatCode="#,##0">
                  <c:v>21</c:v>
                </c:pt>
                <c:pt idx="1">
                  <c:v>9</c:v>
                </c:pt>
                <c:pt idx="2" formatCode="#,##0">
                  <c:v>11287</c:v>
                </c:pt>
              </c:numCache>
            </c:numRef>
          </c:val>
        </c:ser>
        <c:dLbls>
          <c:showLegendKey val="0"/>
          <c:showVal val="1"/>
          <c:showCatName val="0"/>
          <c:showSerName val="0"/>
          <c:showPercent val="0"/>
          <c:showBubbleSize val="0"/>
        </c:dLbls>
        <c:gapWidth val="75"/>
        <c:axId val="84241920"/>
        <c:axId val="85921728"/>
      </c:barChart>
      <c:catAx>
        <c:axId val="84241920"/>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ES"/>
          </a:p>
        </c:txPr>
        <c:crossAx val="85921728"/>
        <c:crosses val="autoZero"/>
        <c:auto val="1"/>
        <c:lblAlgn val="ctr"/>
        <c:lblOffset val="100"/>
        <c:tickLblSkip val="1"/>
        <c:tickMarkSkip val="1"/>
        <c:noMultiLvlLbl val="0"/>
      </c:catAx>
      <c:valAx>
        <c:axId val="85921728"/>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ES"/>
          </a:p>
        </c:txPr>
        <c:crossAx val="84241920"/>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dLbl>
            <c:dLbl>
              <c:idx val="1"/>
              <c:layout>
                <c:manualLayout>
                  <c:x val="-2.6579976724470425E-3"/>
                  <c:y val="-4.5083134009083377E-2"/>
                </c:manualLayout>
              </c:layout>
              <c:showLegendKey val="0"/>
              <c:showVal val="1"/>
              <c:showCatName val="0"/>
              <c:showSerName val="0"/>
              <c:showPercent val="0"/>
              <c:showBubbleSize val="0"/>
            </c:dLbl>
            <c:txPr>
              <a:bodyPr/>
              <a:lstStyle/>
              <a:p>
                <a:pPr>
                  <a:defRPr sz="900" b="1">
                    <a:latin typeface="+mj-lt"/>
                    <a:cs typeface="Arial" pitchFamily="34" charset="0"/>
                  </a:defRPr>
                </a:pPr>
                <a:endParaRPr lang="es-ES"/>
              </a:p>
            </c:txPr>
            <c:showLegendKey val="0"/>
            <c:showVal val="1"/>
            <c:showCatName val="0"/>
            <c:showSerName val="0"/>
            <c:showPercent val="0"/>
            <c:showBubbleSize val="0"/>
            <c:showLeaderLines val="0"/>
          </c:dLbls>
          <c:cat>
            <c:strRef>
              <c:f>'2015'!$A$84:$A$85</c:f>
              <c:strCache>
                <c:ptCount val="2"/>
                <c:pt idx="0">
                  <c:v>Administrativa</c:v>
                </c:pt>
                <c:pt idx="1">
                  <c:v>Jurisdiccional</c:v>
                </c:pt>
              </c:strCache>
            </c:strRef>
          </c:cat>
          <c:val>
            <c:numRef>
              <c:f>'2015'!$C$84:$C$85</c:f>
              <c:numCache>
                <c:formatCode>0.00%</c:formatCode>
                <c:ptCount val="2"/>
                <c:pt idx="0">
                  <c:v>0.21721311475409835</c:v>
                </c:pt>
                <c:pt idx="1">
                  <c:v>0.78278688524590168</c:v>
                </c:pt>
              </c:numCache>
            </c:numRef>
          </c:val>
        </c:ser>
        <c:dLbls>
          <c:showLegendKey val="0"/>
          <c:showVal val="1"/>
          <c:showCatName val="0"/>
          <c:showSerName val="0"/>
          <c:showPercent val="0"/>
          <c:showBubbleSize val="0"/>
        </c:dLbls>
        <c:gapWidth val="103"/>
        <c:overlap val="88"/>
        <c:axId val="118845952"/>
        <c:axId val="85923456"/>
      </c:barChart>
      <c:catAx>
        <c:axId val="118845952"/>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ES"/>
          </a:p>
        </c:txPr>
        <c:crossAx val="85923456"/>
        <c:crosses val="autoZero"/>
        <c:auto val="1"/>
        <c:lblAlgn val="ctr"/>
        <c:lblOffset val="100"/>
        <c:tickLblSkip val="1"/>
        <c:tickMarkSkip val="1"/>
        <c:noMultiLvlLbl val="0"/>
      </c:catAx>
      <c:valAx>
        <c:axId val="85923456"/>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ES"/>
          </a:p>
        </c:txPr>
        <c:crossAx val="118845952"/>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0031894512545378"/>
                  <c:y val="-0.12362848058379663"/>
                </c:manualLayout>
              </c:layout>
              <c:numFmt formatCode="0.00%" sourceLinked="0"/>
              <c:spPr/>
              <c:txPr>
                <a:bodyPr/>
                <a:lstStyle/>
                <a:p>
                  <a:pPr>
                    <a:defRPr sz="800" b="1">
                      <a:latin typeface="Georgia" panose="02040502050405020303" pitchFamily="18" charset="0"/>
                      <a:cs typeface="Calibri" pitchFamily="34" charset="0"/>
                    </a:defRPr>
                  </a:pPr>
                  <a:endParaRPr lang="es-ES"/>
                </a:p>
              </c:txPr>
              <c:showLegendKey val="0"/>
              <c:showVal val="1"/>
              <c:showCatName val="1"/>
              <c:showSerName val="0"/>
              <c:showPercent val="0"/>
              <c:showBubbleSize val="0"/>
            </c:dLbl>
            <c:dLbl>
              <c:idx val="1"/>
              <c:layout>
                <c:manualLayout>
                  <c:x val="-2.9944661580203626E-2"/>
                  <c:y val="1.7035989082942578E-2"/>
                </c:manualLayout>
              </c:layout>
              <c:numFmt formatCode="0.00%" sourceLinked="0"/>
              <c:spPr/>
              <c:txPr>
                <a:bodyPr/>
                <a:lstStyle/>
                <a:p>
                  <a:pPr>
                    <a:defRPr sz="800" b="1">
                      <a:solidFill>
                        <a:sysClr val="windowText" lastClr="000000"/>
                      </a:solidFill>
                      <a:latin typeface="Georgia" panose="02040502050405020303" pitchFamily="18" charset="0"/>
                      <a:cs typeface="Calibri" pitchFamily="34" charset="0"/>
                    </a:defRPr>
                  </a:pPr>
                  <a:endParaRPr lang="es-ES"/>
                </a:p>
              </c:txPr>
              <c:showLegendKey val="0"/>
              <c:showVal val="1"/>
              <c:showCatName val="1"/>
              <c:showSerName val="0"/>
              <c:showPercent val="0"/>
              <c:showBubbleSize val="0"/>
            </c:dLbl>
            <c:numFmt formatCode="0.00%" sourceLinked="0"/>
            <c:txPr>
              <a:bodyPr/>
              <a:lstStyle/>
              <a:p>
                <a:pPr>
                  <a:defRPr sz="1000" b="1">
                    <a:latin typeface="+mn-lt"/>
                    <a:cs typeface="Calibri" pitchFamily="34" charset="0"/>
                  </a:defRPr>
                </a:pPr>
                <a:endParaRPr lang="es-ES"/>
              </a:p>
            </c:txPr>
            <c:showLegendKey val="0"/>
            <c:showVal val="1"/>
            <c:showCatName val="1"/>
            <c:showSerName val="0"/>
            <c:showPercent val="0"/>
            <c:showBubbleSize val="0"/>
            <c:showLeaderLines val="0"/>
          </c:dLbls>
          <c:cat>
            <c:strRef>
              <c:f>'2015'!$A$92:$A$93</c:f>
              <c:strCache>
                <c:ptCount val="2"/>
                <c:pt idx="0">
                  <c:v>Tramitados sin intervención del Comité</c:v>
                </c:pt>
                <c:pt idx="1">
                  <c:v>Turnos al Comité</c:v>
                </c:pt>
              </c:strCache>
            </c:strRef>
          </c:cat>
          <c:val>
            <c:numRef>
              <c:f>'2015'!$B$92:$B$93</c:f>
              <c:numCache>
                <c:formatCode>0.00%</c:formatCode>
                <c:ptCount val="2"/>
                <c:pt idx="0">
                  <c:v>0.86065573770491799</c:v>
                </c:pt>
                <c:pt idx="1">
                  <c:v>0.13934426229508196</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dLbl>
            <c:dLbl>
              <c:idx val="1"/>
              <c:layout>
                <c:manualLayout>
                  <c:x val="0"/>
                  <c:y val="-1.60642570281125E-2"/>
                </c:manualLayout>
              </c:layout>
              <c:showLegendKey val="0"/>
              <c:showVal val="1"/>
              <c:showCatName val="1"/>
              <c:showSerName val="0"/>
              <c:showPercent val="0"/>
              <c:showBubbleSize val="0"/>
            </c:dLbl>
            <c:txPr>
              <a:bodyPr/>
              <a:lstStyle/>
              <a:p>
                <a:pPr>
                  <a:defRPr sz="900" b="1">
                    <a:latin typeface="Georgia" pitchFamily="18" charset="0"/>
                    <a:cs typeface="Arial" pitchFamily="34" charset="0"/>
                  </a:defRPr>
                </a:pPr>
                <a:endParaRPr lang="es-ES"/>
              </a:p>
            </c:txPr>
            <c:showLegendKey val="0"/>
            <c:showVal val="1"/>
            <c:showCatName val="1"/>
            <c:showSerName val="0"/>
            <c:showPercent val="0"/>
            <c:showBubbleSize val="0"/>
            <c:showLeaderLines val="0"/>
          </c:dLbls>
          <c:cat>
            <c:strRef>
              <c:f>'2015'!$A$96:$A$97</c:f>
              <c:strCache>
                <c:ptCount val="2"/>
                <c:pt idx="0">
                  <c:v>Clasificaciones emitidas por el Comité</c:v>
                </c:pt>
                <c:pt idx="1">
                  <c:v>Recursos de Revisión promovidos</c:v>
                </c:pt>
              </c:strCache>
            </c:strRef>
          </c:cat>
          <c:val>
            <c:numRef>
              <c:f>'2015'!$B$96:$B$97</c:f>
              <c:numCache>
                <c:formatCode>General</c:formatCode>
                <c:ptCount val="2"/>
                <c:pt idx="0">
                  <c:v>30</c:v>
                </c:pt>
                <c:pt idx="1">
                  <c:v>0</c:v>
                </c:pt>
              </c:numCache>
            </c:numRef>
          </c:val>
        </c:ser>
        <c:dLbls>
          <c:showLegendKey val="0"/>
          <c:showVal val="1"/>
          <c:showCatName val="1"/>
          <c:showSerName val="0"/>
          <c:showPercent val="0"/>
          <c:showBubbleSize val="0"/>
        </c:dLbls>
        <c:gapWidth val="150"/>
        <c:axId val="119136256"/>
        <c:axId val="85926464"/>
      </c:barChart>
      <c:catAx>
        <c:axId val="119136256"/>
        <c:scaling>
          <c:orientation val="minMax"/>
        </c:scaling>
        <c:delete val="1"/>
        <c:axPos val="b"/>
        <c:majorTickMark val="out"/>
        <c:minorTickMark val="none"/>
        <c:tickLblPos val="none"/>
        <c:crossAx val="85926464"/>
        <c:crosses val="autoZero"/>
        <c:auto val="1"/>
        <c:lblAlgn val="ctr"/>
        <c:lblOffset val="100"/>
        <c:noMultiLvlLbl val="0"/>
      </c:catAx>
      <c:valAx>
        <c:axId val="85926464"/>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ES"/>
          </a:p>
        </c:txPr>
        <c:crossAx val="119136256"/>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F27142D21CD24AB850A6B619196703" ma:contentTypeVersion="1" ma:contentTypeDescription="Crear nuevo documento." ma:contentTypeScope="" ma:versionID="4f35d0d8836457d652ccc175df40a5ea">
  <xsd:schema xmlns:xsd="http://www.w3.org/2001/XMLSchema" xmlns:xs="http://www.w3.org/2001/XMLSchema" xmlns:p="http://schemas.microsoft.com/office/2006/metadata/properties" xmlns:ns1="http://schemas.microsoft.com/sharepoint/v3" targetNamespace="http://schemas.microsoft.com/office/2006/metadata/properties" ma:root="true" ma:fieldsID="abef88b8f65146705a8b63b1dbb381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EB29-8AC5-4FFA-B4DF-7B9FC0F2C10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60CE60-13FB-4C97-9F0E-1743882D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4CBE7-B066-4560-913A-BC3F33CDA44E}">
  <ds:schemaRefs>
    <ds:schemaRef ds:uri="http://schemas.microsoft.com/sharepoint/v3/contenttype/forms"/>
  </ds:schemaRefs>
</ds:datastoreItem>
</file>

<file path=customXml/itemProps4.xml><?xml version="1.0" encoding="utf-8"?>
<ds:datastoreItem xmlns:ds="http://schemas.openxmlformats.org/officeDocument/2006/customXml" ds:itemID="{216AA52D-E123-4D91-8736-DAA1E7D7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Teresa Francisco Sotelo</cp:lastModifiedBy>
  <cp:revision>2</cp:revision>
  <cp:lastPrinted>2015-02-17T15:09:00Z</cp:lastPrinted>
  <dcterms:created xsi:type="dcterms:W3CDTF">2016-12-15T00:20:00Z</dcterms:created>
  <dcterms:modified xsi:type="dcterms:W3CDTF">2016-12-15T00:20:00Z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0x01010091F27142D21CD24AB850A6B619196703</vt:lpwstr>
  </property>
  <property fmtid="{D5CDD505-2E9C-101B-9397-08002B2CF9AE}" pid="3" name="Order">
    <vt:r8>1245000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