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830A4C" w:rsidRDefault="00875D0D" w:rsidP="00875D0D">
      <w:pPr>
        <w:jc w:val="both"/>
        <w:rPr>
          <w:rFonts w:asciiTheme="majorHAnsi" w:hAnsiTheme="majorHAnsi" w:cs="Arial"/>
          <w:b/>
          <w:sz w:val="22"/>
          <w:szCs w:val="26"/>
          <w:lang w:val="es-MX"/>
        </w:rPr>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3B0370">
        <w:rPr>
          <w:rFonts w:ascii="Georgia" w:hAnsi="Georgia" w:cs="Arial"/>
          <w:b/>
          <w:sz w:val="22"/>
          <w:szCs w:val="26"/>
          <w:lang w:val="es-MX"/>
        </w:rPr>
        <w:t>5</w:t>
      </w:r>
      <w:r w:rsidR="00BA3A9A">
        <w:rPr>
          <w:rFonts w:ascii="Georgia" w:hAnsi="Georgia" w:cs="Arial"/>
          <w:b/>
          <w:sz w:val="22"/>
          <w:szCs w:val="26"/>
          <w:lang w:val="es-MX"/>
        </w:rPr>
        <w:t>.</w:t>
      </w:r>
      <w:r w:rsidR="003B0370">
        <w:rPr>
          <w:rFonts w:ascii="Georgia" w:hAnsi="Georgia" w:cs="Arial"/>
          <w:b/>
          <w:sz w:val="22"/>
          <w:szCs w:val="26"/>
          <w:lang w:val="es-MX"/>
        </w:rPr>
        <w:t>47</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3B0370">
        <w:rPr>
          <w:rFonts w:ascii="Georgia" w:hAnsi="Georgia" w:cs="Arial"/>
          <w:b/>
          <w:sz w:val="22"/>
          <w:szCs w:val="26"/>
          <w:lang w:val="es-MX"/>
        </w:rPr>
        <w:t>4.53</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891F2E" w:rsidRDefault="00891F2E" w:rsidP="00875D0D">
      <w:pPr>
        <w:ind w:left="709"/>
        <w:jc w:val="both"/>
        <w:rPr>
          <w:rFonts w:ascii="Georgia" w:hAnsi="Georgia" w:cs="Arial"/>
          <w:b/>
          <w:sz w:val="22"/>
          <w:szCs w:val="26"/>
          <w:lang w:val="es-MX"/>
        </w:rPr>
      </w:pPr>
    </w:p>
    <w:p w:rsidR="00FE23D2" w:rsidRDefault="003B0370" w:rsidP="00875D0D">
      <w:pPr>
        <w:ind w:left="709"/>
        <w:jc w:val="both"/>
        <w:rPr>
          <w:rFonts w:ascii="Georgia" w:hAnsi="Georgia" w:cs="Arial"/>
          <w:b/>
          <w:sz w:val="22"/>
          <w:szCs w:val="26"/>
          <w:lang w:val="es-MX"/>
        </w:rPr>
      </w:pPr>
      <w:r>
        <w:rPr>
          <w:noProof/>
          <w:lang w:val="es-MX" w:eastAsia="es-MX"/>
        </w:rPr>
        <w:drawing>
          <wp:inline distT="0" distB="0" distL="0" distR="0" wp14:anchorId="5BA07D6A" wp14:editId="6A2D8873">
            <wp:extent cx="4879507" cy="275463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A1401E"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1401E" w:rsidRPr="000E3F63" w:rsidRDefault="00E377EE" w:rsidP="00F55C2C">
            <w:pPr>
              <w:rPr>
                <w:rFonts w:asciiTheme="minorHAnsi" w:hAnsiTheme="minorHAnsi" w:cstheme="minorHAnsi"/>
                <w:sz w:val="22"/>
                <w:szCs w:val="22"/>
              </w:rPr>
            </w:pPr>
            <w:r>
              <w:rPr>
                <w:rFonts w:asciiTheme="minorHAnsi" w:hAnsiTheme="minorHAnsi" w:cstheme="minorHAnsi"/>
                <w:sz w:val="22"/>
                <w:szCs w:val="22"/>
              </w:rPr>
              <w:t>Ciudad de México</w:t>
            </w:r>
            <w:r w:rsidR="00A1401E" w:rsidRPr="000E3F63">
              <w:rPr>
                <w:rStyle w:val="Refdenotaalpie"/>
                <w:rFonts w:asciiTheme="minorHAnsi" w:hAnsiTheme="minorHAnsi" w:cstheme="minorHAnsi"/>
                <w:sz w:val="22"/>
                <w:szCs w:val="22"/>
              </w:rPr>
              <w:footnoteReference w:id="3"/>
            </w:r>
          </w:p>
        </w:tc>
        <w:tc>
          <w:tcPr>
            <w:tcW w:w="1417" w:type="dxa"/>
            <w:tcBorders>
              <w:top w:val="nil"/>
              <w:left w:val="nil"/>
              <w:bottom w:val="single" w:sz="8" w:space="0" w:color="auto"/>
              <w:right w:val="single" w:sz="8" w:space="0" w:color="auto"/>
            </w:tcBorders>
            <w:shd w:val="clear" w:color="auto" w:fill="auto"/>
            <w:noWrap/>
            <w:vAlign w:val="center"/>
          </w:tcPr>
          <w:p w:rsidR="00A1401E" w:rsidRPr="000E3F63" w:rsidRDefault="00613672" w:rsidP="00F55C2C">
            <w:pPr>
              <w:jc w:val="center"/>
              <w:rPr>
                <w:rFonts w:asciiTheme="minorHAnsi" w:eastAsia="Times New Roman" w:hAnsiTheme="minorHAnsi" w:cstheme="minorHAnsi"/>
                <w:sz w:val="22"/>
                <w:szCs w:val="22"/>
                <w:lang w:val="es-MX" w:eastAsia="es-MX"/>
              </w:rPr>
            </w:pPr>
            <w:r>
              <w:rPr>
                <w:rFonts w:asciiTheme="minorHAnsi" w:eastAsia="Times New Roman" w:hAnsiTheme="minorHAnsi" w:cstheme="minorHAnsi"/>
                <w:sz w:val="22"/>
                <w:szCs w:val="22"/>
                <w:lang w:val="es-MX" w:eastAsia="es-MX"/>
              </w:rPr>
              <w:t>1,811</w:t>
            </w:r>
          </w:p>
        </w:tc>
        <w:tc>
          <w:tcPr>
            <w:tcW w:w="1418" w:type="dxa"/>
            <w:tcBorders>
              <w:top w:val="nil"/>
              <w:left w:val="nil"/>
              <w:bottom w:val="single" w:sz="8" w:space="0" w:color="auto"/>
              <w:right w:val="single" w:sz="8" w:space="0" w:color="auto"/>
            </w:tcBorders>
            <w:shd w:val="clear" w:color="auto" w:fill="auto"/>
            <w:noWrap/>
            <w:vAlign w:val="center"/>
          </w:tcPr>
          <w:p w:rsidR="00A1401E" w:rsidRPr="000E3F63" w:rsidRDefault="00613672" w:rsidP="00F55C2C">
            <w:pPr>
              <w:jc w:val="center"/>
              <w:rPr>
                <w:rFonts w:asciiTheme="minorHAnsi" w:hAnsiTheme="minorHAnsi" w:cstheme="minorHAnsi"/>
                <w:sz w:val="22"/>
                <w:szCs w:val="22"/>
              </w:rPr>
            </w:pPr>
            <w:r>
              <w:rPr>
                <w:rFonts w:asciiTheme="minorHAnsi" w:hAnsiTheme="minorHAnsi" w:cstheme="minorHAnsi"/>
                <w:sz w:val="22"/>
                <w:szCs w:val="22"/>
              </w:rPr>
              <w:t>19.42%</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Toluca, Estado de Mex.</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516</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5.53%</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Zacatecas, Zac.</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481</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5.16%</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Ciudad </w:t>
            </w:r>
            <w:proofErr w:type="spellStart"/>
            <w:r w:rsidRPr="00613672">
              <w:rPr>
                <w:rFonts w:ascii="Arial" w:hAnsi="Arial" w:cs="Arial"/>
                <w:sz w:val="22"/>
                <w:szCs w:val="22"/>
              </w:rPr>
              <w:t>Obregón</w:t>
            </w:r>
            <w:proofErr w:type="spellEnd"/>
            <w:r w:rsidRPr="00613672">
              <w:rPr>
                <w:rFonts w:ascii="Arial" w:hAnsi="Arial" w:cs="Arial"/>
                <w:sz w:val="22"/>
                <w:szCs w:val="22"/>
              </w:rPr>
              <w:t>, Son.</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470</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5.04%</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Ensenada, B.C.</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427</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4.58%</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Cancún</w:t>
            </w:r>
            <w:proofErr w:type="spellEnd"/>
            <w:r w:rsidRPr="00613672">
              <w:rPr>
                <w:rFonts w:ascii="Arial" w:hAnsi="Arial" w:cs="Arial"/>
                <w:sz w:val="22"/>
                <w:szCs w:val="22"/>
              </w:rPr>
              <w:t xml:space="preserve">, Q. </w:t>
            </w:r>
            <w:proofErr w:type="spellStart"/>
            <w:r w:rsidRPr="00613672">
              <w:rPr>
                <w:rFonts w:ascii="Arial" w:hAnsi="Arial" w:cs="Arial"/>
                <w:sz w:val="22"/>
                <w:szCs w:val="22"/>
              </w:rPr>
              <w:t>Roo</w:t>
            </w:r>
            <w:proofErr w:type="spellEnd"/>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369</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3.96%</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Chetumal</w:t>
            </w:r>
            <w:proofErr w:type="spellEnd"/>
            <w:r w:rsidRPr="00613672">
              <w:rPr>
                <w:rFonts w:ascii="Arial" w:hAnsi="Arial" w:cs="Arial"/>
                <w:sz w:val="22"/>
                <w:szCs w:val="22"/>
              </w:rPr>
              <w:t xml:space="preserve">, </w:t>
            </w:r>
            <w:proofErr w:type="spellStart"/>
            <w:r w:rsidRPr="00613672">
              <w:rPr>
                <w:rFonts w:ascii="Arial" w:hAnsi="Arial" w:cs="Arial"/>
                <w:sz w:val="22"/>
                <w:szCs w:val="22"/>
              </w:rPr>
              <w:t>Q.Roo</w:t>
            </w:r>
            <w:proofErr w:type="spellEnd"/>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366</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3.92%</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Morelia, Mich.</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302</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3.24%</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Oaxaca, </w:t>
            </w:r>
            <w:proofErr w:type="spellStart"/>
            <w:r w:rsidRPr="00613672">
              <w:rPr>
                <w:rFonts w:ascii="Arial" w:hAnsi="Arial" w:cs="Arial"/>
                <w:sz w:val="22"/>
                <w:szCs w:val="22"/>
              </w:rPr>
              <w:t>Oax</w:t>
            </w:r>
            <w:proofErr w:type="spellEnd"/>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276</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2.96%</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Monterrey, N.L.</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270</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2.90%</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Culiacán</w:t>
            </w:r>
            <w:proofErr w:type="spellEnd"/>
            <w:r w:rsidRPr="00613672">
              <w:rPr>
                <w:rFonts w:ascii="Arial" w:hAnsi="Arial" w:cs="Arial"/>
                <w:sz w:val="22"/>
                <w:szCs w:val="22"/>
              </w:rPr>
              <w:t>, Sin.</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266</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2.85%</w:t>
            </w:r>
          </w:p>
        </w:tc>
      </w:tr>
      <w:tr w:rsidR="00613672" w:rsidRPr="00A1401E" w:rsidTr="008356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Colima, Col.</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249</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2.67%</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 xml:space="preserve">Acapulco, Gro. </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244</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2.62%</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 xml:space="preserve">Aguascalientes, </w:t>
            </w:r>
            <w:proofErr w:type="spellStart"/>
            <w:r w:rsidRPr="00613672">
              <w:rPr>
                <w:rFonts w:asciiTheme="minorHAnsi" w:hAnsiTheme="minorHAnsi" w:cstheme="minorHAnsi"/>
                <w:sz w:val="22"/>
              </w:rPr>
              <w:t>Ags</w:t>
            </w:r>
            <w:proofErr w:type="spellEnd"/>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221</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2.37%</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 xml:space="preserve">Tepic, Nay. </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220</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2.36%</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Cuernavaca, Mor.</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215</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2.31%</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lang w:val="es-MX"/>
              </w:rPr>
            </w:pPr>
            <w:r w:rsidRPr="00613672">
              <w:rPr>
                <w:rFonts w:asciiTheme="minorHAnsi" w:hAnsiTheme="minorHAnsi" w:cstheme="minorHAnsi"/>
                <w:sz w:val="22"/>
                <w:lang w:val="es-MX"/>
              </w:rPr>
              <w:t>San Luis Potosí, S.L.P.</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214</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2.29%</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 xml:space="preserve">Tlaxcala, </w:t>
            </w:r>
            <w:proofErr w:type="spellStart"/>
            <w:r w:rsidRPr="00613672">
              <w:rPr>
                <w:rFonts w:asciiTheme="minorHAnsi" w:hAnsiTheme="minorHAnsi" w:cstheme="minorHAnsi"/>
                <w:sz w:val="22"/>
              </w:rPr>
              <w:t>Tlax</w:t>
            </w:r>
            <w:proofErr w:type="spellEnd"/>
            <w:r w:rsidRPr="00613672">
              <w:rPr>
                <w:rFonts w:asciiTheme="minorHAnsi" w:hAnsiTheme="minorHAnsi" w:cstheme="minorHAnsi"/>
                <w:sz w:val="22"/>
              </w:rPr>
              <w:t>.</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214</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2.29%</w:t>
            </w:r>
          </w:p>
        </w:tc>
      </w:tr>
      <w:tr w:rsidR="00613672" w:rsidRPr="00A1401E" w:rsidTr="00037416">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Theme="minorHAnsi" w:hAnsiTheme="minorHAnsi" w:cstheme="minorHAnsi"/>
                <w:sz w:val="22"/>
              </w:rPr>
            </w:pPr>
            <w:r w:rsidRPr="00613672">
              <w:rPr>
                <w:rFonts w:asciiTheme="minorHAnsi" w:hAnsiTheme="minorHAnsi" w:cstheme="minorHAnsi"/>
                <w:sz w:val="22"/>
              </w:rPr>
              <w:t>Guadalajara, Jal.</w:t>
            </w:r>
          </w:p>
        </w:tc>
        <w:tc>
          <w:tcPr>
            <w:tcW w:w="1417"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168</w:t>
            </w:r>
          </w:p>
        </w:tc>
        <w:tc>
          <w:tcPr>
            <w:tcW w:w="141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Theme="minorHAnsi" w:hAnsiTheme="minorHAnsi" w:cstheme="minorHAnsi"/>
                <w:sz w:val="22"/>
              </w:rPr>
            </w:pPr>
            <w:r w:rsidRPr="00613672">
              <w:rPr>
                <w:rFonts w:asciiTheme="minorHAnsi" w:hAnsiTheme="minorHAnsi" w:cstheme="minorHAnsi"/>
                <w:sz w:val="22"/>
              </w:rPr>
              <w:t>1.80%</w:t>
            </w:r>
          </w:p>
        </w:tc>
      </w:tr>
    </w:tbl>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tbl>
      <w:tblPr>
        <w:tblW w:w="7787" w:type="dxa"/>
        <w:tblInd w:w="718" w:type="dxa"/>
        <w:tblCellMar>
          <w:left w:w="70" w:type="dxa"/>
          <w:right w:w="70" w:type="dxa"/>
        </w:tblCellMar>
        <w:tblLook w:val="04A0" w:firstRow="1" w:lastRow="0" w:firstColumn="1" w:lastColumn="0" w:noHBand="0" w:noVBand="1"/>
      </w:tblPr>
      <w:tblGrid>
        <w:gridCol w:w="5000"/>
        <w:gridCol w:w="1219"/>
        <w:gridCol w:w="1568"/>
      </w:tblGrid>
      <w:tr w:rsidR="002D0E84" w:rsidRPr="00875D0D" w:rsidTr="00F55C2C">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19"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F55C2C">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19"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León, </w:t>
            </w:r>
            <w:proofErr w:type="spellStart"/>
            <w:r w:rsidRPr="00613672">
              <w:rPr>
                <w:rFonts w:ascii="Arial" w:hAnsi="Arial" w:cs="Arial"/>
                <w:sz w:val="22"/>
                <w:szCs w:val="22"/>
              </w:rPr>
              <w:t>Gto</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163</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1.75%</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Tijuana, B.C.</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149</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1.60%</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Xalapa</w:t>
            </w:r>
            <w:proofErr w:type="spellEnd"/>
            <w:r w:rsidRPr="00613672">
              <w:rPr>
                <w:rFonts w:ascii="Arial" w:hAnsi="Arial" w:cs="Arial"/>
                <w:sz w:val="22"/>
                <w:szCs w:val="22"/>
              </w:rPr>
              <w:t>, Ver.</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142</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1.52%</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Torreón</w:t>
            </w:r>
            <w:proofErr w:type="spellEnd"/>
            <w:r w:rsidRPr="00613672">
              <w:rPr>
                <w:rFonts w:ascii="Arial" w:hAnsi="Arial" w:cs="Arial"/>
                <w:sz w:val="22"/>
                <w:szCs w:val="22"/>
              </w:rPr>
              <w:t xml:space="preserve">, </w:t>
            </w:r>
            <w:proofErr w:type="spellStart"/>
            <w:r w:rsidRPr="00613672">
              <w:rPr>
                <w:rFonts w:ascii="Arial" w:hAnsi="Arial" w:cs="Arial"/>
                <w:sz w:val="22"/>
                <w:szCs w:val="22"/>
              </w:rPr>
              <w:t>Coah</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123</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1.32%</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Pachuca, </w:t>
            </w:r>
            <w:proofErr w:type="spellStart"/>
            <w:r w:rsidRPr="00613672">
              <w:rPr>
                <w:rFonts w:ascii="Arial" w:hAnsi="Arial" w:cs="Arial"/>
                <w:sz w:val="22"/>
                <w:szCs w:val="22"/>
              </w:rPr>
              <w:t>Hgo</w:t>
            </w:r>
            <w:proofErr w:type="spellEnd"/>
            <w:r w:rsidRPr="00613672">
              <w:rPr>
                <w:rFonts w:ascii="Arial" w:hAnsi="Arial" w:cs="Arial"/>
                <w:sz w:val="22"/>
                <w:szCs w:val="22"/>
              </w:rPr>
              <w:t xml:space="preserve">. </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111</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1.19%</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Ciudad </w:t>
            </w:r>
            <w:proofErr w:type="spellStart"/>
            <w:r w:rsidRPr="00613672">
              <w:rPr>
                <w:rFonts w:ascii="Arial" w:hAnsi="Arial" w:cs="Arial"/>
                <w:sz w:val="22"/>
                <w:szCs w:val="22"/>
              </w:rPr>
              <w:t>Juárez</w:t>
            </w:r>
            <w:proofErr w:type="spellEnd"/>
            <w:r w:rsidRPr="00613672">
              <w:rPr>
                <w:rFonts w:ascii="Arial" w:hAnsi="Arial" w:cs="Arial"/>
                <w:sz w:val="22"/>
                <w:szCs w:val="22"/>
              </w:rPr>
              <w:t xml:space="preserve">, </w:t>
            </w:r>
            <w:proofErr w:type="spellStart"/>
            <w:r w:rsidRPr="00613672">
              <w:rPr>
                <w:rFonts w:ascii="Arial" w:hAnsi="Arial" w:cs="Arial"/>
                <w:sz w:val="22"/>
                <w:szCs w:val="22"/>
              </w:rPr>
              <w:t>Chih</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98</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1.05%</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Uruapan, Mich.</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97</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1.04%</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Mérida, </w:t>
            </w:r>
            <w:proofErr w:type="spellStart"/>
            <w:r w:rsidRPr="00613672">
              <w:rPr>
                <w:rFonts w:ascii="Arial" w:hAnsi="Arial" w:cs="Arial"/>
                <w:sz w:val="22"/>
                <w:szCs w:val="22"/>
              </w:rPr>
              <w:t>Yuc</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94</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1.01%</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La Paz, B.C.S.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93</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1.00%</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Durango, </w:t>
            </w:r>
            <w:proofErr w:type="spellStart"/>
            <w:r w:rsidRPr="00613672">
              <w:rPr>
                <w:rFonts w:ascii="Arial" w:hAnsi="Arial" w:cs="Arial"/>
                <w:sz w:val="22"/>
                <w:szCs w:val="22"/>
              </w:rPr>
              <w:t>Dgo</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93</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1.00%</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Puebla, </w:t>
            </w:r>
            <w:proofErr w:type="spellStart"/>
            <w:r w:rsidRPr="00613672">
              <w:rPr>
                <w:rFonts w:ascii="Arial" w:hAnsi="Arial" w:cs="Arial"/>
                <w:sz w:val="22"/>
                <w:szCs w:val="22"/>
              </w:rPr>
              <w:t>Pue</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80</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0.86%</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Nuevo Laredo, Tamps.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77</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0.83%</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Tuxtla Gutiérrez, Chis.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75</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0.80%</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proofErr w:type="spellStart"/>
            <w:r w:rsidRPr="00613672">
              <w:rPr>
                <w:rFonts w:ascii="Arial" w:hAnsi="Arial" w:cs="Arial"/>
                <w:sz w:val="22"/>
                <w:szCs w:val="22"/>
              </w:rPr>
              <w:t>Tapachula</w:t>
            </w:r>
            <w:proofErr w:type="spellEnd"/>
            <w:r w:rsidRPr="00613672">
              <w:rPr>
                <w:rFonts w:ascii="Arial" w:hAnsi="Arial" w:cs="Arial"/>
                <w:sz w:val="22"/>
                <w:szCs w:val="22"/>
              </w:rPr>
              <w:t>, Chis.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75</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0.80%</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Campeche, Camp.</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69</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0.74%</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Querétaro, </w:t>
            </w:r>
            <w:proofErr w:type="spellStart"/>
            <w:r w:rsidRPr="00613672">
              <w:rPr>
                <w:rFonts w:ascii="Arial" w:hAnsi="Arial" w:cs="Arial"/>
                <w:sz w:val="22"/>
                <w:szCs w:val="22"/>
              </w:rPr>
              <w:t>Qro</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66</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0.71%</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Ciudad Victoria, Tamps.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66</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0.71%</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Villahermosa, Tab.</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63</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0.68%</w:t>
            </w:r>
          </w:p>
        </w:tc>
      </w:tr>
      <w:tr w:rsidR="00613672" w:rsidRPr="00A83E36"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Celaya, </w:t>
            </w:r>
            <w:proofErr w:type="spellStart"/>
            <w:r w:rsidRPr="00613672">
              <w:rPr>
                <w:rFonts w:ascii="Arial" w:hAnsi="Arial" w:cs="Arial"/>
                <w:sz w:val="22"/>
                <w:szCs w:val="22"/>
              </w:rPr>
              <w:t>Gto</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48</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0.51%</w:t>
            </w:r>
          </w:p>
        </w:tc>
      </w:tr>
      <w:tr w:rsidR="00613672" w:rsidRPr="00A83E36"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Guanajuato, </w:t>
            </w:r>
            <w:proofErr w:type="spellStart"/>
            <w:r w:rsidRPr="00613672">
              <w:rPr>
                <w:rFonts w:ascii="Arial" w:hAnsi="Arial" w:cs="Arial"/>
                <w:sz w:val="22"/>
                <w:szCs w:val="22"/>
              </w:rPr>
              <w:t>Gto</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45</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0.48%</w:t>
            </w:r>
          </w:p>
        </w:tc>
      </w:tr>
      <w:tr w:rsidR="00613672" w:rsidRPr="00A83E36"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Saltillo, </w:t>
            </w:r>
            <w:proofErr w:type="spellStart"/>
            <w:r w:rsidRPr="00613672">
              <w:rPr>
                <w:rFonts w:ascii="Arial" w:hAnsi="Arial" w:cs="Arial"/>
                <w:sz w:val="22"/>
                <w:szCs w:val="22"/>
              </w:rPr>
              <w:t>Coah</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39</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0.42%</w:t>
            </w:r>
          </w:p>
        </w:tc>
      </w:tr>
      <w:tr w:rsidR="00613672" w:rsidRPr="00A83E36"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Veracruz, Ver.</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28</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0.30%</w:t>
            </w:r>
          </w:p>
        </w:tc>
      </w:tr>
      <w:tr w:rsidR="00613672" w:rsidRPr="00A83E36"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Hermosillo, Son.</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27</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0.29%</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Mexicali, B.C</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26</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0.28%</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 xml:space="preserve">Chihuahua, </w:t>
            </w:r>
            <w:proofErr w:type="spellStart"/>
            <w:r w:rsidRPr="00613672">
              <w:rPr>
                <w:rFonts w:ascii="Arial" w:hAnsi="Arial" w:cs="Arial"/>
                <w:sz w:val="22"/>
                <w:szCs w:val="22"/>
              </w:rPr>
              <w:t>Chih</w:t>
            </w:r>
            <w:proofErr w:type="spellEnd"/>
            <w:r w:rsidRPr="00613672">
              <w:rPr>
                <w:rFonts w:ascii="Arial" w:hAnsi="Arial" w:cs="Arial"/>
                <w:sz w:val="22"/>
                <w:szCs w:val="22"/>
              </w:rPr>
              <w:t>.</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26</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0.28%</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Mazatlán, Sin.</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24</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0.26%</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Matamoros, Tamps.</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20</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0.21%</w:t>
            </w:r>
          </w:p>
        </w:tc>
      </w:tr>
      <w:tr w:rsidR="00613672" w:rsidRPr="00577FA5" w:rsidTr="00734F98">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613672" w:rsidRPr="00613672" w:rsidRDefault="00613672" w:rsidP="00613672">
            <w:pPr>
              <w:rPr>
                <w:rFonts w:ascii="Arial" w:hAnsi="Arial" w:cs="Arial"/>
                <w:sz w:val="22"/>
                <w:szCs w:val="22"/>
              </w:rPr>
            </w:pPr>
            <w:r w:rsidRPr="00613672">
              <w:rPr>
                <w:rFonts w:ascii="Arial" w:hAnsi="Arial" w:cs="Arial"/>
                <w:sz w:val="22"/>
                <w:szCs w:val="22"/>
              </w:rPr>
              <w:t>Lerma, Estado de Mex.</w:t>
            </w:r>
          </w:p>
        </w:tc>
        <w:tc>
          <w:tcPr>
            <w:tcW w:w="1219"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10</w:t>
            </w:r>
          </w:p>
        </w:tc>
        <w:tc>
          <w:tcPr>
            <w:tcW w:w="1568" w:type="dxa"/>
            <w:tcBorders>
              <w:top w:val="nil"/>
              <w:left w:val="nil"/>
              <w:bottom w:val="single" w:sz="8" w:space="0" w:color="auto"/>
              <w:right w:val="single" w:sz="8" w:space="0" w:color="auto"/>
            </w:tcBorders>
            <w:shd w:val="clear" w:color="auto" w:fill="auto"/>
            <w:noWrap/>
          </w:tcPr>
          <w:p w:rsidR="00613672" w:rsidRPr="00613672" w:rsidRDefault="00613672" w:rsidP="00613672">
            <w:pPr>
              <w:jc w:val="center"/>
              <w:rPr>
                <w:rFonts w:ascii="Arial" w:hAnsi="Arial" w:cs="Arial"/>
                <w:sz w:val="22"/>
                <w:szCs w:val="22"/>
              </w:rPr>
            </w:pPr>
            <w:r w:rsidRPr="00613672">
              <w:rPr>
                <w:rFonts w:ascii="Arial" w:hAnsi="Arial" w:cs="Arial"/>
                <w:sz w:val="22"/>
                <w:szCs w:val="22"/>
              </w:rPr>
              <w:t>0.11%</w:t>
            </w:r>
          </w:p>
        </w:tc>
      </w:tr>
      <w:tr w:rsidR="002D0E84"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0E3F63" w:rsidRDefault="002D0E84" w:rsidP="002D0E84">
            <w:pPr>
              <w:rPr>
                <w:rFonts w:asciiTheme="minorHAnsi" w:hAnsiTheme="minorHAnsi" w:cstheme="minorHAnsi"/>
                <w:b/>
                <w:sz w:val="22"/>
                <w:szCs w:val="22"/>
              </w:rPr>
            </w:pPr>
            <w:r w:rsidRPr="000E3F63">
              <w:rPr>
                <w:rFonts w:asciiTheme="minorHAnsi" w:hAnsiTheme="minorHAnsi" w:cstheme="minorHAnsi"/>
                <w:b/>
                <w:sz w:val="22"/>
                <w:szCs w:val="22"/>
              </w:rPr>
              <w:t>Total</w:t>
            </w:r>
          </w:p>
        </w:tc>
        <w:tc>
          <w:tcPr>
            <w:tcW w:w="1219" w:type="dxa"/>
            <w:tcBorders>
              <w:top w:val="nil"/>
              <w:left w:val="nil"/>
              <w:bottom w:val="single" w:sz="8" w:space="0" w:color="auto"/>
              <w:right w:val="single" w:sz="8" w:space="0" w:color="auto"/>
            </w:tcBorders>
            <w:shd w:val="clear" w:color="auto" w:fill="auto"/>
            <w:noWrap/>
            <w:hideMark/>
          </w:tcPr>
          <w:p w:rsidR="002D0E84" w:rsidRPr="000E3F63" w:rsidRDefault="00613672" w:rsidP="00A1401E">
            <w:pPr>
              <w:jc w:val="center"/>
              <w:rPr>
                <w:rFonts w:asciiTheme="minorHAnsi" w:hAnsiTheme="minorHAnsi" w:cstheme="minorHAnsi"/>
                <w:b/>
                <w:sz w:val="22"/>
                <w:szCs w:val="22"/>
              </w:rPr>
            </w:pPr>
            <w:r>
              <w:rPr>
                <w:rFonts w:asciiTheme="minorHAnsi" w:hAnsiTheme="minorHAnsi" w:cstheme="minorHAnsi"/>
                <w:b/>
                <w:sz w:val="22"/>
                <w:szCs w:val="22"/>
              </w:rPr>
              <w:t>9.326</w:t>
            </w:r>
            <w:r w:rsidR="00E975AD" w:rsidRPr="000E3F63">
              <w:rPr>
                <w:rStyle w:val="Refdenotaalpie"/>
                <w:rFonts w:asciiTheme="minorHAnsi" w:hAnsiTheme="minorHAnsi" w:cstheme="minorHAnsi"/>
                <w:b/>
                <w:sz w:val="22"/>
                <w:szCs w:val="22"/>
              </w:rPr>
              <w:footnoteReference w:id="4"/>
            </w:r>
          </w:p>
        </w:tc>
        <w:tc>
          <w:tcPr>
            <w:tcW w:w="1568" w:type="dxa"/>
            <w:tcBorders>
              <w:top w:val="nil"/>
              <w:left w:val="nil"/>
              <w:bottom w:val="single" w:sz="8" w:space="0" w:color="auto"/>
              <w:right w:val="single" w:sz="8" w:space="0" w:color="auto"/>
            </w:tcBorders>
            <w:shd w:val="clear" w:color="auto" w:fill="auto"/>
            <w:noWrap/>
            <w:hideMark/>
          </w:tcPr>
          <w:p w:rsidR="002D0E84" w:rsidRPr="000E3F63" w:rsidRDefault="002D0E84" w:rsidP="00384F28">
            <w:pPr>
              <w:jc w:val="center"/>
              <w:rPr>
                <w:rFonts w:asciiTheme="minorHAnsi" w:hAnsiTheme="minorHAnsi" w:cstheme="minorHAnsi"/>
                <w:b/>
                <w:sz w:val="22"/>
                <w:szCs w:val="22"/>
              </w:rPr>
            </w:pPr>
            <w:r w:rsidRPr="000E3F63">
              <w:rPr>
                <w:rFonts w:asciiTheme="minorHAnsi" w:hAnsiTheme="minorHAnsi" w:cstheme="minorHAnsi"/>
                <w:b/>
                <w:sz w:val="22"/>
                <w:szCs w:val="22"/>
              </w:rPr>
              <w:t>100%</w:t>
            </w:r>
          </w:p>
        </w:tc>
      </w:tr>
    </w:tbl>
    <w:p w:rsidR="00CE48C4" w:rsidRDefault="00A82B51" w:rsidP="00A82B51">
      <w:pPr>
        <w:ind w:left="1416" w:hanging="696"/>
        <w:jc w:val="both"/>
        <w:rPr>
          <w:rFonts w:ascii="Georgia" w:hAnsi="Georgia" w:cs="Arial"/>
          <w:b/>
          <w:sz w:val="22"/>
          <w:szCs w:val="22"/>
          <w:lang w:val="es-MX"/>
        </w:rPr>
      </w:pPr>
      <w:r>
        <w:rPr>
          <w:noProof/>
          <w:lang w:val="es-MX" w:eastAsia="es-MX"/>
        </w:rPr>
        <w:lastRenderedPageBreak/>
        <w:drawing>
          <wp:inline distT="0" distB="0" distL="0" distR="0" wp14:anchorId="2EDDED00" wp14:editId="01D75E60">
            <wp:extent cx="5097145" cy="7456805"/>
            <wp:effectExtent l="0" t="0" r="825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lastRenderedPageBreak/>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F607BF">
        <w:rPr>
          <w:rFonts w:ascii="Georgia" w:hAnsi="Georgia" w:cs="Arial"/>
          <w:b/>
          <w:sz w:val="22"/>
          <w:szCs w:val="22"/>
          <w:lang w:val="es-MX"/>
        </w:rPr>
        <w:t>88.16</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F607BF">
        <w:rPr>
          <w:rFonts w:ascii="Georgia" w:hAnsi="Georgia" w:cs="Arial"/>
          <w:b/>
          <w:sz w:val="22"/>
          <w:szCs w:val="22"/>
          <w:lang w:val="es-MX"/>
        </w:rPr>
        <w:t>11.84</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F607BF" w:rsidP="001A52FD">
      <w:pPr>
        <w:pStyle w:val="Lugaryfecha"/>
        <w:ind w:left="0"/>
        <w:jc w:val="center"/>
        <w:rPr>
          <w:lang w:val="es-MX"/>
        </w:rPr>
      </w:pPr>
      <w:r>
        <w:rPr>
          <w:noProof/>
          <w:lang w:val="es-MX"/>
        </w:rPr>
        <w:drawing>
          <wp:inline distT="0" distB="0" distL="0" distR="0" wp14:anchorId="0E47D7AB" wp14:editId="55280B5A">
            <wp:extent cx="5326381" cy="3007042"/>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w:t>
      </w:r>
      <w:r w:rsidR="00EE0C21">
        <w:rPr>
          <w:rFonts w:asciiTheme="majorHAnsi" w:hAnsiTheme="majorHAnsi" w:cs="Arial"/>
          <w:sz w:val="22"/>
          <w:szCs w:val="26"/>
          <w:lang w:val="es-MX"/>
        </w:rPr>
        <w:t xml:space="preserve">u otra institución gubernamental </w:t>
      </w:r>
      <w:r w:rsidRPr="00574F2C">
        <w:rPr>
          <w:rFonts w:asciiTheme="majorHAnsi" w:hAnsiTheme="majorHAnsi" w:cs="Arial"/>
          <w:sz w:val="22"/>
          <w:szCs w:val="26"/>
          <w:lang w:val="es-MX"/>
        </w:rPr>
        <w:t xml:space="preserve">respecto del total de solicitudes: </w:t>
      </w:r>
      <w:r w:rsidR="009D12B8">
        <w:rPr>
          <w:rFonts w:asciiTheme="majorHAnsi" w:hAnsiTheme="majorHAnsi" w:cs="Arial"/>
          <w:b/>
          <w:sz w:val="22"/>
          <w:szCs w:val="26"/>
          <w:lang w:val="es-MX"/>
        </w:rPr>
        <w:t>137</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9D12B8">
        <w:rPr>
          <w:rFonts w:asciiTheme="majorHAnsi" w:hAnsiTheme="majorHAnsi" w:cs="Arial"/>
          <w:b/>
          <w:sz w:val="22"/>
          <w:szCs w:val="26"/>
          <w:lang w:val="es-MX"/>
        </w:rPr>
        <w:t>57</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9D12B8" w:rsidP="004C5C24">
      <w:pPr>
        <w:pStyle w:val="Lugaryfecha"/>
        <w:ind w:left="360"/>
        <w:jc w:val="center"/>
        <w:rPr>
          <w:lang w:val="es-MX"/>
        </w:rPr>
      </w:pPr>
      <w:r>
        <w:rPr>
          <w:noProof/>
          <w:lang w:val="es-MX"/>
        </w:rPr>
        <w:drawing>
          <wp:inline distT="0" distB="0" distL="0" distR="0" wp14:anchorId="3371D1AD" wp14:editId="6FD909F2">
            <wp:extent cx="5850890" cy="327977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FE642B">
        <w:rPr>
          <w:rFonts w:asciiTheme="majorHAnsi" w:hAnsiTheme="majorHAnsi" w:cs="Arial"/>
          <w:b/>
          <w:sz w:val="22"/>
          <w:szCs w:val="26"/>
          <w:lang w:val="es-MX"/>
        </w:rPr>
        <w:t>2</w:t>
      </w:r>
      <w:r w:rsidR="009D12B8">
        <w:rPr>
          <w:rFonts w:asciiTheme="majorHAnsi" w:hAnsiTheme="majorHAnsi" w:cs="Arial"/>
          <w:b/>
          <w:sz w:val="22"/>
          <w:szCs w:val="26"/>
          <w:lang w:val="es-MX"/>
        </w:rPr>
        <w:t>3</w:t>
      </w:r>
      <w:r w:rsidR="00FE642B">
        <w:rPr>
          <w:rFonts w:asciiTheme="majorHAnsi" w:hAnsiTheme="majorHAnsi" w:cs="Arial"/>
          <w:b/>
          <w:sz w:val="22"/>
          <w:szCs w:val="26"/>
          <w:lang w:val="es-MX"/>
        </w:rPr>
        <w:t>.</w:t>
      </w:r>
      <w:r w:rsidR="009D12B8">
        <w:rPr>
          <w:rFonts w:asciiTheme="majorHAnsi" w:hAnsiTheme="majorHAnsi" w:cs="Arial"/>
          <w:b/>
          <w:sz w:val="22"/>
          <w:szCs w:val="26"/>
          <w:lang w:val="es-MX"/>
        </w:rPr>
        <w:t>69</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FE642B">
        <w:rPr>
          <w:rFonts w:asciiTheme="majorHAnsi" w:hAnsiTheme="majorHAnsi" w:cs="Arial"/>
          <w:b/>
          <w:sz w:val="22"/>
          <w:szCs w:val="26"/>
          <w:lang w:val="es-MX"/>
        </w:rPr>
        <w:t>7</w:t>
      </w:r>
      <w:r w:rsidR="009D12B8">
        <w:rPr>
          <w:rFonts w:asciiTheme="majorHAnsi" w:hAnsiTheme="majorHAnsi" w:cs="Arial"/>
          <w:b/>
          <w:sz w:val="22"/>
          <w:szCs w:val="26"/>
          <w:lang w:val="es-MX"/>
        </w:rPr>
        <w:t>6</w:t>
      </w:r>
      <w:r w:rsidR="00FE642B">
        <w:rPr>
          <w:rFonts w:asciiTheme="majorHAnsi" w:hAnsiTheme="majorHAnsi" w:cs="Arial"/>
          <w:b/>
          <w:sz w:val="22"/>
          <w:szCs w:val="26"/>
          <w:lang w:val="es-MX"/>
        </w:rPr>
        <w:t>.</w:t>
      </w:r>
      <w:r w:rsidR="009D12B8">
        <w:rPr>
          <w:rFonts w:asciiTheme="majorHAnsi" w:hAnsiTheme="majorHAnsi" w:cs="Arial"/>
          <w:b/>
          <w:sz w:val="22"/>
          <w:szCs w:val="26"/>
          <w:lang w:val="es-MX"/>
        </w:rPr>
        <w:t>31</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9D12B8" w:rsidP="00F578C7">
      <w:pPr>
        <w:pStyle w:val="Lugaryfecha"/>
        <w:rPr>
          <w:lang w:val="es-MX"/>
        </w:rPr>
      </w:pPr>
      <w:r>
        <w:rPr>
          <w:noProof/>
          <w:lang w:val="es-MX"/>
        </w:rPr>
        <w:drawing>
          <wp:inline distT="0" distB="0" distL="0" distR="0" wp14:anchorId="7E8BE960" wp14:editId="03FDE8B9">
            <wp:extent cx="4991769" cy="2908458"/>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D406CC">
        <w:rPr>
          <w:rFonts w:asciiTheme="majorHAnsi" w:hAnsiTheme="majorHAnsi" w:cs="Arial"/>
          <w:sz w:val="22"/>
          <w:szCs w:val="26"/>
          <w:lang w:val="es-MX"/>
        </w:rPr>
        <w:t xml:space="preserve">Porcentaje de turno de asuntos al Comité de </w:t>
      </w:r>
      <w:r w:rsidR="00417C2B" w:rsidRPr="00D406CC">
        <w:rPr>
          <w:rFonts w:asciiTheme="majorHAnsi" w:hAnsiTheme="majorHAnsi" w:cs="Arial"/>
          <w:sz w:val="22"/>
          <w:szCs w:val="26"/>
          <w:lang w:val="es-MX"/>
        </w:rPr>
        <w:t xml:space="preserve">Transparencia </w:t>
      </w:r>
      <w:r w:rsidRPr="00D406CC">
        <w:rPr>
          <w:rFonts w:asciiTheme="majorHAnsi" w:hAnsiTheme="majorHAnsi" w:cs="Arial"/>
          <w:sz w:val="22"/>
          <w:szCs w:val="26"/>
          <w:lang w:val="es-MX"/>
        </w:rPr>
        <w:t xml:space="preserve">respecto del total de expedientes de solicitudes de información tramitadas mediante el procedimiento ordinario: </w:t>
      </w:r>
      <w:r w:rsidR="009D12B8">
        <w:rPr>
          <w:rFonts w:asciiTheme="majorHAnsi" w:hAnsiTheme="majorHAnsi" w:cs="Arial"/>
          <w:b/>
          <w:sz w:val="22"/>
          <w:szCs w:val="26"/>
          <w:lang w:val="es-MX"/>
        </w:rPr>
        <w:t>5</w:t>
      </w:r>
      <w:r w:rsidR="00D406CC">
        <w:rPr>
          <w:rFonts w:asciiTheme="majorHAnsi" w:hAnsiTheme="majorHAnsi" w:cs="Arial"/>
          <w:b/>
          <w:sz w:val="22"/>
          <w:szCs w:val="26"/>
          <w:lang w:val="es-MX"/>
        </w:rPr>
        <w:t>.</w:t>
      </w:r>
      <w:r w:rsidR="009D12B8">
        <w:rPr>
          <w:rFonts w:asciiTheme="majorHAnsi" w:hAnsiTheme="majorHAnsi" w:cs="Arial"/>
          <w:b/>
          <w:sz w:val="22"/>
          <w:szCs w:val="26"/>
          <w:lang w:val="es-MX"/>
        </w:rPr>
        <w:t>45</w:t>
      </w:r>
      <w:r w:rsidRPr="00D406C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9D12B8" w:rsidP="00574F2C">
      <w:pPr>
        <w:ind w:left="709"/>
        <w:jc w:val="both"/>
        <w:rPr>
          <w:rFonts w:asciiTheme="majorHAnsi" w:hAnsiTheme="majorHAnsi" w:cs="Arial"/>
          <w:b/>
          <w:sz w:val="22"/>
          <w:szCs w:val="26"/>
        </w:rPr>
      </w:pPr>
      <w:r>
        <w:rPr>
          <w:noProof/>
          <w:lang w:val="es-MX" w:eastAsia="es-MX"/>
        </w:rPr>
        <w:drawing>
          <wp:inline distT="0" distB="0" distL="0" distR="0" wp14:anchorId="7E46B023" wp14:editId="4BF61939">
            <wp:extent cx="4431506" cy="2985284"/>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19C0" w:rsidRPr="00574F2C" w:rsidRDefault="00B019C0" w:rsidP="004C4F9A">
      <w:pPr>
        <w:pStyle w:val="Lugaryfecha"/>
        <w:rPr>
          <w:rFonts w:asciiTheme="majorHAnsi" w:hAnsiTheme="majorHAnsi" w:cs="Arial"/>
          <w:b/>
          <w:sz w:val="22"/>
          <w:szCs w:val="26"/>
        </w:rPr>
      </w:pP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9232C2">
        <w:rPr>
          <w:rFonts w:asciiTheme="majorHAnsi" w:hAnsiTheme="majorHAnsi" w:cs="Arial"/>
          <w:b/>
          <w:sz w:val="22"/>
          <w:szCs w:val="22"/>
          <w:lang w:val="es-MX"/>
        </w:rPr>
        <w:t>7</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9232C2" w:rsidP="00F578C7">
      <w:pPr>
        <w:pStyle w:val="Lugaryfecha"/>
        <w:rPr>
          <w:lang w:val="es-MX"/>
        </w:rPr>
      </w:pPr>
      <w:r>
        <w:rPr>
          <w:noProof/>
          <w:lang w:val="es-MX"/>
        </w:rPr>
        <w:drawing>
          <wp:inline distT="0" distB="0" distL="0" distR="0" wp14:anchorId="5EF53B23" wp14:editId="427B8BF2">
            <wp:extent cx="5690235" cy="300799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F607BF">
        <w:rPr>
          <w:rFonts w:ascii="Georgia" w:hAnsi="Georgia" w:cs="Arial"/>
          <w:b/>
          <w:sz w:val="22"/>
          <w:szCs w:val="22"/>
        </w:rPr>
        <w:t xml:space="preserve">julio a septiembre </w:t>
      </w:r>
      <w:r w:rsidR="0051153A">
        <w:rPr>
          <w:rFonts w:ascii="Georgia" w:hAnsi="Georgia" w:cs="Arial"/>
          <w:b/>
          <w:sz w:val="22"/>
          <w:szCs w:val="22"/>
        </w:rPr>
        <w:t>de 2016</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de información recibidas: </w:t>
      </w:r>
      <w:r w:rsidR="00F607BF">
        <w:rPr>
          <w:rFonts w:ascii="Georgia" w:hAnsi="Georgia" w:cs="Arial"/>
          <w:sz w:val="22"/>
          <w:szCs w:val="22"/>
        </w:rPr>
        <w:t>10,785</w:t>
      </w:r>
      <w:r w:rsidRPr="00CD05AB">
        <w:rPr>
          <w:rFonts w:ascii="Georgia" w:hAnsi="Georgia" w:cs="Arial"/>
          <w:sz w:val="22"/>
          <w:szCs w:val="22"/>
        </w:rPr>
        <w:t>.</w:t>
      </w:r>
    </w:p>
    <w:p w:rsidR="008068C9" w:rsidRPr="00CD05AB" w:rsidRDefault="008068C9" w:rsidP="008068C9">
      <w:pPr>
        <w:ind w:left="1134"/>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en trámite: </w:t>
      </w:r>
      <w:r w:rsidR="00F607BF">
        <w:rPr>
          <w:rFonts w:ascii="Georgia" w:hAnsi="Georgia" w:cs="Arial"/>
          <w:sz w:val="22"/>
          <w:szCs w:val="22"/>
        </w:rPr>
        <w:t>21</w:t>
      </w:r>
      <w:r w:rsidRPr="00CD05AB">
        <w:rPr>
          <w:rFonts w:ascii="Georgia" w:hAnsi="Georgia" w:cs="Arial"/>
          <w:sz w:val="22"/>
          <w:szCs w:val="22"/>
        </w:rPr>
        <w:t>.</w:t>
      </w:r>
    </w:p>
    <w:p w:rsidR="008068C9" w:rsidRPr="00CD05AB" w:rsidRDefault="008068C9" w:rsidP="008068C9">
      <w:pPr>
        <w:pStyle w:val="Prrafodelista"/>
        <w:rPr>
          <w:rFonts w:ascii="Georgia" w:hAnsi="Georgia" w:cs="Arial"/>
          <w:sz w:val="22"/>
          <w:szCs w:val="22"/>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de información resueltas: </w:t>
      </w:r>
      <w:r w:rsidR="00F607BF">
        <w:rPr>
          <w:rFonts w:ascii="Georgia" w:hAnsi="Georgia" w:cs="Arial"/>
          <w:sz w:val="22"/>
          <w:szCs w:val="22"/>
        </w:rPr>
        <w:t>10,764</w:t>
      </w:r>
      <w:r w:rsidRPr="00CD05AB">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F607BF">
        <w:rPr>
          <w:rFonts w:ascii="Georgia" w:hAnsi="Georgia" w:cs="Arial"/>
          <w:sz w:val="22"/>
          <w:szCs w:val="22"/>
        </w:rPr>
        <w:t>1,27</w:t>
      </w:r>
      <w:r w:rsidR="003B2784">
        <w:rPr>
          <w:rFonts w:ascii="Georgia" w:hAnsi="Georgia" w:cs="Arial"/>
          <w:sz w:val="22"/>
          <w:szCs w:val="22"/>
        </w:rPr>
        <w:t>5</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F607BF">
        <w:rPr>
          <w:rFonts w:ascii="Georgia" w:hAnsi="Georgia" w:cs="Arial"/>
          <w:sz w:val="22"/>
          <w:szCs w:val="22"/>
        </w:rPr>
        <w:t>9,5</w:t>
      </w:r>
      <w:r w:rsidR="003B2784">
        <w:rPr>
          <w:rFonts w:ascii="Georgia" w:hAnsi="Georgia" w:cs="Arial"/>
          <w:sz w:val="22"/>
          <w:szCs w:val="22"/>
        </w:rPr>
        <w:t>10</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F607BF">
        <w:rPr>
          <w:rFonts w:ascii="Georgia" w:hAnsi="Georgia" w:cs="Arial"/>
          <w:sz w:val="22"/>
          <w:szCs w:val="22"/>
        </w:rPr>
        <w:t>57</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F607BF">
        <w:rPr>
          <w:rFonts w:ascii="Georgia" w:hAnsi="Georgia" w:cs="Arial"/>
          <w:sz w:val="22"/>
          <w:szCs w:val="22"/>
        </w:rPr>
        <w:t>10,061</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F607BF">
        <w:rPr>
          <w:rFonts w:ascii="Georgia" w:hAnsi="Georgia" w:cs="Arial"/>
          <w:sz w:val="22"/>
          <w:szCs w:val="22"/>
        </w:rPr>
        <w:t>9,326</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w:t>
      </w:r>
      <w:proofErr w:type="spellStart"/>
      <w:r w:rsidRPr="008068C9">
        <w:rPr>
          <w:rFonts w:ascii="Georgia" w:hAnsi="Georgia" w:cs="Arial"/>
          <w:sz w:val="22"/>
          <w:szCs w:val="22"/>
        </w:rPr>
        <w:t>bibliohemerográfica</w:t>
      </w:r>
      <w:proofErr w:type="spellEnd"/>
      <w:r w:rsidRPr="008068C9">
        <w:rPr>
          <w:rFonts w:ascii="Georgia" w:hAnsi="Georgia" w:cs="Arial"/>
          <w:sz w:val="22"/>
          <w:szCs w:val="22"/>
        </w:rPr>
        <w:t xml:space="preserve"> en </w:t>
      </w:r>
      <w:r w:rsidR="00A82B51">
        <w:rPr>
          <w:rFonts w:ascii="Georgia" w:hAnsi="Georgia" w:cs="Arial"/>
          <w:sz w:val="22"/>
          <w:szCs w:val="22"/>
        </w:rPr>
        <w:t>la Ciudad de México</w:t>
      </w:r>
      <w:r w:rsidRPr="008068C9">
        <w:rPr>
          <w:rFonts w:ascii="Georgia" w:hAnsi="Georgia" w:cs="Arial"/>
          <w:sz w:val="22"/>
          <w:szCs w:val="22"/>
        </w:rPr>
        <w:t xml:space="preserve">: </w:t>
      </w:r>
      <w:r w:rsidR="00F607BF">
        <w:rPr>
          <w:rFonts w:ascii="Georgia" w:hAnsi="Georgia" w:cs="Arial"/>
          <w:sz w:val="22"/>
          <w:szCs w:val="22"/>
        </w:rPr>
        <w:t>735</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5335BE">
        <w:rPr>
          <w:rFonts w:ascii="Georgia" w:hAnsi="Georgia" w:cs="Arial"/>
          <w:sz w:val="22"/>
          <w:szCs w:val="22"/>
        </w:rPr>
        <w:t>724</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5335BE">
        <w:rPr>
          <w:rFonts w:ascii="Georgia" w:hAnsi="Georgia" w:cs="Arial"/>
          <w:sz w:val="22"/>
          <w:szCs w:val="22"/>
        </w:rPr>
        <w:t>137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5335BE">
        <w:rPr>
          <w:rFonts w:ascii="Georgia" w:hAnsi="Georgia" w:cs="Arial"/>
          <w:sz w:val="22"/>
          <w:szCs w:val="22"/>
        </w:rPr>
        <w:t>110</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5335BE">
        <w:rPr>
          <w:rFonts w:ascii="Georgia" w:hAnsi="Georgia" w:cs="Arial"/>
          <w:sz w:val="22"/>
          <w:szCs w:val="22"/>
        </w:rPr>
        <w:t>477</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5335BE">
        <w:rPr>
          <w:rFonts w:ascii="Georgia" w:hAnsi="Georgia" w:cs="Arial"/>
          <w:sz w:val="22"/>
          <w:szCs w:val="22"/>
        </w:rPr>
        <w:t>113</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5335BE">
        <w:rPr>
          <w:rFonts w:ascii="Georgia" w:hAnsi="Georgia" w:cs="Arial"/>
          <w:sz w:val="22"/>
          <w:szCs w:val="22"/>
        </w:rPr>
        <w:t>3</w:t>
      </w:r>
      <w:r w:rsidR="00641F8B">
        <w:rPr>
          <w:rFonts w:ascii="Georgia" w:hAnsi="Georgia" w:cs="Arial"/>
          <w:sz w:val="22"/>
          <w:szCs w:val="22"/>
        </w:rPr>
        <w:t>32</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641F8B">
        <w:rPr>
          <w:rFonts w:ascii="Georgia" w:hAnsi="Georgia" w:cs="Arial"/>
          <w:sz w:val="22"/>
          <w:szCs w:val="22"/>
        </w:rPr>
        <w:t>32</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5335BE">
        <w:rPr>
          <w:rFonts w:ascii="Georgia" w:hAnsi="Georgia" w:cs="Arial"/>
          <w:sz w:val="22"/>
          <w:szCs w:val="22"/>
        </w:rPr>
        <w:t>0</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proofErr w:type="spellStart"/>
      <w:r w:rsidRPr="008068C9">
        <w:rPr>
          <w:rFonts w:ascii="Georgia" w:hAnsi="Georgia" w:cs="Arial"/>
          <w:sz w:val="22"/>
          <w:szCs w:val="22"/>
        </w:rPr>
        <w:t>Expedientes</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turnados</w:t>
      </w:r>
      <w:proofErr w:type="spellEnd"/>
      <w:r w:rsidRPr="008068C9">
        <w:rPr>
          <w:rFonts w:ascii="Georgia" w:hAnsi="Georgia" w:cs="Arial"/>
          <w:sz w:val="22"/>
          <w:szCs w:val="22"/>
        </w:rPr>
        <w:t xml:space="preserve">: </w:t>
      </w:r>
      <w:r w:rsidR="005335BE">
        <w:rPr>
          <w:rFonts w:ascii="Georgia" w:hAnsi="Georgia" w:cs="Arial"/>
          <w:sz w:val="22"/>
          <w:szCs w:val="22"/>
        </w:rPr>
        <w:t>26</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D406CC" w:rsidRPr="006B2765" w:rsidRDefault="00D406CC" w:rsidP="00D406CC">
      <w:pPr>
        <w:numPr>
          <w:ilvl w:val="1"/>
          <w:numId w:val="5"/>
        </w:numPr>
        <w:jc w:val="both"/>
        <w:rPr>
          <w:rFonts w:ascii="Georgia" w:hAnsi="Georgia" w:cs="Arial"/>
          <w:b/>
          <w:sz w:val="22"/>
          <w:szCs w:val="22"/>
          <w:lang w:val="es-MX"/>
        </w:rPr>
      </w:pPr>
      <w:r w:rsidRPr="006B2765">
        <w:rPr>
          <w:rFonts w:ascii="Georgia" w:hAnsi="Georgia" w:cs="Arial"/>
          <w:sz w:val="22"/>
          <w:szCs w:val="22"/>
          <w:lang w:val="es-MX"/>
        </w:rPr>
        <w:t xml:space="preserve">Expedientes integrados con la acumulación de varios: </w:t>
      </w:r>
      <w:r w:rsidR="005335BE">
        <w:rPr>
          <w:rFonts w:ascii="Georgia" w:hAnsi="Georgia" w:cs="Arial"/>
          <w:sz w:val="22"/>
          <w:szCs w:val="22"/>
          <w:lang w:val="es-MX"/>
        </w:rPr>
        <w:t>26</w:t>
      </w:r>
    </w:p>
    <w:p w:rsidR="00D406CC" w:rsidRDefault="00D406CC" w:rsidP="00D406CC">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Clasificaciones</w:t>
      </w:r>
      <w:proofErr w:type="spellEnd"/>
      <w:r w:rsidRPr="008068C9">
        <w:rPr>
          <w:rFonts w:ascii="Georgia" w:hAnsi="Georgia" w:cs="Arial"/>
          <w:sz w:val="22"/>
          <w:szCs w:val="22"/>
        </w:rPr>
        <w:t xml:space="preserve"> de </w:t>
      </w:r>
      <w:proofErr w:type="spellStart"/>
      <w:r w:rsidRPr="008068C9">
        <w:rPr>
          <w:rFonts w:ascii="Georgia" w:hAnsi="Georgia" w:cs="Arial"/>
          <w:sz w:val="22"/>
          <w:szCs w:val="22"/>
        </w:rPr>
        <w:t>información</w:t>
      </w:r>
      <w:proofErr w:type="spellEnd"/>
      <w:r w:rsidRPr="008068C9">
        <w:rPr>
          <w:rFonts w:ascii="Georgia" w:hAnsi="Georgia" w:cs="Arial"/>
          <w:sz w:val="22"/>
          <w:szCs w:val="22"/>
        </w:rPr>
        <w:t>:</w:t>
      </w:r>
      <w:r w:rsidR="00350507">
        <w:rPr>
          <w:rFonts w:ascii="Georgia" w:hAnsi="Georgia" w:cs="Arial"/>
          <w:sz w:val="22"/>
          <w:szCs w:val="22"/>
        </w:rPr>
        <w:t xml:space="preserve"> </w:t>
      </w:r>
      <w:r w:rsidR="005335BE">
        <w:rPr>
          <w:rFonts w:ascii="Georgia" w:hAnsi="Georgia" w:cs="Arial"/>
          <w:sz w:val="22"/>
          <w:szCs w:val="22"/>
        </w:rPr>
        <w:t>35</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Recursos</w:t>
      </w:r>
      <w:proofErr w:type="spellEnd"/>
      <w:r w:rsidRPr="008068C9">
        <w:rPr>
          <w:rFonts w:ascii="Georgia" w:hAnsi="Georgia" w:cs="Arial"/>
          <w:sz w:val="22"/>
          <w:szCs w:val="22"/>
        </w:rPr>
        <w:t xml:space="preserve"> de </w:t>
      </w:r>
      <w:proofErr w:type="spellStart"/>
      <w:r w:rsidR="008956EE">
        <w:rPr>
          <w:rFonts w:ascii="Georgia" w:hAnsi="Georgia" w:cs="Arial"/>
          <w:sz w:val="22"/>
          <w:szCs w:val="22"/>
        </w:rPr>
        <w:t>r</w:t>
      </w:r>
      <w:r w:rsidRPr="008068C9">
        <w:rPr>
          <w:rFonts w:ascii="Georgia" w:hAnsi="Georgia" w:cs="Arial"/>
          <w:sz w:val="22"/>
          <w:szCs w:val="22"/>
        </w:rPr>
        <w:t>evisión</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interpuestos</w:t>
      </w:r>
      <w:proofErr w:type="spellEnd"/>
      <w:r w:rsidRPr="008068C9">
        <w:rPr>
          <w:rFonts w:ascii="Georgia" w:hAnsi="Georgia" w:cs="Arial"/>
          <w:sz w:val="22"/>
          <w:szCs w:val="22"/>
        </w:rPr>
        <w:t xml:space="preserve">: </w:t>
      </w:r>
      <w:r w:rsidR="00A213DC">
        <w:rPr>
          <w:rFonts w:ascii="Georgia" w:hAnsi="Georgia" w:cs="Arial"/>
          <w:sz w:val="22"/>
          <w:szCs w:val="22"/>
        </w:rPr>
        <w:t>1</w:t>
      </w:r>
      <w:r w:rsidR="005335BE">
        <w:rPr>
          <w:rFonts w:ascii="Georgia" w:hAnsi="Georgia" w:cs="Arial"/>
          <w:sz w:val="22"/>
          <w:szCs w:val="22"/>
        </w:rPr>
        <w:t>5</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9232C2">
        <w:rPr>
          <w:rFonts w:asciiTheme="majorHAnsi" w:hAnsiTheme="majorHAnsi" w:cs="Arial"/>
          <w:sz w:val="22"/>
          <w:szCs w:val="22"/>
          <w:lang w:val="es-MX"/>
        </w:rPr>
        <w:t>7</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73782F">
      <w:headerReference w:type="default" r:id="rId15"/>
      <w:footerReference w:type="default" r:id="rId16"/>
      <w:headerReference w:type="first" r:id="rId17"/>
      <w:footerReference w:type="first" r:id="rId18"/>
      <w:pgSz w:w="12242" w:h="15842" w:code="1"/>
      <w:pgMar w:top="2795"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A3" w:rsidRDefault="00B429A3" w:rsidP="000B572B">
      <w:r>
        <w:separator/>
      </w:r>
    </w:p>
  </w:endnote>
  <w:endnote w:type="continuationSeparator" w:id="0">
    <w:p w:rsidR="00B429A3" w:rsidRDefault="00B429A3"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C953B1">
          <w:rPr>
            <w:noProof/>
            <w:sz w:val="20"/>
          </w:rPr>
          <w:t>7</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B429A3">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A3" w:rsidRDefault="00B429A3" w:rsidP="000B572B">
      <w:r>
        <w:separator/>
      </w:r>
    </w:p>
  </w:footnote>
  <w:footnote w:type="continuationSeparator" w:id="0">
    <w:p w:rsidR="00B429A3" w:rsidRDefault="00B429A3"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3B0370">
        <w:rPr>
          <w:rFonts w:ascii="Arial" w:hAnsi="Arial" w:cs="Arial"/>
          <w:sz w:val="16"/>
          <w:szCs w:val="16"/>
          <w:lang w:val="es-MX"/>
        </w:rPr>
        <w:t>10,061</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3B0370">
        <w:rPr>
          <w:rFonts w:ascii="Arial" w:hAnsi="Arial" w:cs="Arial"/>
          <w:sz w:val="16"/>
          <w:szCs w:val="16"/>
          <w:lang w:val="es-MX"/>
        </w:rPr>
        <w:t xml:space="preserve">julio a septiembre </w:t>
      </w:r>
      <w:r w:rsidR="00FA6A3A">
        <w:rPr>
          <w:rFonts w:ascii="Arial" w:hAnsi="Arial" w:cs="Arial"/>
          <w:sz w:val="16"/>
          <w:szCs w:val="16"/>
          <w:lang w:val="es-MX"/>
        </w:rPr>
        <w:t>de 2016</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3B0370">
        <w:rPr>
          <w:rFonts w:ascii="Arial" w:hAnsi="Arial" w:cs="Arial"/>
          <w:sz w:val="16"/>
          <w:szCs w:val="16"/>
          <w:lang w:val="es-MX"/>
        </w:rPr>
        <w:t>477</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A1401E" w:rsidRPr="006F66AC" w:rsidRDefault="00A1401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 xml:space="preserve">Para la interpretación de este resultado debe advertirse que </w:t>
      </w:r>
      <w:r w:rsidR="00E377EE">
        <w:rPr>
          <w:rFonts w:ascii="Arial" w:hAnsi="Arial" w:cs="Arial"/>
          <w:sz w:val="16"/>
          <w:szCs w:val="16"/>
        </w:rPr>
        <w:t xml:space="preserve">la Ciudad de México </w:t>
      </w:r>
      <w:r w:rsidRPr="00211B21">
        <w:rPr>
          <w:rFonts w:ascii="Arial" w:hAnsi="Arial" w:cs="Arial"/>
          <w:sz w:val="16"/>
          <w:szCs w:val="16"/>
        </w:rPr>
        <w:t>cuenta con 5 Módulos de Acceso a la Información  instalados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C41FC1">
        <w:rPr>
          <w:rFonts w:asciiTheme="minorHAnsi" w:hAnsiTheme="minorHAnsi" w:cstheme="minorHAnsi"/>
          <w:sz w:val="16"/>
        </w:rPr>
        <w:t xml:space="preserve"> Esta cifra sumada a las</w:t>
      </w:r>
      <w:r w:rsidR="00891F2E">
        <w:rPr>
          <w:rFonts w:asciiTheme="minorHAnsi" w:hAnsiTheme="minorHAnsi" w:cstheme="minorHAnsi"/>
          <w:sz w:val="16"/>
        </w:rPr>
        <w:t xml:space="preserve"> </w:t>
      </w:r>
      <w:r w:rsidR="00AC5C37">
        <w:rPr>
          <w:rFonts w:asciiTheme="minorHAnsi" w:hAnsiTheme="minorHAnsi" w:cstheme="minorHAnsi"/>
          <w:sz w:val="16"/>
        </w:rPr>
        <w:t>735</w:t>
      </w:r>
      <w:r w:rsidR="00F55C2C">
        <w:rPr>
          <w:rFonts w:asciiTheme="minorHAnsi" w:hAnsiTheme="minorHAnsi" w:cstheme="minorHAnsi"/>
          <w:sz w:val="16"/>
        </w:rPr>
        <w:t xml:space="preserve"> </w:t>
      </w:r>
      <w:r w:rsidRPr="00611810">
        <w:rPr>
          <w:rFonts w:asciiTheme="minorHAnsi" w:hAnsiTheme="minorHAnsi" w:cstheme="minorHAnsi"/>
          <w:sz w:val="16"/>
        </w:rPr>
        <w:t xml:space="preserve">consultas de información legislativa y </w:t>
      </w:r>
      <w:proofErr w:type="spellStart"/>
      <w:r w:rsidRPr="00611810">
        <w:rPr>
          <w:rFonts w:asciiTheme="minorHAnsi" w:hAnsiTheme="minorHAnsi" w:cstheme="minorHAnsi"/>
          <w:sz w:val="16"/>
        </w:rPr>
        <w:t>bibliohemerográfica</w:t>
      </w:r>
      <w:proofErr w:type="spellEnd"/>
      <w:r w:rsidRPr="00611810">
        <w:rPr>
          <w:rFonts w:asciiTheme="minorHAnsi" w:hAnsiTheme="minorHAnsi" w:cstheme="minorHAnsi"/>
          <w:sz w:val="16"/>
        </w:rPr>
        <w:t xml:space="preserve"> en </w:t>
      </w:r>
      <w:r w:rsidR="00A82B51">
        <w:rPr>
          <w:rFonts w:asciiTheme="minorHAnsi" w:hAnsiTheme="minorHAnsi" w:cstheme="minorHAnsi"/>
          <w:sz w:val="16"/>
        </w:rPr>
        <w:t>la Ciudad de México</w:t>
      </w:r>
      <w:r w:rsidRPr="00611810">
        <w:rPr>
          <w:rFonts w:asciiTheme="minorHAnsi" w:hAnsiTheme="minorHAnsi" w:cstheme="minorHAnsi"/>
          <w:sz w:val="16"/>
        </w:rPr>
        <w:t xml:space="preserve">, representan los </w:t>
      </w:r>
      <w:r w:rsidR="00AC5C37">
        <w:rPr>
          <w:rFonts w:asciiTheme="minorHAnsi" w:hAnsiTheme="minorHAnsi" w:cstheme="minorHAnsi"/>
          <w:sz w:val="16"/>
        </w:rPr>
        <w:t xml:space="preserve">10,061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Información</w:t>
      </w:r>
      <w:r w:rsidR="00EE0C21">
        <w:rPr>
          <w:rFonts w:ascii="Arial" w:hAnsi="Arial" w:cs="Arial"/>
          <w:sz w:val="16"/>
          <w:szCs w:val="16"/>
          <w:lang w:val="es-MX"/>
        </w:rPr>
        <w:t xml:space="preserve"> y Acceso a la Justicia</w:t>
      </w:r>
      <w:r w:rsidRPr="00F578C7">
        <w:rPr>
          <w:rFonts w:ascii="Arial" w:hAnsi="Arial" w:cs="Arial"/>
          <w:sz w:val="16"/>
          <w:szCs w:val="16"/>
          <w:lang w:val="es-MX"/>
        </w:rPr>
        <w:t xml:space="preserve">. En las solicitudes se incluirán las canalizadas al Consejo de la Judicatura Federal </w:t>
      </w:r>
      <w:r w:rsidR="00EE0C21">
        <w:rPr>
          <w:rFonts w:ascii="Arial" w:hAnsi="Arial" w:cs="Arial"/>
          <w:sz w:val="16"/>
          <w:szCs w:val="16"/>
          <w:lang w:val="es-MX"/>
        </w:rPr>
        <w:t xml:space="preserve">u otra institución gubernamental </w:t>
      </w:r>
      <w:r w:rsidRPr="00F578C7">
        <w:rPr>
          <w:rFonts w:ascii="Arial" w:hAnsi="Arial" w:cs="Arial"/>
          <w:sz w:val="16"/>
          <w:szCs w:val="16"/>
          <w:lang w:val="es-MX"/>
        </w:rPr>
        <w:t>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EE0C21">
        <w:rPr>
          <w:rFonts w:ascii="Arial" w:hAnsi="Arial" w:cs="Arial"/>
          <w:sz w:val="16"/>
          <w:szCs w:val="16"/>
          <w:lang w:val="es-MX"/>
        </w:rPr>
        <w:t>1</w:t>
      </w:r>
      <w:bookmarkStart w:id="0" w:name="_GoBack"/>
      <w:bookmarkEnd w:id="0"/>
      <w:r w:rsidR="009D12B8">
        <w:rPr>
          <w:rFonts w:ascii="Arial" w:hAnsi="Arial" w:cs="Arial"/>
          <w:sz w:val="16"/>
          <w:szCs w:val="16"/>
          <w:lang w:val="es-MX"/>
        </w:rPr>
        <w:t>0</w:t>
      </w:r>
      <w:r w:rsidR="00EE0C21">
        <w:rPr>
          <w:rFonts w:ascii="Arial" w:hAnsi="Arial" w:cs="Arial"/>
          <w:sz w:val="16"/>
          <w:szCs w:val="16"/>
          <w:lang w:val="es-MX"/>
        </w:rPr>
        <w:t>,</w:t>
      </w:r>
      <w:r w:rsidR="009D12B8">
        <w:rPr>
          <w:rFonts w:ascii="Arial" w:hAnsi="Arial" w:cs="Arial"/>
          <w:sz w:val="16"/>
          <w:szCs w:val="16"/>
          <w:lang w:val="es-MX"/>
        </w:rPr>
        <w:t>785</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9D12B8">
        <w:rPr>
          <w:rFonts w:ascii="Arial" w:hAnsi="Arial" w:cs="Arial"/>
          <w:sz w:val="16"/>
          <w:szCs w:val="16"/>
          <w:lang w:val="es-MX"/>
        </w:rPr>
        <w:t>137</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9D12B8">
        <w:rPr>
          <w:rFonts w:ascii="Arial" w:hAnsi="Arial" w:cs="Arial"/>
          <w:sz w:val="16"/>
          <w:szCs w:val="16"/>
          <w:lang w:val="es-MX"/>
        </w:rPr>
        <w:t>57</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9D12B8">
        <w:rPr>
          <w:rFonts w:ascii="Arial" w:hAnsi="Arial" w:cs="Arial"/>
          <w:sz w:val="16"/>
          <w:szCs w:val="16"/>
          <w:lang w:val="es-MX"/>
        </w:rPr>
        <w:t>477</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D406CC">
        <w:rPr>
          <w:rFonts w:ascii="Arial" w:hAnsi="Arial" w:cs="Arial"/>
          <w:b/>
          <w:sz w:val="16"/>
          <w:szCs w:val="16"/>
          <w:lang w:val="es-MX"/>
        </w:rPr>
        <w:t xml:space="preserve">Elementos que se utilizan: </w:t>
      </w:r>
      <w:r w:rsidRPr="00D406CC">
        <w:rPr>
          <w:rFonts w:ascii="Arial" w:hAnsi="Arial" w:cs="Arial"/>
          <w:sz w:val="16"/>
          <w:szCs w:val="16"/>
          <w:lang w:val="es-MX"/>
        </w:rPr>
        <w:t>expedientes de solicitudes de información tramitad</w:t>
      </w:r>
      <w:r w:rsidR="006D665C" w:rsidRPr="00D406CC">
        <w:rPr>
          <w:rFonts w:ascii="Arial" w:hAnsi="Arial" w:cs="Arial"/>
          <w:sz w:val="16"/>
          <w:szCs w:val="16"/>
          <w:lang w:val="es-MX"/>
        </w:rPr>
        <w:t>a</w:t>
      </w:r>
      <w:r w:rsidRPr="00D406CC">
        <w:rPr>
          <w:rFonts w:ascii="Arial" w:hAnsi="Arial" w:cs="Arial"/>
          <w:sz w:val="16"/>
          <w:szCs w:val="16"/>
          <w:lang w:val="es-MX"/>
        </w:rPr>
        <w:t>s</w:t>
      </w:r>
      <w:r w:rsidR="00417C2B" w:rsidRPr="00D406CC">
        <w:rPr>
          <w:rFonts w:ascii="Arial" w:hAnsi="Arial" w:cs="Arial"/>
          <w:sz w:val="16"/>
          <w:szCs w:val="16"/>
          <w:lang w:val="es-MX"/>
        </w:rPr>
        <w:t>,</w:t>
      </w:r>
      <w:r w:rsidRPr="00D406CC">
        <w:rPr>
          <w:rFonts w:ascii="Arial" w:hAnsi="Arial" w:cs="Arial"/>
          <w:sz w:val="16"/>
          <w:szCs w:val="16"/>
          <w:lang w:val="es-MX"/>
        </w:rPr>
        <w:t xml:space="preserve"> mediante el procedimiento ordinario</w:t>
      </w:r>
      <w:r w:rsidR="00B61412" w:rsidRPr="00D406CC">
        <w:rPr>
          <w:rFonts w:ascii="Arial" w:hAnsi="Arial" w:cs="Arial"/>
          <w:sz w:val="16"/>
          <w:szCs w:val="16"/>
          <w:lang w:val="es-MX"/>
        </w:rPr>
        <w:t xml:space="preserve"> (</w:t>
      </w:r>
      <w:r w:rsidR="009D12B8">
        <w:rPr>
          <w:rFonts w:ascii="Arial" w:hAnsi="Arial" w:cs="Arial"/>
          <w:sz w:val="16"/>
          <w:szCs w:val="16"/>
          <w:lang w:val="es-MX"/>
        </w:rPr>
        <w:t>477</w:t>
      </w:r>
      <w:r w:rsidR="00B61412" w:rsidRPr="00D406CC">
        <w:rPr>
          <w:rFonts w:ascii="Arial" w:hAnsi="Arial" w:cs="Arial"/>
          <w:sz w:val="16"/>
          <w:szCs w:val="16"/>
          <w:lang w:val="es-MX"/>
        </w:rPr>
        <w:t>)</w:t>
      </w:r>
      <w:r w:rsidRPr="00D406CC">
        <w:rPr>
          <w:rFonts w:ascii="Arial" w:hAnsi="Arial" w:cs="Arial"/>
          <w:sz w:val="16"/>
          <w:szCs w:val="16"/>
          <w:lang w:val="es-MX"/>
        </w:rPr>
        <w:t xml:space="preserve"> </w:t>
      </w:r>
      <w:r w:rsidR="00D406CC" w:rsidRPr="00D406CC">
        <w:rPr>
          <w:rFonts w:ascii="Arial" w:hAnsi="Arial" w:cs="Arial"/>
          <w:sz w:val="16"/>
          <w:szCs w:val="16"/>
          <w:lang w:val="es-MX"/>
        </w:rPr>
        <w:t xml:space="preserve">de los cuales se turnaron </w:t>
      </w:r>
      <w:r w:rsidR="009D12B8">
        <w:rPr>
          <w:rFonts w:ascii="Arial" w:hAnsi="Arial" w:cs="Arial"/>
          <w:sz w:val="16"/>
          <w:szCs w:val="16"/>
          <w:lang w:val="es-MX"/>
        </w:rPr>
        <w:t>26</w:t>
      </w:r>
      <w:r w:rsidR="00D406CC" w:rsidRPr="00D406CC">
        <w:rPr>
          <w:rFonts w:ascii="Arial" w:hAnsi="Arial" w:cs="Arial"/>
          <w:sz w:val="16"/>
          <w:szCs w:val="16"/>
          <w:lang w:val="es-MX"/>
        </w:rPr>
        <w:t xml:space="preserve"> al Comité de Transparencia, que por distinto rasgos de conexidad ordenó la acumulación para su análisis en un expediente, por lo que finalmente el cálculo toma como base los expedientes integrados (</w:t>
      </w:r>
      <w:r w:rsidR="009D12B8">
        <w:rPr>
          <w:rFonts w:ascii="Arial" w:hAnsi="Arial" w:cs="Arial"/>
          <w:sz w:val="16"/>
          <w:szCs w:val="16"/>
          <w:lang w:val="es-MX"/>
        </w:rPr>
        <w:t>26</w:t>
      </w:r>
      <w:r w:rsidR="00D406CC" w:rsidRPr="00D406C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4674B8">
        <w:rPr>
          <w:rFonts w:ascii="Arial" w:hAnsi="Arial" w:cs="Arial"/>
          <w:sz w:val="16"/>
          <w:szCs w:val="16"/>
        </w:rPr>
        <w:t xml:space="preserve">  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6771FE">
    <w:pPr>
      <w:pStyle w:val="Encabezado"/>
    </w:pPr>
    <w:r>
      <w:rPr>
        <w:noProof/>
        <w:lang w:val="es-MX" w:eastAsia="es-MX"/>
      </w:rPr>
      <mc:AlternateContent>
        <mc:Choice Requires="wps">
          <w:drawing>
            <wp:anchor distT="0" distB="0" distL="114300" distR="114300" simplePos="0" relativeHeight="251663360" behindDoc="0" locked="0" layoutInCell="1" allowOverlap="1" wp14:anchorId="58DB2A66" wp14:editId="6AF67081">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FA38F"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55C2C">
      <w:rPr>
        <w:noProof/>
        <w:lang w:val="es-MX" w:eastAsia="es-MX"/>
      </w:rPr>
      <w:drawing>
        <wp:inline distT="0" distB="0" distL="0" distR="0" wp14:anchorId="3E0B1AC1" wp14:editId="4B0E31A8">
          <wp:extent cx="1014719" cy="9677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FC0BC6">
      <w:rPr>
        <w:noProof/>
        <w:lang w:val="es-MX" w:eastAsia="es-MX"/>
      </w:rPr>
      <mc:AlternateContent>
        <mc:Choice Requires="wps">
          <w:drawing>
            <wp:anchor distT="0" distB="0" distL="114300" distR="114300" simplePos="0" relativeHeight="251670528" behindDoc="0" locked="0" layoutInCell="1" allowOverlap="1" wp14:anchorId="7A93E82C" wp14:editId="173EE0A4">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A40B4A" w:rsidP="00F53901">
                          <w:pPr>
                            <w:jc w:val="right"/>
                            <w:rPr>
                              <w:sz w:val="22"/>
                              <w:lang w:val="es-MX"/>
                            </w:rPr>
                          </w:pPr>
                          <w:r>
                            <w:rPr>
                              <w:sz w:val="22"/>
                              <w:lang w:val="es-MX"/>
                            </w:rPr>
                            <w:t xml:space="preserve">Julio a Septiembre </w:t>
                          </w:r>
                          <w:r w:rsidR="00FA6A3A">
                            <w:rPr>
                              <w:sz w:val="22"/>
                              <w:lang w:val="es-MX"/>
                            </w:rPr>
                            <w:t>de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3E82C"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A40B4A" w:rsidP="00F53901">
                    <w:pPr>
                      <w:jc w:val="right"/>
                      <w:rPr>
                        <w:sz w:val="22"/>
                        <w:lang w:val="es-MX"/>
                      </w:rPr>
                    </w:pPr>
                    <w:r>
                      <w:rPr>
                        <w:sz w:val="22"/>
                        <w:lang w:val="es-MX"/>
                      </w:rPr>
                      <w:t xml:space="preserve">Julio a Septiembre </w:t>
                    </w:r>
                    <w:r w:rsidR="00FA6A3A">
                      <w:rPr>
                        <w:sz w:val="22"/>
                        <w:lang w:val="es-MX"/>
                      </w:rPr>
                      <w:t>de 2016</w:t>
                    </w: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623CA268" wp14:editId="4B2F5DC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FB00"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4EE3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7F2C"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35pt;height:11.3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3D66"/>
    <w:rsid w:val="00012299"/>
    <w:rsid w:val="00045667"/>
    <w:rsid w:val="00062098"/>
    <w:rsid w:val="0007154F"/>
    <w:rsid w:val="00086FAD"/>
    <w:rsid w:val="00087F00"/>
    <w:rsid w:val="000952AA"/>
    <w:rsid w:val="000A0284"/>
    <w:rsid w:val="000A0C86"/>
    <w:rsid w:val="000B572B"/>
    <w:rsid w:val="000C549A"/>
    <w:rsid w:val="000D5F4A"/>
    <w:rsid w:val="000E0475"/>
    <w:rsid w:val="000E3F63"/>
    <w:rsid w:val="000F4586"/>
    <w:rsid w:val="00113DC9"/>
    <w:rsid w:val="00127378"/>
    <w:rsid w:val="00132FA2"/>
    <w:rsid w:val="0015393D"/>
    <w:rsid w:val="0017624E"/>
    <w:rsid w:val="00180598"/>
    <w:rsid w:val="001863CE"/>
    <w:rsid w:val="001A52FD"/>
    <w:rsid w:val="001C21C1"/>
    <w:rsid w:val="001E30E6"/>
    <w:rsid w:val="0020117F"/>
    <w:rsid w:val="0021411F"/>
    <w:rsid w:val="00233FCC"/>
    <w:rsid w:val="00255AE8"/>
    <w:rsid w:val="00263E0D"/>
    <w:rsid w:val="0026477E"/>
    <w:rsid w:val="00287F19"/>
    <w:rsid w:val="00292B77"/>
    <w:rsid w:val="002C23D4"/>
    <w:rsid w:val="002D0E84"/>
    <w:rsid w:val="002D2D1E"/>
    <w:rsid w:val="002D454B"/>
    <w:rsid w:val="002E461E"/>
    <w:rsid w:val="002E484B"/>
    <w:rsid w:val="002E5296"/>
    <w:rsid w:val="002F08CC"/>
    <w:rsid w:val="002F1FC1"/>
    <w:rsid w:val="002F6B7C"/>
    <w:rsid w:val="003024AE"/>
    <w:rsid w:val="00304F30"/>
    <w:rsid w:val="003142A0"/>
    <w:rsid w:val="00343AB8"/>
    <w:rsid w:val="00344AF2"/>
    <w:rsid w:val="00350507"/>
    <w:rsid w:val="003532A8"/>
    <w:rsid w:val="0036119F"/>
    <w:rsid w:val="003640DF"/>
    <w:rsid w:val="003701E9"/>
    <w:rsid w:val="00375121"/>
    <w:rsid w:val="00384F28"/>
    <w:rsid w:val="003A32C0"/>
    <w:rsid w:val="003B0370"/>
    <w:rsid w:val="003B2784"/>
    <w:rsid w:val="003B5E4C"/>
    <w:rsid w:val="003C5D50"/>
    <w:rsid w:val="003D1E0F"/>
    <w:rsid w:val="003E1486"/>
    <w:rsid w:val="003E4A06"/>
    <w:rsid w:val="00402C70"/>
    <w:rsid w:val="004040B6"/>
    <w:rsid w:val="00417C2B"/>
    <w:rsid w:val="00426766"/>
    <w:rsid w:val="00430FFF"/>
    <w:rsid w:val="00437B73"/>
    <w:rsid w:val="004657FA"/>
    <w:rsid w:val="00491A42"/>
    <w:rsid w:val="00492121"/>
    <w:rsid w:val="004A641F"/>
    <w:rsid w:val="004B3F0A"/>
    <w:rsid w:val="004C0B4B"/>
    <w:rsid w:val="004C1906"/>
    <w:rsid w:val="004C1917"/>
    <w:rsid w:val="004C4F9A"/>
    <w:rsid w:val="004C5C24"/>
    <w:rsid w:val="004E1E63"/>
    <w:rsid w:val="004E4FAE"/>
    <w:rsid w:val="0051153A"/>
    <w:rsid w:val="00512258"/>
    <w:rsid w:val="005335BE"/>
    <w:rsid w:val="00534D7D"/>
    <w:rsid w:val="00537198"/>
    <w:rsid w:val="005454A1"/>
    <w:rsid w:val="00546B9F"/>
    <w:rsid w:val="005541A0"/>
    <w:rsid w:val="00564CF8"/>
    <w:rsid w:val="00574F2C"/>
    <w:rsid w:val="00577FA5"/>
    <w:rsid w:val="005A261D"/>
    <w:rsid w:val="005A4480"/>
    <w:rsid w:val="005A5648"/>
    <w:rsid w:val="005B709B"/>
    <w:rsid w:val="005D24D6"/>
    <w:rsid w:val="005D3B93"/>
    <w:rsid w:val="005E6BE7"/>
    <w:rsid w:val="005F4AA8"/>
    <w:rsid w:val="00611810"/>
    <w:rsid w:val="00613672"/>
    <w:rsid w:val="006236E4"/>
    <w:rsid w:val="006336F7"/>
    <w:rsid w:val="00641F8B"/>
    <w:rsid w:val="00665DF2"/>
    <w:rsid w:val="006771FE"/>
    <w:rsid w:val="00691E19"/>
    <w:rsid w:val="00693E25"/>
    <w:rsid w:val="006A2A1E"/>
    <w:rsid w:val="006B2A12"/>
    <w:rsid w:val="006C42AB"/>
    <w:rsid w:val="006C75B7"/>
    <w:rsid w:val="006D665C"/>
    <w:rsid w:val="007039C5"/>
    <w:rsid w:val="007243DB"/>
    <w:rsid w:val="00725941"/>
    <w:rsid w:val="00727013"/>
    <w:rsid w:val="0073782F"/>
    <w:rsid w:val="00744A32"/>
    <w:rsid w:val="00751AFF"/>
    <w:rsid w:val="0076149D"/>
    <w:rsid w:val="00775A57"/>
    <w:rsid w:val="00775B11"/>
    <w:rsid w:val="00775B38"/>
    <w:rsid w:val="0077794B"/>
    <w:rsid w:val="0079444E"/>
    <w:rsid w:val="00795ED9"/>
    <w:rsid w:val="00796E14"/>
    <w:rsid w:val="007C1BB1"/>
    <w:rsid w:val="007D0908"/>
    <w:rsid w:val="007E3ACF"/>
    <w:rsid w:val="008068C9"/>
    <w:rsid w:val="00810D81"/>
    <w:rsid w:val="00816679"/>
    <w:rsid w:val="00830A4C"/>
    <w:rsid w:val="0083275C"/>
    <w:rsid w:val="00835B90"/>
    <w:rsid w:val="0084356E"/>
    <w:rsid w:val="008451EC"/>
    <w:rsid w:val="00875D0D"/>
    <w:rsid w:val="00891F2E"/>
    <w:rsid w:val="008956EE"/>
    <w:rsid w:val="008A54B2"/>
    <w:rsid w:val="008A5BCD"/>
    <w:rsid w:val="008A5D85"/>
    <w:rsid w:val="008D420C"/>
    <w:rsid w:val="008F5C63"/>
    <w:rsid w:val="00920F33"/>
    <w:rsid w:val="009232C2"/>
    <w:rsid w:val="009247BA"/>
    <w:rsid w:val="00934AD2"/>
    <w:rsid w:val="00941A63"/>
    <w:rsid w:val="00970C3F"/>
    <w:rsid w:val="0097573A"/>
    <w:rsid w:val="009828E5"/>
    <w:rsid w:val="009940CE"/>
    <w:rsid w:val="009A424C"/>
    <w:rsid w:val="009C4A39"/>
    <w:rsid w:val="009C59EF"/>
    <w:rsid w:val="009D12B8"/>
    <w:rsid w:val="009E5FC9"/>
    <w:rsid w:val="009E6FFC"/>
    <w:rsid w:val="009F4B2F"/>
    <w:rsid w:val="00A1401E"/>
    <w:rsid w:val="00A16870"/>
    <w:rsid w:val="00A170B0"/>
    <w:rsid w:val="00A213DC"/>
    <w:rsid w:val="00A3454E"/>
    <w:rsid w:val="00A40B4A"/>
    <w:rsid w:val="00A56FED"/>
    <w:rsid w:val="00A5717A"/>
    <w:rsid w:val="00A67EDD"/>
    <w:rsid w:val="00A7560F"/>
    <w:rsid w:val="00A82B51"/>
    <w:rsid w:val="00A83E36"/>
    <w:rsid w:val="00AA1B75"/>
    <w:rsid w:val="00AA3881"/>
    <w:rsid w:val="00AB56E2"/>
    <w:rsid w:val="00AB7C49"/>
    <w:rsid w:val="00AC5C37"/>
    <w:rsid w:val="00AD1792"/>
    <w:rsid w:val="00AD6BE6"/>
    <w:rsid w:val="00AE14E9"/>
    <w:rsid w:val="00AE1B2D"/>
    <w:rsid w:val="00AE6808"/>
    <w:rsid w:val="00B019C0"/>
    <w:rsid w:val="00B036FE"/>
    <w:rsid w:val="00B03E16"/>
    <w:rsid w:val="00B07518"/>
    <w:rsid w:val="00B2529E"/>
    <w:rsid w:val="00B34B30"/>
    <w:rsid w:val="00B429A3"/>
    <w:rsid w:val="00B460A8"/>
    <w:rsid w:val="00B5490A"/>
    <w:rsid w:val="00B555BE"/>
    <w:rsid w:val="00B61412"/>
    <w:rsid w:val="00B645C9"/>
    <w:rsid w:val="00B6709D"/>
    <w:rsid w:val="00B83C59"/>
    <w:rsid w:val="00BA3A9A"/>
    <w:rsid w:val="00BA4F6A"/>
    <w:rsid w:val="00BA5F54"/>
    <w:rsid w:val="00BA7ADD"/>
    <w:rsid w:val="00BB18E6"/>
    <w:rsid w:val="00BB411B"/>
    <w:rsid w:val="00BB4F5A"/>
    <w:rsid w:val="00BC1124"/>
    <w:rsid w:val="00BF3E18"/>
    <w:rsid w:val="00BF4C2A"/>
    <w:rsid w:val="00C157E7"/>
    <w:rsid w:val="00C21F44"/>
    <w:rsid w:val="00C23F85"/>
    <w:rsid w:val="00C41FC1"/>
    <w:rsid w:val="00C4377E"/>
    <w:rsid w:val="00C75CAC"/>
    <w:rsid w:val="00C85EE0"/>
    <w:rsid w:val="00C86B07"/>
    <w:rsid w:val="00C912BE"/>
    <w:rsid w:val="00C953B1"/>
    <w:rsid w:val="00CB4FB3"/>
    <w:rsid w:val="00CC1A8E"/>
    <w:rsid w:val="00CC28C4"/>
    <w:rsid w:val="00CD05AB"/>
    <w:rsid w:val="00CD0810"/>
    <w:rsid w:val="00CD73B5"/>
    <w:rsid w:val="00CE48C4"/>
    <w:rsid w:val="00CF30E6"/>
    <w:rsid w:val="00D2038F"/>
    <w:rsid w:val="00D406CC"/>
    <w:rsid w:val="00D40C13"/>
    <w:rsid w:val="00D53A9E"/>
    <w:rsid w:val="00D54F0B"/>
    <w:rsid w:val="00D55723"/>
    <w:rsid w:val="00D677DC"/>
    <w:rsid w:val="00D712C2"/>
    <w:rsid w:val="00D71A07"/>
    <w:rsid w:val="00D75561"/>
    <w:rsid w:val="00D836C5"/>
    <w:rsid w:val="00D93721"/>
    <w:rsid w:val="00D96944"/>
    <w:rsid w:val="00DA0FFB"/>
    <w:rsid w:val="00DB16B4"/>
    <w:rsid w:val="00DC0826"/>
    <w:rsid w:val="00E20E51"/>
    <w:rsid w:val="00E3200E"/>
    <w:rsid w:val="00E377EE"/>
    <w:rsid w:val="00E46D93"/>
    <w:rsid w:val="00E50368"/>
    <w:rsid w:val="00E5354A"/>
    <w:rsid w:val="00E903E4"/>
    <w:rsid w:val="00E904B3"/>
    <w:rsid w:val="00E975AD"/>
    <w:rsid w:val="00EA297B"/>
    <w:rsid w:val="00EA741A"/>
    <w:rsid w:val="00EE0C21"/>
    <w:rsid w:val="00EF2B2C"/>
    <w:rsid w:val="00F12BC1"/>
    <w:rsid w:val="00F20611"/>
    <w:rsid w:val="00F303BA"/>
    <w:rsid w:val="00F3243A"/>
    <w:rsid w:val="00F36D63"/>
    <w:rsid w:val="00F53901"/>
    <w:rsid w:val="00F55C2C"/>
    <w:rsid w:val="00F578C7"/>
    <w:rsid w:val="00F607BF"/>
    <w:rsid w:val="00F64D03"/>
    <w:rsid w:val="00F72BB6"/>
    <w:rsid w:val="00F8014E"/>
    <w:rsid w:val="00FA3054"/>
    <w:rsid w:val="00FA6A3A"/>
    <w:rsid w:val="00FB369D"/>
    <w:rsid w:val="00FC0BC6"/>
    <w:rsid w:val="00FC5CDB"/>
    <w:rsid w:val="00FE158B"/>
    <w:rsid w:val="00FE23D2"/>
    <w:rsid w:val="00FE6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7FBAC-97BE-48B9-9B30-575B02EA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UGTSIJ\ESTAD&#205;STICAS\2016\INDICADORES%20DE%20GESTI&#211;N\Tercer%20Trimestre%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Tercer%20Trimestre%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2016'!$A$5:$A$6</c:f>
              <c:strCache>
                <c:ptCount val="2"/>
                <c:pt idx="0">
                  <c:v>Procedimientos Sumarios</c:v>
                </c:pt>
                <c:pt idx="1">
                  <c:v>Procedimientos Ordinarios</c:v>
                </c:pt>
              </c:strCache>
            </c:strRef>
          </c:cat>
          <c:val>
            <c:numRef>
              <c:f>'Tercer Trim 2016'!$C$5:$C$6</c:f>
              <c:numCache>
                <c:formatCode>0.00%</c:formatCode>
                <c:ptCount val="2"/>
                <c:pt idx="0">
                  <c:v>0.95473524387929398</c:v>
                </c:pt>
                <c:pt idx="1">
                  <c:v>4.5264756120706018E-2</c:v>
                </c:pt>
              </c:numCache>
            </c:numRef>
          </c:val>
        </c:ser>
        <c:dLbls>
          <c:showLegendKey val="0"/>
          <c:showVal val="0"/>
          <c:showCatName val="1"/>
          <c:showSerName val="0"/>
          <c:showPercent val="0"/>
          <c:showBubbleSize val="0"/>
        </c:dLbls>
        <c:gapWidth val="76"/>
        <c:axId val="628561712"/>
        <c:axId val="628545472"/>
      </c:barChart>
      <c:catAx>
        <c:axId val="628561712"/>
        <c:scaling>
          <c:orientation val="minMax"/>
        </c:scaling>
        <c:delete val="1"/>
        <c:axPos val="b"/>
        <c:numFmt formatCode="General" sourceLinked="0"/>
        <c:majorTickMark val="out"/>
        <c:minorTickMark val="none"/>
        <c:tickLblPos val="none"/>
        <c:crossAx val="628545472"/>
        <c:crosses val="autoZero"/>
        <c:auto val="1"/>
        <c:lblAlgn val="ctr"/>
        <c:lblOffset val="100"/>
        <c:noMultiLvlLbl val="0"/>
      </c:catAx>
      <c:valAx>
        <c:axId val="628545472"/>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628561712"/>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'Tercer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2016'!$A$13:$A$59</c:f>
              <c:strCache>
                <c:ptCount val="47"/>
                <c:pt idx="0">
                  <c:v>Lerma, Edo de Mex.</c:v>
                </c:pt>
                <c:pt idx="1">
                  <c:v>Matamoros, Tamps.</c:v>
                </c:pt>
                <c:pt idx="2">
                  <c:v>Mazatlán, Sin.</c:v>
                </c:pt>
                <c:pt idx="3">
                  <c:v>Mexicali, B.C</c:v>
                </c:pt>
                <c:pt idx="4">
                  <c:v>Chihuahua, Chih.</c:v>
                </c:pt>
                <c:pt idx="5">
                  <c:v>Hermosillo, Son.</c:v>
                </c:pt>
                <c:pt idx="6">
                  <c:v>Veracruz, Ver.</c:v>
                </c:pt>
                <c:pt idx="7">
                  <c:v>Saltillo, Coah,</c:v>
                </c:pt>
                <c:pt idx="8">
                  <c:v>Guanajuato, Gto.</c:v>
                </c:pt>
                <c:pt idx="9">
                  <c:v>Celaya, Gto.</c:v>
                </c:pt>
                <c:pt idx="10">
                  <c:v>Villahermosa, Tab.</c:v>
                </c:pt>
                <c:pt idx="11">
                  <c:v>Querétaro, Qro.</c:v>
                </c:pt>
                <c:pt idx="12">
                  <c:v>Ciudad Victoria, Tamps.</c:v>
                </c:pt>
                <c:pt idx="13">
                  <c:v>Campeche, Camp.</c:v>
                </c:pt>
                <c:pt idx="14">
                  <c:v>Tuxtla Gutiérrez, Chis.</c:v>
                </c:pt>
                <c:pt idx="15">
                  <c:v>Tapachula, Chis.</c:v>
                </c:pt>
                <c:pt idx="16">
                  <c:v>Nuevo Laredo, Tamps.</c:v>
                </c:pt>
                <c:pt idx="17">
                  <c:v>Puebla, Pue.</c:v>
                </c:pt>
                <c:pt idx="18">
                  <c:v>La Paz, B.C.S.</c:v>
                </c:pt>
                <c:pt idx="19">
                  <c:v>Durango, Dgo.</c:v>
                </c:pt>
                <c:pt idx="20">
                  <c:v>Mérida, Yuc.</c:v>
                </c:pt>
                <c:pt idx="21">
                  <c:v>Uruapan, Mich.</c:v>
                </c:pt>
                <c:pt idx="22">
                  <c:v>Ciudad Juárez, Chih.</c:v>
                </c:pt>
                <c:pt idx="23">
                  <c:v>Pachuca, Hgo. </c:v>
                </c:pt>
                <c:pt idx="24">
                  <c:v>Torreón, Coah.</c:v>
                </c:pt>
                <c:pt idx="25">
                  <c:v>Xalapa, Ver.</c:v>
                </c:pt>
                <c:pt idx="26">
                  <c:v>Tijuana, B.C.</c:v>
                </c:pt>
                <c:pt idx="27">
                  <c:v>León, Gto.</c:v>
                </c:pt>
                <c:pt idx="28">
                  <c:v>Guadalajara, Jal.</c:v>
                </c:pt>
                <c:pt idx="29">
                  <c:v>San Luis Potosí, S.L.P.</c:v>
                </c:pt>
                <c:pt idx="30">
                  <c:v>Tlaxcala, Tlax.</c:v>
                </c:pt>
                <c:pt idx="31">
                  <c:v>Cuernavaca, Mor.</c:v>
                </c:pt>
                <c:pt idx="32">
                  <c:v>Tepic, Nay. </c:v>
                </c:pt>
                <c:pt idx="33">
                  <c:v>Aguascalientes, Ags</c:v>
                </c:pt>
                <c:pt idx="34">
                  <c:v>Acapulco, Gro. </c:v>
                </c:pt>
                <c:pt idx="35">
                  <c:v>Colima, Col.</c:v>
                </c:pt>
                <c:pt idx="36">
                  <c:v>Culiacán, Sin.</c:v>
                </c:pt>
                <c:pt idx="37">
                  <c:v>Monterrey, N.L.</c:v>
                </c:pt>
                <c:pt idx="38">
                  <c:v>Oaxaca, Oax</c:v>
                </c:pt>
                <c:pt idx="39">
                  <c:v>Morelia, Mich.</c:v>
                </c:pt>
                <c:pt idx="40">
                  <c:v>Chetumal, Q.Roo</c:v>
                </c:pt>
                <c:pt idx="41">
                  <c:v>Cancún, Q. Roo</c:v>
                </c:pt>
                <c:pt idx="42">
                  <c:v>Ensenada, B.C.</c:v>
                </c:pt>
                <c:pt idx="43">
                  <c:v>Ciudad Obregón, Son.</c:v>
                </c:pt>
                <c:pt idx="44">
                  <c:v>Zacatecas, Zac.</c:v>
                </c:pt>
                <c:pt idx="45">
                  <c:v>Toluca, Edo. de Mex.</c:v>
                </c:pt>
                <c:pt idx="46">
                  <c:v>Ciudad de México</c:v>
                </c:pt>
              </c:strCache>
            </c:strRef>
          </c:cat>
          <c:val>
            <c:numRef>
              <c:f>'Tercer Trim 2016'!$B$13:$B$59</c:f>
              <c:numCache>
                <c:formatCode>#,##0</c:formatCode>
                <c:ptCount val="47"/>
                <c:pt idx="0">
                  <c:v>10</c:v>
                </c:pt>
                <c:pt idx="1">
                  <c:v>20</c:v>
                </c:pt>
                <c:pt idx="2">
                  <c:v>24</c:v>
                </c:pt>
                <c:pt idx="3">
                  <c:v>26</c:v>
                </c:pt>
                <c:pt idx="4">
                  <c:v>26</c:v>
                </c:pt>
                <c:pt idx="5">
                  <c:v>27</c:v>
                </c:pt>
                <c:pt idx="6">
                  <c:v>28</c:v>
                </c:pt>
                <c:pt idx="7">
                  <c:v>39</c:v>
                </c:pt>
                <c:pt idx="8">
                  <c:v>45</c:v>
                </c:pt>
                <c:pt idx="9">
                  <c:v>48</c:v>
                </c:pt>
                <c:pt idx="10">
                  <c:v>63</c:v>
                </c:pt>
                <c:pt idx="11">
                  <c:v>66</c:v>
                </c:pt>
                <c:pt idx="12">
                  <c:v>66</c:v>
                </c:pt>
                <c:pt idx="13">
                  <c:v>69</c:v>
                </c:pt>
                <c:pt idx="14">
                  <c:v>75</c:v>
                </c:pt>
                <c:pt idx="15">
                  <c:v>75</c:v>
                </c:pt>
                <c:pt idx="16">
                  <c:v>77</c:v>
                </c:pt>
                <c:pt idx="17">
                  <c:v>80</c:v>
                </c:pt>
                <c:pt idx="18">
                  <c:v>93</c:v>
                </c:pt>
                <c:pt idx="19">
                  <c:v>93</c:v>
                </c:pt>
                <c:pt idx="20">
                  <c:v>94</c:v>
                </c:pt>
                <c:pt idx="21">
                  <c:v>97</c:v>
                </c:pt>
                <c:pt idx="22">
                  <c:v>98</c:v>
                </c:pt>
                <c:pt idx="23">
                  <c:v>111</c:v>
                </c:pt>
                <c:pt idx="24">
                  <c:v>123</c:v>
                </c:pt>
                <c:pt idx="25">
                  <c:v>142</c:v>
                </c:pt>
                <c:pt idx="26">
                  <c:v>149</c:v>
                </c:pt>
                <c:pt idx="27">
                  <c:v>163</c:v>
                </c:pt>
                <c:pt idx="28">
                  <c:v>168</c:v>
                </c:pt>
                <c:pt idx="29">
                  <c:v>214</c:v>
                </c:pt>
                <c:pt idx="30">
                  <c:v>214</c:v>
                </c:pt>
                <c:pt idx="31">
                  <c:v>215</c:v>
                </c:pt>
                <c:pt idx="32">
                  <c:v>220</c:v>
                </c:pt>
                <c:pt idx="33">
                  <c:v>221</c:v>
                </c:pt>
                <c:pt idx="34">
                  <c:v>244</c:v>
                </c:pt>
                <c:pt idx="35">
                  <c:v>249</c:v>
                </c:pt>
                <c:pt idx="36">
                  <c:v>266</c:v>
                </c:pt>
                <c:pt idx="37">
                  <c:v>270</c:v>
                </c:pt>
                <c:pt idx="38">
                  <c:v>276</c:v>
                </c:pt>
                <c:pt idx="39">
                  <c:v>302</c:v>
                </c:pt>
                <c:pt idx="40">
                  <c:v>366</c:v>
                </c:pt>
                <c:pt idx="41">
                  <c:v>369</c:v>
                </c:pt>
                <c:pt idx="42">
                  <c:v>427</c:v>
                </c:pt>
                <c:pt idx="43">
                  <c:v>470</c:v>
                </c:pt>
                <c:pt idx="44">
                  <c:v>481</c:v>
                </c:pt>
                <c:pt idx="45">
                  <c:v>516</c:v>
                </c:pt>
                <c:pt idx="46">
                  <c:v>1811</c:v>
                </c:pt>
              </c:numCache>
            </c:numRef>
          </c:val>
        </c:ser>
        <c:dLbls>
          <c:showLegendKey val="0"/>
          <c:showVal val="1"/>
          <c:showCatName val="0"/>
          <c:showSerName val="0"/>
          <c:showPercent val="0"/>
          <c:showBubbleSize val="0"/>
        </c:dLbls>
        <c:gapWidth val="150"/>
        <c:axId val="628574032"/>
        <c:axId val="628546592"/>
      </c:barChart>
      <c:catAx>
        <c:axId val="628574032"/>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628546592"/>
        <c:crosses val="autoZero"/>
        <c:auto val="1"/>
        <c:lblAlgn val="ctr"/>
        <c:lblOffset val="100"/>
        <c:tickLblSkip val="1"/>
        <c:tickMarkSkip val="1"/>
        <c:noMultiLvlLbl val="0"/>
      </c:catAx>
      <c:valAx>
        <c:axId val="62854659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628574032"/>
        <c:crosses val="autoZero"/>
        <c:crossBetween val="between"/>
        <c:majorUnit val="500"/>
      </c:valAx>
      <c:spPr>
        <a:noFill/>
        <a:ln>
          <a:solidFill>
            <a:schemeClr val="tx1">
              <a:lumMod val="50000"/>
              <a:lumOff val="50000"/>
            </a:schemeClr>
          </a:solidFill>
        </a:ln>
      </c:spPr>
    </c:plotArea>
    <c:plotVisOnly val="1"/>
    <c:dispBlanksAs val="gap"/>
    <c:showDLblsOverMax val="0"/>
  </c:chart>
  <c:spPr>
    <a:noFill/>
    <a:ln>
      <a:noFill/>
    </a:ln>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2016'!$A$69:$A$70</c:f>
              <c:strCache>
                <c:ptCount val="2"/>
                <c:pt idx="0">
                  <c:v>Solicitudes recibidas de manera presencial</c:v>
                </c:pt>
                <c:pt idx="1">
                  <c:v>Solicitudes recibidas por medios electrónicos</c:v>
                </c:pt>
              </c:strCache>
            </c:strRef>
          </c:cat>
          <c:val>
            <c:numRef>
              <c:f>'Tercer Trim 2016'!$C$69:$C$70</c:f>
              <c:numCache>
                <c:formatCode>0.00%</c:formatCode>
                <c:ptCount val="2"/>
                <c:pt idx="0">
                  <c:v>0.88159480760315256</c:v>
                </c:pt>
                <c:pt idx="1">
                  <c:v>0.11840519239684748</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2016'!$A$77:$A$79</c:f>
              <c:strCache>
                <c:ptCount val="3"/>
                <c:pt idx="0">
                  <c:v>Orientaciones</c:v>
                </c:pt>
                <c:pt idx="1">
                  <c:v>Canalizaciones</c:v>
                </c:pt>
                <c:pt idx="2">
                  <c:v>Solicitudes</c:v>
                </c:pt>
              </c:strCache>
            </c:strRef>
          </c:cat>
          <c:val>
            <c:numRef>
              <c:f>'Tercer Trim 2016'!$B$77:$B$79</c:f>
              <c:numCache>
                <c:formatCode>General</c:formatCode>
                <c:ptCount val="3"/>
                <c:pt idx="0" formatCode="#,##0">
                  <c:v>57</c:v>
                </c:pt>
                <c:pt idx="1">
                  <c:v>137</c:v>
                </c:pt>
                <c:pt idx="2" formatCode="#,##0">
                  <c:v>10785</c:v>
                </c:pt>
              </c:numCache>
            </c:numRef>
          </c:val>
        </c:ser>
        <c:dLbls>
          <c:showLegendKey val="0"/>
          <c:showVal val="1"/>
          <c:showCatName val="0"/>
          <c:showSerName val="0"/>
          <c:showPercent val="0"/>
          <c:showBubbleSize val="0"/>
        </c:dLbls>
        <c:gapWidth val="75"/>
        <c:axId val="628575712"/>
        <c:axId val="628576272"/>
      </c:barChart>
      <c:catAx>
        <c:axId val="628575712"/>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628576272"/>
        <c:crosses val="autoZero"/>
        <c:auto val="1"/>
        <c:lblAlgn val="ctr"/>
        <c:lblOffset val="100"/>
        <c:tickLblSkip val="1"/>
        <c:tickMarkSkip val="1"/>
        <c:noMultiLvlLbl val="0"/>
      </c:catAx>
      <c:valAx>
        <c:axId val="62857627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628575712"/>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2016'!$A$84:$A$85</c:f>
              <c:strCache>
                <c:ptCount val="2"/>
                <c:pt idx="0">
                  <c:v>Administrativa</c:v>
                </c:pt>
                <c:pt idx="1">
                  <c:v>Jurisdiccional</c:v>
                </c:pt>
              </c:strCache>
            </c:strRef>
          </c:cat>
          <c:val>
            <c:numRef>
              <c:f>'Tercer Trim 2016'!$C$84:$C$85</c:f>
              <c:numCache>
                <c:formatCode>0.00%</c:formatCode>
                <c:ptCount val="2"/>
                <c:pt idx="0">
                  <c:v>0.23689727463312368</c:v>
                </c:pt>
                <c:pt idx="1">
                  <c:v>0.76310272536687629</c:v>
                </c:pt>
              </c:numCache>
            </c:numRef>
          </c:val>
        </c:ser>
        <c:dLbls>
          <c:showLegendKey val="0"/>
          <c:showVal val="1"/>
          <c:showCatName val="0"/>
          <c:showSerName val="0"/>
          <c:showPercent val="0"/>
          <c:showBubbleSize val="0"/>
        </c:dLbls>
        <c:gapWidth val="103"/>
        <c:overlap val="88"/>
        <c:axId val="628566192"/>
        <c:axId val="628567312"/>
      </c:barChart>
      <c:catAx>
        <c:axId val="628566192"/>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628567312"/>
        <c:crosses val="autoZero"/>
        <c:auto val="1"/>
        <c:lblAlgn val="ctr"/>
        <c:lblOffset val="100"/>
        <c:tickLblSkip val="1"/>
        <c:tickMarkSkip val="1"/>
        <c:noMultiLvlLbl val="0"/>
      </c:catAx>
      <c:valAx>
        <c:axId val="628567312"/>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628566192"/>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2016'!$A$92:$A$93</c:f>
              <c:strCache>
                <c:ptCount val="2"/>
                <c:pt idx="0">
                  <c:v>Tramitados sin intervención del Comité</c:v>
                </c:pt>
                <c:pt idx="1">
                  <c:v>Turnos al Comité</c:v>
                </c:pt>
              </c:strCache>
            </c:strRef>
          </c:cat>
          <c:val>
            <c:numRef>
              <c:f>'Tercer Trim 2016'!$B$92:$B$93</c:f>
              <c:numCache>
                <c:formatCode>0.00%</c:formatCode>
                <c:ptCount val="2"/>
                <c:pt idx="0">
                  <c:v>0.9454926624737946</c:v>
                </c:pt>
                <c:pt idx="1">
                  <c:v>5.450733752620545E-2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7.4988291344733574E-2"/>
          <c:y val="8.5815634666945931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2016'!$A$96:$A$97</c:f>
              <c:strCache>
                <c:ptCount val="2"/>
                <c:pt idx="0">
                  <c:v>Clasificaciones emitidas por el Comité</c:v>
                </c:pt>
                <c:pt idx="1">
                  <c:v>Recursos de Revisión promovidos </c:v>
                </c:pt>
              </c:strCache>
            </c:strRef>
          </c:cat>
          <c:val>
            <c:numRef>
              <c:f>'Tercer Trim 2016'!$B$96:$B$97</c:f>
              <c:numCache>
                <c:formatCode>General</c:formatCode>
                <c:ptCount val="2"/>
                <c:pt idx="0">
                  <c:v>35</c:v>
                </c:pt>
                <c:pt idx="1">
                  <c:v>7</c:v>
                </c:pt>
              </c:numCache>
            </c:numRef>
          </c:val>
        </c:ser>
        <c:dLbls>
          <c:showLegendKey val="0"/>
          <c:showVal val="1"/>
          <c:showCatName val="1"/>
          <c:showSerName val="0"/>
          <c:showPercent val="0"/>
          <c:showBubbleSize val="0"/>
        </c:dLbls>
        <c:gapWidth val="150"/>
        <c:axId val="628548832"/>
        <c:axId val="628548272"/>
      </c:barChart>
      <c:catAx>
        <c:axId val="628548832"/>
        <c:scaling>
          <c:orientation val="minMax"/>
        </c:scaling>
        <c:delete val="1"/>
        <c:axPos val="b"/>
        <c:numFmt formatCode="General" sourceLinked="0"/>
        <c:majorTickMark val="out"/>
        <c:minorTickMark val="none"/>
        <c:tickLblPos val="none"/>
        <c:crossAx val="628548272"/>
        <c:crosses val="autoZero"/>
        <c:auto val="1"/>
        <c:lblAlgn val="ctr"/>
        <c:lblOffset val="100"/>
        <c:noMultiLvlLbl val="0"/>
      </c:catAx>
      <c:valAx>
        <c:axId val="628548272"/>
        <c:scaling>
          <c:orientation val="minMax"/>
          <c:max val="5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628548832"/>
        <c:crosses val="autoZero"/>
        <c:crossBetween val="between"/>
        <c:majorUnit val="1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0.24543</cdr:x>
      <cdr:y>0</cdr:y>
    </cdr:from>
    <cdr:to>
      <cdr:x>0.99579</cdr:x>
      <cdr:y>0.0256</cdr:y>
    </cdr:to>
    <cdr:sp macro="" textlink="">
      <cdr:nvSpPr>
        <cdr:cNvPr id="2" name="2 CuadroTexto"/>
        <cdr:cNvSpPr txBox="1"/>
      </cdr:nvSpPr>
      <cdr:spPr>
        <a:xfrm xmlns:a="http://schemas.openxmlformats.org/drawingml/2006/main">
          <a:off x="1250979" y="0"/>
          <a:ext cx="3824694" cy="1908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F1F8-0F96-49DD-A933-71FF9A02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MARIA GABRIELA RUIZ CONTRERAS</cp:lastModifiedBy>
  <cp:revision>11</cp:revision>
  <cp:lastPrinted>2017-01-25T19:56:00Z</cp:lastPrinted>
  <dcterms:created xsi:type="dcterms:W3CDTF">2016-10-24T02:27:00Z</dcterms:created>
  <dcterms:modified xsi:type="dcterms:W3CDTF">2017-01-25T19:58:00Z</dcterms:modified>
</cp:coreProperties>
</file>