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D0D" w:rsidRPr="005B585E" w:rsidRDefault="00875D0D" w:rsidP="005B585E">
      <w:pPr>
        <w:pStyle w:val="Prrafodelista"/>
      </w:pPr>
      <w:bookmarkStart w:id="0" w:name="_GoBack"/>
      <w:bookmarkEnd w:id="0"/>
    </w:p>
    <w:p w:rsidR="00875D0D" w:rsidRPr="00830A4C" w:rsidRDefault="00875D0D" w:rsidP="00875D0D">
      <w:pPr>
        <w:numPr>
          <w:ilvl w:val="0"/>
          <w:numId w:val="2"/>
        </w:numPr>
        <w:jc w:val="both"/>
        <w:rPr>
          <w:rFonts w:asciiTheme="majorHAnsi" w:hAnsiTheme="majorHAnsi" w:cs="Arial"/>
          <w:b/>
          <w:sz w:val="22"/>
          <w:szCs w:val="26"/>
          <w:lang w:val="es-MX"/>
        </w:rPr>
      </w:pPr>
      <w:r w:rsidRPr="00830A4C">
        <w:rPr>
          <w:rFonts w:asciiTheme="majorHAnsi" w:hAnsiTheme="majorHAnsi" w:cs="Arial"/>
          <w:b/>
          <w:sz w:val="22"/>
          <w:szCs w:val="26"/>
          <w:lang w:val="es-MX"/>
        </w:rPr>
        <w:t>Disponibilidad de información en medios de acceso público</w:t>
      </w:r>
      <w:r w:rsidRPr="00830A4C">
        <w:rPr>
          <w:rStyle w:val="Refdenotaalpie"/>
          <w:rFonts w:asciiTheme="majorHAnsi" w:hAnsiTheme="majorHAnsi" w:cs="Arial"/>
          <w:b/>
          <w:sz w:val="22"/>
          <w:szCs w:val="26"/>
        </w:rPr>
        <w:footnoteReference w:id="1"/>
      </w:r>
      <w:r w:rsidRPr="00830A4C">
        <w:rPr>
          <w:rFonts w:asciiTheme="majorHAnsi" w:hAnsiTheme="majorHAnsi" w:cs="Arial"/>
          <w:b/>
          <w:sz w:val="22"/>
          <w:szCs w:val="26"/>
          <w:lang w:val="es-MX"/>
        </w:rPr>
        <w:t xml:space="preserve">. </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 xml:space="preserve">Este indicador permite medir la cantidad de información pública disponible para otorgarse a través del procedimiento sumario.  </w:t>
      </w:r>
    </w:p>
    <w:p w:rsidR="00875D0D" w:rsidRPr="004E1E63" w:rsidRDefault="00875D0D" w:rsidP="00875D0D">
      <w:pPr>
        <w:ind w:left="360"/>
        <w:jc w:val="both"/>
        <w:rPr>
          <w:rFonts w:ascii="Georgia" w:hAnsi="Georgia" w:cs="Arial"/>
          <w:b/>
          <w:sz w:val="22"/>
          <w:szCs w:val="26"/>
          <w:lang w:val="es-MX"/>
        </w:rPr>
      </w:pPr>
    </w:p>
    <w:p w:rsidR="00875D0D" w:rsidRPr="004E1E63" w:rsidRDefault="00875D0D" w:rsidP="00875D0D">
      <w:pPr>
        <w:ind w:left="360"/>
        <w:jc w:val="both"/>
        <w:rPr>
          <w:rFonts w:ascii="Georgia" w:hAnsi="Georgia" w:cs="Arial"/>
          <w:b/>
          <w:sz w:val="22"/>
          <w:szCs w:val="26"/>
          <w:lang w:val="es-MX"/>
        </w:rPr>
      </w:pPr>
    </w:p>
    <w:p w:rsidR="00875D0D" w:rsidRDefault="00875D0D" w:rsidP="00113DC9">
      <w:pPr>
        <w:ind w:left="709"/>
        <w:jc w:val="both"/>
        <w:rPr>
          <w:rFonts w:ascii="Georgia" w:hAnsi="Georgia" w:cs="Arial"/>
          <w:b/>
          <w:sz w:val="22"/>
          <w:szCs w:val="26"/>
          <w:lang w:val="es-MX"/>
        </w:rPr>
      </w:pPr>
      <w:r w:rsidRPr="004E1E63">
        <w:rPr>
          <w:rFonts w:ascii="Georgia" w:hAnsi="Georgia" w:cs="Arial"/>
          <w:b/>
          <w:sz w:val="22"/>
          <w:szCs w:val="26"/>
          <w:lang w:val="es-MX"/>
        </w:rPr>
        <w:t>Resultados:</w:t>
      </w:r>
    </w:p>
    <w:p w:rsidR="00113DC9" w:rsidRPr="00113DC9" w:rsidRDefault="00113DC9" w:rsidP="00113DC9">
      <w:pPr>
        <w:ind w:left="709"/>
        <w:jc w:val="both"/>
        <w:rPr>
          <w:rFonts w:ascii="Georgia" w:hAnsi="Georgia" w:cs="Arial"/>
          <w:b/>
          <w:sz w:val="22"/>
          <w:szCs w:val="26"/>
          <w:lang w:val="es-MX"/>
        </w:rPr>
      </w:pPr>
    </w:p>
    <w:p w:rsidR="00696BBF" w:rsidRPr="00972F9F" w:rsidRDefault="00696BBF" w:rsidP="00696BBF">
      <w:pPr>
        <w:ind w:left="709"/>
        <w:jc w:val="both"/>
        <w:rPr>
          <w:rFonts w:ascii="Georgia" w:hAnsi="Georgia" w:cs="Arial"/>
          <w:sz w:val="22"/>
          <w:szCs w:val="26"/>
          <w:lang w:val="es-MX"/>
        </w:rPr>
      </w:pPr>
      <w:r w:rsidRPr="008F60E7">
        <w:rPr>
          <w:rFonts w:ascii="Georgia" w:hAnsi="Georgia" w:cs="Arial"/>
          <w:sz w:val="22"/>
          <w:szCs w:val="26"/>
          <w:lang w:val="es-MX"/>
        </w:rPr>
        <w:t xml:space="preserve">Porcentaje de procedimientos </w:t>
      </w:r>
      <w:r w:rsidRPr="00972F9F">
        <w:rPr>
          <w:rFonts w:ascii="Georgia" w:hAnsi="Georgia" w:cs="Arial"/>
          <w:sz w:val="22"/>
          <w:szCs w:val="26"/>
          <w:lang w:val="es-MX"/>
        </w:rPr>
        <w:t xml:space="preserve">sumarios: </w:t>
      </w:r>
      <w:r w:rsidR="00413372" w:rsidRPr="00972F9F">
        <w:rPr>
          <w:rFonts w:ascii="Georgia" w:hAnsi="Georgia" w:cs="Arial"/>
          <w:b/>
          <w:sz w:val="22"/>
          <w:szCs w:val="26"/>
          <w:lang w:val="es-MX"/>
        </w:rPr>
        <w:t>94</w:t>
      </w:r>
      <w:r w:rsidR="00C13809" w:rsidRPr="00972F9F">
        <w:rPr>
          <w:rFonts w:ascii="Georgia" w:hAnsi="Georgia" w:cs="Arial"/>
          <w:b/>
          <w:sz w:val="22"/>
          <w:szCs w:val="26"/>
          <w:lang w:val="es-MX"/>
        </w:rPr>
        <w:t>.</w:t>
      </w:r>
      <w:r w:rsidR="002D255A" w:rsidRPr="00972F9F">
        <w:rPr>
          <w:rFonts w:ascii="Georgia" w:hAnsi="Georgia" w:cs="Arial"/>
          <w:b/>
          <w:sz w:val="22"/>
          <w:szCs w:val="26"/>
          <w:lang w:val="es-MX"/>
        </w:rPr>
        <w:t>07</w:t>
      </w:r>
      <w:r w:rsidRPr="00972F9F">
        <w:rPr>
          <w:rFonts w:ascii="Georgia" w:hAnsi="Georgia" w:cs="Arial"/>
          <w:b/>
          <w:sz w:val="22"/>
          <w:szCs w:val="26"/>
          <w:lang w:val="es-MX"/>
        </w:rPr>
        <w:t>%</w:t>
      </w:r>
    </w:p>
    <w:p w:rsidR="00696BBF" w:rsidRPr="00972F9F" w:rsidRDefault="00696BBF" w:rsidP="00696BBF">
      <w:pPr>
        <w:ind w:left="709"/>
        <w:jc w:val="both"/>
        <w:rPr>
          <w:rFonts w:ascii="Georgia" w:hAnsi="Georgia" w:cs="Arial"/>
          <w:sz w:val="22"/>
          <w:szCs w:val="26"/>
          <w:lang w:val="es-MX"/>
        </w:rPr>
      </w:pPr>
    </w:p>
    <w:p w:rsidR="00875D0D" w:rsidRPr="004E1E63" w:rsidRDefault="00696BBF" w:rsidP="00696BBF">
      <w:pPr>
        <w:ind w:left="709"/>
        <w:jc w:val="both"/>
        <w:rPr>
          <w:rFonts w:ascii="Georgia" w:hAnsi="Georgia" w:cs="Arial"/>
          <w:sz w:val="22"/>
          <w:szCs w:val="26"/>
          <w:lang w:val="es-MX"/>
        </w:rPr>
      </w:pPr>
      <w:r w:rsidRPr="00972F9F">
        <w:rPr>
          <w:rFonts w:ascii="Georgia" w:hAnsi="Georgia" w:cs="Arial"/>
          <w:sz w:val="22"/>
          <w:szCs w:val="26"/>
          <w:lang w:val="es-MX"/>
        </w:rPr>
        <w:t xml:space="preserve">Porcentaje de procedimientos ordinarios: </w:t>
      </w:r>
      <w:r w:rsidR="00413372" w:rsidRPr="00972F9F">
        <w:rPr>
          <w:rFonts w:ascii="Georgia" w:hAnsi="Georgia" w:cs="Arial"/>
          <w:b/>
          <w:sz w:val="22"/>
          <w:szCs w:val="26"/>
          <w:lang w:val="es-MX"/>
        </w:rPr>
        <w:t>5</w:t>
      </w:r>
      <w:r w:rsidR="006F4AC9" w:rsidRPr="00972F9F">
        <w:rPr>
          <w:rFonts w:ascii="Georgia" w:hAnsi="Georgia" w:cs="Arial"/>
          <w:b/>
          <w:sz w:val="22"/>
          <w:szCs w:val="26"/>
          <w:lang w:val="es-MX"/>
        </w:rPr>
        <w:t>.</w:t>
      </w:r>
      <w:r w:rsidR="002D255A" w:rsidRPr="00972F9F">
        <w:rPr>
          <w:rFonts w:ascii="Georgia" w:hAnsi="Georgia" w:cs="Arial"/>
          <w:b/>
          <w:sz w:val="22"/>
          <w:szCs w:val="26"/>
          <w:lang w:val="es-MX"/>
        </w:rPr>
        <w:t>93</w:t>
      </w:r>
      <w:r w:rsidRPr="00972F9F">
        <w:rPr>
          <w:rFonts w:ascii="Georgia" w:hAnsi="Georgia" w:cs="Arial"/>
          <w:b/>
          <w:sz w:val="22"/>
          <w:szCs w:val="26"/>
          <w:lang w:val="es-MX"/>
        </w:rPr>
        <w:t>%</w:t>
      </w:r>
    </w:p>
    <w:p w:rsidR="00875D0D" w:rsidRPr="004E1E63" w:rsidRDefault="00875D0D" w:rsidP="00875D0D">
      <w:pPr>
        <w:ind w:left="709"/>
        <w:jc w:val="both"/>
        <w:rPr>
          <w:rFonts w:ascii="Georgia" w:hAnsi="Georgia" w:cs="Arial"/>
          <w:b/>
          <w:sz w:val="22"/>
          <w:szCs w:val="26"/>
          <w:lang w:val="es-MX"/>
        </w:rPr>
      </w:pPr>
    </w:p>
    <w:p w:rsidR="00875D0D" w:rsidRPr="00875D0D" w:rsidRDefault="00875D0D" w:rsidP="00875D0D">
      <w:pPr>
        <w:ind w:left="709"/>
        <w:jc w:val="both"/>
        <w:rPr>
          <w:rFonts w:ascii="Arial" w:hAnsi="Arial" w:cs="Arial"/>
          <w:b/>
          <w:sz w:val="22"/>
          <w:szCs w:val="26"/>
          <w:lang w:val="es-MX"/>
        </w:rPr>
      </w:pPr>
    </w:p>
    <w:p w:rsidR="00875D0D" w:rsidRDefault="00875D0D" w:rsidP="00DB3398">
      <w:pPr>
        <w:tabs>
          <w:tab w:val="left" w:pos="7956"/>
        </w:tabs>
        <w:ind w:left="709"/>
        <w:jc w:val="both"/>
        <w:rPr>
          <w:rFonts w:ascii="Georgia" w:hAnsi="Georgia" w:cs="Arial"/>
          <w:b/>
          <w:sz w:val="22"/>
          <w:szCs w:val="26"/>
          <w:lang w:val="es-MX"/>
        </w:rPr>
      </w:pPr>
      <w:r w:rsidRPr="00830A4C">
        <w:rPr>
          <w:rFonts w:ascii="Georgia" w:hAnsi="Georgia" w:cs="Arial"/>
          <w:b/>
          <w:sz w:val="22"/>
          <w:szCs w:val="26"/>
          <w:lang w:val="es-MX"/>
        </w:rPr>
        <w:t>Gráfica:</w:t>
      </w:r>
      <w:r w:rsidR="00DB3398">
        <w:rPr>
          <w:rFonts w:ascii="Georgia" w:hAnsi="Georgia" w:cs="Arial"/>
          <w:b/>
          <w:sz w:val="22"/>
          <w:szCs w:val="26"/>
          <w:lang w:val="es-MX"/>
        </w:rPr>
        <w:tab/>
      </w:r>
    </w:p>
    <w:p w:rsidR="00891F2E" w:rsidRDefault="00891F2E" w:rsidP="00875D0D">
      <w:pPr>
        <w:ind w:left="709"/>
        <w:jc w:val="both"/>
        <w:rPr>
          <w:rFonts w:ascii="Georgia" w:hAnsi="Georgia" w:cs="Arial"/>
          <w:b/>
          <w:sz w:val="22"/>
          <w:szCs w:val="26"/>
          <w:lang w:val="es-MX"/>
        </w:rPr>
      </w:pPr>
    </w:p>
    <w:p w:rsidR="00FE23D2" w:rsidRDefault="002D255A" w:rsidP="00875D0D">
      <w:pPr>
        <w:ind w:left="709"/>
        <w:jc w:val="both"/>
        <w:rPr>
          <w:noProof/>
          <w:lang w:val="es-MX" w:eastAsia="es-MX"/>
        </w:rPr>
      </w:pPr>
      <w:r>
        <w:rPr>
          <w:noProof/>
          <w:lang w:val="es-MX" w:eastAsia="es-MX"/>
        </w:rPr>
        <w:drawing>
          <wp:inline distT="0" distB="0" distL="0" distR="0" wp14:anchorId="51094722" wp14:editId="0BC3234A">
            <wp:extent cx="4696627" cy="265747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1F2E" w:rsidRPr="00830A4C" w:rsidRDefault="00891F2E" w:rsidP="00875D0D">
      <w:pPr>
        <w:ind w:left="709"/>
        <w:jc w:val="both"/>
        <w:rPr>
          <w:rFonts w:ascii="Georgia" w:hAnsi="Georgia" w:cs="Arial"/>
          <w:b/>
          <w:sz w:val="22"/>
          <w:szCs w:val="26"/>
          <w:lang w:val="es-MX"/>
        </w:rPr>
      </w:pPr>
    </w:p>
    <w:p w:rsidR="004040B6" w:rsidRDefault="004040B6" w:rsidP="00CC1A8E">
      <w:pPr>
        <w:spacing w:after="200" w:line="276" w:lineRule="auto"/>
        <w:jc w:val="center"/>
        <w:rPr>
          <w:rFonts w:asciiTheme="minorHAnsi" w:eastAsia="Times New Roman" w:hAnsiTheme="minorHAnsi"/>
          <w:sz w:val="20"/>
          <w:szCs w:val="20"/>
          <w:lang w:val="es-ES" w:eastAsia="es-MX"/>
        </w:rPr>
      </w:pPr>
      <w:r>
        <w:br w:type="page"/>
      </w:r>
    </w:p>
    <w:p w:rsidR="00875D0D" w:rsidRPr="00830A4C" w:rsidRDefault="00875D0D" w:rsidP="00875D0D">
      <w:pPr>
        <w:numPr>
          <w:ilvl w:val="0"/>
          <w:numId w:val="2"/>
        </w:numPr>
        <w:jc w:val="both"/>
        <w:rPr>
          <w:rFonts w:ascii="Georgia" w:hAnsi="Georgia" w:cs="Arial"/>
          <w:b/>
          <w:sz w:val="22"/>
          <w:szCs w:val="26"/>
          <w:lang w:val="es-MX"/>
        </w:rPr>
      </w:pPr>
      <w:r w:rsidRPr="00967D5E">
        <w:rPr>
          <w:rFonts w:ascii="Georgia" w:hAnsi="Georgia" w:cs="Arial"/>
          <w:b/>
          <w:sz w:val="22"/>
          <w:szCs w:val="26"/>
          <w:lang w:val="es-MX"/>
        </w:rPr>
        <w:lastRenderedPageBreak/>
        <w:t>Trámite de solicitudes</w:t>
      </w:r>
      <w:r w:rsidRPr="00830A4C">
        <w:rPr>
          <w:rFonts w:ascii="Georgia" w:hAnsi="Georgia" w:cs="Arial"/>
          <w:b/>
          <w:sz w:val="22"/>
          <w:szCs w:val="26"/>
          <w:lang w:val="es-MX"/>
        </w:rPr>
        <w:t xml:space="preserve"> de información mediante el procedimiento sumario en los Módulos de Acceso a la Información</w:t>
      </w:r>
      <w:r w:rsidRPr="00830A4C">
        <w:rPr>
          <w:rStyle w:val="Refdenotaalpie"/>
          <w:rFonts w:ascii="Georgia" w:hAnsi="Georgia" w:cs="Arial"/>
          <w:b/>
          <w:sz w:val="22"/>
          <w:szCs w:val="26"/>
        </w:rPr>
        <w:footnoteReference w:id="2"/>
      </w:r>
      <w:r w:rsidRPr="00830A4C">
        <w:rPr>
          <w:rFonts w:ascii="Georgia" w:hAnsi="Georgia" w:cs="Arial"/>
          <w:b/>
          <w:sz w:val="22"/>
          <w:szCs w:val="26"/>
          <w:lang w:val="es-MX"/>
        </w:rPr>
        <w:t>.</w:t>
      </w:r>
    </w:p>
    <w:p w:rsidR="00875D0D" w:rsidRPr="00875D0D" w:rsidRDefault="00875D0D" w:rsidP="00875D0D">
      <w:pPr>
        <w:ind w:left="360"/>
        <w:jc w:val="both"/>
        <w:rPr>
          <w:rFonts w:ascii="Arial" w:hAnsi="Arial" w:cs="Arial"/>
          <w:b/>
          <w:sz w:val="22"/>
          <w:szCs w:val="26"/>
          <w:lang w:val="es-MX"/>
        </w:rPr>
      </w:pPr>
    </w:p>
    <w:p w:rsidR="00875D0D" w:rsidRPr="004E1E63" w:rsidRDefault="00875D0D" w:rsidP="00875D0D">
      <w:pPr>
        <w:ind w:left="709"/>
        <w:jc w:val="both"/>
        <w:rPr>
          <w:rFonts w:ascii="Georgia" w:hAnsi="Georgia" w:cs="Arial"/>
          <w:b/>
          <w:sz w:val="22"/>
          <w:szCs w:val="26"/>
          <w:lang w:val="es-MX"/>
        </w:rPr>
      </w:pPr>
      <w:r w:rsidRPr="004E1E63">
        <w:rPr>
          <w:rFonts w:ascii="Georgia" w:hAnsi="Georgia" w:cs="Arial"/>
          <w:sz w:val="22"/>
          <w:szCs w:val="26"/>
          <w:lang w:val="es-MX"/>
        </w:rPr>
        <w:t>Este indicador permite determinar las ciudades en que realizan el mayor número de trámites de solicitudes de información mediante el procedimiento sumario.</w:t>
      </w:r>
    </w:p>
    <w:p w:rsidR="00875D0D" w:rsidRDefault="00875D0D" w:rsidP="00875D0D">
      <w:pPr>
        <w:ind w:left="709"/>
        <w:jc w:val="both"/>
        <w:rPr>
          <w:rFonts w:ascii="Georgia" w:hAnsi="Georgia" w:cs="Arial"/>
          <w:sz w:val="22"/>
          <w:szCs w:val="26"/>
          <w:lang w:val="es-MX"/>
        </w:rPr>
      </w:pPr>
      <w:r w:rsidRPr="004E1E63">
        <w:rPr>
          <w:rFonts w:ascii="Georgia" w:hAnsi="Georgia" w:cs="Arial"/>
          <w:sz w:val="22"/>
          <w:szCs w:val="26"/>
          <w:lang w:val="es-MX"/>
        </w:rPr>
        <w:t xml:space="preserve"> </w:t>
      </w:r>
    </w:p>
    <w:p w:rsidR="00DB3398" w:rsidRPr="004E1E63" w:rsidRDefault="00DB3398" w:rsidP="00875D0D">
      <w:pPr>
        <w:ind w:left="709"/>
        <w:jc w:val="both"/>
        <w:rPr>
          <w:rFonts w:ascii="Georgia" w:hAnsi="Georgia" w:cs="Arial"/>
          <w:sz w:val="22"/>
          <w:szCs w:val="26"/>
          <w:lang w:val="es-MX"/>
        </w:rPr>
      </w:pPr>
    </w:p>
    <w:p w:rsidR="00875D0D" w:rsidRDefault="00875D0D" w:rsidP="00E975AD">
      <w:pPr>
        <w:ind w:left="709"/>
        <w:jc w:val="both"/>
      </w:pPr>
      <w:r w:rsidRPr="00830A4C">
        <w:rPr>
          <w:rFonts w:ascii="Georgia" w:hAnsi="Georgia" w:cs="Arial"/>
          <w:b/>
          <w:sz w:val="22"/>
          <w:szCs w:val="26"/>
        </w:rPr>
        <w:t>Resultados:</w:t>
      </w:r>
      <w:r w:rsidR="004E1E63">
        <w:tab/>
      </w:r>
    </w:p>
    <w:p w:rsidR="00DB3398" w:rsidRDefault="00DB3398" w:rsidP="00E975AD">
      <w:pPr>
        <w:ind w:left="709"/>
        <w:jc w:val="both"/>
      </w:pPr>
    </w:p>
    <w:p w:rsidR="00DB3398" w:rsidRDefault="00DB3398" w:rsidP="00DB3398">
      <w:pPr>
        <w:jc w:val="both"/>
      </w:pPr>
    </w:p>
    <w:p w:rsidR="00DB3398" w:rsidRDefault="00DB3398" w:rsidP="00DB3398">
      <w:pPr>
        <w:jc w:val="both"/>
      </w:pPr>
    </w:p>
    <w:tbl>
      <w:tblPr>
        <w:tblpPr w:leftFromText="141" w:rightFromText="141" w:vertAnchor="text" w:tblpX="709" w:tblpY="1"/>
        <w:tblOverlap w:val="never"/>
        <w:tblW w:w="7797" w:type="dxa"/>
        <w:tblCellMar>
          <w:left w:w="70" w:type="dxa"/>
          <w:right w:w="70" w:type="dxa"/>
        </w:tblCellMar>
        <w:tblLook w:val="04A0" w:firstRow="1" w:lastRow="0" w:firstColumn="1" w:lastColumn="0" w:noHBand="0" w:noVBand="1"/>
      </w:tblPr>
      <w:tblGrid>
        <w:gridCol w:w="4962"/>
        <w:gridCol w:w="1417"/>
        <w:gridCol w:w="1418"/>
      </w:tblGrid>
      <w:tr w:rsidR="00875D0D" w:rsidRPr="008873FE" w:rsidTr="006C75B7">
        <w:trPr>
          <w:trHeight w:val="270"/>
        </w:trPr>
        <w:tc>
          <w:tcPr>
            <w:tcW w:w="4962" w:type="dxa"/>
            <w:tcBorders>
              <w:top w:val="nil"/>
              <w:left w:val="nil"/>
              <w:bottom w:val="single" w:sz="8" w:space="0" w:color="auto"/>
              <w:right w:val="nil"/>
            </w:tcBorders>
            <w:shd w:val="clear" w:color="auto" w:fill="auto"/>
            <w:noWrap/>
            <w:vAlign w:val="bottom"/>
            <w:hideMark/>
          </w:tcPr>
          <w:p w:rsidR="00875D0D" w:rsidRPr="00875D0D" w:rsidRDefault="00875D0D" w:rsidP="006C75B7">
            <w:pPr>
              <w:rPr>
                <w:rFonts w:ascii="Arial" w:hAnsi="Arial" w:cs="Arial"/>
                <w:sz w:val="20"/>
                <w:szCs w:val="20"/>
              </w:rPr>
            </w:pPr>
          </w:p>
        </w:tc>
        <w:tc>
          <w:tcPr>
            <w:tcW w:w="1417"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Sumarios</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Porcentaje</w:t>
            </w:r>
          </w:p>
        </w:tc>
      </w:tr>
      <w:tr w:rsidR="00875D0D" w:rsidRPr="008873FE" w:rsidTr="006C75B7">
        <w:trPr>
          <w:trHeight w:val="270"/>
        </w:trPr>
        <w:tc>
          <w:tcPr>
            <w:tcW w:w="4962"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Ciudad</w:t>
            </w:r>
          </w:p>
        </w:tc>
        <w:tc>
          <w:tcPr>
            <w:tcW w:w="1417" w:type="dxa"/>
            <w:tcBorders>
              <w:top w:val="nil"/>
              <w:left w:val="nil"/>
              <w:bottom w:val="single" w:sz="8" w:space="0" w:color="auto"/>
              <w:right w:val="single" w:sz="8" w:space="0" w:color="auto"/>
            </w:tcBorders>
            <w:shd w:val="clear" w:color="auto" w:fill="679BBC" w:themeFill="text1" w:themeFillTint="80"/>
            <w:noWrap/>
            <w:vAlign w:val="center"/>
            <w:hideMark/>
          </w:tcPr>
          <w:p w:rsidR="00875D0D" w:rsidRPr="00875D0D" w:rsidRDefault="00875D0D" w:rsidP="006C75B7">
            <w:pPr>
              <w:jc w:val="center"/>
              <w:rPr>
                <w:rFonts w:ascii="Arial" w:hAnsi="Arial" w:cs="Arial"/>
                <w:b/>
                <w:bCs/>
                <w:color w:val="FFFFFF"/>
                <w:sz w:val="20"/>
              </w:rPr>
            </w:pPr>
            <w:r w:rsidRPr="00875D0D">
              <w:rPr>
                <w:rFonts w:ascii="Arial" w:hAnsi="Arial" w:cs="Arial"/>
                <w:b/>
                <w:bCs/>
                <w:color w:val="FFFFFF"/>
                <w:sz w:val="20"/>
                <w:szCs w:val="22"/>
              </w:rPr>
              <w:t>Tramitados</w:t>
            </w:r>
          </w:p>
        </w:tc>
        <w:tc>
          <w:tcPr>
            <w:tcW w:w="141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875D0D" w:rsidRPr="00875D0D" w:rsidRDefault="00875D0D" w:rsidP="006C75B7">
            <w:pPr>
              <w:rPr>
                <w:rFonts w:ascii="Arial" w:hAnsi="Arial" w:cs="Arial"/>
                <w:b/>
                <w:bCs/>
                <w:color w:val="FFFFFF"/>
                <w:sz w:val="20"/>
              </w:rPr>
            </w:pP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hideMark/>
          </w:tcPr>
          <w:p w:rsidR="008875DF" w:rsidRDefault="008875DF" w:rsidP="008875DF">
            <w:pPr>
              <w:rPr>
                <w:rFonts w:ascii="Arial" w:eastAsia="Times New Roman" w:hAnsi="Arial" w:cs="Arial"/>
                <w:sz w:val="20"/>
                <w:szCs w:val="20"/>
                <w:lang w:val="es-MX" w:eastAsia="es-MX"/>
              </w:rPr>
            </w:pPr>
            <w:r>
              <w:rPr>
                <w:rFonts w:ascii="Arial" w:hAnsi="Arial" w:cs="Arial"/>
                <w:sz w:val="20"/>
                <w:szCs w:val="20"/>
              </w:rPr>
              <w:t>Ciudad de México</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1,421</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18.87%</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Zacatecas, Zac.</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649</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8.62%</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Tlaxcala, Tlax.</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428</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5.68%</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Toluca, Edo. de Mex.</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396</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5.26%</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Morelia, Mich.</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279</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3.71%</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Querétaro, Qro.</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273</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3.63%</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Ciudad Victoria, Tamps.</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254</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3.37%</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Cancún, Q. Roo</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218</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2.90%</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Monterrey, N.L.</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208</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2.76%</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Campeche, Camp.</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194</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2.58%</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Oaxaca, Oax</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194</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2.58%</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Cuernavaca, Mor.</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193</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2.56%</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Pr="008875DF" w:rsidRDefault="008875DF" w:rsidP="008875DF">
            <w:pPr>
              <w:rPr>
                <w:rFonts w:ascii="Arial" w:hAnsi="Arial" w:cs="Arial"/>
                <w:sz w:val="20"/>
                <w:szCs w:val="20"/>
                <w:lang w:val="es-MX"/>
              </w:rPr>
            </w:pPr>
            <w:r w:rsidRPr="008875DF">
              <w:rPr>
                <w:rFonts w:ascii="Arial" w:hAnsi="Arial" w:cs="Arial"/>
                <w:sz w:val="20"/>
                <w:szCs w:val="20"/>
                <w:lang w:val="es-MX"/>
              </w:rPr>
              <w:t>San Luis Potosí, S.L.P.</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189</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2.51%</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Guadalajara, Jal.</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155</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2.06%</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Colima, Col.</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153</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2.03%</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Nuevo Laredo, Tamps.</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147</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1.95%</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Puebla, Pue.</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137</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1.82%</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Durango, Dgo.</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134</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1.78%</w:t>
            </w:r>
          </w:p>
        </w:tc>
      </w:tr>
      <w:tr w:rsidR="008875DF" w:rsidRPr="00DB3398" w:rsidTr="00F61C72">
        <w:trPr>
          <w:trHeight w:val="340"/>
        </w:trPr>
        <w:tc>
          <w:tcPr>
            <w:tcW w:w="4962"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Tijuana, B.C.</w:t>
            </w:r>
          </w:p>
        </w:tc>
        <w:tc>
          <w:tcPr>
            <w:tcW w:w="1417"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130</w:t>
            </w:r>
          </w:p>
        </w:tc>
        <w:tc>
          <w:tcPr>
            <w:tcW w:w="141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1.73%</w:t>
            </w:r>
          </w:p>
        </w:tc>
      </w:tr>
    </w:tbl>
    <w:tbl>
      <w:tblPr>
        <w:tblW w:w="7787" w:type="dxa"/>
        <w:tblInd w:w="718" w:type="dxa"/>
        <w:tblCellMar>
          <w:left w:w="70" w:type="dxa"/>
          <w:right w:w="70" w:type="dxa"/>
        </w:tblCellMar>
        <w:tblLook w:val="04A0" w:firstRow="1" w:lastRow="0" w:firstColumn="1" w:lastColumn="0" w:noHBand="0" w:noVBand="1"/>
      </w:tblPr>
      <w:tblGrid>
        <w:gridCol w:w="5000"/>
        <w:gridCol w:w="1219"/>
        <w:gridCol w:w="1568"/>
      </w:tblGrid>
      <w:tr w:rsidR="002D0E84" w:rsidRPr="00875D0D" w:rsidTr="00A02954">
        <w:trPr>
          <w:trHeight w:val="270"/>
        </w:trPr>
        <w:tc>
          <w:tcPr>
            <w:tcW w:w="5000" w:type="dxa"/>
            <w:tcBorders>
              <w:top w:val="nil"/>
              <w:left w:val="nil"/>
              <w:bottom w:val="single" w:sz="8" w:space="0" w:color="auto"/>
              <w:right w:val="nil"/>
            </w:tcBorders>
            <w:shd w:val="clear" w:color="auto" w:fill="auto"/>
            <w:noWrap/>
            <w:vAlign w:val="bottom"/>
            <w:hideMark/>
          </w:tcPr>
          <w:p w:rsidR="002D0E84" w:rsidRPr="00875D0D" w:rsidRDefault="002D0E84" w:rsidP="0017624E">
            <w:pPr>
              <w:rPr>
                <w:rFonts w:ascii="Arial" w:hAnsi="Arial" w:cs="Arial"/>
                <w:sz w:val="20"/>
                <w:szCs w:val="20"/>
              </w:rPr>
            </w:pPr>
          </w:p>
        </w:tc>
        <w:tc>
          <w:tcPr>
            <w:tcW w:w="1219" w:type="dxa"/>
            <w:tcBorders>
              <w:top w:val="single" w:sz="8" w:space="0" w:color="auto"/>
              <w:left w:val="single" w:sz="8" w:space="0" w:color="auto"/>
              <w:bottom w:val="nil"/>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Sumarios</w:t>
            </w:r>
          </w:p>
        </w:tc>
        <w:tc>
          <w:tcPr>
            <w:tcW w:w="1568" w:type="dxa"/>
            <w:vMerge w:val="restart"/>
            <w:tcBorders>
              <w:top w:val="single" w:sz="8" w:space="0" w:color="auto"/>
              <w:left w:val="single" w:sz="8" w:space="0" w:color="auto"/>
              <w:bottom w:val="single" w:sz="8" w:space="0" w:color="000000"/>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Porcentaje</w:t>
            </w:r>
          </w:p>
        </w:tc>
      </w:tr>
      <w:tr w:rsidR="002D0E84" w:rsidRPr="00875D0D" w:rsidTr="00A02954">
        <w:trPr>
          <w:trHeight w:val="270"/>
        </w:trPr>
        <w:tc>
          <w:tcPr>
            <w:tcW w:w="5000" w:type="dxa"/>
            <w:tcBorders>
              <w:top w:val="single" w:sz="8" w:space="0" w:color="auto"/>
              <w:left w:val="single" w:sz="8" w:space="0" w:color="auto"/>
              <w:bottom w:val="single" w:sz="8" w:space="0" w:color="auto"/>
              <w:right w:val="single" w:sz="8" w:space="0" w:color="auto"/>
            </w:tcBorders>
            <w:shd w:val="clear" w:color="000000"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Ciudad</w:t>
            </w:r>
          </w:p>
        </w:tc>
        <w:tc>
          <w:tcPr>
            <w:tcW w:w="1219" w:type="dxa"/>
            <w:tcBorders>
              <w:top w:val="nil"/>
              <w:left w:val="nil"/>
              <w:bottom w:val="single" w:sz="8" w:space="0" w:color="auto"/>
              <w:right w:val="single" w:sz="8" w:space="0" w:color="auto"/>
            </w:tcBorders>
            <w:shd w:val="clear" w:color="auto" w:fill="679BBC" w:themeFill="text1" w:themeFillTint="80"/>
            <w:noWrap/>
            <w:vAlign w:val="center"/>
            <w:hideMark/>
          </w:tcPr>
          <w:p w:rsidR="002D0E84" w:rsidRPr="00875D0D" w:rsidRDefault="002D0E84" w:rsidP="0017624E">
            <w:pPr>
              <w:jc w:val="center"/>
              <w:rPr>
                <w:rFonts w:ascii="Arial" w:hAnsi="Arial" w:cs="Arial"/>
                <w:b/>
                <w:bCs/>
                <w:color w:val="FFFFFF"/>
                <w:sz w:val="20"/>
              </w:rPr>
            </w:pPr>
            <w:r w:rsidRPr="00875D0D">
              <w:rPr>
                <w:rFonts w:ascii="Arial" w:hAnsi="Arial" w:cs="Arial"/>
                <w:b/>
                <w:bCs/>
                <w:color w:val="FFFFFF"/>
                <w:sz w:val="20"/>
                <w:szCs w:val="22"/>
              </w:rPr>
              <w:t>Tramitados</w:t>
            </w:r>
          </w:p>
        </w:tc>
        <w:tc>
          <w:tcPr>
            <w:tcW w:w="1568" w:type="dxa"/>
            <w:vMerge/>
            <w:tcBorders>
              <w:top w:val="single" w:sz="8" w:space="0" w:color="auto"/>
              <w:left w:val="single" w:sz="8" w:space="0" w:color="auto"/>
              <w:bottom w:val="single" w:sz="8" w:space="0" w:color="000000"/>
              <w:right w:val="single" w:sz="8" w:space="0" w:color="auto"/>
            </w:tcBorders>
            <w:shd w:val="clear" w:color="auto" w:fill="679BBC" w:themeFill="text1" w:themeFillTint="80"/>
            <w:vAlign w:val="center"/>
            <w:hideMark/>
          </w:tcPr>
          <w:p w:rsidR="002D0E84" w:rsidRPr="00875D0D" w:rsidRDefault="002D0E84" w:rsidP="0017624E">
            <w:pPr>
              <w:rPr>
                <w:rFonts w:ascii="Arial" w:hAnsi="Arial" w:cs="Arial"/>
                <w:b/>
                <w:bCs/>
                <w:color w:val="FFFFFF"/>
                <w:sz w:val="20"/>
              </w:rPr>
            </w:pP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eastAsia="Times New Roman" w:hAnsi="Arial" w:cs="Arial"/>
                <w:sz w:val="20"/>
                <w:szCs w:val="20"/>
                <w:lang w:val="es-MX" w:eastAsia="es-MX"/>
              </w:rPr>
            </w:pPr>
            <w:r>
              <w:rPr>
                <w:rFonts w:ascii="Arial" w:hAnsi="Arial" w:cs="Arial"/>
                <w:sz w:val="20"/>
                <w:szCs w:val="20"/>
              </w:rPr>
              <w:t>Aguascalientes, Ags</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120</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1.59%</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León, Gto.</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110</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1.46%</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 xml:space="preserve">Pachuca, Hgo. </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102</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1.35%</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Torreón, Coah.</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101</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1.34%</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 xml:space="preserve">Tepic, Nay. </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99</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1.31%</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La Paz, B.C.S.</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98</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1.30%</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Xalapa, Ver.</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97</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1.29%</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Celaya, Gto.</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96</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1.28%</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Ciudad Juárez, Chih.</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90</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1.20%</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Ensenada, B.C.</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89</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1.18%</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 xml:space="preserve">Acapulco, Gro. </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88</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1.17%</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Chihuahua, Chih.</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79</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1.05%</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Tapachula, Chis.</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72</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0.96%</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Culiacán, Sin.</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69</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0.92%</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Hermosillo, Son.</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66</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0.88%</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Mazatlán, Sin.</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66</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0.88%</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Uruapan, Mich.</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54</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0.72%</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Mérida, Yuc.</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52</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0.69%</w:t>
            </w:r>
          </w:p>
        </w:tc>
      </w:tr>
      <w:tr w:rsidR="008875DF"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Ciudad Obregón, Son.</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52</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0.69%</w:t>
            </w:r>
          </w:p>
        </w:tc>
      </w:tr>
      <w:tr w:rsidR="008875DF"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Guanajuato, Gto.</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50</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0.66%</w:t>
            </w:r>
          </w:p>
        </w:tc>
      </w:tr>
      <w:tr w:rsidR="008875DF"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Tuxtla Gutiérrez, Chis.</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48</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0.64%</w:t>
            </w:r>
          </w:p>
        </w:tc>
      </w:tr>
      <w:tr w:rsidR="008875DF"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Villahermosa, Tab.</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45</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0.60%</w:t>
            </w:r>
          </w:p>
        </w:tc>
      </w:tr>
      <w:tr w:rsidR="008875DF" w:rsidRPr="00A83E36"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Veracruz, Ver.</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18</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0.24%</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Matamoros, Tamps.</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16</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0.21%</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Lerma, Edo. de Mex.</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0.00%</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Chetumal, Q.Roo</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0.00%</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Mexicali, B.C</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0.00%</w:t>
            </w:r>
          </w:p>
        </w:tc>
      </w:tr>
      <w:tr w:rsidR="008875DF" w:rsidRPr="00577FA5"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vAlign w:val="bottom"/>
          </w:tcPr>
          <w:p w:rsidR="008875DF" w:rsidRDefault="008875DF" w:rsidP="008875DF">
            <w:pPr>
              <w:rPr>
                <w:rFonts w:ascii="Arial" w:hAnsi="Arial" w:cs="Arial"/>
                <w:sz w:val="20"/>
                <w:szCs w:val="20"/>
              </w:rPr>
            </w:pPr>
            <w:r>
              <w:rPr>
                <w:rFonts w:ascii="Arial" w:hAnsi="Arial" w:cs="Arial"/>
                <w:sz w:val="20"/>
                <w:szCs w:val="20"/>
              </w:rPr>
              <w:t>Saltillo, Coah.</w:t>
            </w:r>
          </w:p>
        </w:tc>
        <w:tc>
          <w:tcPr>
            <w:tcW w:w="1219"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w:t>
            </w:r>
          </w:p>
        </w:tc>
        <w:tc>
          <w:tcPr>
            <w:tcW w:w="1568" w:type="dxa"/>
            <w:tcBorders>
              <w:top w:val="nil"/>
              <w:left w:val="nil"/>
              <w:bottom w:val="single" w:sz="8" w:space="0" w:color="auto"/>
              <w:right w:val="single" w:sz="8" w:space="0" w:color="auto"/>
            </w:tcBorders>
            <w:shd w:val="clear" w:color="auto" w:fill="auto"/>
            <w:noWrap/>
            <w:vAlign w:val="bottom"/>
          </w:tcPr>
          <w:p w:rsidR="008875DF" w:rsidRDefault="008875DF" w:rsidP="008875DF">
            <w:pPr>
              <w:jc w:val="center"/>
              <w:rPr>
                <w:rFonts w:ascii="Arial" w:hAnsi="Arial" w:cs="Arial"/>
                <w:sz w:val="20"/>
                <w:szCs w:val="20"/>
              </w:rPr>
            </w:pPr>
            <w:r>
              <w:rPr>
                <w:rFonts w:ascii="Arial" w:hAnsi="Arial" w:cs="Arial"/>
                <w:sz w:val="20"/>
                <w:szCs w:val="20"/>
              </w:rPr>
              <w:t>0.00%</w:t>
            </w:r>
          </w:p>
        </w:tc>
      </w:tr>
      <w:tr w:rsidR="00DB3398" w:rsidTr="00A02954">
        <w:trPr>
          <w:trHeight w:val="340"/>
        </w:trPr>
        <w:tc>
          <w:tcPr>
            <w:tcW w:w="5000" w:type="dxa"/>
            <w:tcBorders>
              <w:top w:val="nil"/>
              <w:left w:val="single" w:sz="8" w:space="0" w:color="auto"/>
              <w:bottom w:val="single" w:sz="8" w:space="0" w:color="auto"/>
              <w:right w:val="single" w:sz="8" w:space="0" w:color="auto"/>
            </w:tcBorders>
            <w:shd w:val="clear" w:color="auto" w:fill="auto"/>
            <w:noWrap/>
            <w:hideMark/>
          </w:tcPr>
          <w:p w:rsidR="00DB3398" w:rsidRPr="00CD0810" w:rsidRDefault="00DB3398" w:rsidP="00DB3398">
            <w:pPr>
              <w:rPr>
                <w:b/>
                <w:sz w:val="22"/>
                <w:szCs w:val="22"/>
              </w:rPr>
            </w:pPr>
            <w:r w:rsidRPr="00CD0810">
              <w:rPr>
                <w:b/>
                <w:sz w:val="22"/>
                <w:szCs w:val="22"/>
              </w:rPr>
              <w:t>Total</w:t>
            </w:r>
          </w:p>
        </w:tc>
        <w:tc>
          <w:tcPr>
            <w:tcW w:w="1219" w:type="dxa"/>
            <w:tcBorders>
              <w:top w:val="nil"/>
              <w:left w:val="nil"/>
              <w:bottom w:val="single" w:sz="8" w:space="0" w:color="auto"/>
              <w:right w:val="single" w:sz="8" w:space="0" w:color="auto"/>
            </w:tcBorders>
            <w:shd w:val="clear" w:color="auto" w:fill="auto"/>
            <w:noWrap/>
            <w:hideMark/>
          </w:tcPr>
          <w:p w:rsidR="00DB3398" w:rsidRPr="00CD0810" w:rsidRDefault="0075411E" w:rsidP="00DB3398">
            <w:pPr>
              <w:jc w:val="center"/>
              <w:rPr>
                <w:b/>
                <w:sz w:val="22"/>
                <w:szCs w:val="22"/>
              </w:rPr>
            </w:pPr>
            <w:r>
              <w:rPr>
                <w:b/>
                <w:sz w:val="22"/>
                <w:szCs w:val="22"/>
              </w:rPr>
              <w:t>7,529</w:t>
            </w:r>
            <w:r w:rsidR="00DB3398" w:rsidRPr="00CD0810">
              <w:rPr>
                <w:rStyle w:val="Refdenotaalpie"/>
                <w:b/>
                <w:sz w:val="22"/>
                <w:szCs w:val="22"/>
              </w:rPr>
              <w:footnoteReference w:id="3"/>
            </w:r>
          </w:p>
        </w:tc>
        <w:tc>
          <w:tcPr>
            <w:tcW w:w="1568" w:type="dxa"/>
            <w:tcBorders>
              <w:top w:val="nil"/>
              <w:left w:val="nil"/>
              <w:bottom w:val="single" w:sz="8" w:space="0" w:color="auto"/>
              <w:right w:val="single" w:sz="8" w:space="0" w:color="auto"/>
            </w:tcBorders>
            <w:shd w:val="clear" w:color="auto" w:fill="auto"/>
            <w:noWrap/>
            <w:hideMark/>
          </w:tcPr>
          <w:p w:rsidR="00DB3398" w:rsidRPr="00CD0810" w:rsidRDefault="00DB3398" w:rsidP="00DB3398">
            <w:pPr>
              <w:jc w:val="center"/>
              <w:rPr>
                <w:b/>
                <w:sz w:val="22"/>
                <w:szCs w:val="22"/>
              </w:rPr>
            </w:pPr>
            <w:r w:rsidRPr="00CD0810">
              <w:rPr>
                <w:b/>
                <w:sz w:val="22"/>
                <w:szCs w:val="22"/>
              </w:rPr>
              <w:t>100%</w:t>
            </w:r>
          </w:p>
        </w:tc>
      </w:tr>
    </w:tbl>
    <w:p w:rsidR="00CE48C4" w:rsidRDefault="00315580" w:rsidP="00CE48C4">
      <w:pPr>
        <w:ind w:left="720"/>
        <w:jc w:val="both"/>
        <w:rPr>
          <w:rFonts w:ascii="Georgia" w:hAnsi="Georgia" w:cs="Arial"/>
          <w:b/>
          <w:sz w:val="22"/>
          <w:szCs w:val="22"/>
          <w:lang w:val="es-MX"/>
        </w:rPr>
      </w:pPr>
      <w:r>
        <w:rPr>
          <w:noProof/>
          <w:lang w:val="es-MX" w:eastAsia="es-MX"/>
        </w:rPr>
        <w:lastRenderedPageBreak/>
        <w:drawing>
          <wp:inline distT="0" distB="0" distL="0" distR="0" wp14:anchorId="6D58E76E" wp14:editId="06526918">
            <wp:extent cx="5092700" cy="7456170"/>
            <wp:effectExtent l="0" t="0" r="12700" b="1143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78C7" w:rsidRDefault="00F578C7" w:rsidP="001A52FD">
      <w:pPr>
        <w:numPr>
          <w:ilvl w:val="0"/>
          <w:numId w:val="2"/>
        </w:numPr>
        <w:jc w:val="both"/>
        <w:rPr>
          <w:rFonts w:ascii="Georgia" w:hAnsi="Georgia" w:cs="Arial"/>
          <w:b/>
          <w:sz w:val="22"/>
          <w:szCs w:val="22"/>
          <w:lang w:val="es-MX"/>
        </w:rPr>
      </w:pPr>
      <w:r w:rsidRPr="0086283D">
        <w:rPr>
          <w:rFonts w:ascii="Georgia" w:hAnsi="Georgia" w:cs="Arial"/>
          <w:b/>
          <w:sz w:val="22"/>
          <w:szCs w:val="22"/>
          <w:lang w:val="es-MX"/>
        </w:rPr>
        <w:lastRenderedPageBreak/>
        <w:t xml:space="preserve">Medio preferido por los gobernados para presentar sus solicitudes de </w:t>
      </w:r>
      <w:r w:rsidR="001A52FD" w:rsidRPr="0086283D">
        <w:rPr>
          <w:rFonts w:ascii="Georgia" w:hAnsi="Georgia" w:cs="Arial"/>
          <w:b/>
          <w:sz w:val="22"/>
          <w:szCs w:val="22"/>
          <w:lang w:val="es-MX"/>
        </w:rPr>
        <w:t>a</w:t>
      </w:r>
      <w:r w:rsidRPr="0086283D">
        <w:rPr>
          <w:rFonts w:ascii="Georgia" w:hAnsi="Georgia" w:cs="Arial"/>
          <w:b/>
          <w:sz w:val="22"/>
          <w:szCs w:val="22"/>
          <w:lang w:val="es-MX"/>
        </w:rPr>
        <w:t>cceso</w:t>
      </w:r>
      <w:r w:rsidRPr="003640DF">
        <w:rPr>
          <w:rFonts w:ascii="Georgia" w:hAnsi="Georgia" w:cs="Arial"/>
          <w:b/>
          <w:sz w:val="22"/>
          <w:szCs w:val="22"/>
          <w:lang w:val="es-MX"/>
        </w:rPr>
        <w:t xml:space="preserve"> a la información</w:t>
      </w:r>
      <w:r w:rsidRPr="003640DF">
        <w:rPr>
          <w:rStyle w:val="Refdenotaalpie"/>
          <w:rFonts w:ascii="Georgia" w:hAnsi="Georgia" w:cs="Arial"/>
          <w:b/>
          <w:sz w:val="22"/>
          <w:szCs w:val="22"/>
        </w:rPr>
        <w:footnoteReference w:id="4"/>
      </w:r>
      <w:r w:rsidRPr="003640DF">
        <w:rPr>
          <w:rFonts w:ascii="Georgia" w:hAnsi="Georgia" w:cs="Arial"/>
          <w:b/>
          <w:sz w:val="22"/>
          <w:szCs w:val="22"/>
          <w:lang w:val="es-MX"/>
        </w:rPr>
        <w:t xml:space="preserve">. </w:t>
      </w:r>
      <w:r w:rsidR="001A52FD">
        <w:rPr>
          <w:rFonts w:ascii="Georgia" w:hAnsi="Georgia" w:cs="Arial"/>
          <w:b/>
          <w:sz w:val="22"/>
          <w:szCs w:val="22"/>
          <w:lang w:val="es-MX"/>
        </w:rPr>
        <w:t xml:space="preserve"> </w:t>
      </w:r>
    </w:p>
    <w:p w:rsidR="001A52FD" w:rsidRPr="003640DF" w:rsidRDefault="001A52FD" w:rsidP="001A52FD">
      <w:pPr>
        <w:ind w:left="720"/>
        <w:jc w:val="both"/>
        <w:rPr>
          <w:rFonts w:ascii="Georgia" w:hAnsi="Georgia" w:cs="Arial"/>
          <w:b/>
          <w:sz w:val="22"/>
          <w:szCs w:val="22"/>
          <w:lang w:val="es-MX"/>
        </w:rPr>
      </w:pPr>
    </w:p>
    <w:p w:rsidR="00F578C7" w:rsidRPr="003640DF" w:rsidRDefault="00F578C7" w:rsidP="00F578C7">
      <w:pPr>
        <w:ind w:left="360"/>
        <w:jc w:val="both"/>
        <w:rPr>
          <w:rFonts w:ascii="Georgia" w:hAnsi="Georgia" w:cs="Arial"/>
          <w:b/>
          <w:sz w:val="22"/>
          <w:szCs w:val="22"/>
          <w:lang w:val="es-MX"/>
        </w:rPr>
      </w:pP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Este indicador permite</w:t>
      </w:r>
      <w:r w:rsidRPr="003640DF">
        <w:rPr>
          <w:rFonts w:ascii="Georgia" w:hAnsi="Georgia" w:cs="Arial"/>
          <w:b/>
          <w:sz w:val="22"/>
          <w:szCs w:val="22"/>
          <w:lang w:val="es-MX"/>
        </w:rPr>
        <w:t xml:space="preserve"> </w:t>
      </w:r>
      <w:r w:rsidRPr="003640DF">
        <w:rPr>
          <w:rFonts w:ascii="Georgia" w:hAnsi="Georgia" w:cs="Arial"/>
          <w:sz w:val="22"/>
          <w:szCs w:val="22"/>
          <w:lang w:val="es-MX"/>
        </w:rPr>
        <w:t>determinar el medio preferido por los gobernados para presentar sus solicitudes de información</w:t>
      </w:r>
      <w:r w:rsidR="00B6709D">
        <w:rPr>
          <w:rFonts w:ascii="Georgia" w:hAnsi="Georgia" w:cs="Arial"/>
          <w:sz w:val="22"/>
          <w:szCs w:val="22"/>
          <w:lang w:val="es-MX"/>
        </w:rPr>
        <w:t>.</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sz w:val="22"/>
          <w:szCs w:val="22"/>
          <w:lang w:val="es-MX"/>
        </w:rPr>
        <w:t xml:space="preserve"> </w:t>
      </w:r>
    </w:p>
    <w:p w:rsidR="00F578C7" w:rsidRPr="003640DF" w:rsidRDefault="00F578C7" w:rsidP="003640DF">
      <w:pPr>
        <w:ind w:left="709"/>
        <w:jc w:val="both"/>
        <w:rPr>
          <w:rFonts w:ascii="Georgia" w:hAnsi="Georgia" w:cs="Arial"/>
          <w:b/>
          <w:sz w:val="22"/>
          <w:szCs w:val="22"/>
          <w:lang w:val="es-MX"/>
        </w:rPr>
      </w:pPr>
      <w:r w:rsidRPr="003640DF">
        <w:rPr>
          <w:rFonts w:ascii="Georgia" w:hAnsi="Georgia" w:cs="Arial"/>
          <w:b/>
          <w:sz w:val="22"/>
          <w:szCs w:val="22"/>
          <w:lang w:val="es-MX"/>
        </w:rPr>
        <w:t>Resultados:</w:t>
      </w:r>
    </w:p>
    <w:p w:rsidR="00F578C7" w:rsidRPr="003640DF" w:rsidRDefault="00F578C7" w:rsidP="003640DF">
      <w:pPr>
        <w:ind w:left="709" w:firstLine="360"/>
        <w:jc w:val="both"/>
        <w:rPr>
          <w:rFonts w:ascii="Georgia" w:hAnsi="Georgia" w:cs="Arial"/>
          <w:sz w:val="22"/>
          <w:szCs w:val="22"/>
          <w:lang w:val="es-MX"/>
        </w:rPr>
      </w:pPr>
    </w:p>
    <w:p w:rsidR="00F578C7" w:rsidRPr="00967D5E" w:rsidRDefault="00F578C7" w:rsidP="003640DF">
      <w:pPr>
        <w:ind w:left="709"/>
        <w:jc w:val="both"/>
        <w:rPr>
          <w:rFonts w:ascii="Georgia" w:hAnsi="Georgia" w:cs="Arial"/>
          <w:sz w:val="22"/>
          <w:szCs w:val="22"/>
          <w:lang w:val="es-MX"/>
        </w:rPr>
      </w:pPr>
      <w:r w:rsidRPr="00967D5E">
        <w:rPr>
          <w:rFonts w:ascii="Georgia" w:hAnsi="Georgia" w:cs="Arial"/>
          <w:sz w:val="22"/>
          <w:szCs w:val="22"/>
          <w:lang w:val="es-MX"/>
        </w:rPr>
        <w:t xml:space="preserve">Porcentaje de solicitudes recibidas de manera presencial: </w:t>
      </w:r>
      <w:r w:rsidR="002F715D" w:rsidRPr="00967D5E">
        <w:rPr>
          <w:rFonts w:ascii="Georgia" w:hAnsi="Georgia" w:cs="Arial"/>
          <w:b/>
          <w:sz w:val="22"/>
          <w:szCs w:val="22"/>
          <w:lang w:val="es-MX"/>
        </w:rPr>
        <w:t>64.06</w:t>
      </w:r>
      <w:r w:rsidR="00E56BA8" w:rsidRPr="00967D5E">
        <w:rPr>
          <w:rFonts w:ascii="Georgia" w:hAnsi="Georgia" w:cs="Arial"/>
          <w:b/>
          <w:sz w:val="22"/>
          <w:szCs w:val="22"/>
          <w:lang w:val="es-MX"/>
        </w:rPr>
        <w:t>%</w:t>
      </w:r>
    </w:p>
    <w:p w:rsidR="00F578C7" w:rsidRPr="00967D5E" w:rsidRDefault="00F578C7" w:rsidP="003640DF">
      <w:pPr>
        <w:ind w:left="709"/>
        <w:jc w:val="both"/>
        <w:rPr>
          <w:rFonts w:ascii="Georgia" w:hAnsi="Georgia" w:cs="Arial"/>
          <w:sz w:val="22"/>
          <w:szCs w:val="22"/>
          <w:lang w:val="es-MX"/>
        </w:rPr>
      </w:pPr>
    </w:p>
    <w:p w:rsidR="00F578C7" w:rsidRPr="003640DF" w:rsidRDefault="00F578C7" w:rsidP="003640DF">
      <w:pPr>
        <w:ind w:left="709"/>
        <w:jc w:val="both"/>
        <w:rPr>
          <w:rFonts w:ascii="Georgia" w:hAnsi="Georgia" w:cs="Arial"/>
          <w:sz w:val="22"/>
          <w:szCs w:val="22"/>
          <w:lang w:val="es-MX"/>
        </w:rPr>
      </w:pPr>
      <w:r w:rsidRPr="00967D5E">
        <w:rPr>
          <w:rFonts w:ascii="Georgia" w:hAnsi="Georgia" w:cs="Arial"/>
          <w:sz w:val="22"/>
          <w:szCs w:val="22"/>
          <w:lang w:val="es-MX"/>
        </w:rPr>
        <w:t xml:space="preserve">Porcentaje de solicitudes recibidas por medios electrónicos: </w:t>
      </w:r>
      <w:r w:rsidR="002F715D" w:rsidRPr="00967D5E">
        <w:rPr>
          <w:rFonts w:ascii="Georgia" w:hAnsi="Georgia" w:cs="Arial"/>
          <w:b/>
          <w:sz w:val="22"/>
          <w:szCs w:val="22"/>
          <w:lang w:val="es-MX"/>
        </w:rPr>
        <w:t>35.94</w:t>
      </w:r>
      <w:r w:rsidR="00E56BA8" w:rsidRPr="00967D5E">
        <w:rPr>
          <w:rFonts w:ascii="Georgia" w:hAnsi="Georgia" w:cs="Arial"/>
          <w:b/>
          <w:sz w:val="22"/>
          <w:szCs w:val="22"/>
          <w:lang w:val="es-MX"/>
        </w:rPr>
        <w:t>%</w:t>
      </w:r>
    </w:p>
    <w:p w:rsidR="00F578C7" w:rsidRPr="00F578C7" w:rsidRDefault="00F578C7" w:rsidP="00F578C7">
      <w:pPr>
        <w:jc w:val="both"/>
        <w:rPr>
          <w:rFonts w:ascii="Arial" w:hAnsi="Arial" w:cs="Arial"/>
          <w:sz w:val="26"/>
          <w:szCs w:val="26"/>
          <w:lang w:val="es-MX"/>
        </w:rPr>
      </w:pPr>
    </w:p>
    <w:p w:rsidR="00F578C7" w:rsidRPr="00F578C7" w:rsidRDefault="00F578C7" w:rsidP="00430FFF">
      <w:pPr>
        <w:ind w:left="708"/>
        <w:jc w:val="both"/>
        <w:rPr>
          <w:rFonts w:ascii="Arial" w:hAnsi="Arial" w:cs="Arial"/>
          <w:b/>
          <w:sz w:val="26"/>
          <w:szCs w:val="26"/>
          <w:lang w:val="es-MX"/>
        </w:rPr>
      </w:pPr>
    </w:p>
    <w:p w:rsidR="00775B38" w:rsidRDefault="002F715D" w:rsidP="001A52FD">
      <w:pPr>
        <w:pStyle w:val="Lugaryfecha"/>
        <w:ind w:left="0"/>
        <w:jc w:val="center"/>
        <w:rPr>
          <w:lang w:val="es-MX"/>
        </w:rPr>
      </w:pPr>
      <w:r>
        <w:rPr>
          <w:noProof/>
          <w:lang w:val="es-MX"/>
        </w:rPr>
        <w:drawing>
          <wp:inline distT="0" distB="0" distL="0" distR="0" wp14:anchorId="26A02E8F" wp14:editId="708A921A">
            <wp:extent cx="5143501" cy="2909887"/>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40DF" w:rsidRDefault="003640DF" w:rsidP="00F578C7">
      <w:pPr>
        <w:pStyle w:val="Lugaryfecha"/>
        <w:rPr>
          <w:lang w:val="es-MX"/>
        </w:rPr>
      </w:pPr>
    </w:p>
    <w:p w:rsidR="003640DF" w:rsidRDefault="003640DF" w:rsidP="00F578C7">
      <w:pPr>
        <w:pStyle w:val="Lugaryfecha"/>
        <w:rPr>
          <w:lang w:val="es-MX"/>
        </w:rPr>
      </w:pPr>
    </w:p>
    <w:p w:rsidR="003640DF" w:rsidRDefault="003640DF" w:rsidP="00F578C7">
      <w:pPr>
        <w:pStyle w:val="Lugaryfecha"/>
        <w:rPr>
          <w:lang w:val="es-MX"/>
        </w:rPr>
      </w:pPr>
    </w:p>
    <w:p w:rsidR="00574F2C" w:rsidRPr="00574F2C" w:rsidRDefault="00574F2C" w:rsidP="00574F2C">
      <w:pPr>
        <w:numPr>
          <w:ilvl w:val="0"/>
          <w:numId w:val="2"/>
        </w:numPr>
        <w:jc w:val="both"/>
        <w:rPr>
          <w:rFonts w:asciiTheme="majorHAnsi" w:hAnsiTheme="majorHAnsi" w:cs="Arial"/>
          <w:b/>
          <w:sz w:val="22"/>
          <w:szCs w:val="26"/>
          <w:lang w:val="es-MX"/>
        </w:rPr>
      </w:pPr>
      <w:r w:rsidRPr="00A158F4">
        <w:rPr>
          <w:rFonts w:asciiTheme="majorHAnsi" w:hAnsiTheme="majorHAnsi" w:cs="Arial"/>
          <w:b/>
          <w:sz w:val="22"/>
          <w:szCs w:val="26"/>
          <w:lang w:val="es-MX"/>
        </w:rPr>
        <w:lastRenderedPageBreak/>
        <w:t>Conocimiento de las personas respecto de la información que pueden obtener de la</w:t>
      </w:r>
      <w:r w:rsidRPr="00574F2C">
        <w:rPr>
          <w:rFonts w:asciiTheme="majorHAnsi" w:hAnsiTheme="majorHAnsi" w:cs="Arial"/>
          <w:b/>
          <w:sz w:val="22"/>
          <w:szCs w:val="26"/>
          <w:lang w:val="es-MX"/>
        </w:rPr>
        <w:t xml:space="preserve"> Suprema Corte de Justicia de la Nación</w:t>
      </w:r>
      <w:r w:rsidRPr="00574F2C">
        <w:rPr>
          <w:rStyle w:val="Refdenotaalpie"/>
          <w:rFonts w:asciiTheme="majorHAnsi" w:hAnsiTheme="majorHAnsi" w:cs="Arial"/>
          <w:b/>
          <w:sz w:val="22"/>
          <w:szCs w:val="26"/>
        </w:rPr>
        <w:footnoteReference w:id="5"/>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medir el grado de conocimiento de los solicitantes respecto de la información que está bajo el resguardo de la Suprema Corte en sus diversos acervos.  </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781118">
        <w:rPr>
          <w:rFonts w:asciiTheme="majorHAnsi" w:hAnsiTheme="majorHAnsi" w:cs="Arial"/>
          <w:sz w:val="22"/>
          <w:szCs w:val="26"/>
          <w:lang w:val="es-MX"/>
        </w:rPr>
        <w:t xml:space="preserve">Número </w:t>
      </w:r>
      <w:r w:rsidRPr="00A158F4">
        <w:rPr>
          <w:rFonts w:asciiTheme="majorHAnsi" w:hAnsiTheme="majorHAnsi" w:cs="Arial"/>
          <w:sz w:val="22"/>
          <w:szCs w:val="26"/>
          <w:lang w:val="es-MX"/>
        </w:rPr>
        <w:t xml:space="preserve">de canalizaciones al Consejo de la Judicatura Federal respecto del total de solicitudes: </w:t>
      </w:r>
      <w:r w:rsidR="003C22E4" w:rsidRPr="00A158F4">
        <w:rPr>
          <w:rFonts w:asciiTheme="majorHAnsi" w:hAnsiTheme="majorHAnsi" w:cs="Arial"/>
          <w:b/>
          <w:sz w:val="22"/>
          <w:szCs w:val="26"/>
          <w:lang w:val="es-MX"/>
        </w:rPr>
        <w:t>105</w:t>
      </w:r>
      <w:r w:rsidRPr="00A158F4">
        <w:rPr>
          <w:rFonts w:asciiTheme="majorHAnsi" w:hAnsiTheme="majorHAnsi" w:cs="Arial"/>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Número de orientaciones respecto del total de </w:t>
      </w:r>
      <w:r w:rsidRPr="00A158F4">
        <w:rPr>
          <w:rFonts w:asciiTheme="majorHAnsi" w:hAnsiTheme="majorHAnsi" w:cs="Arial"/>
          <w:sz w:val="22"/>
          <w:szCs w:val="26"/>
          <w:lang w:val="es-MX"/>
        </w:rPr>
        <w:t xml:space="preserve">solicitudes: </w:t>
      </w:r>
      <w:r w:rsidR="003E1103" w:rsidRPr="00A158F4">
        <w:rPr>
          <w:rFonts w:asciiTheme="majorHAnsi" w:hAnsiTheme="majorHAnsi" w:cs="Arial"/>
          <w:b/>
          <w:sz w:val="22"/>
          <w:szCs w:val="26"/>
          <w:lang w:val="es-MX"/>
        </w:rPr>
        <w:t>1</w:t>
      </w:r>
      <w:r w:rsidR="00457211" w:rsidRPr="00A158F4">
        <w:rPr>
          <w:rFonts w:asciiTheme="majorHAnsi" w:hAnsiTheme="majorHAnsi" w:cs="Arial"/>
          <w:b/>
          <w:sz w:val="22"/>
          <w:szCs w:val="26"/>
          <w:lang w:val="es-MX"/>
        </w:rPr>
        <w:t>9</w:t>
      </w:r>
      <w:r w:rsidRPr="00A158F4">
        <w:rPr>
          <w:rFonts w:asciiTheme="majorHAnsi" w:hAnsiTheme="majorHAnsi" w:cs="Arial"/>
          <w:sz w:val="22"/>
          <w:szCs w:val="26"/>
          <w:lang w:val="es-MX"/>
        </w:rPr>
        <w:t>.</w:t>
      </w:r>
    </w:p>
    <w:p w:rsidR="00574F2C" w:rsidRDefault="00574F2C" w:rsidP="00574F2C">
      <w:pPr>
        <w:ind w:left="709"/>
        <w:jc w:val="both"/>
        <w:rPr>
          <w:rFonts w:asciiTheme="majorHAnsi" w:hAnsiTheme="majorHAnsi" w:cs="Arial"/>
          <w:sz w:val="22"/>
          <w:szCs w:val="26"/>
          <w:lang w:val="es-MX"/>
        </w:rPr>
      </w:pPr>
    </w:p>
    <w:p w:rsidR="00891F2E" w:rsidRPr="00574F2C" w:rsidRDefault="00891F2E" w:rsidP="00574F2C">
      <w:pPr>
        <w:ind w:left="709"/>
        <w:jc w:val="both"/>
        <w:rPr>
          <w:rFonts w:asciiTheme="majorHAnsi" w:hAnsiTheme="majorHAnsi" w:cs="Arial"/>
          <w:sz w:val="22"/>
          <w:szCs w:val="26"/>
          <w:lang w:val="es-MX"/>
        </w:rPr>
      </w:pPr>
    </w:p>
    <w:p w:rsidR="00574F2C" w:rsidRDefault="00574F2C" w:rsidP="00574F2C">
      <w:pPr>
        <w:ind w:left="709"/>
        <w:jc w:val="both"/>
        <w:rPr>
          <w:rFonts w:asciiTheme="majorHAnsi" w:hAnsiTheme="majorHAnsi" w:cs="Arial"/>
          <w:b/>
          <w:sz w:val="22"/>
          <w:szCs w:val="26"/>
        </w:rPr>
      </w:pPr>
      <w:r w:rsidRPr="00574F2C">
        <w:rPr>
          <w:rFonts w:asciiTheme="majorHAnsi" w:hAnsiTheme="majorHAnsi" w:cs="Arial"/>
          <w:b/>
          <w:sz w:val="22"/>
          <w:szCs w:val="26"/>
        </w:rPr>
        <w:t>Gráfica:</w:t>
      </w:r>
    </w:p>
    <w:p w:rsidR="00891F2E" w:rsidRPr="00574F2C" w:rsidRDefault="00891F2E" w:rsidP="00574F2C">
      <w:pPr>
        <w:ind w:left="709"/>
        <w:jc w:val="both"/>
        <w:rPr>
          <w:rFonts w:asciiTheme="majorHAnsi" w:hAnsiTheme="majorHAnsi" w:cs="Arial"/>
          <w:b/>
          <w:sz w:val="22"/>
          <w:szCs w:val="26"/>
        </w:rPr>
      </w:pPr>
    </w:p>
    <w:p w:rsidR="003640DF" w:rsidRDefault="000D2B7A" w:rsidP="004C5C24">
      <w:pPr>
        <w:pStyle w:val="Lugaryfecha"/>
        <w:ind w:left="360"/>
        <w:jc w:val="center"/>
        <w:rPr>
          <w:lang w:val="es-MX"/>
        </w:rPr>
      </w:pPr>
      <w:r>
        <w:rPr>
          <w:noProof/>
          <w:lang w:val="es-MX"/>
        </w:rPr>
        <w:drawing>
          <wp:inline distT="0" distB="0" distL="0" distR="0" wp14:anchorId="7C51CE05" wp14:editId="0423EF53">
            <wp:extent cx="5850890" cy="330581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Tipo de información solicitada por los peticionarios mediante procedimiento ordinario</w:t>
      </w:r>
      <w:r w:rsidRPr="00574F2C">
        <w:rPr>
          <w:rStyle w:val="Refdenotaalpie"/>
          <w:rFonts w:asciiTheme="majorHAnsi" w:hAnsiTheme="majorHAnsi" w:cs="Arial"/>
          <w:b/>
          <w:sz w:val="22"/>
          <w:szCs w:val="26"/>
        </w:rPr>
        <w:footnoteReference w:id="6"/>
      </w:r>
      <w:r w:rsidRPr="00574F2C">
        <w:rPr>
          <w:rFonts w:asciiTheme="majorHAnsi" w:hAnsiTheme="majorHAnsi" w:cs="Arial"/>
          <w:b/>
          <w:sz w:val="22"/>
          <w:szCs w:val="26"/>
          <w:lang w:val="es-MX"/>
        </w:rPr>
        <w:t>.</w:t>
      </w:r>
    </w:p>
    <w:p w:rsidR="00574F2C" w:rsidRPr="00574F2C" w:rsidRDefault="00574F2C" w:rsidP="00574F2C">
      <w:pPr>
        <w:ind w:left="360"/>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sz w:val="22"/>
          <w:szCs w:val="26"/>
          <w:lang w:val="es-MX"/>
        </w:rPr>
        <w:t>Este indicador permite advertir la preferencia de los peticionarios respecto del tipo de información que solicitan, es decir, si el requerimiento versa sobre información Administrativa o Jurisdiccional bajo resguardo de la Suprema Corte.</w:t>
      </w:r>
    </w:p>
    <w:p w:rsidR="00574F2C" w:rsidRPr="00574F2C" w:rsidRDefault="00574F2C" w:rsidP="00C85EE0">
      <w:pPr>
        <w:tabs>
          <w:tab w:val="left" w:pos="709"/>
        </w:tabs>
        <w:ind w:left="709"/>
        <w:jc w:val="both"/>
        <w:rPr>
          <w:rFonts w:asciiTheme="majorHAnsi" w:hAnsiTheme="majorHAnsi" w:cs="Arial"/>
          <w:sz w:val="22"/>
          <w:szCs w:val="26"/>
          <w:lang w:val="es-MX"/>
        </w:rPr>
      </w:pPr>
      <w:r w:rsidRPr="00574F2C">
        <w:rPr>
          <w:rFonts w:asciiTheme="majorHAnsi" w:hAnsiTheme="majorHAnsi" w:cs="Arial"/>
          <w:sz w:val="22"/>
          <w:szCs w:val="26"/>
          <w:lang w:val="es-MX"/>
        </w:rPr>
        <w:t xml:space="preserve">     </w:t>
      </w:r>
    </w:p>
    <w:p w:rsidR="00574F2C" w:rsidRPr="00574F2C" w:rsidRDefault="00574F2C" w:rsidP="00C85EE0">
      <w:pPr>
        <w:tabs>
          <w:tab w:val="left" w:pos="709"/>
        </w:tabs>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r w:rsidRPr="00574F2C">
        <w:rPr>
          <w:rStyle w:val="Refdenotaalpie"/>
          <w:rFonts w:asciiTheme="majorHAnsi" w:hAnsiTheme="majorHAnsi" w:cs="Arial"/>
          <w:b/>
          <w:sz w:val="22"/>
          <w:szCs w:val="26"/>
        </w:rPr>
        <w:footnoteReference w:id="7"/>
      </w:r>
      <w:r w:rsidRPr="00574F2C">
        <w:rPr>
          <w:rFonts w:asciiTheme="majorHAnsi" w:hAnsiTheme="majorHAnsi" w:cs="Arial"/>
          <w:b/>
          <w:sz w:val="22"/>
          <w:szCs w:val="26"/>
          <w:lang w:val="es-MX"/>
        </w:rPr>
        <w:t>:</w:t>
      </w:r>
    </w:p>
    <w:p w:rsidR="00574F2C" w:rsidRPr="00574F2C" w:rsidRDefault="00574F2C" w:rsidP="00C85EE0">
      <w:pPr>
        <w:tabs>
          <w:tab w:val="left" w:pos="709"/>
        </w:tabs>
        <w:ind w:left="709" w:firstLine="360"/>
        <w:jc w:val="both"/>
        <w:rPr>
          <w:rFonts w:asciiTheme="majorHAnsi" w:hAnsiTheme="majorHAnsi" w:cs="Arial"/>
          <w:sz w:val="22"/>
          <w:szCs w:val="26"/>
          <w:lang w:val="es-MX"/>
        </w:rPr>
      </w:pPr>
    </w:p>
    <w:p w:rsidR="00574F2C" w:rsidRPr="00A158F4" w:rsidRDefault="00574F2C" w:rsidP="00C85EE0">
      <w:pPr>
        <w:tabs>
          <w:tab w:val="left" w:pos="709"/>
        </w:tabs>
        <w:ind w:left="709"/>
        <w:jc w:val="both"/>
        <w:rPr>
          <w:rFonts w:asciiTheme="majorHAnsi" w:hAnsiTheme="majorHAnsi" w:cs="Arial"/>
          <w:b/>
          <w:sz w:val="22"/>
          <w:szCs w:val="26"/>
          <w:lang w:val="es-MX"/>
        </w:rPr>
      </w:pPr>
      <w:r w:rsidRPr="00A158F4">
        <w:rPr>
          <w:rFonts w:asciiTheme="majorHAnsi" w:hAnsiTheme="majorHAnsi" w:cs="Arial"/>
          <w:sz w:val="22"/>
          <w:szCs w:val="26"/>
          <w:lang w:val="es-MX"/>
        </w:rPr>
        <w:t xml:space="preserve">Porcentaje de solicitudes de información administrativa: </w:t>
      </w:r>
      <w:r w:rsidR="00AD15D1" w:rsidRPr="00A158F4">
        <w:rPr>
          <w:rFonts w:asciiTheme="majorHAnsi" w:hAnsiTheme="majorHAnsi" w:cs="Arial"/>
          <w:b/>
          <w:sz w:val="22"/>
          <w:szCs w:val="26"/>
          <w:lang w:val="es-MX"/>
        </w:rPr>
        <w:t>21.63</w:t>
      </w:r>
      <w:r w:rsidR="00760761" w:rsidRPr="00A158F4">
        <w:rPr>
          <w:rFonts w:asciiTheme="majorHAnsi" w:hAnsiTheme="majorHAnsi" w:cs="Arial"/>
          <w:b/>
          <w:sz w:val="22"/>
          <w:szCs w:val="26"/>
          <w:lang w:val="es-MX"/>
        </w:rPr>
        <w:t>%</w:t>
      </w:r>
    </w:p>
    <w:p w:rsidR="00574F2C" w:rsidRPr="00A158F4" w:rsidRDefault="00574F2C" w:rsidP="00C85EE0">
      <w:pPr>
        <w:tabs>
          <w:tab w:val="left" w:pos="709"/>
        </w:tabs>
        <w:ind w:left="709"/>
        <w:jc w:val="both"/>
        <w:rPr>
          <w:rFonts w:asciiTheme="majorHAnsi" w:hAnsiTheme="majorHAnsi" w:cs="Arial"/>
          <w:sz w:val="22"/>
          <w:szCs w:val="26"/>
          <w:lang w:val="es-MX"/>
        </w:rPr>
      </w:pPr>
    </w:p>
    <w:p w:rsidR="00574F2C" w:rsidRPr="00574F2C" w:rsidRDefault="00574F2C" w:rsidP="00C85EE0">
      <w:pPr>
        <w:tabs>
          <w:tab w:val="left" w:pos="709"/>
        </w:tabs>
        <w:ind w:left="709"/>
        <w:jc w:val="both"/>
        <w:rPr>
          <w:rFonts w:asciiTheme="majorHAnsi" w:hAnsiTheme="majorHAnsi" w:cs="Arial"/>
          <w:sz w:val="22"/>
          <w:szCs w:val="26"/>
          <w:lang w:val="es-MX"/>
        </w:rPr>
      </w:pPr>
      <w:r w:rsidRPr="00A158F4">
        <w:rPr>
          <w:rFonts w:asciiTheme="majorHAnsi" w:hAnsiTheme="majorHAnsi" w:cs="Arial"/>
          <w:sz w:val="22"/>
          <w:szCs w:val="26"/>
          <w:lang w:val="es-MX"/>
        </w:rPr>
        <w:t xml:space="preserve">Porcentaje de solicitudes de información jurisdiccional: </w:t>
      </w:r>
      <w:r w:rsidR="00AD15D1" w:rsidRPr="00A158F4">
        <w:rPr>
          <w:rFonts w:asciiTheme="majorHAnsi" w:hAnsiTheme="majorHAnsi" w:cs="Arial"/>
          <w:b/>
          <w:sz w:val="22"/>
          <w:szCs w:val="26"/>
          <w:lang w:val="es-MX"/>
        </w:rPr>
        <w:t>78.37</w:t>
      </w:r>
      <w:r w:rsidR="00760761" w:rsidRPr="00A158F4">
        <w:rPr>
          <w:rFonts w:asciiTheme="majorHAnsi" w:hAnsiTheme="majorHAnsi" w:cs="Arial"/>
          <w:b/>
          <w:sz w:val="22"/>
          <w:szCs w:val="26"/>
          <w:lang w:val="es-MX"/>
        </w:rPr>
        <w:t>%</w:t>
      </w:r>
    </w:p>
    <w:p w:rsidR="00574F2C" w:rsidRPr="00574F2C" w:rsidRDefault="00574F2C" w:rsidP="00C85EE0">
      <w:pPr>
        <w:tabs>
          <w:tab w:val="left" w:pos="709"/>
        </w:tabs>
        <w:ind w:left="709"/>
        <w:jc w:val="both"/>
        <w:rPr>
          <w:rFonts w:asciiTheme="majorHAnsi" w:hAnsiTheme="majorHAnsi" w:cs="Arial"/>
          <w:b/>
          <w:sz w:val="22"/>
          <w:szCs w:val="26"/>
          <w:lang w:val="es-MX"/>
        </w:rPr>
      </w:pPr>
    </w:p>
    <w:p w:rsidR="00574F2C" w:rsidRPr="00574F2C" w:rsidRDefault="00574F2C" w:rsidP="00C85EE0">
      <w:pPr>
        <w:tabs>
          <w:tab w:val="left" w:pos="709"/>
        </w:tabs>
        <w:ind w:left="709"/>
        <w:jc w:val="both"/>
        <w:rPr>
          <w:rFonts w:asciiTheme="majorHAnsi" w:hAnsiTheme="majorHAnsi" w:cs="Arial"/>
          <w:b/>
          <w:sz w:val="22"/>
          <w:szCs w:val="26"/>
        </w:rPr>
      </w:pPr>
      <w:r w:rsidRPr="00574F2C">
        <w:rPr>
          <w:rFonts w:asciiTheme="majorHAnsi" w:hAnsiTheme="majorHAnsi" w:cs="Arial"/>
          <w:b/>
          <w:sz w:val="22"/>
          <w:szCs w:val="26"/>
        </w:rPr>
        <w:t>Gráfica:</w:t>
      </w:r>
    </w:p>
    <w:p w:rsidR="00B019C0" w:rsidRDefault="00AD15D1" w:rsidP="00F578C7">
      <w:pPr>
        <w:pStyle w:val="Lugaryfecha"/>
        <w:rPr>
          <w:lang w:val="es-MX"/>
        </w:rPr>
      </w:pPr>
      <w:r>
        <w:rPr>
          <w:noProof/>
          <w:lang w:val="es-MX"/>
        </w:rPr>
        <w:drawing>
          <wp:inline distT="0" distB="0" distL="0" distR="0" wp14:anchorId="7787C4B8" wp14:editId="4DFC7F5A">
            <wp:extent cx="4778409" cy="2817018"/>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019C0" w:rsidRDefault="00B019C0">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6"/>
          <w:lang w:val="es-MX"/>
        </w:rPr>
      </w:pPr>
      <w:r w:rsidRPr="00574F2C">
        <w:rPr>
          <w:rFonts w:asciiTheme="majorHAnsi" w:hAnsiTheme="majorHAnsi" w:cs="Arial"/>
          <w:b/>
          <w:sz w:val="22"/>
          <w:szCs w:val="26"/>
          <w:lang w:val="es-MX"/>
        </w:rPr>
        <w:lastRenderedPageBreak/>
        <w:t xml:space="preserve">Intervención del </w:t>
      </w:r>
      <w:r w:rsidR="00417C2B">
        <w:rPr>
          <w:rFonts w:asciiTheme="majorHAnsi" w:hAnsiTheme="majorHAnsi" w:cs="Arial"/>
          <w:b/>
          <w:sz w:val="22"/>
          <w:szCs w:val="26"/>
          <w:lang w:val="es-MX"/>
        </w:rPr>
        <w:t>Comité de Transparencia</w:t>
      </w:r>
      <w:r w:rsidRPr="00574F2C">
        <w:rPr>
          <w:rFonts w:asciiTheme="majorHAnsi" w:hAnsiTheme="majorHAnsi" w:cs="Arial"/>
          <w:b/>
          <w:sz w:val="22"/>
          <w:szCs w:val="26"/>
          <w:lang w:val="es-MX"/>
        </w:rPr>
        <w:t xml:space="preserve"> dentro del procedimiento ordinario</w:t>
      </w:r>
      <w:r w:rsidRPr="00574F2C">
        <w:rPr>
          <w:rStyle w:val="Refdenotaalpie"/>
          <w:rFonts w:asciiTheme="majorHAnsi" w:hAnsiTheme="majorHAnsi" w:cs="Arial"/>
          <w:b/>
          <w:sz w:val="22"/>
          <w:szCs w:val="26"/>
        </w:rPr>
        <w:footnoteReference w:id="8"/>
      </w:r>
      <w:r w:rsidRPr="00574F2C">
        <w:rPr>
          <w:rFonts w:asciiTheme="majorHAnsi" w:hAnsiTheme="majorHAnsi" w:cs="Arial"/>
          <w:b/>
          <w:sz w:val="22"/>
          <w:szCs w:val="26"/>
          <w:lang w:val="es-MX"/>
        </w:rPr>
        <w:t xml:space="preserve">. </w:t>
      </w:r>
    </w:p>
    <w:p w:rsidR="00574F2C" w:rsidRPr="00574F2C" w:rsidRDefault="00574F2C" w:rsidP="00574F2C">
      <w:pPr>
        <w:ind w:left="360"/>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Este indicador permite establecer el grado de intervención del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dentro del procedimiento ordinario.</w:t>
      </w:r>
    </w:p>
    <w:p w:rsidR="00574F2C" w:rsidRPr="00574F2C" w:rsidRDefault="00574F2C" w:rsidP="00574F2C">
      <w:pPr>
        <w:ind w:left="709"/>
        <w:jc w:val="both"/>
        <w:rPr>
          <w:rFonts w:asciiTheme="majorHAnsi" w:hAnsiTheme="majorHAnsi" w:cs="Arial"/>
          <w:b/>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b/>
          <w:sz w:val="22"/>
          <w:szCs w:val="26"/>
          <w:lang w:val="es-MX"/>
        </w:rPr>
        <w:t>Resultados:</w:t>
      </w:r>
    </w:p>
    <w:p w:rsidR="00574F2C" w:rsidRPr="00574F2C" w:rsidRDefault="00574F2C" w:rsidP="00574F2C">
      <w:pPr>
        <w:ind w:left="709" w:firstLine="360"/>
        <w:jc w:val="both"/>
        <w:rPr>
          <w:rFonts w:asciiTheme="majorHAnsi" w:hAnsiTheme="majorHAnsi" w:cs="Arial"/>
          <w:sz w:val="22"/>
          <w:szCs w:val="26"/>
          <w:lang w:val="es-MX"/>
        </w:rPr>
      </w:pPr>
    </w:p>
    <w:p w:rsidR="00574F2C" w:rsidRPr="00574F2C" w:rsidRDefault="00574F2C" w:rsidP="00574F2C">
      <w:pPr>
        <w:ind w:left="709"/>
        <w:jc w:val="both"/>
        <w:rPr>
          <w:rFonts w:asciiTheme="majorHAnsi" w:hAnsiTheme="majorHAnsi" w:cs="Arial"/>
          <w:b/>
          <w:sz w:val="22"/>
          <w:szCs w:val="26"/>
          <w:lang w:val="es-MX"/>
        </w:rPr>
      </w:pPr>
      <w:r w:rsidRPr="00574F2C">
        <w:rPr>
          <w:rFonts w:asciiTheme="majorHAnsi" w:hAnsiTheme="majorHAnsi" w:cs="Arial"/>
          <w:sz w:val="22"/>
          <w:szCs w:val="26"/>
          <w:lang w:val="es-MX"/>
        </w:rPr>
        <w:t xml:space="preserve">Porcentaje de turno de asuntos al Comité de </w:t>
      </w:r>
      <w:r w:rsidR="00417C2B">
        <w:rPr>
          <w:rFonts w:asciiTheme="majorHAnsi" w:hAnsiTheme="majorHAnsi" w:cs="Arial"/>
          <w:sz w:val="22"/>
          <w:szCs w:val="26"/>
          <w:lang w:val="es-MX"/>
        </w:rPr>
        <w:t xml:space="preserve">Transparencia </w:t>
      </w:r>
      <w:r w:rsidRPr="00574F2C">
        <w:rPr>
          <w:rFonts w:asciiTheme="majorHAnsi" w:hAnsiTheme="majorHAnsi" w:cs="Arial"/>
          <w:sz w:val="22"/>
          <w:szCs w:val="26"/>
          <w:lang w:val="es-MX"/>
        </w:rPr>
        <w:t xml:space="preserve">respecto del total de expedientes de solicitudes de información tramitadas mediante el procedimiento ordinario: </w:t>
      </w:r>
      <w:r w:rsidR="006A2C58">
        <w:rPr>
          <w:rFonts w:asciiTheme="majorHAnsi" w:hAnsiTheme="majorHAnsi" w:cs="Arial"/>
          <w:b/>
          <w:sz w:val="22"/>
          <w:szCs w:val="26"/>
          <w:lang w:val="es-MX"/>
        </w:rPr>
        <w:t>8.13</w:t>
      </w:r>
      <w:r w:rsidR="003F64FF" w:rsidRPr="00574F2C">
        <w:rPr>
          <w:rFonts w:asciiTheme="majorHAnsi" w:hAnsiTheme="majorHAnsi" w:cs="Arial"/>
          <w:b/>
          <w:sz w:val="22"/>
          <w:szCs w:val="26"/>
          <w:lang w:val="es-MX"/>
        </w:rPr>
        <w:t>%</w:t>
      </w:r>
    </w:p>
    <w:p w:rsidR="00574F2C" w:rsidRPr="00574F2C" w:rsidRDefault="00574F2C" w:rsidP="00574F2C">
      <w:pPr>
        <w:ind w:left="709"/>
        <w:jc w:val="both"/>
        <w:rPr>
          <w:rFonts w:asciiTheme="majorHAnsi" w:hAnsiTheme="majorHAnsi" w:cs="Arial"/>
          <w:sz w:val="22"/>
          <w:szCs w:val="26"/>
          <w:lang w:val="es-MX"/>
        </w:rPr>
      </w:pPr>
    </w:p>
    <w:p w:rsidR="00574F2C" w:rsidRDefault="00B019C0" w:rsidP="00574F2C">
      <w:pPr>
        <w:ind w:left="709"/>
        <w:jc w:val="both"/>
        <w:rPr>
          <w:rFonts w:asciiTheme="majorHAnsi" w:hAnsiTheme="majorHAnsi" w:cs="Arial"/>
          <w:b/>
          <w:sz w:val="22"/>
          <w:szCs w:val="26"/>
        </w:rPr>
      </w:pPr>
      <w:r>
        <w:rPr>
          <w:rFonts w:asciiTheme="majorHAnsi" w:hAnsiTheme="majorHAnsi" w:cs="Arial"/>
          <w:b/>
          <w:sz w:val="22"/>
          <w:szCs w:val="26"/>
        </w:rPr>
        <w:t>G</w:t>
      </w:r>
      <w:r w:rsidR="00574F2C" w:rsidRPr="00574F2C">
        <w:rPr>
          <w:rFonts w:asciiTheme="majorHAnsi" w:hAnsiTheme="majorHAnsi" w:cs="Arial"/>
          <w:b/>
          <w:sz w:val="22"/>
          <w:szCs w:val="26"/>
        </w:rPr>
        <w:t>ráfica:</w:t>
      </w:r>
    </w:p>
    <w:p w:rsidR="00B019C0" w:rsidRDefault="00B019C0" w:rsidP="00574F2C">
      <w:pPr>
        <w:ind w:left="709"/>
        <w:jc w:val="both"/>
        <w:rPr>
          <w:rFonts w:asciiTheme="majorHAnsi" w:hAnsiTheme="majorHAnsi" w:cs="Arial"/>
          <w:b/>
          <w:sz w:val="22"/>
          <w:szCs w:val="26"/>
        </w:rPr>
      </w:pPr>
    </w:p>
    <w:p w:rsidR="00B019C0" w:rsidRPr="00574F2C" w:rsidRDefault="00687109" w:rsidP="004C4F9A">
      <w:pPr>
        <w:pStyle w:val="Lugaryfecha"/>
        <w:rPr>
          <w:rFonts w:asciiTheme="majorHAnsi" w:hAnsiTheme="majorHAnsi" w:cs="Arial"/>
          <w:b/>
          <w:sz w:val="22"/>
          <w:szCs w:val="26"/>
        </w:rPr>
      </w:pPr>
      <w:r>
        <w:rPr>
          <w:noProof/>
          <w:lang w:val="es-MX"/>
        </w:rPr>
        <w:drawing>
          <wp:inline distT="0" distB="0" distL="0" distR="0" wp14:anchorId="74C49DD6" wp14:editId="3043291B">
            <wp:extent cx="4279106" cy="2888129"/>
            <wp:effectExtent l="0" t="0" r="762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40DF" w:rsidRPr="004C4F9A" w:rsidRDefault="003640DF" w:rsidP="008A5BCD">
      <w:pPr>
        <w:pStyle w:val="Lugaryfecha"/>
        <w:rPr>
          <w:rFonts w:asciiTheme="majorHAnsi" w:hAnsiTheme="majorHAnsi" w:cs="Arial"/>
          <w:b/>
          <w:sz w:val="22"/>
          <w:szCs w:val="26"/>
        </w:rPr>
      </w:pPr>
    </w:p>
    <w:p w:rsidR="00534D7D" w:rsidRDefault="00534D7D">
      <w:pPr>
        <w:spacing w:after="200" w:line="276" w:lineRule="auto"/>
        <w:rPr>
          <w:rFonts w:asciiTheme="minorHAnsi" w:eastAsia="Times New Roman" w:hAnsiTheme="minorHAnsi"/>
          <w:sz w:val="20"/>
          <w:szCs w:val="20"/>
          <w:lang w:val="es-MX" w:eastAsia="es-MX"/>
        </w:rPr>
      </w:pPr>
      <w:r>
        <w:rPr>
          <w:lang w:val="es-MX"/>
        </w:rPr>
        <w:br w:type="page"/>
      </w:r>
    </w:p>
    <w:p w:rsidR="00574F2C" w:rsidRPr="00574F2C" w:rsidRDefault="00574F2C" w:rsidP="00574F2C">
      <w:pPr>
        <w:numPr>
          <w:ilvl w:val="0"/>
          <w:numId w:val="2"/>
        </w:numPr>
        <w:jc w:val="both"/>
        <w:rPr>
          <w:rFonts w:asciiTheme="majorHAnsi" w:hAnsiTheme="majorHAnsi" w:cs="Arial"/>
          <w:b/>
          <w:sz w:val="22"/>
          <w:szCs w:val="22"/>
          <w:lang w:val="es-MX"/>
        </w:rPr>
      </w:pPr>
      <w:r w:rsidRPr="00574F2C">
        <w:rPr>
          <w:rFonts w:asciiTheme="majorHAnsi" w:hAnsiTheme="majorHAnsi" w:cs="Arial"/>
          <w:b/>
          <w:sz w:val="22"/>
          <w:szCs w:val="22"/>
          <w:lang w:val="es-MX"/>
        </w:rPr>
        <w:lastRenderedPageBreak/>
        <w:t xml:space="preserve">Aceptación de las resoluciones del Comité de </w:t>
      </w:r>
      <w:r w:rsidR="00417C2B">
        <w:rPr>
          <w:rFonts w:asciiTheme="majorHAnsi" w:hAnsiTheme="majorHAnsi" w:cs="Arial"/>
          <w:b/>
          <w:sz w:val="22"/>
          <w:szCs w:val="22"/>
          <w:lang w:val="es-MX"/>
        </w:rPr>
        <w:t xml:space="preserve">Transparencia </w:t>
      </w:r>
      <w:r w:rsidRPr="00574F2C">
        <w:rPr>
          <w:rFonts w:asciiTheme="majorHAnsi" w:hAnsiTheme="majorHAnsi" w:cs="Arial"/>
          <w:b/>
          <w:sz w:val="22"/>
          <w:szCs w:val="22"/>
          <w:lang w:val="es-MX"/>
        </w:rPr>
        <w:t>por parte de los solicitantes</w:t>
      </w:r>
      <w:r w:rsidRPr="00574F2C">
        <w:rPr>
          <w:rStyle w:val="Refdenotaalpie"/>
          <w:rFonts w:asciiTheme="majorHAnsi" w:hAnsiTheme="majorHAnsi" w:cs="Arial"/>
          <w:b/>
          <w:sz w:val="22"/>
          <w:szCs w:val="22"/>
        </w:rPr>
        <w:footnoteReference w:id="9"/>
      </w:r>
      <w:r w:rsidRPr="00574F2C">
        <w:rPr>
          <w:rFonts w:asciiTheme="majorHAnsi" w:hAnsiTheme="majorHAnsi" w:cs="Arial"/>
          <w:b/>
          <w:sz w:val="22"/>
          <w:szCs w:val="22"/>
          <w:lang w:val="es-MX"/>
        </w:rPr>
        <w:t xml:space="preserve">. </w:t>
      </w:r>
    </w:p>
    <w:p w:rsid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360"/>
        <w:jc w:val="both"/>
        <w:rPr>
          <w:rFonts w:asciiTheme="majorHAnsi" w:hAnsiTheme="majorHAnsi" w:cs="Arial"/>
          <w:b/>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sz w:val="22"/>
          <w:szCs w:val="22"/>
          <w:lang w:val="es-MX"/>
        </w:rPr>
        <w:t>Este indicador permite</w:t>
      </w:r>
      <w:r w:rsidRPr="00574F2C">
        <w:rPr>
          <w:rFonts w:asciiTheme="majorHAnsi" w:hAnsiTheme="majorHAnsi" w:cs="Arial"/>
          <w:b/>
          <w:sz w:val="22"/>
          <w:szCs w:val="22"/>
          <w:lang w:val="es-MX"/>
        </w:rPr>
        <w:t xml:space="preserve"> </w:t>
      </w:r>
      <w:r w:rsidRPr="00574F2C">
        <w:rPr>
          <w:rFonts w:asciiTheme="majorHAnsi" w:hAnsiTheme="majorHAnsi" w:cs="Arial"/>
          <w:sz w:val="22"/>
          <w:szCs w:val="22"/>
          <w:lang w:val="es-MX"/>
        </w:rPr>
        <w:t xml:space="preserve">establecer el nivel de aceptación que tienen las resoluciones del Comité por parte de los solicitantes. </w:t>
      </w:r>
    </w:p>
    <w:p w:rsidR="00574F2C" w:rsidRPr="00574F2C" w:rsidRDefault="00574F2C" w:rsidP="00574F2C">
      <w:pPr>
        <w:ind w:left="709"/>
        <w:jc w:val="both"/>
        <w:rPr>
          <w:rFonts w:asciiTheme="majorHAnsi" w:hAnsiTheme="majorHAnsi" w:cs="Arial"/>
          <w:sz w:val="22"/>
          <w:szCs w:val="22"/>
          <w:lang w:val="es-MX"/>
        </w:rPr>
      </w:pPr>
      <w:r w:rsidRPr="00574F2C">
        <w:rPr>
          <w:rFonts w:asciiTheme="majorHAnsi" w:hAnsiTheme="majorHAnsi" w:cs="Arial"/>
          <w:sz w:val="22"/>
          <w:szCs w:val="22"/>
          <w:lang w:val="es-MX"/>
        </w:rPr>
        <w:t xml:space="preserve">     </w:t>
      </w:r>
    </w:p>
    <w:p w:rsidR="00574F2C" w:rsidRPr="00574F2C" w:rsidRDefault="00574F2C" w:rsidP="00574F2C">
      <w:pPr>
        <w:ind w:left="709"/>
        <w:jc w:val="both"/>
        <w:rPr>
          <w:rFonts w:asciiTheme="majorHAnsi" w:hAnsiTheme="majorHAnsi" w:cs="Arial"/>
          <w:b/>
          <w:sz w:val="22"/>
          <w:szCs w:val="22"/>
          <w:lang w:val="es-MX"/>
        </w:rPr>
      </w:pPr>
      <w:r w:rsidRPr="00574F2C">
        <w:rPr>
          <w:rFonts w:asciiTheme="majorHAnsi" w:hAnsiTheme="majorHAnsi" w:cs="Arial"/>
          <w:b/>
          <w:sz w:val="22"/>
          <w:szCs w:val="22"/>
          <w:lang w:val="es-MX"/>
        </w:rPr>
        <w:t>Resultados:</w:t>
      </w:r>
    </w:p>
    <w:p w:rsidR="00574F2C" w:rsidRPr="00574F2C" w:rsidRDefault="00574F2C" w:rsidP="00574F2C">
      <w:pPr>
        <w:ind w:left="709" w:firstLine="360"/>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lang w:val="es-MX"/>
        </w:rPr>
      </w:pPr>
      <w:r w:rsidRPr="00A158F4">
        <w:rPr>
          <w:rFonts w:asciiTheme="majorHAnsi" w:hAnsiTheme="majorHAnsi" w:cs="Arial"/>
          <w:sz w:val="22"/>
          <w:szCs w:val="22"/>
          <w:lang w:val="es-MX"/>
        </w:rPr>
        <w:t xml:space="preserve">Número de recursos de revisión promovidos en contra de resoluciones del Comité de </w:t>
      </w:r>
      <w:r w:rsidR="00417C2B" w:rsidRPr="00A158F4">
        <w:rPr>
          <w:rFonts w:asciiTheme="majorHAnsi" w:hAnsiTheme="majorHAnsi" w:cs="Arial"/>
          <w:sz w:val="22"/>
          <w:szCs w:val="22"/>
          <w:lang w:val="es-MX"/>
        </w:rPr>
        <w:t>Transparencia</w:t>
      </w:r>
      <w:r w:rsidRPr="00A158F4">
        <w:rPr>
          <w:rFonts w:asciiTheme="majorHAnsi" w:hAnsiTheme="majorHAnsi" w:cs="Arial"/>
          <w:sz w:val="22"/>
          <w:szCs w:val="22"/>
          <w:lang w:val="es-MX"/>
        </w:rPr>
        <w:t xml:space="preserve">: </w:t>
      </w:r>
      <w:r w:rsidR="00644D51">
        <w:rPr>
          <w:rFonts w:asciiTheme="majorHAnsi" w:hAnsiTheme="majorHAnsi" w:cs="Arial"/>
          <w:b/>
          <w:sz w:val="22"/>
          <w:szCs w:val="22"/>
          <w:lang w:val="es-MX"/>
        </w:rPr>
        <w:t>2</w:t>
      </w:r>
      <w:r w:rsidRPr="00A158F4">
        <w:rPr>
          <w:rFonts w:asciiTheme="majorHAnsi" w:hAnsiTheme="majorHAnsi" w:cs="Arial"/>
          <w:b/>
          <w:sz w:val="22"/>
          <w:szCs w:val="22"/>
          <w:lang w:val="es-MX"/>
        </w:rPr>
        <w:t>.</w:t>
      </w:r>
    </w:p>
    <w:p w:rsidR="00574F2C" w:rsidRPr="00574F2C" w:rsidRDefault="00574F2C" w:rsidP="00574F2C">
      <w:pPr>
        <w:ind w:left="709"/>
        <w:jc w:val="both"/>
        <w:rPr>
          <w:rFonts w:asciiTheme="majorHAnsi" w:hAnsiTheme="majorHAnsi" w:cs="Arial"/>
          <w:sz w:val="22"/>
          <w:szCs w:val="22"/>
          <w:lang w:val="es-MX"/>
        </w:rPr>
      </w:pPr>
    </w:p>
    <w:p w:rsidR="00574F2C" w:rsidRPr="00574F2C" w:rsidRDefault="00574F2C" w:rsidP="00574F2C">
      <w:pPr>
        <w:ind w:left="709"/>
        <w:jc w:val="both"/>
        <w:rPr>
          <w:rFonts w:asciiTheme="majorHAnsi" w:hAnsiTheme="majorHAnsi" w:cs="Arial"/>
          <w:b/>
          <w:sz w:val="22"/>
          <w:szCs w:val="22"/>
        </w:rPr>
      </w:pPr>
      <w:r w:rsidRPr="00574F2C">
        <w:rPr>
          <w:rFonts w:asciiTheme="majorHAnsi" w:hAnsiTheme="majorHAnsi" w:cs="Arial"/>
          <w:b/>
          <w:sz w:val="22"/>
          <w:szCs w:val="22"/>
        </w:rPr>
        <w:t>Gráfica:</w:t>
      </w:r>
      <w:r w:rsidRPr="00574F2C">
        <w:rPr>
          <w:rFonts w:asciiTheme="majorHAnsi" w:hAnsiTheme="majorHAnsi" w:cs="Arial"/>
          <w:sz w:val="22"/>
          <w:szCs w:val="22"/>
        </w:rPr>
        <w:t xml:space="preserve"> </w:t>
      </w:r>
    </w:p>
    <w:p w:rsidR="00574F2C" w:rsidRPr="003B2A36" w:rsidRDefault="00574F2C" w:rsidP="00574F2C">
      <w:pPr>
        <w:ind w:left="360"/>
        <w:jc w:val="both"/>
        <w:rPr>
          <w:rFonts w:ascii="Arial" w:hAnsi="Arial" w:cs="Arial"/>
          <w:sz w:val="26"/>
          <w:szCs w:val="26"/>
        </w:rPr>
      </w:pPr>
    </w:p>
    <w:p w:rsidR="003640DF" w:rsidRDefault="00C754AD" w:rsidP="00F578C7">
      <w:pPr>
        <w:pStyle w:val="Lugaryfecha"/>
        <w:rPr>
          <w:lang w:val="es-MX"/>
        </w:rPr>
      </w:pPr>
      <w:r>
        <w:rPr>
          <w:noProof/>
          <w:lang w:val="es-MX"/>
        </w:rPr>
        <w:drawing>
          <wp:inline distT="0" distB="0" distL="0" distR="0" wp14:anchorId="7B1C1037" wp14:editId="6B17048A">
            <wp:extent cx="5476875" cy="290512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4A32" w:rsidRDefault="00744A32">
      <w:pPr>
        <w:spacing w:after="200" w:line="276" w:lineRule="auto"/>
        <w:rPr>
          <w:rFonts w:asciiTheme="minorHAnsi" w:eastAsia="Times New Roman" w:hAnsiTheme="minorHAnsi"/>
          <w:sz w:val="20"/>
          <w:szCs w:val="20"/>
          <w:lang w:val="es-MX" w:eastAsia="es-MX"/>
        </w:rPr>
      </w:pPr>
      <w:r>
        <w:rPr>
          <w:lang w:val="es-MX"/>
        </w:rPr>
        <w:br w:type="page"/>
      </w:r>
    </w:p>
    <w:p w:rsidR="008068C9" w:rsidRPr="008068C9" w:rsidRDefault="008068C9" w:rsidP="008068C9">
      <w:pPr>
        <w:pStyle w:val="Prrafodelista"/>
        <w:numPr>
          <w:ilvl w:val="0"/>
          <w:numId w:val="2"/>
        </w:numPr>
        <w:jc w:val="both"/>
        <w:rPr>
          <w:rFonts w:ascii="Georgia" w:hAnsi="Georgia" w:cs="Arial"/>
          <w:b/>
          <w:sz w:val="22"/>
          <w:szCs w:val="22"/>
        </w:rPr>
      </w:pPr>
      <w:r w:rsidRPr="008068C9">
        <w:rPr>
          <w:rFonts w:ascii="Georgia" w:hAnsi="Georgia" w:cs="Arial"/>
          <w:b/>
          <w:sz w:val="22"/>
          <w:szCs w:val="22"/>
        </w:rPr>
        <w:lastRenderedPageBreak/>
        <w:t xml:space="preserve">Numeralia relacionada con los indicadores de gestión correspondientes al periodo de </w:t>
      </w:r>
      <w:r w:rsidR="00DF376F">
        <w:rPr>
          <w:rFonts w:ascii="Georgia" w:hAnsi="Georgia" w:cs="Arial"/>
          <w:b/>
          <w:sz w:val="22"/>
          <w:szCs w:val="22"/>
        </w:rPr>
        <w:t>Abril a Junio de 2017</w:t>
      </w:r>
      <w:r w:rsidR="0077794B">
        <w:rPr>
          <w:rFonts w:ascii="Georgia" w:hAnsi="Georgia" w:cs="Arial"/>
          <w:b/>
          <w:sz w:val="22"/>
          <w:szCs w:val="22"/>
        </w:rPr>
        <w:t>.</w:t>
      </w:r>
    </w:p>
    <w:p w:rsidR="008068C9" w:rsidRPr="008068C9" w:rsidRDefault="008068C9" w:rsidP="008068C9">
      <w:pPr>
        <w:ind w:left="720"/>
        <w:jc w:val="both"/>
        <w:rPr>
          <w:rFonts w:ascii="Georgia" w:hAnsi="Georgia" w:cs="Arial"/>
          <w:sz w:val="22"/>
          <w:szCs w:val="22"/>
          <w:lang w:val="es-MX"/>
        </w:rPr>
      </w:pPr>
    </w:p>
    <w:p w:rsidR="00BA6373" w:rsidRPr="00A158F4" w:rsidRDefault="00BA6373" w:rsidP="00BA6373">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Total de solicitudes de información recibidas: 8,647.</w:t>
      </w:r>
    </w:p>
    <w:p w:rsidR="00BA6373" w:rsidRPr="00A158F4" w:rsidRDefault="00BA6373" w:rsidP="00BA6373">
      <w:pPr>
        <w:ind w:left="1134"/>
        <w:jc w:val="both"/>
        <w:rPr>
          <w:rFonts w:ascii="Georgia" w:hAnsi="Georgia" w:cs="Arial"/>
          <w:sz w:val="22"/>
          <w:szCs w:val="22"/>
          <w:lang w:val="es-MX"/>
        </w:rPr>
      </w:pPr>
    </w:p>
    <w:p w:rsidR="00BA6373" w:rsidRPr="00A158F4" w:rsidRDefault="00BA6373" w:rsidP="00BA6373">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Tota</w:t>
      </w:r>
      <w:r w:rsidR="00C704F7">
        <w:rPr>
          <w:rFonts w:ascii="Georgia" w:hAnsi="Georgia" w:cs="Arial"/>
          <w:sz w:val="22"/>
          <w:szCs w:val="22"/>
        </w:rPr>
        <w:t>l de solicitudes en trámite: 472</w:t>
      </w:r>
      <w:r w:rsidRPr="00A158F4">
        <w:rPr>
          <w:rFonts w:ascii="Georgia" w:hAnsi="Georgia" w:cs="Arial"/>
          <w:sz w:val="22"/>
          <w:szCs w:val="22"/>
        </w:rPr>
        <w:t>.</w:t>
      </w:r>
    </w:p>
    <w:p w:rsidR="00BA6373" w:rsidRPr="00A158F4" w:rsidRDefault="00BA6373" w:rsidP="00BA6373">
      <w:pPr>
        <w:pStyle w:val="Prrafodelista"/>
        <w:rPr>
          <w:rFonts w:ascii="Georgia" w:hAnsi="Georgia" w:cs="Arial"/>
          <w:sz w:val="22"/>
          <w:szCs w:val="22"/>
        </w:rPr>
      </w:pPr>
    </w:p>
    <w:p w:rsidR="00BA6373" w:rsidRPr="00A158F4" w:rsidRDefault="00BA6373" w:rsidP="00BA6373">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Total de solicitudes de información resueltas: 8,175.</w:t>
      </w:r>
    </w:p>
    <w:p w:rsidR="00BA6373" w:rsidRPr="00A158F4" w:rsidRDefault="00BA6373" w:rsidP="00BA6373">
      <w:pPr>
        <w:pStyle w:val="Prrafodelista"/>
        <w:ind w:left="1134"/>
        <w:jc w:val="both"/>
        <w:rPr>
          <w:rFonts w:ascii="Georgia" w:hAnsi="Georgia" w:cs="Arial"/>
          <w:sz w:val="22"/>
          <w:szCs w:val="22"/>
        </w:rPr>
      </w:pPr>
    </w:p>
    <w:p w:rsidR="00BA6373" w:rsidRPr="00A158F4" w:rsidRDefault="00BA6373" w:rsidP="00BA6373">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Número de solicitudes realizadas a tr</w:t>
      </w:r>
      <w:r w:rsidR="00216077">
        <w:rPr>
          <w:rFonts w:ascii="Georgia" w:hAnsi="Georgia" w:cs="Arial"/>
          <w:sz w:val="22"/>
          <w:szCs w:val="22"/>
        </w:rPr>
        <w:t>avés de medios electrónicos: 3,108</w:t>
      </w:r>
      <w:r w:rsidRPr="00A158F4">
        <w:rPr>
          <w:rFonts w:ascii="Georgia" w:hAnsi="Georgia" w:cs="Arial"/>
          <w:sz w:val="22"/>
          <w:szCs w:val="22"/>
        </w:rPr>
        <w:t>.</w:t>
      </w:r>
    </w:p>
    <w:p w:rsidR="00BA6373" w:rsidRPr="00A158F4" w:rsidRDefault="00BA6373" w:rsidP="00BA6373">
      <w:pPr>
        <w:pStyle w:val="Prrafodelista"/>
        <w:ind w:left="1134"/>
        <w:jc w:val="both"/>
        <w:rPr>
          <w:rFonts w:ascii="Georgia" w:hAnsi="Georgia" w:cs="Arial"/>
          <w:sz w:val="22"/>
          <w:szCs w:val="22"/>
        </w:rPr>
      </w:pPr>
    </w:p>
    <w:p w:rsidR="008068C9" w:rsidRPr="00A158F4" w:rsidRDefault="00BA6373" w:rsidP="00BA6373">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Número solicitudes realiz</w:t>
      </w:r>
      <w:r w:rsidR="00216077">
        <w:rPr>
          <w:rFonts w:ascii="Georgia" w:hAnsi="Georgia" w:cs="Arial"/>
          <w:sz w:val="22"/>
          <w:szCs w:val="22"/>
        </w:rPr>
        <w:t>adas de manera presencial: 5,539</w:t>
      </w:r>
      <w:r w:rsidRPr="00A158F4">
        <w:rPr>
          <w:rFonts w:ascii="Georgia" w:hAnsi="Georgia" w:cs="Arial"/>
          <w:sz w:val="22"/>
          <w:szCs w:val="22"/>
        </w:rPr>
        <w:t>.</w:t>
      </w:r>
    </w:p>
    <w:p w:rsidR="008068C9" w:rsidRPr="00A158F4" w:rsidRDefault="008068C9" w:rsidP="008068C9">
      <w:pPr>
        <w:pStyle w:val="Prrafodelista"/>
        <w:jc w:val="both"/>
        <w:rPr>
          <w:rFonts w:ascii="Georgia" w:hAnsi="Georgia" w:cs="Arial"/>
          <w:sz w:val="22"/>
          <w:szCs w:val="22"/>
        </w:rPr>
      </w:pPr>
    </w:p>
    <w:p w:rsidR="008068C9" w:rsidRPr="00A158F4" w:rsidRDefault="008068C9" w:rsidP="008068C9">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 xml:space="preserve">Total de orientaciones realizadas para que el solicitante presente su solicitud ante otra Unidad de Enlace: </w:t>
      </w:r>
      <w:r w:rsidR="007623D8" w:rsidRPr="00A158F4">
        <w:rPr>
          <w:rFonts w:ascii="Georgia" w:hAnsi="Georgia" w:cs="Arial"/>
          <w:sz w:val="22"/>
          <w:szCs w:val="22"/>
        </w:rPr>
        <w:t>1</w:t>
      </w:r>
      <w:r w:rsidR="002E73AE" w:rsidRPr="00A158F4">
        <w:rPr>
          <w:rFonts w:ascii="Georgia" w:hAnsi="Georgia" w:cs="Arial"/>
          <w:sz w:val="22"/>
          <w:szCs w:val="22"/>
        </w:rPr>
        <w:t>9</w:t>
      </w:r>
      <w:r w:rsidRPr="00A158F4">
        <w:rPr>
          <w:rFonts w:ascii="Georgia" w:hAnsi="Georgia" w:cs="Arial"/>
          <w:sz w:val="22"/>
          <w:szCs w:val="22"/>
        </w:rPr>
        <w:t>.</w:t>
      </w:r>
    </w:p>
    <w:p w:rsidR="008068C9" w:rsidRPr="00A158F4" w:rsidRDefault="008068C9" w:rsidP="008068C9">
      <w:pPr>
        <w:pStyle w:val="Prrafodelista"/>
        <w:tabs>
          <w:tab w:val="left" w:pos="3390"/>
        </w:tabs>
        <w:jc w:val="both"/>
        <w:rPr>
          <w:rFonts w:ascii="Georgia" w:hAnsi="Georgia" w:cs="Arial"/>
          <w:b/>
          <w:sz w:val="22"/>
          <w:szCs w:val="22"/>
        </w:rPr>
      </w:pPr>
      <w:r w:rsidRPr="00A158F4">
        <w:rPr>
          <w:rFonts w:ascii="Georgia" w:hAnsi="Georgia" w:cs="Arial"/>
          <w:b/>
          <w:sz w:val="22"/>
          <w:szCs w:val="22"/>
        </w:rPr>
        <w:tab/>
      </w:r>
    </w:p>
    <w:p w:rsidR="008068C9" w:rsidRPr="00A158F4" w:rsidRDefault="008068C9" w:rsidP="008068C9">
      <w:pPr>
        <w:pStyle w:val="Prrafodelista"/>
        <w:jc w:val="both"/>
        <w:rPr>
          <w:rFonts w:ascii="Georgia" w:hAnsi="Georgia" w:cs="Arial"/>
          <w:b/>
          <w:sz w:val="22"/>
          <w:szCs w:val="22"/>
        </w:rPr>
      </w:pPr>
    </w:p>
    <w:p w:rsidR="008068C9" w:rsidRPr="00A158F4" w:rsidRDefault="008068C9" w:rsidP="008068C9">
      <w:pPr>
        <w:pStyle w:val="Prrafodelista"/>
        <w:numPr>
          <w:ilvl w:val="0"/>
          <w:numId w:val="6"/>
        </w:numPr>
        <w:contextualSpacing w:val="0"/>
        <w:jc w:val="both"/>
        <w:rPr>
          <w:rFonts w:ascii="Georgia" w:hAnsi="Georgia" w:cs="Arial"/>
          <w:b/>
          <w:sz w:val="22"/>
          <w:szCs w:val="22"/>
        </w:rPr>
      </w:pPr>
      <w:r w:rsidRPr="00A158F4">
        <w:rPr>
          <w:rFonts w:ascii="Georgia" w:hAnsi="Georgia" w:cs="Arial"/>
          <w:b/>
          <w:sz w:val="22"/>
          <w:szCs w:val="22"/>
        </w:rPr>
        <w:t>Procedimiento Sumario.</w:t>
      </w:r>
    </w:p>
    <w:p w:rsidR="008068C9" w:rsidRPr="00A158F4" w:rsidRDefault="008068C9" w:rsidP="008068C9">
      <w:pPr>
        <w:pStyle w:val="Prrafodelista"/>
        <w:ind w:left="1134"/>
        <w:jc w:val="both"/>
        <w:rPr>
          <w:rFonts w:ascii="Georgia" w:hAnsi="Georgia" w:cs="Arial"/>
          <w:sz w:val="22"/>
          <w:szCs w:val="22"/>
        </w:rPr>
      </w:pPr>
    </w:p>
    <w:p w:rsidR="008068C9" w:rsidRPr="00A158F4" w:rsidRDefault="008068C9" w:rsidP="008068C9">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 xml:space="preserve">Total de solicitudes tramitadas mediante procedimiento sumario: </w:t>
      </w:r>
      <w:r w:rsidR="004213C8" w:rsidRPr="00A158F4">
        <w:rPr>
          <w:rFonts w:ascii="Georgia" w:hAnsi="Georgia" w:cs="Arial"/>
          <w:sz w:val="22"/>
          <w:szCs w:val="22"/>
        </w:rPr>
        <w:t>7</w:t>
      </w:r>
      <w:r w:rsidR="00F06904" w:rsidRPr="00A158F4">
        <w:rPr>
          <w:rFonts w:ascii="Georgia" w:hAnsi="Georgia" w:cs="Arial"/>
          <w:sz w:val="22"/>
          <w:szCs w:val="22"/>
        </w:rPr>
        <w:t>,</w:t>
      </w:r>
      <w:r w:rsidR="00A16BD8" w:rsidRPr="00A158F4">
        <w:rPr>
          <w:rFonts w:ascii="Georgia" w:hAnsi="Georgia" w:cs="Arial"/>
          <w:sz w:val="22"/>
          <w:szCs w:val="22"/>
        </w:rPr>
        <w:t>994</w:t>
      </w:r>
      <w:r w:rsidRPr="00A158F4">
        <w:rPr>
          <w:rFonts w:ascii="Georgia" w:hAnsi="Georgia" w:cs="Arial"/>
          <w:sz w:val="22"/>
          <w:szCs w:val="22"/>
        </w:rPr>
        <w:t>.</w:t>
      </w:r>
    </w:p>
    <w:p w:rsidR="008068C9" w:rsidRPr="00A158F4" w:rsidRDefault="008068C9" w:rsidP="008068C9">
      <w:pPr>
        <w:pStyle w:val="Prrafodelista"/>
        <w:ind w:left="1134"/>
        <w:jc w:val="both"/>
        <w:rPr>
          <w:rFonts w:ascii="Georgia" w:hAnsi="Georgia" w:cs="Arial"/>
          <w:sz w:val="22"/>
          <w:szCs w:val="22"/>
        </w:rPr>
      </w:pPr>
    </w:p>
    <w:p w:rsidR="008068C9" w:rsidRPr="00A158F4" w:rsidRDefault="008068C9" w:rsidP="008068C9">
      <w:pPr>
        <w:pStyle w:val="Prrafodelista"/>
        <w:numPr>
          <w:ilvl w:val="0"/>
          <w:numId w:val="8"/>
        </w:numPr>
        <w:ind w:left="1560"/>
        <w:contextualSpacing w:val="0"/>
        <w:jc w:val="both"/>
        <w:rPr>
          <w:rFonts w:ascii="Georgia" w:hAnsi="Georgia" w:cs="Arial"/>
          <w:sz w:val="22"/>
          <w:szCs w:val="22"/>
        </w:rPr>
      </w:pPr>
      <w:r w:rsidRPr="00A158F4">
        <w:rPr>
          <w:rFonts w:ascii="Georgia" w:hAnsi="Georgia" w:cs="Arial"/>
          <w:sz w:val="22"/>
          <w:szCs w:val="22"/>
        </w:rPr>
        <w:t xml:space="preserve">Total de solicitudes tramitadas mediante procedimiento sumario a través de los Módulos de Acceso a la Información: </w:t>
      </w:r>
      <w:r w:rsidR="00A16BD8" w:rsidRPr="00A158F4">
        <w:rPr>
          <w:rFonts w:ascii="Georgia" w:hAnsi="Georgia" w:cs="Arial"/>
          <w:sz w:val="22"/>
          <w:szCs w:val="22"/>
        </w:rPr>
        <w:t>7,529</w:t>
      </w:r>
      <w:r w:rsidRPr="00A158F4">
        <w:rPr>
          <w:rFonts w:ascii="Georgia" w:hAnsi="Georgia" w:cs="Arial"/>
          <w:sz w:val="22"/>
          <w:szCs w:val="22"/>
        </w:rPr>
        <w:t>.</w:t>
      </w:r>
    </w:p>
    <w:p w:rsidR="008068C9" w:rsidRPr="00A158F4" w:rsidRDefault="008068C9" w:rsidP="008068C9">
      <w:pPr>
        <w:ind w:left="1560" w:hanging="425"/>
        <w:jc w:val="both"/>
        <w:rPr>
          <w:rFonts w:ascii="Georgia" w:hAnsi="Georgia" w:cs="Arial"/>
          <w:sz w:val="22"/>
          <w:szCs w:val="22"/>
          <w:lang w:val="es-MX"/>
        </w:rPr>
      </w:pPr>
    </w:p>
    <w:p w:rsidR="008068C9" w:rsidRPr="00A158F4" w:rsidRDefault="008068C9" w:rsidP="008068C9">
      <w:pPr>
        <w:pStyle w:val="Prrafodelista"/>
        <w:numPr>
          <w:ilvl w:val="0"/>
          <w:numId w:val="8"/>
        </w:numPr>
        <w:ind w:left="1560"/>
        <w:contextualSpacing w:val="0"/>
        <w:jc w:val="both"/>
        <w:rPr>
          <w:rFonts w:ascii="Georgia" w:hAnsi="Georgia" w:cs="Arial"/>
          <w:sz w:val="22"/>
          <w:szCs w:val="22"/>
        </w:rPr>
      </w:pPr>
      <w:r w:rsidRPr="00A158F4">
        <w:rPr>
          <w:rFonts w:ascii="Georgia" w:hAnsi="Georgia" w:cs="Arial"/>
          <w:sz w:val="22"/>
          <w:szCs w:val="22"/>
        </w:rPr>
        <w:t xml:space="preserve">Total de consultas de información legislativa y bibliohemerográfica en el Distrito Federal: </w:t>
      </w:r>
      <w:r w:rsidR="00A16BD8" w:rsidRPr="00A158F4">
        <w:rPr>
          <w:rFonts w:ascii="Georgia" w:hAnsi="Georgia" w:cs="Arial"/>
          <w:sz w:val="22"/>
          <w:szCs w:val="22"/>
        </w:rPr>
        <w:t>465</w:t>
      </w:r>
      <w:r w:rsidRPr="00A158F4">
        <w:rPr>
          <w:rFonts w:ascii="Georgia" w:hAnsi="Georgia" w:cs="Arial"/>
          <w:sz w:val="22"/>
          <w:szCs w:val="22"/>
        </w:rPr>
        <w:t>.</w:t>
      </w: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Procedimiento Ordinario.</w:t>
      </w:r>
    </w:p>
    <w:p w:rsidR="008068C9" w:rsidRPr="008068C9" w:rsidRDefault="008068C9" w:rsidP="008068C9">
      <w:pPr>
        <w:pStyle w:val="Prrafodelista"/>
        <w:ind w:left="1080"/>
        <w:jc w:val="both"/>
        <w:rPr>
          <w:rFonts w:ascii="Georgia" w:hAnsi="Georgia" w:cs="Arial"/>
          <w:sz w:val="22"/>
          <w:szCs w:val="22"/>
        </w:rPr>
      </w:pPr>
    </w:p>
    <w:p w:rsidR="008F7502" w:rsidRPr="00A158F4" w:rsidRDefault="008F7502" w:rsidP="008F7502">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Total de solicitudes tramitadas ante la Unidad de Enlace: 653.</w:t>
      </w:r>
    </w:p>
    <w:p w:rsidR="008F7502" w:rsidRPr="00A158F4" w:rsidRDefault="008F7502" w:rsidP="008F7502">
      <w:pPr>
        <w:pStyle w:val="Prrafodelista"/>
        <w:ind w:left="1134"/>
        <w:jc w:val="both"/>
        <w:rPr>
          <w:rFonts w:ascii="Georgia" w:hAnsi="Georgia" w:cs="Arial"/>
          <w:sz w:val="22"/>
          <w:szCs w:val="22"/>
        </w:rPr>
      </w:pPr>
    </w:p>
    <w:p w:rsidR="008F7502" w:rsidRPr="00A158F4" w:rsidRDefault="008F7502" w:rsidP="008F7502">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Total de solicitudes canalizadas al Consejo de la Judicatura Federal o alguna otra institución pública: 105.</w:t>
      </w:r>
    </w:p>
    <w:p w:rsidR="008F7502" w:rsidRPr="00A158F4" w:rsidRDefault="008F7502" w:rsidP="008F7502">
      <w:pPr>
        <w:pStyle w:val="Prrafodelista"/>
        <w:ind w:left="1134"/>
        <w:jc w:val="both"/>
        <w:rPr>
          <w:rFonts w:ascii="Georgia" w:hAnsi="Georgia" w:cs="Arial"/>
          <w:sz w:val="22"/>
          <w:szCs w:val="22"/>
        </w:rPr>
      </w:pPr>
    </w:p>
    <w:p w:rsidR="008F7502" w:rsidRPr="00A158F4" w:rsidRDefault="008F7502" w:rsidP="008F7502">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Número de solicitudes que se ordenó su archivo por no desahogarse la prevención: 38.</w:t>
      </w:r>
    </w:p>
    <w:p w:rsidR="008F7502" w:rsidRPr="00A158F4" w:rsidRDefault="008F7502" w:rsidP="008F7502">
      <w:pPr>
        <w:pStyle w:val="Prrafodelista"/>
        <w:ind w:left="1134"/>
        <w:jc w:val="both"/>
        <w:rPr>
          <w:rFonts w:ascii="Georgia" w:hAnsi="Georgia" w:cs="Arial"/>
          <w:sz w:val="22"/>
          <w:szCs w:val="22"/>
        </w:rPr>
      </w:pPr>
    </w:p>
    <w:p w:rsidR="008F7502" w:rsidRPr="00A158F4" w:rsidRDefault="008F7502" w:rsidP="008F7502">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Total de solicitudes tramitadas mediante procedimiento ordinario: 504.</w:t>
      </w:r>
    </w:p>
    <w:p w:rsidR="008F7502" w:rsidRPr="00A158F4" w:rsidRDefault="008F7502" w:rsidP="008F7502">
      <w:pPr>
        <w:ind w:left="1080"/>
        <w:jc w:val="both"/>
        <w:rPr>
          <w:rFonts w:ascii="Georgia" w:hAnsi="Georgia" w:cs="Arial"/>
          <w:sz w:val="22"/>
          <w:szCs w:val="22"/>
          <w:lang w:val="es-MX"/>
        </w:rPr>
      </w:pPr>
    </w:p>
    <w:p w:rsidR="008F7502" w:rsidRPr="00A158F4" w:rsidRDefault="008F7502" w:rsidP="008F7502">
      <w:pPr>
        <w:pStyle w:val="Prrafodelista"/>
        <w:numPr>
          <w:ilvl w:val="0"/>
          <w:numId w:val="8"/>
        </w:numPr>
        <w:ind w:left="1560"/>
        <w:contextualSpacing w:val="0"/>
        <w:jc w:val="both"/>
        <w:rPr>
          <w:rFonts w:ascii="Georgia" w:hAnsi="Georgia" w:cs="Arial"/>
          <w:sz w:val="22"/>
          <w:szCs w:val="22"/>
        </w:rPr>
      </w:pPr>
      <w:r w:rsidRPr="00A158F4">
        <w:rPr>
          <w:rFonts w:ascii="Georgia" w:hAnsi="Georgia" w:cs="Arial"/>
          <w:sz w:val="22"/>
          <w:szCs w:val="22"/>
        </w:rPr>
        <w:t>Solicitudes de información tramitadas mediante el procedimiento ordinario cuya naturaleza es de carácter administrativo: 109.</w:t>
      </w:r>
    </w:p>
    <w:p w:rsidR="008F7502" w:rsidRPr="00A158F4" w:rsidRDefault="008F7502" w:rsidP="008F7502">
      <w:pPr>
        <w:pStyle w:val="Prrafodelista"/>
        <w:ind w:left="1560"/>
        <w:jc w:val="both"/>
        <w:rPr>
          <w:rFonts w:ascii="Georgia" w:hAnsi="Georgia" w:cs="Arial"/>
          <w:sz w:val="22"/>
          <w:szCs w:val="22"/>
        </w:rPr>
      </w:pPr>
    </w:p>
    <w:p w:rsidR="008F7502" w:rsidRPr="00A158F4" w:rsidRDefault="008F7502" w:rsidP="008F7502">
      <w:pPr>
        <w:pStyle w:val="Prrafodelista"/>
        <w:numPr>
          <w:ilvl w:val="0"/>
          <w:numId w:val="8"/>
        </w:numPr>
        <w:ind w:left="1560"/>
        <w:contextualSpacing w:val="0"/>
        <w:jc w:val="both"/>
        <w:rPr>
          <w:rFonts w:ascii="Georgia" w:hAnsi="Georgia" w:cs="Arial"/>
          <w:sz w:val="22"/>
          <w:szCs w:val="22"/>
        </w:rPr>
      </w:pPr>
      <w:r w:rsidRPr="00A158F4">
        <w:rPr>
          <w:rFonts w:ascii="Georgia" w:hAnsi="Georgia" w:cs="Arial"/>
          <w:sz w:val="22"/>
          <w:szCs w:val="22"/>
        </w:rPr>
        <w:t>Solicitudes de información tramitadas mediante el procedimiento ordinario cuya naturaleza es de carácter jurisdiccional: 395.</w:t>
      </w:r>
    </w:p>
    <w:p w:rsidR="008F7502" w:rsidRPr="00B1455A" w:rsidRDefault="008F7502" w:rsidP="008F7502">
      <w:pPr>
        <w:pStyle w:val="Prrafodelista"/>
        <w:rPr>
          <w:rFonts w:ascii="Georgia" w:hAnsi="Georgia" w:cs="Arial"/>
          <w:sz w:val="22"/>
          <w:szCs w:val="22"/>
          <w:highlight w:val="yellow"/>
        </w:rPr>
      </w:pPr>
    </w:p>
    <w:p w:rsidR="008F7502" w:rsidRPr="00A158F4" w:rsidRDefault="008F7502" w:rsidP="008F7502">
      <w:pPr>
        <w:pStyle w:val="Prrafodelista"/>
        <w:numPr>
          <w:ilvl w:val="0"/>
          <w:numId w:val="8"/>
        </w:numPr>
        <w:ind w:left="1560"/>
        <w:contextualSpacing w:val="0"/>
        <w:jc w:val="both"/>
        <w:rPr>
          <w:rFonts w:ascii="Georgia" w:hAnsi="Georgia" w:cs="Arial"/>
          <w:sz w:val="22"/>
          <w:szCs w:val="22"/>
        </w:rPr>
      </w:pPr>
      <w:r w:rsidRPr="00A158F4">
        <w:rPr>
          <w:rFonts w:ascii="Georgia" w:hAnsi="Georgia" w:cs="Arial"/>
          <w:sz w:val="22"/>
          <w:szCs w:val="22"/>
        </w:rPr>
        <w:lastRenderedPageBreak/>
        <w:t>Solicitudes pendientes de desahogar prevención: 6</w:t>
      </w:r>
    </w:p>
    <w:p w:rsidR="008F7502" w:rsidRPr="00A158F4" w:rsidRDefault="008F7502" w:rsidP="008F7502">
      <w:pPr>
        <w:ind w:left="1440"/>
        <w:jc w:val="both"/>
        <w:rPr>
          <w:rFonts w:ascii="Georgia" w:hAnsi="Georgia" w:cs="Arial"/>
          <w:sz w:val="22"/>
          <w:szCs w:val="22"/>
          <w:lang w:val="es-MX"/>
        </w:rPr>
      </w:pPr>
    </w:p>
    <w:p w:rsidR="008F7502" w:rsidRPr="00A158F4" w:rsidRDefault="008F7502" w:rsidP="008F7502">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Solicitudes de información tramitadas mediante el procedimiento ordinario, en las cuales la Unidad de Enlace declaró la inexistencia temporal del engrose de las sentencias emitidas por el Pleno y las Salas de este Alto Tribunal: 29.</w:t>
      </w:r>
    </w:p>
    <w:p w:rsidR="008F7502" w:rsidRPr="00A158F4" w:rsidRDefault="008F7502" w:rsidP="008F7502">
      <w:pPr>
        <w:ind w:left="1080"/>
        <w:jc w:val="both"/>
        <w:rPr>
          <w:rFonts w:ascii="Georgia" w:hAnsi="Georgia" w:cs="Arial"/>
          <w:sz w:val="22"/>
          <w:szCs w:val="22"/>
          <w:lang w:val="es-MX"/>
        </w:rPr>
      </w:pPr>
    </w:p>
    <w:p w:rsidR="009940CE" w:rsidRPr="00A158F4" w:rsidRDefault="008F7502" w:rsidP="008F7502">
      <w:pPr>
        <w:pStyle w:val="Prrafodelista"/>
        <w:numPr>
          <w:ilvl w:val="0"/>
          <w:numId w:val="7"/>
        </w:numPr>
        <w:ind w:left="1134"/>
        <w:contextualSpacing w:val="0"/>
        <w:jc w:val="both"/>
        <w:rPr>
          <w:rFonts w:ascii="Georgia" w:hAnsi="Georgia" w:cs="Arial"/>
          <w:sz w:val="22"/>
          <w:szCs w:val="22"/>
        </w:rPr>
      </w:pPr>
      <w:r w:rsidRPr="00A158F4">
        <w:rPr>
          <w:rFonts w:ascii="Georgia" w:hAnsi="Georgia" w:cs="Arial"/>
          <w:sz w:val="22"/>
          <w:szCs w:val="22"/>
        </w:rPr>
        <w:t>Solicitudes de acceso, rectificación, cancelación u oposición a la pu</w:t>
      </w:r>
      <w:r w:rsidR="007D3306">
        <w:rPr>
          <w:rFonts w:ascii="Georgia" w:hAnsi="Georgia" w:cs="Arial"/>
          <w:sz w:val="22"/>
          <w:szCs w:val="22"/>
        </w:rPr>
        <w:t>blicación de datos personales: 1</w:t>
      </w:r>
      <w:r w:rsidRPr="00A158F4">
        <w:rPr>
          <w:rFonts w:ascii="Georgia" w:hAnsi="Georgia" w:cs="Arial"/>
          <w:sz w:val="22"/>
          <w:szCs w:val="22"/>
        </w:rPr>
        <w:t>.</w:t>
      </w:r>
    </w:p>
    <w:p w:rsidR="009940CE" w:rsidRDefault="009940CE" w:rsidP="008068C9">
      <w:pPr>
        <w:ind w:left="1080"/>
        <w:jc w:val="both"/>
        <w:rPr>
          <w:rFonts w:ascii="Georgia" w:hAnsi="Georgia" w:cs="Arial"/>
          <w:sz w:val="22"/>
          <w:szCs w:val="22"/>
          <w:lang w:val="es-MX"/>
        </w:rPr>
      </w:pPr>
    </w:p>
    <w:p w:rsidR="009940CE" w:rsidRPr="008068C9" w:rsidRDefault="009940CE" w:rsidP="008068C9">
      <w:pPr>
        <w:ind w:left="1080"/>
        <w:jc w:val="both"/>
        <w:rPr>
          <w:rFonts w:ascii="Georgia" w:hAnsi="Georgia" w:cs="Arial"/>
          <w:sz w:val="22"/>
          <w:szCs w:val="22"/>
          <w:lang w:val="es-MX"/>
        </w:rPr>
      </w:pPr>
    </w:p>
    <w:p w:rsidR="008068C9" w:rsidRPr="008068C9" w:rsidRDefault="008068C9" w:rsidP="008068C9">
      <w:pPr>
        <w:pStyle w:val="Prrafodelista"/>
        <w:numPr>
          <w:ilvl w:val="0"/>
          <w:numId w:val="6"/>
        </w:numPr>
        <w:contextualSpacing w:val="0"/>
        <w:jc w:val="both"/>
        <w:rPr>
          <w:rFonts w:ascii="Georgia" w:hAnsi="Georgia" w:cs="Arial"/>
          <w:b/>
          <w:sz w:val="22"/>
          <w:szCs w:val="22"/>
        </w:rPr>
      </w:pPr>
      <w:r w:rsidRPr="008068C9">
        <w:rPr>
          <w:rFonts w:ascii="Georgia" w:hAnsi="Georgia" w:cs="Arial"/>
          <w:b/>
          <w:sz w:val="22"/>
          <w:szCs w:val="22"/>
        </w:rPr>
        <w:t xml:space="preserve">Comité de </w:t>
      </w:r>
      <w:r w:rsidR="00417C2B">
        <w:rPr>
          <w:rFonts w:ascii="Georgia" w:hAnsi="Georgia" w:cs="Arial"/>
          <w:b/>
          <w:sz w:val="22"/>
          <w:szCs w:val="22"/>
        </w:rPr>
        <w:t>Transparencia</w:t>
      </w:r>
      <w:r w:rsidRPr="008068C9">
        <w:rPr>
          <w:rFonts w:ascii="Georgia" w:hAnsi="Georgia" w:cs="Arial"/>
          <w:b/>
          <w:sz w:val="22"/>
          <w:szCs w:val="22"/>
        </w:rPr>
        <w:t>.</w:t>
      </w:r>
    </w:p>
    <w:p w:rsidR="008068C9" w:rsidRPr="008068C9" w:rsidRDefault="008068C9" w:rsidP="008068C9">
      <w:pPr>
        <w:ind w:left="1080"/>
        <w:jc w:val="both"/>
        <w:rPr>
          <w:rFonts w:ascii="Georgia" w:hAnsi="Georgia" w:cs="Arial"/>
          <w:b/>
          <w:sz w:val="22"/>
          <w:szCs w:val="22"/>
          <w:lang w:val="es-MX"/>
        </w:rPr>
      </w:pPr>
    </w:p>
    <w:p w:rsidR="008068C9" w:rsidRPr="00A158F4" w:rsidRDefault="008068C9" w:rsidP="008068C9">
      <w:pPr>
        <w:numPr>
          <w:ilvl w:val="1"/>
          <w:numId w:val="5"/>
        </w:numPr>
        <w:jc w:val="both"/>
        <w:rPr>
          <w:rFonts w:ascii="Georgia" w:hAnsi="Georgia" w:cs="Arial"/>
          <w:b/>
          <w:sz w:val="22"/>
          <w:szCs w:val="22"/>
          <w:lang w:val="es-MX"/>
        </w:rPr>
      </w:pPr>
      <w:r w:rsidRPr="00A158F4">
        <w:rPr>
          <w:rFonts w:ascii="Georgia" w:hAnsi="Georgia" w:cs="Arial"/>
          <w:sz w:val="22"/>
          <w:szCs w:val="22"/>
          <w:lang w:val="es-MX"/>
        </w:rPr>
        <w:t>Expedientes turnados</w:t>
      </w:r>
      <w:r w:rsidR="00727BA0" w:rsidRPr="00A158F4">
        <w:rPr>
          <w:rFonts w:ascii="Georgia" w:hAnsi="Georgia" w:cs="Arial"/>
          <w:sz w:val="22"/>
          <w:szCs w:val="22"/>
          <w:lang w:val="es-MX"/>
        </w:rPr>
        <w:t xml:space="preserve"> </w:t>
      </w:r>
      <w:r w:rsidR="006B2765" w:rsidRPr="00A158F4">
        <w:rPr>
          <w:rFonts w:ascii="Georgia" w:hAnsi="Georgia" w:cs="Arial"/>
          <w:sz w:val="22"/>
          <w:szCs w:val="22"/>
          <w:lang w:val="es-MX"/>
        </w:rPr>
        <w:t xml:space="preserve">al </w:t>
      </w:r>
      <w:r w:rsidR="00727BA0" w:rsidRPr="00A158F4">
        <w:rPr>
          <w:rFonts w:ascii="Georgia" w:hAnsi="Georgia" w:cs="Arial"/>
          <w:sz w:val="22"/>
          <w:szCs w:val="22"/>
          <w:lang w:val="es-MX"/>
        </w:rPr>
        <w:t>Comité</w:t>
      </w:r>
      <w:r w:rsidRPr="00A158F4">
        <w:rPr>
          <w:rFonts w:ascii="Georgia" w:hAnsi="Georgia" w:cs="Arial"/>
          <w:sz w:val="22"/>
          <w:szCs w:val="22"/>
          <w:lang w:val="es-MX"/>
        </w:rPr>
        <w:t xml:space="preserve">: </w:t>
      </w:r>
      <w:r w:rsidR="00C44973" w:rsidRPr="00A158F4">
        <w:rPr>
          <w:rFonts w:ascii="Georgia" w:hAnsi="Georgia" w:cs="Arial"/>
          <w:sz w:val="22"/>
          <w:szCs w:val="22"/>
          <w:lang w:val="es-MX"/>
        </w:rPr>
        <w:t>41</w:t>
      </w:r>
      <w:r w:rsidRPr="00A158F4">
        <w:rPr>
          <w:rFonts w:ascii="Georgia" w:hAnsi="Georgia" w:cs="Arial"/>
          <w:sz w:val="22"/>
          <w:szCs w:val="22"/>
          <w:lang w:val="es-MX"/>
        </w:rPr>
        <w:t>.</w:t>
      </w:r>
    </w:p>
    <w:p w:rsidR="006B2765" w:rsidRPr="006B2765" w:rsidRDefault="006B2765" w:rsidP="006B2765">
      <w:pPr>
        <w:ind w:left="1440"/>
        <w:jc w:val="both"/>
        <w:rPr>
          <w:rFonts w:ascii="Georgia" w:hAnsi="Georgia" w:cs="Arial"/>
          <w:b/>
          <w:sz w:val="22"/>
          <w:szCs w:val="22"/>
          <w:lang w:val="es-MX"/>
        </w:rPr>
      </w:pPr>
    </w:p>
    <w:p w:rsidR="006B2765" w:rsidRPr="006B2765" w:rsidRDefault="006B2765" w:rsidP="008068C9">
      <w:pPr>
        <w:numPr>
          <w:ilvl w:val="1"/>
          <w:numId w:val="5"/>
        </w:numPr>
        <w:jc w:val="both"/>
        <w:rPr>
          <w:rFonts w:ascii="Georgia" w:hAnsi="Georgia" w:cs="Arial"/>
          <w:b/>
          <w:sz w:val="22"/>
          <w:szCs w:val="22"/>
          <w:lang w:val="es-MX"/>
        </w:rPr>
      </w:pPr>
      <w:r w:rsidRPr="006B2765">
        <w:rPr>
          <w:rFonts w:ascii="Georgia" w:hAnsi="Georgia" w:cs="Arial"/>
          <w:sz w:val="22"/>
          <w:szCs w:val="22"/>
          <w:lang w:val="es-MX"/>
        </w:rPr>
        <w:t>Expedientes integrados</w:t>
      </w:r>
      <w:r w:rsidR="005D2E1D">
        <w:rPr>
          <w:rFonts w:ascii="Georgia" w:hAnsi="Georgia" w:cs="Arial"/>
          <w:sz w:val="22"/>
          <w:szCs w:val="22"/>
          <w:lang w:val="es-MX"/>
        </w:rPr>
        <w:t xml:space="preserve"> con la acumulación de varios</w:t>
      </w:r>
      <w:r w:rsidR="00A158F4" w:rsidRPr="00A158F4">
        <w:rPr>
          <w:rFonts w:ascii="Georgia" w:hAnsi="Georgia" w:cs="Arial"/>
          <w:sz w:val="22"/>
          <w:szCs w:val="22"/>
          <w:lang w:val="es-MX"/>
        </w:rPr>
        <w:t>: 4</w:t>
      </w:r>
      <w:r w:rsidR="004C1EA1" w:rsidRPr="00A158F4">
        <w:rPr>
          <w:rFonts w:ascii="Georgia" w:hAnsi="Georgia" w:cs="Arial"/>
          <w:sz w:val="22"/>
          <w:szCs w:val="22"/>
          <w:lang w:val="es-MX"/>
        </w:rPr>
        <w:t>.</w:t>
      </w:r>
    </w:p>
    <w:p w:rsidR="008068C9" w:rsidRPr="006B2765" w:rsidRDefault="008068C9" w:rsidP="008068C9">
      <w:pPr>
        <w:pStyle w:val="Prrafodelista"/>
        <w:rPr>
          <w:rFonts w:ascii="Georgia" w:hAnsi="Georgia" w:cs="Arial"/>
          <w:b/>
          <w:sz w:val="22"/>
          <w:szCs w:val="22"/>
        </w:rPr>
      </w:pPr>
    </w:p>
    <w:p w:rsidR="008068C9" w:rsidRPr="006B2765" w:rsidRDefault="008068C9" w:rsidP="008068C9">
      <w:pPr>
        <w:numPr>
          <w:ilvl w:val="1"/>
          <w:numId w:val="5"/>
        </w:numPr>
        <w:jc w:val="both"/>
        <w:rPr>
          <w:rFonts w:ascii="Georgia" w:hAnsi="Georgia" w:cs="Arial"/>
          <w:sz w:val="22"/>
          <w:szCs w:val="22"/>
          <w:lang w:val="es-MX"/>
        </w:rPr>
      </w:pPr>
      <w:r w:rsidRPr="006B2765">
        <w:rPr>
          <w:rFonts w:ascii="Georgia" w:hAnsi="Georgia" w:cs="Arial"/>
          <w:sz w:val="22"/>
          <w:szCs w:val="22"/>
          <w:lang w:val="es-MX"/>
        </w:rPr>
        <w:t>Clasificaciones de información</w:t>
      </w:r>
      <w:r w:rsidR="00640E48" w:rsidRPr="006B2765">
        <w:rPr>
          <w:rFonts w:ascii="Georgia" w:hAnsi="Georgia" w:cs="Arial"/>
          <w:sz w:val="22"/>
          <w:szCs w:val="22"/>
          <w:lang w:val="es-MX"/>
        </w:rPr>
        <w:t xml:space="preserve"> resueltas</w:t>
      </w:r>
      <w:r w:rsidRPr="00E75DD4">
        <w:rPr>
          <w:rFonts w:ascii="Georgia" w:hAnsi="Georgia" w:cs="Arial"/>
          <w:sz w:val="22"/>
          <w:szCs w:val="22"/>
          <w:lang w:val="es-MX"/>
        </w:rPr>
        <w:t>:</w:t>
      </w:r>
      <w:r w:rsidR="00350507" w:rsidRPr="00E75DD4">
        <w:rPr>
          <w:rFonts w:ascii="Georgia" w:hAnsi="Georgia" w:cs="Arial"/>
          <w:sz w:val="22"/>
          <w:szCs w:val="22"/>
          <w:lang w:val="es-MX"/>
        </w:rPr>
        <w:t xml:space="preserve"> </w:t>
      </w:r>
      <w:r w:rsidR="004A2DE4" w:rsidRPr="00E75DD4">
        <w:rPr>
          <w:rFonts w:ascii="Georgia" w:hAnsi="Georgia" w:cs="Arial"/>
          <w:sz w:val="22"/>
          <w:szCs w:val="22"/>
          <w:lang w:val="es-MX"/>
        </w:rPr>
        <w:t>40</w:t>
      </w:r>
      <w:r w:rsidRPr="00E75DD4">
        <w:rPr>
          <w:rFonts w:ascii="Georgia" w:hAnsi="Georgia" w:cs="Arial"/>
          <w:sz w:val="22"/>
          <w:szCs w:val="22"/>
          <w:lang w:val="es-MX"/>
        </w:rPr>
        <w:t>.</w:t>
      </w:r>
    </w:p>
    <w:p w:rsidR="008068C9" w:rsidRPr="008068C9" w:rsidRDefault="008068C9" w:rsidP="008068C9">
      <w:pPr>
        <w:pStyle w:val="Prrafodelista"/>
        <w:jc w:val="both"/>
        <w:rPr>
          <w:rFonts w:ascii="Georgia" w:hAnsi="Georgia" w:cs="Arial"/>
          <w:b/>
          <w:sz w:val="22"/>
          <w:szCs w:val="22"/>
        </w:rPr>
      </w:pPr>
    </w:p>
    <w:p w:rsidR="008068C9" w:rsidRPr="008068C9" w:rsidRDefault="008068C9" w:rsidP="008068C9">
      <w:pPr>
        <w:pStyle w:val="Prrafodelista"/>
        <w:jc w:val="both"/>
        <w:rPr>
          <w:rFonts w:ascii="Georgia" w:hAnsi="Georgia" w:cs="Arial"/>
          <w:b/>
          <w:sz w:val="22"/>
          <w:szCs w:val="22"/>
        </w:rPr>
      </w:pPr>
    </w:p>
    <w:p w:rsidR="008068C9" w:rsidRPr="008068C9" w:rsidRDefault="00417C2B" w:rsidP="008068C9">
      <w:pPr>
        <w:pStyle w:val="Prrafodelista"/>
        <w:numPr>
          <w:ilvl w:val="0"/>
          <w:numId w:val="6"/>
        </w:numPr>
        <w:contextualSpacing w:val="0"/>
        <w:jc w:val="both"/>
        <w:rPr>
          <w:rFonts w:ascii="Georgia" w:hAnsi="Georgia" w:cs="Arial"/>
          <w:b/>
          <w:sz w:val="22"/>
          <w:szCs w:val="22"/>
        </w:rPr>
      </w:pPr>
      <w:r>
        <w:rPr>
          <w:rFonts w:ascii="Georgia" w:hAnsi="Georgia" w:cs="Arial"/>
          <w:b/>
          <w:sz w:val="22"/>
          <w:szCs w:val="22"/>
        </w:rPr>
        <w:t>Comité Especializado</w:t>
      </w:r>
      <w:r w:rsidR="008068C9" w:rsidRPr="008068C9">
        <w:rPr>
          <w:rFonts w:ascii="Georgia" w:hAnsi="Georgia" w:cs="Arial"/>
          <w:b/>
          <w:sz w:val="22"/>
          <w:szCs w:val="22"/>
        </w:rPr>
        <w:t>.</w:t>
      </w:r>
    </w:p>
    <w:p w:rsidR="008068C9" w:rsidRPr="008068C9" w:rsidRDefault="008068C9" w:rsidP="008068C9">
      <w:pPr>
        <w:pStyle w:val="Prrafodelista"/>
        <w:rPr>
          <w:rFonts w:ascii="Georgia" w:hAnsi="Georgia" w:cs="Arial"/>
          <w:sz w:val="22"/>
          <w:szCs w:val="22"/>
        </w:rPr>
      </w:pPr>
    </w:p>
    <w:p w:rsidR="008068C9" w:rsidRPr="00A158F4" w:rsidRDefault="008068C9" w:rsidP="008068C9">
      <w:pPr>
        <w:numPr>
          <w:ilvl w:val="1"/>
          <w:numId w:val="5"/>
        </w:numPr>
        <w:jc w:val="both"/>
        <w:rPr>
          <w:rFonts w:ascii="Georgia" w:hAnsi="Georgia" w:cs="Arial"/>
          <w:sz w:val="22"/>
          <w:szCs w:val="22"/>
        </w:rPr>
      </w:pPr>
      <w:r w:rsidRPr="00A158F4">
        <w:rPr>
          <w:rFonts w:ascii="Georgia" w:hAnsi="Georgia" w:cs="Arial"/>
          <w:sz w:val="22"/>
          <w:szCs w:val="22"/>
        </w:rPr>
        <w:t xml:space="preserve">Recursos de </w:t>
      </w:r>
      <w:r w:rsidR="008956EE" w:rsidRPr="00A158F4">
        <w:rPr>
          <w:rFonts w:ascii="Georgia" w:hAnsi="Georgia" w:cs="Arial"/>
          <w:sz w:val="22"/>
          <w:szCs w:val="22"/>
        </w:rPr>
        <w:t>r</w:t>
      </w:r>
      <w:r w:rsidRPr="00A158F4">
        <w:rPr>
          <w:rFonts w:ascii="Georgia" w:hAnsi="Georgia" w:cs="Arial"/>
          <w:sz w:val="22"/>
          <w:szCs w:val="22"/>
        </w:rPr>
        <w:t xml:space="preserve">evisión interpuestos: </w:t>
      </w:r>
      <w:r w:rsidR="00776F9E" w:rsidRPr="00A158F4">
        <w:rPr>
          <w:rFonts w:ascii="Georgia" w:hAnsi="Georgia" w:cs="Arial"/>
          <w:sz w:val="22"/>
          <w:szCs w:val="22"/>
        </w:rPr>
        <w:t>3</w:t>
      </w:r>
      <w:r w:rsidRPr="00A158F4">
        <w:rPr>
          <w:rFonts w:ascii="Georgia" w:hAnsi="Georgia" w:cs="Arial"/>
          <w:sz w:val="22"/>
          <w:szCs w:val="22"/>
        </w:rPr>
        <w:t>.</w:t>
      </w:r>
    </w:p>
    <w:p w:rsidR="00693E25" w:rsidRPr="00A158F4" w:rsidRDefault="00693E25" w:rsidP="00693E25">
      <w:pPr>
        <w:ind w:left="1440"/>
        <w:jc w:val="both"/>
        <w:rPr>
          <w:rFonts w:asciiTheme="majorHAnsi" w:hAnsiTheme="majorHAnsi" w:cs="Arial"/>
          <w:sz w:val="22"/>
          <w:szCs w:val="22"/>
          <w:lang w:val="es-MX"/>
        </w:rPr>
      </w:pPr>
    </w:p>
    <w:p w:rsidR="00693E25" w:rsidRPr="00A158F4" w:rsidRDefault="00693E25" w:rsidP="00693E25">
      <w:pPr>
        <w:numPr>
          <w:ilvl w:val="1"/>
          <w:numId w:val="5"/>
        </w:numPr>
        <w:jc w:val="both"/>
        <w:rPr>
          <w:rFonts w:asciiTheme="majorHAnsi" w:hAnsiTheme="majorHAnsi" w:cs="Arial"/>
          <w:sz w:val="22"/>
          <w:szCs w:val="22"/>
          <w:lang w:val="es-MX"/>
        </w:rPr>
      </w:pPr>
      <w:r w:rsidRPr="00A158F4">
        <w:rPr>
          <w:rFonts w:asciiTheme="majorHAnsi" w:hAnsiTheme="majorHAnsi" w:cs="Arial"/>
          <w:sz w:val="22"/>
          <w:szCs w:val="22"/>
          <w:lang w:val="es-MX"/>
        </w:rPr>
        <w:t xml:space="preserve">Recursos de </w:t>
      </w:r>
      <w:r w:rsidR="008956EE" w:rsidRPr="00A158F4">
        <w:rPr>
          <w:rFonts w:asciiTheme="majorHAnsi" w:hAnsiTheme="majorHAnsi" w:cs="Arial"/>
          <w:sz w:val="22"/>
          <w:szCs w:val="22"/>
          <w:lang w:val="es-MX"/>
        </w:rPr>
        <w:t>r</w:t>
      </w:r>
      <w:r w:rsidRPr="00A158F4">
        <w:rPr>
          <w:rFonts w:asciiTheme="majorHAnsi" w:hAnsiTheme="majorHAnsi" w:cs="Arial"/>
          <w:sz w:val="22"/>
          <w:szCs w:val="22"/>
          <w:lang w:val="es-MX"/>
        </w:rPr>
        <w:t xml:space="preserve">evisión promovidos en contra de resoluciones del Comité de </w:t>
      </w:r>
      <w:r w:rsidR="00417C2B" w:rsidRPr="00A158F4">
        <w:rPr>
          <w:rFonts w:asciiTheme="majorHAnsi" w:hAnsiTheme="majorHAnsi" w:cs="Arial"/>
          <w:sz w:val="22"/>
          <w:szCs w:val="22"/>
          <w:lang w:val="es-MX"/>
        </w:rPr>
        <w:t>Transparencia</w:t>
      </w:r>
      <w:r w:rsidRPr="00A158F4">
        <w:rPr>
          <w:rFonts w:asciiTheme="majorHAnsi" w:hAnsiTheme="majorHAnsi" w:cs="Arial"/>
          <w:sz w:val="22"/>
          <w:szCs w:val="22"/>
          <w:lang w:val="es-MX"/>
        </w:rPr>
        <w:t xml:space="preserve">: </w:t>
      </w:r>
      <w:r w:rsidR="00705090" w:rsidRPr="00A158F4">
        <w:rPr>
          <w:rFonts w:asciiTheme="majorHAnsi" w:hAnsiTheme="majorHAnsi" w:cs="Arial"/>
          <w:sz w:val="22"/>
          <w:szCs w:val="22"/>
          <w:lang w:val="es-MX"/>
        </w:rPr>
        <w:t>2</w:t>
      </w:r>
      <w:r w:rsidRPr="00A158F4">
        <w:rPr>
          <w:rFonts w:asciiTheme="majorHAnsi" w:hAnsiTheme="majorHAnsi" w:cs="Arial"/>
          <w:sz w:val="22"/>
          <w:szCs w:val="22"/>
          <w:lang w:val="es-MX"/>
        </w:rPr>
        <w:t>.</w:t>
      </w:r>
    </w:p>
    <w:p w:rsidR="003640DF" w:rsidRPr="008068C9" w:rsidRDefault="003640DF" w:rsidP="00F578C7">
      <w:pPr>
        <w:pStyle w:val="Lugaryfecha"/>
        <w:rPr>
          <w:rFonts w:ascii="Georgia" w:hAnsi="Georgia"/>
          <w:sz w:val="22"/>
          <w:szCs w:val="22"/>
          <w:lang w:val="es-MX"/>
        </w:rPr>
      </w:pPr>
    </w:p>
    <w:sectPr w:rsidR="003640DF" w:rsidRPr="008068C9" w:rsidSect="00491A42">
      <w:headerReference w:type="default" r:id="rId16"/>
      <w:footerReference w:type="default" r:id="rId17"/>
      <w:headerReference w:type="first" r:id="rId18"/>
      <w:footerReference w:type="first" r:id="rId19"/>
      <w:pgSz w:w="12242" w:h="15842" w:code="122"/>
      <w:pgMar w:top="2796" w:right="1327" w:bottom="130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A5" w:rsidRDefault="003406A5" w:rsidP="000B572B">
      <w:r>
        <w:separator/>
      </w:r>
    </w:p>
  </w:endnote>
  <w:endnote w:type="continuationSeparator" w:id="0">
    <w:p w:rsidR="003406A5" w:rsidRDefault="003406A5" w:rsidP="000B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1284"/>
      <w:docPartObj>
        <w:docPartGallery w:val="Page Numbers (Bottom of Page)"/>
        <w:docPartUnique/>
      </w:docPartObj>
    </w:sdtPr>
    <w:sdtEndPr>
      <w:rPr>
        <w:sz w:val="20"/>
      </w:rPr>
    </w:sdtEndPr>
    <w:sdtContent>
      <w:p w:rsidR="003E4A06" w:rsidRPr="00B03E16" w:rsidRDefault="00BF3E18">
        <w:pPr>
          <w:pStyle w:val="Piedepgina"/>
          <w:jc w:val="right"/>
          <w:rPr>
            <w:sz w:val="20"/>
          </w:rPr>
        </w:pPr>
        <w:r w:rsidRPr="00B03E16">
          <w:rPr>
            <w:sz w:val="20"/>
          </w:rPr>
          <w:fldChar w:fldCharType="begin"/>
        </w:r>
        <w:r w:rsidRPr="00B03E16">
          <w:rPr>
            <w:sz w:val="20"/>
          </w:rPr>
          <w:instrText xml:space="preserve"> PAGE   \* MERGEFORMAT </w:instrText>
        </w:r>
        <w:r w:rsidRPr="00B03E16">
          <w:rPr>
            <w:sz w:val="20"/>
          </w:rPr>
          <w:fldChar w:fldCharType="separate"/>
        </w:r>
        <w:r w:rsidR="00607821">
          <w:rPr>
            <w:noProof/>
            <w:sz w:val="20"/>
          </w:rPr>
          <w:t>1</w:t>
        </w:r>
        <w:r w:rsidRPr="00B03E16">
          <w:rPr>
            <w:noProof/>
            <w:sz w:val="20"/>
          </w:rPr>
          <w:fldChar w:fldCharType="end"/>
        </w:r>
      </w:p>
    </w:sdtContent>
  </w:sdt>
  <w:p w:rsidR="003E4A06" w:rsidRDefault="003E4A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06" w:rsidRDefault="003406A5">
    <w:pPr>
      <w:pStyle w:val="Piedepgina"/>
      <w:jc w:val="right"/>
    </w:pPr>
    <w:sdt>
      <w:sdtPr>
        <w:rPr>
          <w:sz w:val="22"/>
        </w:rPr>
        <w:id w:val="15111271"/>
        <w:docPartObj>
          <w:docPartGallery w:val="Page Numbers (Bottom of Page)"/>
          <w:docPartUnique/>
        </w:docPartObj>
      </w:sdtPr>
      <w:sdtEndPr>
        <w:rPr>
          <w:sz w:val="24"/>
        </w:rPr>
      </w:sdtEndPr>
      <w:sdtContent>
        <w:r w:rsidR="00BF3E18">
          <w:fldChar w:fldCharType="begin"/>
        </w:r>
        <w:r w:rsidR="00BF3E18">
          <w:instrText xml:space="preserve"> PAGE   \* MERGEFORMAT </w:instrText>
        </w:r>
        <w:r w:rsidR="00BF3E18">
          <w:fldChar w:fldCharType="separate"/>
        </w:r>
        <w:r w:rsidR="00D712C2">
          <w:rPr>
            <w:noProof/>
          </w:rPr>
          <w:t>11</w:t>
        </w:r>
        <w:r w:rsidR="00BF3E18">
          <w:rPr>
            <w:noProof/>
          </w:rPr>
          <w:fldChar w:fldCharType="end"/>
        </w:r>
      </w:sdtContent>
    </w:sdt>
  </w:p>
  <w:p w:rsidR="0017624E" w:rsidRDefault="00176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A5" w:rsidRDefault="003406A5" w:rsidP="000B572B">
      <w:r>
        <w:separator/>
      </w:r>
    </w:p>
  </w:footnote>
  <w:footnote w:type="continuationSeparator" w:id="0">
    <w:p w:rsidR="003406A5" w:rsidRDefault="003406A5" w:rsidP="000B572B">
      <w:r>
        <w:continuationSeparator/>
      </w:r>
    </w:p>
  </w:footnote>
  <w:footnote w:id="1">
    <w:p w:rsidR="0017624E" w:rsidRPr="00972F9F" w:rsidRDefault="0017624E" w:rsidP="00875D0D">
      <w:pPr>
        <w:ind w:left="360"/>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875D0D">
        <w:rPr>
          <w:rFonts w:ascii="Arial" w:hAnsi="Arial" w:cs="Arial"/>
          <w:sz w:val="16"/>
          <w:szCs w:val="16"/>
          <w:lang w:val="es-MX"/>
        </w:rPr>
        <w:t xml:space="preserve">número de solicitudes tramitadas mediante el procedimiento </w:t>
      </w:r>
      <w:r w:rsidRPr="00972F9F">
        <w:rPr>
          <w:rFonts w:ascii="Arial" w:hAnsi="Arial" w:cs="Arial"/>
          <w:sz w:val="16"/>
          <w:szCs w:val="16"/>
          <w:lang w:val="es-MX"/>
        </w:rPr>
        <w:t xml:space="preserve">sumario </w:t>
      </w:r>
      <w:r w:rsidR="004B3F0A" w:rsidRPr="00972F9F">
        <w:rPr>
          <w:rFonts w:ascii="Arial" w:hAnsi="Arial" w:cs="Arial"/>
          <w:sz w:val="16"/>
          <w:szCs w:val="16"/>
          <w:lang w:val="es-MX"/>
        </w:rPr>
        <w:t>(</w:t>
      </w:r>
      <w:r w:rsidR="00513142" w:rsidRPr="00972F9F">
        <w:rPr>
          <w:rFonts w:ascii="Arial" w:hAnsi="Arial" w:cs="Arial"/>
          <w:sz w:val="16"/>
          <w:szCs w:val="16"/>
          <w:lang w:val="es-MX"/>
        </w:rPr>
        <w:t>7,994</w:t>
      </w:r>
      <w:r w:rsidR="004B3F0A" w:rsidRPr="00972F9F">
        <w:rPr>
          <w:rFonts w:ascii="Arial" w:hAnsi="Arial" w:cs="Arial"/>
          <w:sz w:val="16"/>
          <w:szCs w:val="16"/>
          <w:lang w:val="es-MX"/>
        </w:rPr>
        <w:t xml:space="preserve">) </w:t>
      </w:r>
      <w:r w:rsidRPr="00972F9F">
        <w:rPr>
          <w:rFonts w:ascii="Arial" w:hAnsi="Arial" w:cs="Arial"/>
          <w:sz w:val="16"/>
          <w:szCs w:val="16"/>
          <w:lang w:val="es-MX"/>
        </w:rPr>
        <w:t xml:space="preserve">de </w:t>
      </w:r>
      <w:r w:rsidR="0014747D" w:rsidRPr="00972F9F">
        <w:rPr>
          <w:rFonts w:ascii="Arial" w:hAnsi="Arial" w:cs="Arial"/>
          <w:sz w:val="16"/>
          <w:szCs w:val="16"/>
          <w:lang w:val="es-MX"/>
        </w:rPr>
        <w:t>julio a septiembre</w:t>
      </w:r>
      <w:r w:rsidR="00FA6A3A" w:rsidRPr="00972F9F">
        <w:rPr>
          <w:rFonts w:ascii="Arial" w:hAnsi="Arial" w:cs="Arial"/>
          <w:sz w:val="16"/>
          <w:szCs w:val="16"/>
          <w:lang w:val="es-MX"/>
        </w:rPr>
        <w:t xml:space="preserve"> de 201</w:t>
      </w:r>
      <w:r w:rsidR="00DB3398" w:rsidRPr="00972F9F">
        <w:rPr>
          <w:rFonts w:ascii="Arial" w:hAnsi="Arial" w:cs="Arial"/>
          <w:sz w:val="16"/>
          <w:szCs w:val="16"/>
          <w:lang w:val="es-MX"/>
        </w:rPr>
        <w:t>7</w:t>
      </w:r>
      <w:r w:rsidRPr="00972F9F">
        <w:rPr>
          <w:rFonts w:ascii="Arial" w:hAnsi="Arial" w:cs="Arial"/>
          <w:sz w:val="16"/>
          <w:szCs w:val="16"/>
          <w:lang w:val="es-MX"/>
        </w:rPr>
        <w:t>,</w:t>
      </w:r>
      <w:r w:rsidRPr="00972F9F">
        <w:rPr>
          <w:rFonts w:ascii="Arial" w:hAnsi="Arial" w:cs="Arial"/>
          <w:b/>
          <w:sz w:val="16"/>
          <w:szCs w:val="16"/>
          <w:lang w:val="es-MX"/>
        </w:rPr>
        <w:t xml:space="preserve"> </w:t>
      </w:r>
      <w:r w:rsidRPr="00972F9F">
        <w:rPr>
          <w:rFonts w:ascii="Arial" w:hAnsi="Arial" w:cs="Arial"/>
          <w:sz w:val="16"/>
          <w:szCs w:val="16"/>
          <w:lang w:val="es-MX"/>
        </w:rPr>
        <w:t xml:space="preserve">número solicitudes tramitadas mediante procedimiento ordinario </w:t>
      </w:r>
      <w:r w:rsidR="004B3F0A" w:rsidRPr="00972F9F">
        <w:rPr>
          <w:rFonts w:ascii="Arial" w:hAnsi="Arial" w:cs="Arial"/>
          <w:sz w:val="16"/>
          <w:szCs w:val="16"/>
          <w:lang w:val="es-MX"/>
        </w:rPr>
        <w:t>(</w:t>
      </w:r>
      <w:r w:rsidR="004D3194" w:rsidRPr="00972F9F">
        <w:rPr>
          <w:rFonts w:ascii="Arial" w:hAnsi="Arial" w:cs="Arial"/>
          <w:sz w:val="16"/>
          <w:szCs w:val="16"/>
          <w:lang w:val="es-MX"/>
        </w:rPr>
        <w:t>504</w:t>
      </w:r>
      <w:r w:rsidR="004B3F0A" w:rsidRPr="00972F9F">
        <w:rPr>
          <w:rFonts w:ascii="Arial" w:hAnsi="Arial" w:cs="Arial"/>
          <w:sz w:val="16"/>
          <w:szCs w:val="16"/>
          <w:lang w:val="es-MX"/>
        </w:rPr>
        <w:t xml:space="preserve">) </w:t>
      </w:r>
      <w:r w:rsidRPr="00972F9F">
        <w:rPr>
          <w:rFonts w:ascii="Arial" w:hAnsi="Arial" w:cs="Arial"/>
          <w:sz w:val="16"/>
          <w:szCs w:val="16"/>
          <w:lang w:val="es-MX"/>
        </w:rPr>
        <w:t xml:space="preserve">durante el mismo periodo. </w:t>
      </w:r>
    </w:p>
    <w:p w:rsidR="0017624E" w:rsidRPr="00972F9F" w:rsidRDefault="0017624E" w:rsidP="00875D0D">
      <w:pPr>
        <w:ind w:left="360"/>
        <w:jc w:val="both"/>
        <w:rPr>
          <w:rFonts w:ascii="Arial" w:hAnsi="Arial" w:cs="Arial"/>
          <w:sz w:val="16"/>
          <w:szCs w:val="16"/>
          <w:lang w:val="es-MX"/>
        </w:rPr>
      </w:pPr>
    </w:p>
    <w:p w:rsidR="0017624E" w:rsidRPr="00421584" w:rsidRDefault="0017624E" w:rsidP="00875D0D">
      <w:pPr>
        <w:pStyle w:val="Textonotapie"/>
        <w:ind w:left="360"/>
        <w:jc w:val="both"/>
        <w:rPr>
          <w:rFonts w:ascii="Arial" w:hAnsi="Arial" w:cs="Arial"/>
          <w:sz w:val="16"/>
          <w:szCs w:val="16"/>
          <w:lang w:val="es-MX"/>
        </w:rPr>
      </w:pPr>
      <w:r w:rsidRPr="00972F9F">
        <w:rPr>
          <w:rFonts w:ascii="Arial" w:hAnsi="Arial" w:cs="Arial"/>
          <w:b/>
          <w:sz w:val="16"/>
          <w:szCs w:val="16"/>
        </w:rPr>
        <w:t>Medición:</w:t>
      </w:r>
      <w:r w:rsidRPr="00972F9F">
        <w:rPr>
          <w:rFonts w:ascii="Arial" w:hAnsi="Arial" w:cs="Arial"/>
          <w:sz w:val="16"/>
          <w:szCs w:val="16"/>
        </w:rPr>
        <w:t xml:space="preserve"> del cien por ciento de las solicitudes se extraerá el porcentaje de procedimientos sumarios</w:t>
      </w:r>
      <w:r w:rsidRPr="00421584">
        <w:rPr>
          <w:rFonts w:ascii="Arial" w:hAnsi="Arial" w:cs="Arial"/>
          <w:sz w:val="16"/>
          <w:szCs w:val="16"/>
        </w:rPr>
        <w:t xml:space="preserve"> y de ordinarios, considerando que a mayor porcentaje de sumarios, resultará mayor la disponibilidad de información en medios de acceso público.</w:t>
      </w:r>
    </w:p>
  </w:footnote>
  <w:footnote w:id="2">
    <w:p w:rsidR="0017624E" w:rsidRPr="00875D0D" w:rsidRDefault="0017624E" w:rsidP="003E4A06">
      <w:pPr>
        <w:ind w:left="357"/>
        <w:jc w:val="both"/>
        <w:rPr>
          <w:rFonts w:ascii="Arial" w:hAnsi="Arial" w:cs="Arial"/>
          <w:sz w:val="16"/>
          <w:szCs w:val="16"/>
          <w:lang w:val="es-MX"/>
        </w:rPr>
      </w:pPr>
      <w:r w:rsidRPr="00611810">
        <w:rPr>
          <w:rStyle w:val="Refdenotaalpie"/>
          <w:rFonts w:ascii="Arial" w:hAnsi="Arial" w:cs="Arial"/>
          <w:sz w:val="20"/>
        </w:rPr>
        <w:footnoteRef/>
      </w:r>
      <w:r w:rsidRPr="00875D0D">
        <w:rPr>
          <w:rFonts w:ascii="Arial" w:hAnsi="Arial" w:cs="Arial"/>
          <w:sz w:val="16"/>
          <w:szCs w:val="16"/>
          <w:lang w:val="es-MX"/>
        </w:rPr>
        <w:t xml:space="preserve"> </w:t>
      </w:r>
      <w:r w:rsidRPr="00875D0D">
        <w:rPr>
          <w:rFonts w:ascii="Arial" w:hAnsi="Arial" w:cs="Arial"/>
          <w:b/>
          <w:sz w:val="16"/>
          <w:szCs w:val="16"/>
          <w:lang w:val="es-MX"/>
        </w:rPr>
        <w:t xml:space="preserve">Elementos que se utilizan: </w:t>
      </w:r>
      <w:r w:rsidRPr="00611810">
        <w:rPr>
          <w:rFonts w:ascii="Arial" w:hAnsi="Arial" w:cs="Arial"/>
          <w:sz w:val="16"/>
          <w:szCs w:val="16"/>
          <w:lang w:val="es-MX"/>
        </w:rPr>
        <w:t>s</w:t>
      </w:r>
      <w:r w:rsidRPr="00875D0D">
        <w:rPr>
          <w:rFonts w:ascii="Arial" w:hAnsi="Arial" w:cs="Arial"/>
          <w:sz w:val="16"/>
          <w:szCs w:val="16"/>
          <w:lang w:val="es-MX"/>
        </w:rPr>
        <w:t xml:space="preserve">olicitudes de información a través de procedimiento sumario de cada Módulo de </w:t>
      </w:r>
      <w:r w:rsidR="00077FB5">
        <w:rPr>
          <w:rFonts w:ascii="Arial" w:hAnsi="Arial" w:cs="Arial"/>
          <w:sz w:val="16"/>
          <w:szCs w:val="16"/>
          <w:lang w:val="es-MX"/>
        </w:rPr>
        <w:t>Información y Acceso a la Justicia</w:t>
      </w:r>
      <w:r w:rsidRPr="00875D0D">
        <w:rPr>
          <w:rFonts w:ascii="Arial" w:hAnsi="Arial" w:cs="Arial"/>
          <w:sz w:val="16"/>
          <w:szCs w:val="16"/>
          <w:lang w:val="es-MX"/>
        </w:rPr>
        <w:t>.</w:t>
      </w:r>
    </w:p>
    <w:p w:rsidR="0017624E" w:rsidRPr="00875D0D" w:rsidRDefault="0017624E" w:rsidP="003E4A06">
      <w:pPr>
        <w:tabs>
          <w:tab w:val="left" w:pos="2280"/>
        </w:tabs>
        <w:ind w:left="357"/>
        <w:jc w:val="both"/>
        <w:rPr>
          <w:rFonts w:ascii="Arial" w:hAnsi="Arial" w:cs="Arial"/>
          <w:sz w:val="16"/>
          <w:szCs w:val="16"/>
          <w:lang w:val="es-MX"/>
        </w:rPr>
      </w:pPr>
      <w:r w:rsidRPr="00875D0D">
        <w:rPr>
          <w:rFonts w:ascii="Arial" w:hAnsi="Arial" w:cs="Arial"/>
          <w:sz w:val="16"/>
          <w:szCs w:val="16"/>
          <w:lang w:val="es-MX"/>
        </w:rPr>
        <w:tab/>
      </w:r>
    </w:p>
    <w:p w:rsidR="0017624E" w:rsidRDefault="0017624E" w:rsidP="003E4A06">
      <w:pPr>
        <w:pStyle w:val="Textonotapie"/>
        <w:ind w:left="357"/>
        <w:jc w:val="both"/>
        <w:rPr>
          <w:rFonts w:ascii="Arial" w:hAnsi="Arial" w:cs="Arial"/>
          <w:sz w:val="16"/>
          <w:szCs w:val="16"/>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e</w:t>
      </w:r>
      <w:r w:rsidRPr="00421584">
        <w:rPr>
          <w:rFonts w:ascii="Arial" w:hAnsi="Arial" w:cs="Arial"/>
          <w:sz w:val="16"/>
          <w:szCs w:val="16"/>
        </w:rPr>
        <w:t>l mayor porcentaje de trámites de solicitudes de información a través del procedimiento sumario, determinará la ciudad con mayor carga de trabajo en este rubro.</w:t>
      </w:r>
    </w:p>
    <w:p w:rsidR="0017624E" w:rsidRPr="00421584" w:rsidRDefault="0017624E" w:rsidP="003E4A06">
      <w:pPr>
        <w:pStyle w:val="Textonotapie"/>
        <w:ind w:left="357"/>
        <w:jc w:val="both"/>
        <w:rPr>
          <w:rFonts w:ascii="Arial" w:hAnsi="Arial" w:cs="Arial"/>
          <w:sz w:val="16"/>
          <w:szCs w:val="16"/>
          <w:lang w:val="es-MX"/>
        </w:rPr>
      </w:pPr>
    </w:p>
  </w:footnote>
  <w:footnote w:id="3">
    <w:p w:rsidR="00DB3398" w:rsidRPr="00611810" w:rsidRDefault="00DB3398" w:rsidP="003E4A06">
      <w:pPr>
        <w:pStyle w:val="Textonotapie"/>
        <w:ind w:left="284"/>
        <w:rPr>
          <w:rFonts w:asciiTheme="minorHAnsi" w:hAnsiTheme="minorHAnsi" w:cstheme="minorHAnsi"/>
        </w:rPr>
      </w:pPr>
      <w:r w:rsidRPr="00611810">
        <w:rPr>
          <w:rStyle w:val="Refdenotaalpie"/>
          <w:rFonts w:asciiTheme="minorHAnsi" w:hAnsiTheme="minorHAnsi" w:cstheme="minorHAnsi"/>
        </w:rPr>
        <w:footnoteRef/>
      </w:r>
      <w:r w:rsidR="000D4C2A">
        <w:rPr>
          <w:rFonts w:asciiTheme="minorHAnsi" w:hAnsiTheme="minorHAnsi" w:cstheme="minorHAnsi"/>
          <w:sz w:val="16"/>
        </w:rPr>
        <w:t xml:space="preserve"> Esta cifra </w:t>
      </w:r>
      <w:r w:rsidR="000D4C2A" w:rsidRPr="00967D5E">
        <w:rPr>
          <w:rFonts w:asciiTheme="minorHAnsi" w:hAnsiTheme="minorHAnsi" w:cstheme="minorHAnsi"/>
          <w:sz w:val="16"/>
        </w:rPr>
        <w:t xml:space="preserve">sumada a las </w:t>
      </w:r>
      <w:r w:rsidR="003C3AA6" w:rsidRPr="00967D5E">
        <w:rPr>
          <w:rFonts w:asciiTheme="minorHAnsi" w:hAnsiTheme="minorHAnsi" w:cstheme="minorHAnsi"/>
          <w:sz w:val="16"/>
        </w:rPr>
        <w:t>465</w:t>
      </w:r>
      <w:r w:rsidRPr="00967D5E">
        <w:rPr>
          <w:rFonts w:asciiTheme="minorHAnsi" w:hAnsiTheme="minorHAnsi" w:cstheme="minorHAnsi"/>
          <w:sz w:val="16"/>
        </w:rPr>
        <w:t xml:space="preserve"> consultas de información legislativa y bibliohemerográfica en la Ciudad de México, representan los </w:t>
      </w:r>
      <w:r w:rsidR="003C3AA6" w:rsidRPr="00967D5E">
        <w:rPr>
          <w:rFonts w:asciiTheme="minorHAnsi" w:hAnsiTheme="minorHAnsi" w:cstheme="minorHAnsi"/>
          <w:sz w:val="16"/>
        </w:rPr>
        <w:t>7,994</w:t>
      </w:r>
      <w:r w:rsidRPr="00967D5E">
        <w:rPr>
          <w:rFonts w:asciiTheme="minorHAnsi" w:hAnsiTheme="minorHAnsi" w:cstheme="minorHAnsi"/>
          <w:sz w:val="16"/>
        </w:rPr>
        <w:t xml:space="preserve"> procedimientos</w:t>
      </w:r>
      <w:r w:rsidRPr="00611810">
        <w:rPr>
          <w:rFonts w:asciiTheme="minorHAnsi" w:hAnsiTheme="minorHAnsi" w:cstheme="minorHAnsi"/>
          <w:sz w:val="16"/>
        </w:rPr>
        <w:t xml:space="preserve"> sumarios reportados.</w:t>
      </w:r>
    </w:p>
  </w:footnote>
  <w:footnote w:id="4">
    <w:p w:rsidR="00F578C7" w:rsidRPr="00F578C7" w:rsidRDefault="00F578C7" w:rsidP="00F578C7">
      <w:pPr>
        <w:ind w:left="360"/>
        <w:jc w:val="both"/>
        <w:rPr>
          <w:rFonts w:ascii="Arial" w:hAnsi="Arial" w:cs="Arial"/>
          <w:sz w:val="16"/>
          <w:szCs w:val="16"/>
          <w:lang w:val="es-MX"/>
        </w:rPr>
      </w:pPr>
      <w:r w:rsidRPr="003E4A06">
        <w:rPr>
          <w:rStyle w:val="Refdenotaalpie"/>
          <w:rFonts w:ascii="Arial" w:hAnsi="Arial" w:cs="Arial"/>
          <w:sz w:val="20"/>
        </w:rPr>
        <w:footnoteRef/>
      </w:r>
      <w:r w:rsidRPr="00F578C7">
        <w:rPr>
          <w:lang w:val="es-MX"/>
        </w:rPr>
        <w:t xml:space="preserve"> </w:t>
      </w:r>
      <w:r w:rsidRPr="00F578C7">
        <w:rPr>
          <w:rFonts w:ascii="Arial" w:hAnsi="Arial" w:cs="Arial"/>
          <w:b/>
          <w:sz w:val="16"/>
          <w:szCs w:val="16"/>
          <w:lang w:val="es-MX"/>
        </w:rPr>
        <w:t xml:space="preserve">Elementos que se utilizan: </w:t>
      </w:r>
      <w:r w:rsidRPr="00F578C7">
        <w:rPr>
          <w:rFonts w:ascii="Arial" w:hAnsi="Arial" w:cs="Arial"/>
          <w:sz w:val="16"/>
          <w:szCs w:val="16"/>
          <w:lang w:val="es-MX"/>
        </w:rPr>
        <w:t xml:space="preserve">solicitudes de información presentadas por las personas a través de medios electrónicos y solicitudes de información presentadas por las personas de manera presencial ante los Módulos de </w:t>
      </w:r>
      <w:r w:rsidR="00077FB5">
        <w:rPr>
          <w:rFonts w:ascii="Arial" w:hAnsi="Arial" w:cs="Arial"/>
          <w:sz w:val="16"/>
          <w:szCs w:val="16"/>
          <w:lang w:val="es-MX"/>
        </w:rPr>
        <w:t>Información y Acceso a la Justicia</w:t>
      </w:r>
      <w:r w:rsidRPr="00F578C7">
        <w:rPr>
          <w:rFonts w:ascii="Arial" w:hAnsi="Arial" w:cs="Arial"/>
          <w:sz w:val="16"/>
          <w:szCs w:val="16"/>
          <w:lang w:val="es-MX"/>
        </w:rPr>
        <w:t>. En las solicitudes se incluirán las canalizadas al Consejo de la Judicatura Federal por resultar de su competencia.</w:t>
      </w:r>
    </w:p>
    <w:p w:rsidR="00F578C7" w:rsidRPr="00F578C7" w:rsidRDefault="00F578C7" w:rsidP="00F578C7">
      <w:pPr>
        <w:ind w:left="360"/>
        <w:jc w:val="both"/>
        <w:rPr>
          <w:rFonts w:ascii="Arial" w:hAnsi="Arial" w:cs="Arial"/>
          <w:sz w:val="16"/>
          <w:szCs w:val="16"/>
          <w:lang w:val="es-MX"/>
        </w:rPr>
      </w:pPr>
    </w:p>
    <w:p w:rsidR="00F578C7" w:rsidRPr="00421584" w:rsidRDefault="00F578C7" w:rsidP="00F578C7">
      <w:pPr>
        <w:pStyle w:val="Textonotapie"/>
        <w:ind w:left="360"/>
        <w:jc w:val="both"/>
        <w:rPr>
          <w:sz w:val="16"/>
          <w:szCs w:val="16"/>
          <w:lang w:val="es-MX"/>
        </w:rPr>
      </w:pPr>
      <w:r w:rsidRPr="00421584">
        <w:rPr>
          <w:rFonts w:ascii="Arial" w:hAnsi="Arial" w:cs="Arial"/>
          <w:b/>
          <w:sz w:val="16"/>
          <w:szCs w:val="16"/>
        </w:rPr>
        <w:t xml:space="preserve">Medición: </w:t>
      </w:r>
      <w:r>
        <w:rPr>
          <w:rFonts w:ascii="Arial" w:hAnsi="Arial" w:cs="Arial"/>
          <w:sz w:val="16"/>
          <w:szCs w:val="16"/>
        </w:rPr>
        <w:t>d</w:t>
      </w:r>
      <w:r w:rsidRPr="00421584">
        <w:rPr>
          <w:rFonts w:ascii="Arial" w:hAnsi="Arial" w:cs="Arial"/>
          <w:sz w:val="16"/>
          <w:szCs w:val="16"/>
        </w:rPr>
        <w:t>el total de solicitudes se extraerá el número que corresponda a medios electrónicos y a presenciales, de tal manera que la forma que obtenga el mayor porcentaje reflejará la mayor preferencia de las personas para presentar sus solicitudes de información.</w:t>
      </w:r>
    </w:p>
  </w:footnote>
  <w:footnote w:id="5">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rPr>
        <w:footnoteRef/>
      </w:r>
      <w:r w:rsidRPr="00574F2C">
        <w:rPr>
          <w:sz w:val="16"/>
          <w:szCs w:val="16"/>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w:t>
      </w:r>
      <w:r w:rsidRPr="00A158F4">
        <w:rPr>
          <w:rFonts w:ascii="Arial" w:hAnsi="Arial" w:cs="Arial"/>
          <w:sz w:val="16"/>
          <w:szCs w:val="16"/>
          <w:lang w:val="es-MX"/>
        </w:rPr>
        <w:t>presentadas</w:t>
      </w:r>
      <w:r w:rsidR="00B6709D" w:rsidRPr="00A158F4">
        <w:rPr>
          <w:rFonts w:ascii="Arial" w:hAnsi="Arial" w:cs="Arial"/>
          <w:sz w:val="16"/>
          <w:szCs w:val="16"/>
          <w:lang w:val="es-MX"/>
        </w:rPr>
        <w:t xml:space="preserve"> (</w:t>
      </w:r>
      <w:r w:rsidR="00F33B7E" w:rsidRPr="00A158F4">
        <w:rPr>
          <w:rFonts w:ascii="Arial" w:hAnsi="Arial" w:cs="Arial"/>
          <w:sz w:val="16"/>
          <w:szCs w:val="16"/>
          <w:lang w:val="es-MX"/>
        </w:rPr>
        <w:t>8,647</w:t>
      </w:r>
      <w:r w:rsidR="00B6709D" w:rsidRPr="00A158F4">
        <w:rPr>
          <w:rFonts w:ascii="Arial" w:hAnsi="Arial" w:cs="Arial"/>
          <w:sz w:val="16"/>
          <w:szCs w:val="16"/>
          <w:lang w:val="es-MX"/>
        </w:rPr>
        <w:t>)</w:t>
      </w:r>
      <w:r w:rsidRPr="00A158F4">
        <w:rPr>
          <w:rFonts w:ascii="Arial" w:hAnsi="Arial" w:cs="Arial"/>
          <w:sz w:val="16"/>
          <w:szCs w:val="16"/>
          <w:lang w:val="es-MX"/>
        </w:rPr>
        <w:t>. Canalizaciones de solicitudes al Consejo de la Judicatura Federal</w:t>
      </w:r>
      <w:r w:rsidR="003C5D50" w:rsidRPr="00A158F4">
        <w:rPr>
          <w:rFonts w:ascii="Arial" w:hAnsi="Arial" w:cs="Arial"/>
          <w:sz w:val="16"/>
          <w:szCs w:val="16"/>
          <w:lang w:val="es-MX"/>
        </w:rPr>
        <w:t xml:space="preserve"> o alguna otra institución pública</w:t>
      </w:r>
      <w:r w:rsidR="00B6709D" w:rsidRPr="00A158F4">
        <w:rPr>
          <w:rFonts w:ascii="Arial" w:hAnsi="Arial" w:cs="Arial"/>
          <w:sz w:val="16"/>
          <w:szCs w:val="16"/>
          <w:lang w:val="es-MX"/>
        </w:rPr>
        <w:t xml:space="preserve"> (</w:t>
      </w:r>
      <w:r w:rsidR="00F33B7E" w:rsidRPr="00A158F4">
        <w:rPr>
          <w:rFonts w:ascii="Arial" w:hAnsi="Arial" w:cs="Arial"/>
          <w:sz w:val="16"/>
          <w:szCs w:val="16"/>
          <w:lang w:val="es-MX"/>
        </w:rPr>
        <w:t>105</w:t>
      </w:r>
      <w:r w:rsidR="00B6709D" w:rsidRPr="00A158F4">
        <w:rPr>
          <w:rFonts w:ascii="Arial" w:hAnsi="Arial" w:cs="Arial"/>
          <w:sz w:val="16"/>
          <w:szCs w:val="16"/>
          <w:lang w:val="es-MX"/>
        </w:rPr>
        <w:t>)</w:t>
      </w:r>
      <w:r w:rsidRPr="00A158F4">
        <w:rPr>
          <w:rFonts w:ascii="Arial" w:hAnsi="Arial" w:cs="Arial"/>
          <w:sz w:val="16"/>
          <w:szCs w:val="16"/>
          <w:lang w:val="es-MX"/>
        </w:rPr>
        <w:t>. Orientaciones otorgadas a las personas para que acudan a otra dependencia, entidad, órgano de gobierno, institución pública</w:t>
      </w:r>
      <w:r w:rsidR="00B6709D" w:rsidRPr="00A158F4">
        <w:rPr>
          <w:rFonts w:ascii="Arial" w:hAnsi="Arial" w:cs="Arial"/>
          <w:sz w:val="16"/>
          <w:szCs w:val="16"/>
          <w:lang w:val="es-MX"/>
        </w:rPr>
        <w:t xml:space="preserve"> (</w:t>
      </w:r>
      <w:r w:rsidR="00F33B7E" w:rsidRPr="00A158F4">
        <w:rPr>
          <w:rFonts w:ascii="Arial" w:hAnsi="Arial" w:cs="Arial"/>
          <w:sz w:val="16"/>
          <w:szCs w:val="16"/>
          <w:lang w:val="es-MX"/>
        </w:rPr>
        <w:t>19</w:t>
      </w:r>
      <w:r w:rsidR="00B6709D" w:rsidRPr="00A158F4">
        <w:rPr>
          <w:rFonts w:ascii="Arial" w:hAnsi="Arial" w:cs="Arial"/>
          <w:sz w:val="16"/>
          <w:szCs w:val="16"/>
          <w:lang w:val="es-MX"/>
        </w:rPr>
        <w:t>)</w:t>
      </w:r>
      <w:r w:rsidRPr="00A158F4">
        <w:rPr>
          <w:rFonts w:ascii="Arial" w:hAnsi="Arial" w:cs="Arial"/>
          <w:sz w:val="16"/>
          <w:szCs w:val="16"/>
          <w:lang w:val="es-MX"/>
        </w:rPr>
        <w:t>, entre otros, en virtud de que la información que requieren resulta de la competencia de una Unidad de Enlace distinta a la de la Suprema Corte.</w:t>
      </w:r>
    </w:p>
    <w:p w:rsidR="00574F2C" w:rsidRPr="00574F2C" w:rsidRDefault="00574F2C" w:rsidP="00574F2C">
      <w:pPr>
        <w:ind w:left="708"/>
        <w:jc w:val="both"/>
        <w:rPr>
          <w:rFonts w:ascii="Arial" w:hAnsi="Arial" w:cs="Arial"/>
          <w:sz w:val="16"/>
          <w:szCs w:val="16"/>
          <w:lang w:val="es-MX"/>
        </w:rPr>
      </w:pPr>
    </w:p>
    <w:p w:rsidR="00574F2C" w:rsidRPr="00421584" w:rsidRDefault="00574F2C" w:rsidP="00574F2C">
      <w:pPr>
        <w:pStyle w:val="Textonotapie"/>
        <w:ind w:left="348"/>
        <w:jc w:val="both"/>
        <w:rPr>
          <w:sz w:val="16"/>
          <w:szCs w:val="16"/>
          <w:lang w:val="es-MX"/>
        </w:rPr>
      </w:pPr>
      <w:r w:rsidRPr="00421584">
        <w:rPr>
          <w:rFonts w:ascii="Arial" w:hAnsi="Arial" w:cs="Arial"/>
          <w:b/>
          <w:sz w:val="16"/>
          <w:szCs w:val="16"/>
        </w:rPr>
        <w:t>Medición:</w:t>
      </w:r>
      <w:r w:rsidRPr="00421584">
        <w:rPr>
          <w:rFonts w:ascii="Arial" w:hAnsi="Arial" w:cs="Arial"/>
          <w:sz w:val="16"/>
          <w:szCs w:val="16"/>
        </w:rPr>
        <w:t xml:space="preserve"> </w:t>
      </w:r>
      <w:r>
        <w:rPr>
          <w:rFonts w:ascii="Arial" w:hAnsi="Arial" w:cs="Arial"/>
          <w:sz w:val="16"/>
          <w:szCs w:val="16"/>
        </w:rPr>
        <w:t>a</w:t>
      </w:r>
      <w:r w:rsidRPr="00421584">
        <w:rPr>
          <w:rFonts w:ascii="Arial" w:hAnsi="Arial" w:cs="Arial"/>
          <w:sz w:val="16"/>
          <w:szCs w:val="16"/>
        </w:rPr>
        <w:t xml:space="preserve"> mayor número de canalizaciones y orientaciones, menor será el conocimiento de las personas respecto de la competencia de la Suprema Corte para el trámite de su solicitud.</w:t>
      </w:r>
    </w:p>
  </w:footnote>
  <w:footnote w:id="6">
    <w:p w:rsidR="00574F2C" w:rsidRP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 xml:space="preserve">solicitudes de información tramitadas mediante procedimiento </w:t>
      </w:r>
      <w:r w:rsidRPr="00A158F4">
        <w:rPr>
          <w:rFonts w:ascii="Arial" w:hAnsi="Arial" w:cs="Arial"/>
          <w:sz w:val="16"/>
          <w:szCs w:val="16"/>
          <w:lang w:val="es-MX"/>
        </w:rPr>
        <w:t>ordinario</w:t>
      </w:r>
      <w:r w:rsidR="00B61412" w:rsidRPr="00A158F4">
        <w:rPr>
          <w:rFonts w:ascii="Arial" w:hAnsi="Arial" w:cs="Arial"/>
          <w:sz w:val="16"/>
          <w:szCs w:val="16"/>
          <w:lang w:val="es-MX"/>
        </w:rPr>
        <w:t xml:space="preserve"> (</w:t>
      </w:r>
      <w:r w:rsidR="003C3AA6" w:rsidRPr="00A158F4">
        <w:rPr>
          <w:rFonts w:ascii="Arial" w:hAnsi="Arial" w:cs="Arial"/>
          <w:sz w:val="16"/>
          <w:szCs w:val="16"/>
          <w:lang w:val="es-MX"/>
        </w:rPr>
        <w:t>504</w:t>
      </w:r>
      <w:r w:rsidR="00B61412" w:rsidRPr="00A158F4">
        <w:rPr>
          <w:rFonts w:ascii="Arial" w:hAnsi="Arial" w:cs="Arial"/>
          <w:sz w:val="16"/>
          <w:szCs w:val="16"/>
          <w:lang w:val="es-MX"/>
        </w:rPr>
        <w:t>)</w:t>
      </w:r>
      <w:r w:rsidRPr="00A158F4">
        <w:rPr>
          <w:rFonts w:ascii="Arial" w:hAnsi="Arial" w:cs="Arial"/>
          <w:sz w:val="16"/>
          <w:szCs w:val="16"/>
          <w:lang w:val="es-MX"/>
        </w:rPr>
        <w:t>.</w:t>
      </w:r>
    </w:p>
    <w:p w:rsidR="00574F2C" w:rsidRPr="00574F2C" w:rsidRDefault="00574F2C" w:rsidP="00574F2C">
      <w:pPr>
        <w:ind w:left="360"/>
        <w:jc w:val="both"/>
        <w:rPr>
          <w:rFonts w:ascii="Arial" w:hAnsi="Arial" w:cs="Arial"/>
          <w:sz w:val="16"/>
          <w:szCs w:val="16"/>
          <w:lang w:val="es-MX"/>
        </w:rPr>
      </w:pPr>
    </w:p>
    <w:p w:rsidR="00574F2C" w:rsidRDefault="00574F2C" w:rsidP="00574F2C">
      <w:pPr>
        <w:pStyle w:val="Textonotapie"/>
        <w:ind w:left="360"/>
        <w:jc w:val="both"/>
        <w:rPr>
          <w:rFonts w:ascii="Arial" w:hAnsi="Arial" w:cs="Arial"/>
          <w:sz w:val="16"/>
          <w:szCs w:val="16"/>
        </w:rPr>
      </w:pPr>
      <w:r w:rsidRPr="00421584">
        <w:rPr>
          <w:rFonts w:ascii="Arial" w:hAnsi="Arial" w:cs="Arial"/>
          <w:b/>
          <w:sz w:val="16"/>
          <w:szCs w:val="16"/>
        </w:rPr>
        <w:t xml:space="preserve">Medición: </w:t>
      </w:r>
      <w:r>
        <w:rPr>
          <w:rFonts w:ascii="Arial" w:hAnsi="Arial" w:cs="Arial"/>
          <w:sz w:val="16"/>
          <w:szCs w:val="16"/>
        </w:rPr>
        <w:t>l</w:t>
      </w:r>
      <w:r w:rsidRPr="00421584">
        <w:rPr>
          <w:rFonts w:ascii="Arial" w:hAnsi="Arial" w:cs="Arial"/>
          <w:sz w:val="16"/>
          <w:szCs w:val="16"/>
        </w:rPr>
        <w:t>a medición se realizará con base en porcentajes obtenidos de cada una de las categorías, resultando que el mayor de ellos mostrará la inclinación de los solicitantes para solicitar la información de determinada naturaleza.</w:t>
      </w:r>
      <w:r>
        <w:rPr>
          <w:rFonts w:ascii="Arial" w:hAnsi="Arial" w:cs="Arial"/>
          <w:sz w:val="16"/>
          <w:szCs w:val="16"/>
        </w:rPr>
        <w:t xml:space="preserve"> </w:t>
      </w:r>
    </w:p>
    <w:p w:rsidR="00574F2C" w:rsidRPr="00661B86" w:rsidRDefault="00574F2C" w:rsidP="00574F2C">
      <w:pPr>
        <w:pStyle w:val="Textonotapie"/>
        <w:jc w:val="both"/>
        <w:rPr>
          <w:rFonts w:ascii="Arial" w:hAnsi="Arial" w:cs="Arial"/>
          <w:b/>
          <w:sz w:val="16"/>
          <w:szCs w:val="16"/>
        </w:rPr>
      </w:pPr>
    </w:p>
  </w:footnote>
  <w:footnote w:id="7">
    <w:p w:rsidR="00574F2C" w:rsidRPr="004F2A51" w:rsidRDefault="00574F2C" w:rsidP="00574F2C">
      <w:pPr>
        <w:pStyle w:val="Textonotapie"/>
        <w:ind w:left="360"/>
        <w:jc w:val="both"/>
        <w:rPr>
          <w:rFonts w:ascii="Arial" w:hAnsi="Arial" w:cs="Arial"/>
          <w:sz w:val="16"/>
          <w:szCs w:val="16"/>
        </w:rPr>
      </w:pPr>
      <w:r w:rsidRPr="003E4A06">
        <w:rPr>
          <w:rStyle w:val="Refdenotaalpie"/>
          <w:rFonts w:ascii="Arial" w:hAnsi="Arial" w:cs="Arial"/>
        </w:rPr>
        <w:footnoteRef/>
      </w:r>
      <w:r>
        <w:t xml:space="preserve"> </w:t>
      </w:r>
      <w:r>
        <w:rPr>
          <w:rFonts w:ascii="Arial" w:hAnsi="Arial" w:cs="Arial"/>
          <w:sz w:val="16"/>
          <w:szCs w:val="16"/>
        </w:rPr>
        <w:t xml:space="preserve">A partir del primero de agosto del 2008, el Comité de Acceso a la Información y de Protección de Datos Personales </w:t>
      </w:r>
      <w:r w:rsidR="006D665C">
        <w:rPr>
          <w:rFonts w:ascii="Arial" w:hAnsi="Arial" w:cs="Arial"/>
          <w:sz w:val="16"/>
          <w:szCs w:val="16"/>
        </w:rPr>
        <w:t xml:space="preserve">(ahora denominado Comité de Transparencia), </w:t>
      </w:r>
      <w:r>
        <w:rPr>
          <w:rFonts w:ascii="Arial" w:hAnsi="Arial" w:cs="Arial"/>
          <w:sz w:val="16"/>
          <w:szCs w:val="16"/>
        </w:rPr>
        <w:t>determinó modificar el criterio para la clasificación de expedientes de naturaleza jurisdiccional y administrativa, integrando en la categoría de asuntos de índole jurisdiccional los siguientes tipos de información: tesis jurisprudenciales, v</w:t>
      </w:r>
      <w:r w:rsidRPr="004F2A51">
        <w:rPr>
          <w:rFonts w:ascii="Arial" w:hAnsi="Arial" w:cs="Arial"/>
          <w:sz w:val="16"/>
          <w:szCs w:val="16"/>
        </w:rPr>
        <w:t>ersiones taquigráficas, estenográficas o mecanográficas</w:t>
      </w:r>
      <w:r>
        <w:rPr>
          <w:rFonts w:ascii="Arial" w:hAnsi="Arial" w:cs="Arial"/>
          <w:sz w:val="16"/>
          <w:szCs w:val="16"/>
        </w:rPr>
        <w:t>, así como las a</w:t>
      </w:r>
      <w:r w:rsidRPr="004F2A51">
        <w:rPr>
          <w:rFonts w:ascii="Arial" w:hAnsi="Arial" w:cs="Arial"/>
          <w:sz w:val="16"/>
          <w:szCs w:val="16"/>
        </w:rPr>
        <w:t>ctas de las sesiones del Pleno y de las Salas</w:t>
      </w:r>
      <w:r>
        <w:rPr>
          <w:rFonts w:ascii="Arial" w:hAnsi="Arial" w:cs="Arial"/>
          <w:sz w:val="16"/>
          <w:szCs w:val="16"/>
        </w:rPr>
        <w:t>,</w:t>
      </w:r>
      <w:r w:rsidRPr="004F2A51">
        <w:rPr>
          <w:rFonts w:ascii="Arial" w:hAnsi="Arial" w:cs="Arial"/>
          <w:sz w:val="16"/>
          <w:szCs w:val="16"/>
        </w:rPr>
        <w:t xml:space="preserve"> </w:t>
      </w:r>
      <w:r>
        <w:rPr>
          <w:rFonts w:ascii="Arial" w:hAnsi="Arial" w:cs="Arial"/>
          <w:sz w:val="16"/>
          <w:szCs w:val="16"/>
        </w:rPr>
        <w:t xml:space="preserve">que versan sólo sobre </w:t>
      </w:r>
      <w:r w:rsidRPr="004F2A51">
        <w:rPr>
          <w:rFonts w:ascii="Arial" w:hAnsi="Arial" w:cs="Arial"/>
          <w:sz w:val="16"/>
          <w:szCs w:val="16"/>
        </w:rPr>
        <w:t>asuntos jurisdiccionales</w:t>
      </w:r>
      <w:r w:rsidR="006236E4">
        <w:rPr>
          <w:rFonts w:ascii="Arial" w:hAnsi="Arial" w:cs="Arial"/>
          <w:sz w:val="16"/>
          <w:szCs w:val="16"/>
        </w:rPr>
        <w:t>.</w:t>
      </w:r>
    </w:p>
    <w:p w:rsidR="00574F2C" w:rsidRPr="009158D0" w:rsidRDefault="00574F2C" w:rsidP="00574F2C">
      <w:pPr>
        <w:pStyle w:val="Textonotapie"/>
        <w:rPr>
          <w:lang w:val="es-MX"/>
        </w:rPr>
      </w:pPr>
    </w:p>
  </w:footnote>
  <w:footnote w:id="8">
    <w:p w:rsidR="006B2765"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 xml:space="preserve">Elementos que se utilizan: </w:t>
      </w:r>
      <w:r w:rsidRPr="00574F2C">
        <w:rPr>
          <w:rFonts w:ascii="Arial" w:hAnsi="Arial" w:cs="Arial"/>
          <w:sz w:val="16"/>
          <w:szCs w:val="16"/>
          <w:lang w:val="es-MX"/>
        </w:rPr>
        <w:t>expedientes de solicitudes de información tramitad</w:t>
      </w:r>
      <w:r w:rsidR="006D665C">
        <w:rPr>
          <w:rFonts w:ascii="Arial" w:hAnsi="Arial" w:cs="Arial"/>
          <w:sz w:val="16"/>
          <w:szCs w:val="16"/>
          <w:lang w:val="es-MX"/>
        </w:rPr>
        <w:t>a</w:t>
      </w:r>
      <w:r w:rsidRPr="00574F2C">
        <w:rPr>
          <w:rFonts w:ascii="Arial" w:hAnsi="Arial" w:cs="Arial"/>
          <w:sz w:val="16"/>
          <w:szCs w:val="16"/>
          <w:lang w:val="es-MX"/>
        </w:rPr>
        <w:t>s</w:t>
      </w:r>
      <w:r w:rsidR="00417C2B">
        <w:rPr>
          <w:rFonts w:ascii="Arial" w:hAnsi="Arial" w:cs="Arial"/>
          <w:sz w:val="16"/>
          <w:szCs w:val="16"/>
          <w:lang w:val="es-MX"/>
        </w:rPr>
        <w:t>,</w:t>
      </w:r>
      <w:r w:rsidRPr="00574F2C">
        <w:rPr>
          <w:rFonts w:ascii="Arial" w:hAnsi="Arial" w:cs="Arial"/>
          <w:sz w:val="16"/>
          <w:szCs w:val="16"/>
          <w:lang w:val="es-MX"/>
        </w:rPr>
        <w:t xml:space="preserve"> mediante el procedimiento ordinario</w:t>
      </w:r>
      <w:r w:rsidR="00B61412">
        <w:rPr>
          <w:rFonts w:ascii="Arial" w:hAnsi="Arial" w:cs="Arial"/>
          <w:sz w:val="16"/>
          <w:szCs w:val="16"/>
          <w:lang w:val="es-MX"/>
        </w:rPr>
        <w:t xml:space="preserve"> </w:t>
      </w:r>
      <w:r w:rsidR="00B61412" w:rsidRPr="00A158F4">
        <w:rPr>
          <w:rFonts w:ascii="Arial" w:hAnsi="Arial" w:cs="Arial"/>
          <w:sz w:val="16"/>
          <w:szCs w:val="16"/>
          <w:lang w:val="es-MX"/>
        </w:rPr>
        <w:t>(</w:t>
      </w:r>
      <w:r w:rsidR="00F81D38" w:rsidRPr="00A158F4">
        <w:rPr>
          <w:rFonts w:ascii="Arial" w:hAnsi="Arial" w:cs="Arial"/>
          <w:sz w:val="16"/>
          <w:szCs w:val="16"/>
          <w:lang w:val="es-MX"/>
        </w:rPr>
        <w:t>504</w:t>
      </w:r>
      <w:r w:rsidR="00B61412" w:rsidRPr="00A158F4">
        <w:rPr>
          <w:rFonts w:ascii="Arial" w:hAnsi="Arial" w:cs="Arial"/>
          <w:sz w:val="16"/>
          <w:szCs w:val="16"/>
          <w:lang w:val="es-MX"/>
        </w:rPr>
        <w:t>)</w:t>
      </w:r>
      <w:r w:rsidR="00D9128B" w:rsidRPr="00A158F4">
        <w:rPr>
          <w:rFonts w:ascii="Arial" w:hAnsi="Arial" w:cs="Arial"/>
          <w:sz w:val="16"/>
          <w:szCs w:val="16"/>
          <w:lang w:val="es-MX"/>
        </w:rPr>
        <w:t xml:space="preserve">, de los cuales </w:t>
      </w:r>
      <w:r w:rsidR="00F81D38" w:rsidRPr="00A158F4">
        <w:rPr>
          <w:rFonts w:ascii="Arial" w:hAnsi="Arial" w:cs="Arial"/>
          <w:sz w:val="16"/>
          <w:szCs w:val="16"/>
          <w:lang w:val="es-MX"/>
        </w:rPr>
        <w:t xml:space="preserve">se turnaron </w:t>
      </w:r>
      <w:r w:rsidR="00E219B2">
        <w:rPr>
          <w:rFonts w:ascii="Arial" w:hAnsi="Arial" w:cs="Arial"/>
          <w:sz w:val="16"/>
          <w:szCs w:val="16"/>
          <w:lang w:val="es-MX"/>
        </w:rPr>
        <w:t>41</w:t>
      </w:r>
      <w:r w:rsidR="006B2765" w:rsidRPr="00A158F4">
        <w:rPr>
          <w:rFonts w:ascii="Arial" w:hAnsi="Arial" w:cs="Arial"/>
          <w:sz w:val="16"/>
          <w:szCs w:val="16"/>
          <w:lang w:val="es-MX"/>
        </w:rPr>
        <w:t xml:space="preserve"> al</w:t>
      </w:r>
      <w:r w:rsidR="006B2765">
        <w:rPr>
          <w:rFonts w:ascii="Arial" w:hAnsi="Arial" w:cs="Arial"/>
          <w:sz w:val="16"/>
          <w:szCs w:val="16"/>
          <w:lang w:val="es-MX"/>
        </w:rPr>
        <w:t xml:space="preserve"> Comité de Transparencia, que por distinto rasgos de conexidad ordenó la acumulación para su análisis en un expediente, por lo que finalmente el cálculo toma como bas</w:t>
      </w:r>
      <w:r w:rsidR="004E35E8">
        <w:rPr>
          <w:rFonts w:ascii="Arial" w:hAnsi="Arial" w:cs="Arial"/>
          <w:sz w:val="16"/>
          <w:szCs w:val="16"/>
          <w:lang w:val="es-MX"/>
        </w:rPr>
        <w:t>e los expedientes integrados</w:t>
      </w:r>
      <w:r w:rsidR="006B2765">
        <w:rPr>
          <w:rFonts w:ascii="Arial" w:hAnsi="Arial" w:cs="Arial"/>
          <w:sz w:val="16"/>
          <w:szCs w:val="16"/>
          <w:lang w:val="es-MX"/>
        </w:rPr>
        <w:t>.</w:t>
      </w:r>
    </w:p>
    <w:p w:rsidR="00574F2C" w:rsidRPr="00574F2C" w:rsidRDefault="006B2765" w:rsidP="00574F2C">
      <w:pPr>
        <w:ind w:left="360"/>
        <w:jc w:val="both"/>
        <w:rPr>
          <w:rFonts w:ascii="Arial" w:hAnsi="Arial" w:cs="Arial"/>
          <w:sz w:val="16"/>
          <w:szCs w:val="16"/>
          <w:lang w:val="es-MX"/>
        </w:rPr>
      </w:pPr>
      <w:r>
        <w:rPr>
          <w:rFonts w:ascii="Arial" w:hAnsi="Arial" w:cs="Arial"/>
          <w:sz w:val="16"/>
          <w:szCs w:val="16"/>
          <w:lang w:val="es-MX"/>
        </w:rPr>
        <w:t xml:space="preserve"> </w:t>
      </w: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003F64FF">
        <w:rPr>
          <w:rFonts w:ascii="Arial" w:hAnsi="Arial" w:cs="Arial"/>
          <w:sz w:val="16"/>
          <w:szCs w:val="16"/>
        </w:rPr>
        <w:t xml:space="preserve"> </w:t>
      </w:r>
      <w:r w:rsidRPr="004674B8">
        <w:rPr>
          <w:rFonts w:ascii="Arial" w:hAnsi="Arial" w:cs="Arial"/>
          <w:sz w:val="16"/>
          <w:szCs w:val="16"/>
        </w:rPr>
        <w:t>mayor número de asuntos turnados al Comité será mayor su intervención, lo cual puede advertir las cargas de trabajo de dicho órgano colegiado</w:t>
      </w:r>
      <w:r w:rsidRPr="002B5464">
        <w:rPr>
          <w:rFonts w:ascii="Arial" w:hAnsi="Arial" w:cs="Arial"/>
          <w:sz w:val="16"/>
          <w:szCs w:val="16"/>
        </w:rPr>
        <w:t>.</w:t>
      </w:r>
    </w:p>
  </w:footnote>
  <w:footnote w:id="9">
    <w:p w:rsidR="00574F2C" w:rsidRDefault="00574F2C" w:rsidP="00574F2C">
      <w:pPr>
        <w:ind w:left="360"/>
        <w:jc w:val="both"/>
        <w:rPr>
          <w:rFonts w:ascii="Arial" w:hAnsi="Arial" w:cs="Arial"/>
          <w:sz w:val="16"/>
          <w:szCs w:val="16"/>
          <w:lang w:val="es-MX"/>
        </w:rPr>
      </w:pPr>
      <w:r w:rsidRPr="003E4A06">
        <w:rPr>
          <w:rStyle w:val="Refdenotaalpie"/>
          <w:rFonts w:ascii="Arial" w:hAnsi="Arial" w:cs="Arial"/>
          <w:sz w:val="20"/>
          <w:szCs w:val="20"/>
        </w:rPr>
        <w:footnoteRef/>
      </w:r>
      <w:r w:rsidRPr="00574F2C">
        <w:rPr>
          <w:lang w:val="es-MX"/>
        </w:rPr>
        <w:t xml:space="preserve"> </w:t>
      </w:r>
      <w:r w:rsidRPr="00574F2C">
        <w:rPr>
          <w:rFonts w:ascii="Arial" w:hAnsi="Arial" w:cs="Arial"/>
          <w:b/>
          <w:sz w:val="16"/>
          <w:szCs w:val="16"/>
          <w:lang w:val="es-MX"/>
        </w:rPr>
        <w:t>Elementos que se utilizan:</w:t>
      </w:r>
      <w:r w:rsidR="00D40C13">
        <w:rPr>
          <w:rFonts w:ascii="Arial" w:hAnsi="Arial" w:cs="Arial"/>
          <w:b/>
          <w:sz w:val="16"/>
          <w:szCs w:val="16"/>
          <w:lang w:val="es-MX"/>
        </w:rPr>
        <w:t xml:space="preserve"> </w:t>
      </w:r>
      <w:r w:rsidR="00D40C13" w:rsidRPr="00D40C13">
        <w:rPr>
          <w:rFonts w:ascii="Arial" w:hAnsi="Arial" w:cs="Arial"/>
          <w:sz w:val="16"/>
          <w:szCs w:val="16"/>
          <w:lang w:val="es-MX"/>
        </w:rPr>
        <w:t xml:space="preserve">Clasificaciones de Información emitidas por </w:t>
      </w:r>
      <w:r w:rsidR="006236E4">
        <w:rPr>
          <w:rFonts w:ascii="Arial" w:hAnsi="Arial" w:cs="Arial"/>
          <w:sz w:val="16"/>
          <w:szCs w:val="16"/>
          <w:lang w:val="es-MX"/>
        </w:rPr>
        <w:t xml:space="preserve">el </w:t>
      </w:r>
      <w:r w:rsidR="00D40C13" w:rsidRPr="00D40C13">
        <w:rPr>
          <w:rFonts w:ascii="Arial" w:hAnsi="Arial" w:cs="Arial"/>
          <w:sz w:val="16"/>
          <w:szCs w:val="16"/>
          <w:lang w:val="es-MX"/>
        </w:rPr>
        <w:t>Comité</w:t>
      </w:r>
      <w:r w:rsidR="006236E4">
        <w:rPr>
          <w:rFonts w:ascii="Arial" w:hAnsi="Arial" w:cs="Arial"/>
          <w:sz w:val="16"/>
          <w:szCs w:val="16"/>
          <w:lang w:val="es-MX"/>
        </w:rPr>
        <w:t xml:space="preserve"> de Transparencia de solicitudes tramitadas mediante procedimiento ordinario</w:t>
      </w:r>
      <w:r w:rsidR="00D40C13" w:rsidRPr="00D40C13">
        <w:rPr>
          <w:rFonts w:ascii="Arial" w:hAnsi="Arial" w:cs="Arial"/>
          <w:sz w:val="16"/>
          <w:szCs w:val="16"/>
          <w:lang w:val="es-MX"/>
        </w:rPr>
        <w:t xml:space="preserve">. Recursos de </w:t>
      </w:r>
      <w:r w:rsidR="006236E4">
        <w:rPr>
          <w:rFonts w:ascii="Arial" w:hAnsi="Arial" w:cs="Arial"/>
          <w:sz w:val="16"/>
          <w:szCs w:val="16"/>
          <w:lang w:val="es-MX"/>
        </w:rPr>
        <w:t>R</w:t>
      </w:r>
      <w:r w:rsidR="00D40C13" w:rsidRPr="00D40C13">
        <w:rPr>
          <w:rFonts w:ascii="Arial" w:hAnsi="Arial" w:cs="Arial"/>
          <w:sz w:val="16"/>
          <w:szCs w:val="16"/>
          <w:lang w:val="es-MX"/>
        </w:rPr>
        <w:t xml:space="preserve">evisión presentados ante </w:t>
      </w:r>
      <w:r w:rsidR="00D40C13">
        <w:rPr>
          <w:rFonts w:ascii="Arial" w:hAnsi="Arial" w:cs="Arial"/>
          <w:sz w:val="16"/>
          <w:szCs w:val="16"/>
          <w:lang w:val="es-MX"/>
        </w:rPr>
        <w:t>el Comité Especializado.</w:t>
      </w:r>
    </w:p>
    <w:p w:rsidR="00727BA0" w:rsidRPr="00574F2C" w:rsidRDefault="00727BA0" w:rsidP="00574F2C">
      <w:pPr>
        <w:ind w:left="360"/>
        <w:jc w:val="both"/>
        <w:rPr>
          <w:rFonts w:ascii="Arial" w:hAnsi="Arial" w:cs="Arial"/>
          <w:sz w:val="16"/>
          <w:szCs w:val="16"/>
          <w:lang w:val="es-MX"/>
        </w:rPr>
      </w:pPr>
    </w:p>
    <w:p w:rsidR="00574F2C" w:rsidRPr="002B5464" w:rsidRDefault="00574F2C" w:rsidP="00574F2C">
      <w:pPr>
        <w:pStyle w:val="Textonotapie"/>
        <w:ind w:left="360"/>
        <w:jc w:val="both"/>
        <w:rPr>
          <w:sz w:val="16"/>
          <w:szCs w:val="16"/>
          <w:lang w:val="es-MX"/>
        </w:rPr>
      </w:pPr>
      <w:r w:rsidRPr="002B5464">
        <w:rPr>
          <w:rFonts w:ascii="Arial" w:hAnsi="Arial" w:cs="Arial"/>
          <w:b/>
          <w:sz w:val="16"/>
          <w:szCs w:val="16"/>
        </w:rPr>
        <w:t>Medición:</w:t>
      </w:r>
      <w:r w:rsidRPr="002B5464">
        <w:rPr>
          <w:rFonts w:ascii="Arial" w:hAnsi="Arial" w:cs="Arial"/>
          <w:sz w:val="16"/>
          <w:szCs w:val="16"/>
        </w:rPr>
        <w:t xml:space="preserve"> </w:t>
      </w:r>
      <w:r>
        <w:rPr>
          <w:rFonts w:ascii="Arial" w:hAnsi="Arial" w:cs="Arial"/>
          <w:sz w:val="16"/>
          <w:szCs w:val="16"/>
        </w:rPr>
        <w:t>a</w:t>
      </w:r>
      <w:r w:rsidRPr="002B5464">
        <w:rPr>
          <w:rFonts w:ascii="Arial" w:hAnsi="Arial" w:cs="Arial"/>
          <w:sz w:val="16"/>
          <w:szCs w:val="16"/>
        </w:rPr>
        <w:t xml:space="preserve"> menor número de Recursos de Revisión promovidos en contra de las resoluciones del Comité </w:t>
      </w:r>
      <w:r w:rsidR="00417C2B">
        <w:rPr>
          <w:rFonts w:ascii="Arial" w:hAnsi="Arial" w:cs="Arial"/>
          <w:sz w:val="16"/>
          <w:szCs w:val="16"/>
        </w:rPr>
        <w:t>de Transparencia</w:t>
      </w:r>
      <w:r w:rsidRPr="002B5464">
        <w:rPr>
          <w:rFonts w:ascii="Arial" w:hAnsi="Arial" w:cs="Arial"/>
          <w:sz w:val="16"/>
          <w:szCs w:val="16"/>
        </w:rPr>
        <w:t>, será mayor el grado de aceptación de éstas por parte de los solicitantes.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297BA5">
    <w:pPr>
      <w:pStyle w:val="Encabezado"/>
    </w:pPr>
    <w:r>
      <w:rPr>
        <w:noProof/>
        <w:lang w:val="es-MX" w:eastAsia="es-MX"/>
      </w:rPr>
      <w:drawing>
        <wp:inline distT="0" distB="0" distL="0" distR="0" wp14:anchorId="77851D99" wp14:editId="48CD6254">
          <wp:extent cx="1014719" cy="9677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entidad SCJN negra 2015-2018.jpg"/>
                  <pic:cNvPicPr/>
                </pic:nvPicPr>
                <pic:blipFill>
                  <a:blip r:embed="rId1">
                    <a:extLst>
                      <a:ext uri="{28A0092B-C50C-407E-A947-70E740481C1C}">
                        <a14:useLocalDpi xmlns:a14="http://schemas.microsoft.com/office/drawing/2010/main" val="0"/>
                      </a:ext>
                    </a:extLst>
                  </a:blip>
                  <a:stretch>
                    <a:fillRect/>
                  </a:stretch>
                </pic:blipFill>
                <pic:spPr>
                  <a:xfrm>
                    <a:off x="0" y="0"/>
                    <a:ext cx="1027152" cy="979597"/>
                  </a:xfrm>
                  <a:prstGeom prst="rect">
                    <a:avLst/>
                  </a:prstGeom>
                </pic:spPr>
              </pic:pic>
            </a:graphicData>
          </a:graphic>
        </wp:inline>
      </w:drawing>
    </w:r>
    <w:r w:rsidR="006771FE">
      <w:rPr>
        <w:noProof/>
        <w:lang w:val="es-MX" w:eastAsia="es-MX"/>
      </w:rPr>
      <mc:AlternateContent>
        <mc:Choice Requires="wps">
          <w:drawing>
            <wp:anchor distT="0" distB="0" distL="114300" distR="114300" simplePos="0" relativeHeight="251663360" behindDoc="0" locked="0" layoutInCell="1" allowOverlap="1" wp14:anchorId="13DD50D5" wp14:editId="2C72B4A0">
              <wp:simplePos x="0" y="0"/>
              <wp:positionH relativeFrom="column">
                <wp:posOffset>-241935</wp:posOffset>
              </wp:positionH>
              <wp:positionV relativeFrom="paragraph">
                <wp:posOffset>1169035</wp:posOffset>
              </wp:positionV>
              <wp:extent cx="6229350" cy="635"/>
              <wp:effectExtent l="0" t="0" r="19050" b="374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43284C" id="_x0000_t32" coordsize="21600,21600" o:spt="32" o:oned="t" path="m,l21600,21600e" filled="f">
              <v:path arrowok="t" fillok="f" o:connecttype="none"/>
              <o:lock v:ext="edit" shapetype="t"/>
            </v:shapetype>
            <v:shape id="AutoShape 16" o:spid="_x0000_s1026" type="#_x0000_t32" style="position:absolute;margin-left:-19.05pt;margin-top:92.0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lqKA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" strokecolor="#172934" strokeweight=".5pt"/>
          </w:pict>
        </mc:Fallback>
      </mc:AlternateContent>
    </w:r>
    <w:r w:rsidR="00FC0BC6">
      <w:rPr>
        <w:noProof/>
        <w:lang w:val="es-MX" w:eastAsia="es-MX"/>
      </w:rPr>
      <mc:AlternateContent>
        <mc:Choice Requires="wps">
          <w:drawing>
            <wp:anchor distT="0" distB="0" distL="114300" distR="114300" simplePos="0" relativeHeight="251670528" behindDoc="0" locked="0" layoutInCell="1" allowOverlap="1" wp14:anchorId="47882F46" wp14:editId="4E8A5F67">
              <wp:simplePos x="0" y="0"/>
              <wp:positionH relativeFrom="column">
                <wp:posOffset>1577340</wp:posOffset>
              </wp:positionH>
              <wp:positionV relativeFrom="paragraph">
                <wp:posOffset>393065</wp:posOffset>
              </wp:positionV>
              <wp:extent cx="4239260" cy="566420"/>
              <wp:effectExtent l="0" t="2540" r="3175" b="254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26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380487" w:rsidP="00F53901">
                          <w:pPr>
                            <w:jc w:val="right"/>
                            <w:rPr>
                              <w:sz w:val="22"/>
                              <w:lang w:val="es-MX"/>
                            </w:rPr>
                          </w:pPr>
                          <w:r>
                            <w:rPr>
                              <w:sz w:val="22"/>
                              <w:lang w:val="es-MX"/>
                            </w:rPr>
                            <w:t>Julio</w:t>
                          </w:r>
                          <w:r w:rsidR="00FA6A3A">
                            <w:rPr>
                              <w:sz w:val="22"/>
                              <w:lang w:val="es-MX"/>
                            </w:rPr>
                            <w:t xml:space="preserve"> </w:t>
                          </w:r>
                          <w:r>
                            <w:rPr>
                              <w:sz w:val="22"/>
                              <w:lang w:val="es-MX"/>
                            </w:rPr>
                            <w:t>a Septiembre</w:t>
                          </w:r>
                          <w:r w:rsidR="00DB3398">
                            <w:rPr>
                              <w:sz w:val="22"/>
                              <w:lang w:val="es-MX"/>
                            </w:rPr>
                            <w:t xml:space="preserve"> de 2017</w:t>
                          </w:r>
                        </w:p>
                        <w:p w:rsidR="00DB3398" w:rsidRPr="00F53901" w:rsidRDefault="00DB3398" w:rsidP="00F53901">
                          <w:pPr>
                            <w:jc w:val="right"/>
                            <w:rPr>
                              <w:sz w:val="22"/>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7882F46" id="_x0000_t202" coordsize="21600,21600" o:spt="202" path="m,l,21600r21600,l21600,xe">
              <v:stroke joinstyle="miter"/>
              <v:path gradientshapeok="t" o:connecttype="rect"/>
            </v:shapetype>
            <v:shape id="Cuadro de texto 2" o:spid="_x0000_s1026" type="#_x0000_t202" style="position:absolute;margin-left:124.2pt;margin-top:30.95pt;width:333.8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" filled="f" stroked="f">
              <v:textbox>
                <w:txbxContent>
                  <w:p w:rsidR="00F53901" w:rsidRDefault="00F53901" w:rsidP="00F53901">
                    <w:pPr>
                      <w:jc w:val="right"/>
                      <w:rPr>
                        <w:sz w:val="22"/>
                        <w:lang w:val="es-MX"/>
                      </w:rPr>
                    </w:pPr>
                    <w:r w:rsidRPr="00F53901">
                      <w:rPr>
                        <w:sz w:val="22"/>
                        <w:lang w:val="es-MX"/>
                      </w:rPr>
                      <w:t>INDICADORES DE GESTIÓN DE TRANSPARENCIA, ACCESO A LA</w:t>
                    </w:r>
                    <w:r w:rsidR="0015393D">
                      <w:rPr>
                        <w:sz w:val="22"/>
                        <w:lang w:val="es-MX"/>
                      </w:rPr>
                      <w:t xml:space="preserve"> </w:t>
                    </w:r>
                    <w:r w:rsidRPr="00F53901">
                      <w:rPr>
                        <w:sz w:val="22"/>
                        <w:lang w:val="es-MX"/>
                      </w:rPr>
                      <w:t>INFORMACIÓN Y PROTECCIÓN DE DATOS PERSONALES</w:t>
                    </w:r>
                  </w:p>
                  <w:p w:rsidR="00F53901" w:rsidRDefault="00380487" w:rsidP="00F53901">
                    <w:pPr>
                      <w:jc w:val="right"/>
                      <w:rPr>
                        <w:sz w:val="22"/>
                        <w:lang w:val="es-MX"/>
                      </w:rPr>
                    </w:pPr>
                    <w:r>
                      <w:rPr>
                        <w:sz w:val="22"/>
                        <w:lang w:val="es-MX"/>
                      </w:rPr>
                      <w:t>Julio</w:t>
                    </w:r>
                    <w:r w:rsidR="00FA6A3A">
                      <w:rPr>
                        <w:sz w:val="22"/>
                        <w:lang w:val="es-MX"/>
                      </w:rPr>
                      <w:t xml:space="preserve"> </w:t>
                    </w:r>
                    <w:r>
                      <w:rPr>
                        <w:sz w:val="22"/>
                        <w:lang w:val="es-MX"/>
                      </w:rPr>
                      <w:t>a Septiembre</w:t>
                    </w:r>
                    <w:r w:rsidR="00DB3398">
                      <w:rPr>
                        <w:sz w:val="22"/>
                        <w:lang w:val="es-MX"/>
                      </w:rPr>
                      <w:t xml:space="preserve"> de 2017</w:t>
                    </w:r>
                  </w:p>
                  <w:p w:rsidR="00DB3398" w:rsidRPr="00F53901" w:rsidRDefault="00DB3398" w:rsidP="00F53901">
                    <w:pPr>
                      <w:jc w:val="right"/>
                      <w:rPr>
                        <w:sz w:val="22"/>
                        <w:lang w:val="es-MX"/>
                      </w:rPr>
                    </w:pPr>
                  </w:p>
                </w:txbxContent>
              </v:textbox>
            </v:shape>
          </w:pict>
        </mc:Fallback>
      </mc:AlternateContent>
    </w:r>
    <w:r w:rsidR="00FC0BC6">
      <w:rPr>
        <w:noProof/>
        <w:lang w:val="es-MX" w:eastAsia="es-MX"/>
      </w:rPr>
      <mc:AlternateContent>
        <mc:Choice Requires="wps">
          <w:drawing>
            <wp:anchor distT="0" distB="0" distL="114300" distR="114300" simplePos="0" relativeHeight="251664384" behindDoc="0" locked="0" layoutInCell="1" allowOverlap="1" wp14:anchorId="2D7ADD7E" wp14:editId="5D8FF3E7">
              <wp:simplePos x="0" y="0"/>
              <wp:positionH relativeFrom="column">
                <wp:posOffset>-233680</wp:posOffset>
              </wp:positionH>
              <wp:positionV relativeFrom="paragraph">
                <wp:posOffset>1178560</wp:posOffset>
              </wp:positionV>
              <wp:extent cx="0" cy="7878445"/>
              <wp:effectExtent l="13970" t="6985" r="5080" b="1079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BF18E9" id="AutoShape 17" o:spid="_x0000_s1026" type="#_x0000_t32" style="position:absolute;margin-left:-18.4pt;margin-top:92.8pt;width:0;height:6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" strokecolor="#172934"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24E" w:rsidRDefault="00FC0BC6">
    <w:pPr>
      <w:pStyle w:val="Encabezado"/>
    </w:pPr>
    <w:r>
      <w:rPr>
        <w:noProof/>
        <w:lang w:val="es-MX" w:eastAsia="es-MX"/>
      </w:rPr>
      <mc:AlternateContent>
        <mc:Choice Requires="wps">
          <w:drawing>
            <wp:anchor distT="0" distB="0" distL="114300" distR="114300" simplePos="0" relativeHeight="251660288" behindDoc="0" locked="0" layoutInCell="1" allowOverlap="1" wp14:anchorId="3B7FBCCF" wp14:editId="2E7B2D5D">
              <wp:simplePos x="0" y="0"/>
              <wp:positionH relativeFrom="column">
                <wp:posOffset>2244090</wp:posOffset>
              </wp:positionH>
              <wp:positionV relativeFrom="paragraph">
                <wp:posOffset>283210</wp:posOffset>
              </wp:positionV>
              <wp:extent cx="3612515" cy="806450"/>
              <wp:effectExtent l="0" t="0" r="6985" b="1270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8064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xmlns:w15="http://schemas.microsoft.com/office/word/2012/wordml"/>
                        </a:ext>
                      </a:extLst>
                    </wps:spPr>
                    <wps:txbx>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7FBCCF" id="_x0000_t202" coordsize="21600,21600" o:spt="202" path="m,l,21600r21600,l21600,xe">
              <v:stroke joinstyle="miter"/>
              <v:path gradientshapeok="t" o:connecttype="rect"/>
            </v:shapetype>
            <v:shape id="Cuadro de texto 4" o:spid="_x0000_s1027" type="#_x0000_t202" style="position:absolute;margin-left:176.7pt;margin-top:22.3pt;width:284.4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" filled="f" stroked="f">
              <v:path arrowok="t"/>
              <v:textbox inset="0,0,0,0">
                <w:txbxContent>
                  <w:p w:rsidR="0017624E" w:rsidRPr="000166E9" w:rsidRDefault="0017624E" w:rsidP="007039C5">
                    <w:pPr>
                      <w:pStyle w:val="reaemisora"/>
                    </w:pPr>
                  </w:p>
                  <w:p w:rsidR="0017624E" w:rsidRPr="00775B38" w:rsidRDefault="0017624E" w:rsidP="001C21C1">
                    <w:pPr>
                      <w:pStyle w:val="AREAQUEEMITE"/>
                      <w:rPr>
                        <w:b/>
                        <w:color w:val="172934"/>
                      </w:rPr>
                    </w:pPr>
                    <w:r w:rsidRPr="00775B38">
                      <w:rPr>
                        <w:b/>
                        <w:color w:val="172934"/>
                      </w:rPr>
                      <w:t>Indicadores de Gestión en materia de Transparencia, Acceso a la Información y Protección de Datos</w:t>
                    </w:r>
                  </w:p>
                  <w:p w:rsidR="0017624E" w:rsidRDefault="0017624E" w:rsidP="001C21C1">
                    <w:pPr>
                      <w:pStyle w:val="AREAQUEEMITE"/>
                      <w:rPr>
                        <w:color w:val="172934"/>
                      </w:rPr>
                    </w:pPr>
                  </w:p>
                  <w:p w:rsidR="0017624E" w:rsidRPr="009F17A1" w:rsidRDefault="0017624E" w:rsidP="001C21C1">
                    <w:pPr>
                      <w:pStyle w:val="AREAQUEEMITE"/>
                      <w:rPr>
                        <w:b/>
                      </w:rPr>
                    </w:pPr>
                    <w:r>
                      <w:rPr>
                        <w:color w:val="172934"/>
                      </w:rPr>
                      <w:t>Enero a Marzo de  2012</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6880C4C" wp14:editId="6C4C8C55">
              <wp:simplePos x="0" y="0"/>
              <wp:positionH relativeFrom="column">
                <wp:posOffset>-193675</wp:posOffset>
              </wp:positionH>
              <wp:positionV relativeFrom="paragraph">
                <wp:posOffset>1174115</wp:posOffset>
              </wp:positionV>
              <wp:extent cx="6050280" cy="635"/>
              <wp:effectExtent l="6350" t="12065" r="10795" b="63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0280" cy="63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C719CC" id="_x0000_t32" coordsize="21600,21600" o:spt="32" o:oned="t" path="m,l21600,21600e" filled="f">
              <v:path arrowok="t" fillok="f" o:connecttype="none"/>
              <o:lock v:ext="edit" shapetype="t"/>
            </v:shapetype>
            <v:shape id="AutoShape 14" o:spid="_x0000_s1026" type="#_x0000_t32" style="position:absolute;margin-left:-15.25pt;margin-top:92.45pt;width:476.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" strokecolor="#172934" strokeweight=".5pt"/>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4FB09915" wp14:editId="44ED8C60">
              <wp:simplePos x="0" y="0"/>
              <wp:positionH relativeFrom="column">
                <wp:posOffset>-193675</wp:posOffset>
              </wp:positionH>
              <wp:positionV relativeFrom="paragraph">
                <wp:posOffset>1178560</wp:posOffset>
              </wp:positionV>
              <wp:extent cx="0" cy="7878445"/>
              <wp:effectExtent l="6350" t="6985" r="12700" b="1079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8445"/>
                      </a:xfrm>
                      <a:prstGeom prst="straightConnector1">
                        <a:avLst/>
                      </a:prstGeom>
                      <a:noFill/>
                      <a:ln w="6350">
                        <a:solidFill>
                          <a:srgbClr val="1729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574FC2" id="AutoShape 15" o:spid="_x0000_s1026" type="#_x0000_t32" style="position:absolute;margin-left:-15.25pt;margin-top:92.8pt;width:0;height:6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" strokecolor="#172934" strokeweight=".5pt"/>
          </w:pict>
        </mc:Fallback>
      </mc:AlternateContent>
    </w:r>
    <w:r w:rsidR="0017624E">
      <w:rPr>
        <w:noProof/>
        <w:lang w:val="es-MX" w:eastAsia="es-MX"/>
      </w:rPr>
      <w:drawing>
        <wp:anchor distT="0" distB="0" distL="114300" distR="114300" simplePos="0" relativeHeight="251659264" behindDoc="1" locked="0" layoutInCell="1" allowOverlap="1" wp14:anchorId="682F1F3B" wp14:editId="72CE0AE6">
          <wp:simplePos x="0" y="0"/>
          <wp:positionH relativeFrom="page">
            <wp:posOffset>-209550</wp:posOffset>
          </wp:positionH>
          <wp:positionV relativeFrom="page">
            <wp:posOffset>-180975</wp:posOffset>
          </wp:positionV>
          <wp:extent cx="7768590" cy="1619250"/>
          <wp:effectExtent l="19050" t="0" r="3810" b="0"/>
          <wp:wrapNone/>
          <wp:docPr id="4" name="2 Imagen" descr="SCJN_Comunicado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SCJN_Comunicado_1.1.png"/>
                  <pic:cNvPicPr>
                    <a:picLocks noChangeAspect="1" noChangeArrowheads="1"/>
                  </pic:cNvPicPr>
                </pic:nvPicPr>
                <pic:blipFill>
                  <a:blip r:embed="rId1"/>
                  <a:srcRect/>
                  <a:stretch>
                    <a:fillRect/>
                  </a:stretch>
                </pic:blipFill>
                <pic:spPr bwMode="auto">
                  <a:xfrm>
                    <a:off x="0" y="0"/>
                    <a:ext cx="7768590" cy="1619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5pt;height:14.5pt" o:bullet="t">
        <v:imagedata r:id="rId1" o:title="mso6A"/>
      </v:shape>
    </w:pict>
  </w:numPicBullet>
  <w:abstractNum w:abstractNumId="0">
    <w:nsid w:val="047068FB"/>
    <w:multiLevelType w:val="hybridMultilevel"/>
    <w:tmpl w:val="F71A3902"/>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6E1179"/>
    <w:multiLevelType w:val="hybridMultilevel"/>
    <w:tmpl w:val="EFDA1AC2"/>
    <w:lvl w:ilvl="0" w:tplc="CA5A7F76">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343CFC"/>
    <w:multiLevelType w:val="hybridMultilevel"/>
    <w:tmpl w:val="CA8044D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2AC600D"/>
    <w:multiLevelType w:val="hybridMultilevel"/>
    <w:tmpl w:val="52EA46B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E63E0B"/>
    <w:multiLevelType w:val="hybridMultilevel"/>
    <w:tmpl w:val="98928CB8"/>
    <w:lvl w:ilvl="0" w:tplc="080A0005">
      <w:start w:val="1"/>
      <w:numFmt w:val="bullet"/>
      <w:pStyle w:val="IntroduccinComunicado"/>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4875B63"/>
    <w:multiLevelType w:val="hybridMultilevel"/>
    <w:tmpl w:val="3BC2F9A2"/>
    <w:lvl w:ilvl="0" w:tplc="080A0003">
      <w:start w:val="1"/>
      <w:numFmt w:val="bullet"/>
      <w:lvlText w:val="o"/>
      <w:lvlJc w:val="left"/>
      <w:pPr>
        <w:ind w:left="720" w:hanging="360"/>
      </w:pPr>
      <w:rPr>
        <w:rFonts w:ascii="Courier New" w:hAnsi="Courier New" w:cs="Courier New"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D113836"/>
    <w:multiLevelType w:val="hybridMultilevel"/>
    <w:tmpl w:val="B8CC0AA6"/>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E6D5692"/>
    <w:multiLevelType w:val="hybridMultilevel"/>
    <w:tmpl w:val="B4AE0B40"/>
    <w:lvl w:ilvl="0" w:tplc="08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6DD71D8"/>
    <w:multiLevelType w:val="hybridMultilevel"/>
    <w:tmpl w:val="C5304E56"/>
    <w:lvl w:ilvl="0" w:tplc="2D8E125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CE"/>
    <w:rsid w:val="00003D66"/>
    <w:rsid w:val="00012299"/>
    <w:rsid w:val="000444B0"/>
    <w:rsid w:val="000524AB"/>
    <w:rsid w:val="0005446E"/>
    <w:rsid w:val="00062098"/>
    <w:rsid w:val="00064AFC"/>
    <w:rsid w:val="0007154F"/>
    <w:rsid w:val="00071D40"/>
    <w:rsid w:val="00073BD5"/>
    <w:rsid w:val="00077FB5"/>
    <w:rsid w:val="00086FAD"/>
    <w:rsid w:val="00087F00"/>
    <w:rsid w:val="0009248F"/>
    <w:rsid w:val="000952AA"/>
    <w:rsid w:val="000A0284"/>
    <w:rsid w:val="000A0C86"/>
    <w:rsid w:val="000A31B2"/>
    <w:rsid w:val="000A61B3"/>
    <w:rsid w:val="000A687C"/>
    <w:rsid w:val="000B572B"/>
    <w:rsid w:val="000C549A"/>
    <w:rsid w:val="000D2B7A"/>
    <w:rsid w:val="000D39A7"/>
    <w:rsid w:val="000D4C2A"/>
    <w:rsid w:val="000D5F4A"/>
    <w:rsid w:val="000E0475"/>
    <w:rsid w:val="000E7500"/>
    <w:rsid w:val="000F3BCD"/>
    <w:rsid w:val="000F4586"/>
    <w:rsid w:val="00101CC6"/>
    <w:rsid w:val="00113DC9"/>
    <w:rsid w:val="00127378"/>
    <w:rsid w:val="00132FA2"/>
    <w:rsid w:val="0013455D"/>
    <w:rsid w:val="00137181"/>
    <w:rsid w:val="0014747D"/>
    <w:rsid w:val="0015393D"/>
    <w:rsid w:val="00166961"/>
    <w:rsid w:val="0017624E"/>
    <w:rsid w:val="00180598"/>
    <w:rsid w:val="00182D01"/>
    <w:rsid w:val="001863CE"/>
    <w:rsid w:val="001A52FD"/>
    <w:rsid w:val="001C21C1"/>
    <w:rsid w:val="001C2655"/>
    <w:rsid w:val="001D16FC"/>
    <w:rsid w:val="001E092B"/>
    <w:rsid w:val="001E30E6"/>
    <w:rsid w:val="001E5DA2"/>
    <w:rsid w:val="0020117F"/>
    <w:rsid w:val="0021411F"/>
    <w:rsid w:val="00216077"/>
    <w:rsid w:val="00233FCC"/>
    <w:rsid w:val="00240AC8"/>
    <w:rsid w:val="00250D73"/>
    <w:rsid w:val="00255AE8"/>
    <w:rsid w:val="00263E0D"/>
    <w:rsid w:val="0026477E"/>
    <w:rsid w:val="00287F19"/>
    <w:rsid w:val="00292B77"/>
    <w:rsid w:val="00297BA5"/>
    <w:rsid w:val="002C23D4"/>
    <w:rsid w:val="002C4DBB"/>
    <w:rsid w:val="002C7E7E"/>
    <w:rsid w:val="002D0E84"/>
    <w:rsid w:val="002D255A"/>
    <w:rsid w:val="002D2D1E"/>
    <w:rsid w:val="002D454B"/>
    <w:rsid w:val="002D7E88"/>
    <w:rsid w:val="002E484B"/>
    <w:rsid w:val="002E5296"/>
    <w:rsid w:val="002E73AE"/>
    <w:rsid w:val="002F08CC"/>
    <w:rsid w:val="002F1FC1"/>
    <w:rsid w:val="002F6B7C"/>
    <w:rsid w:val="002F715D"/>
    <w:rsid w:val="00300885"/>
    <w:rsid w:val="003024AE"/>
    <w:rsid w:val="00304F30"/>
    <w:rsid w:val="00313543"/>
    <w:rsid w:val="003142A0"/>
    <w:rsid w:val="00315580"/>
    <w:rsid w:val="00337285"/>
    <w:rsid w:val="003406A5"/>
    <w:rsid w:val="00343AB8"/>
    <w:rsid w:val="00344AF2"/>
    <w:rsid w:val="00350507"/>
    <w:rsid w:val="003532A8"/>
    <w:rsid w:val="0036119F"/>
    <w:rsid w:val="003640DF"/>
    <w:rsid w:val="00375121"/>
    <w:rsid w:val="00380487"/>
    <w:rsid w:val="00383B39"/>
    <w:rsid w:val="00384F28"/>
    <w:rsid w:val="003A32C0"/>
    <w:rsid w:val="003B5E4C"/>
    <w:rsid w:val="003C22E4"/>
    <w:rsid w:val="003C3AA6"/>
    <w:rsid w:val="003C5D50"/>
    <w:rsid w:val="003C7F24"/>
    <w:rsid w:val="003D1E0F"/>
    <w:rsid w:val="003E1103"/>
    <w:rsid w:val="003E1486"/>
    <w:rsid w:val="003E4A06"/>
    <w:rsid w:val="003F64FF"/>
    <w:rsid w:val="003F688C"/>
    <w:rsid w:val="00401C1E"/>
    <w:rsid w:val="00402C70"/>
    <w:rsid w:val="004040B6"/>
    <w:rsid w:val="00413372"/>
    <w:rsid w:val="004141BB"/>
    <w:rsid w:val="004159E0"/>
    <w:rsid w:val="00417C2B"/>
    <w:rsid w:val="004213C8"/>
    <w:rsid w:val="00430FFF"/>
    <w:rsid w:val="00437B73"/>
    <w:rsid w:val="00457211"/>
    <w:rsid w:val="004657FA"/>
    <w:rsid w:val="00465D46"/>
    <w:rsid w:val="0049105D"/>
    <w:rsid w:val="00491A42"/>
    <w:rsid w:val="00492121"/>
    <w:rsid w:val="00492DE7"/>
    <w:rsid w:val="004963E0"/>
    <w:rsid w:val="00496436"/>
    <w:rsid w:val="004A2DE4"/>
    <w:rsid w:val="004A641F"/>
    <w:rsid w:val="004B0360"/>
    <w:rsid w:val="004B3F0A"/>
    <w:rsid w:val="004C0B4B"/>
    <w:rsid w:val="004C1906"/>
    <w:rsid w:val="004C1917"/>
    <w:rsid w:val="004C1EA1"/>
    <w:rsid w:val="004C271C"/>
    <w:rsid w:val="004C4F9A"/>
    <w:rsid w:val="004C5C24"/>
    <w:rsid w:val="004D3194"/>
    <w:rsid w:val="004E1E63"/>
    <w:rsid w:val="004E35E8"/>
    <w:rsid w:val="004E4FAE"/>
    <w:rsid w:val="004F76AA"/>
    <w:rsid w:val="005033BF"/>
    <w:rsid w:val="0051153A"/>
    <w:rsid w:val="00512258"/>
    <w:rsid w:val="00513142"/>
    <w:rsid w:val="00520F81"/>
    <w:rsid w:val="00534D7D"/>
    <w:rsid w:val="00537198"/>
    <w:rsid w:val="005454A1"/>
    <w:rsid w:val="00546B9F"/>
    <w:rsid w:val="00550432"/>
    <w:rsid w:val="005541A0"/>
    <w:rsid w:val="00556852"/>
    <w:rsid w:val="00564CF8"/>
    <w:rsid w:val="00567035"/>
    <w:rsid w:val="00574F2C"/>
    <w:rsid w:val="00575F95"/>
    <w:rsid w:val="00577FA5"/>
    <w:rsid w:val="0059399D"/>
    <w:rsid w:val="005967EA"/>
    <w:rsid w:val="005A0668"/>
    <w:rsid w:val="005A261D"/>
    <w:rsid w:val="005A4480"/>
    <w:rsid w:val="005A5648"/>
    <w:rsid w:val="005B2330"/>
    <w:rsid w:val="005B585E"/>
    <w:rsid w:val="005B59DE"/>
    <w:rsid w:val="005B709B"/>
    <w:rsid w:val="005C0079"/>
    <w:rsid w:val="005C2C7A"/>
    <w:rsid w:val="005D24D6"/>
    <w:rsid w:val="005D2E1D"/>
    <w:rsid w:val="005D3B93"/>
    <w:rsid w:val="005D7630"/>
    <w:rsid w:val="005E0F5E"/>
    <w:rsid w:val="005E642F"/>
    <w:rsid w:val="005E6BE7"/>
    <w:rsid w:val="005F263F"/>
    <w:rsid w:val="005F4AA8"/>
    <w:rsid w:val="00603F15"/>
    <w:rsid w:val="0060533E"/>
    <w:rsid w:val="00607821"/>
    <w:rsid w:val="00611810"/>
    <w:rsid w:val="00617FF1"/>
    <w:rsid w:val="006236E4"/>
    <w:rsid w:val="006336F7"/>
    <w:rsid w:val="00633D44"/>
    <w:rsid w:val="00640E48"/>
    <w:rsid w:val="00644D51"/>
    <w:rsid w:val="006502FB"/>
    <w:rsid w:val="006521D2"/>
    <w:rsid w:val="00654D99"/>
    <w:rsid w:val="00665DF2"/>
    <w:rsid w:val="00665E04"/>
    <w:rsid w:val="006771FE"/>
    <w:rsid w:val="00687109"/>
    <w:rsid w:val="00691E19"/>
    <w:rsid w:val="0069342B"/>
    <w:rsid w:val="00693E25"/>
    <w:rsid w:val="00696BBF"/>
    <w:rsid w:val="006A2A1E"/>
    <w:rsid w:val="006A2C58"/>
    <w:rsid w:val="006A7E1F"/>
    <w:rsid w:val="006B2765"/>
    <w:rsid w:val="006B2A12"/>
    <w:rsid w:val="006C42AB"/>
    <w:rsid w:val="006C75B7"/>
    <w:rsid w:val="006D665C"/>
    <w:rsid w:val="006F213A"/>
    <w:rsid w:val="006F4AC9"/>
    <w:rsid w:val="0070250F"/>
    <w:rsid w:val="007039C5"/>
    <w:rsid w:val="00705090"/>
    <w:rsid w:val="00715A99"/>
    <w:rsid w:val="00717B7B"/>
    <w:rsid w:val="007243DB"/>
    <w:rsid w:val="00724E67"/>
    <w:rsid w:val="00725941"/>
    <w:rsid w:val="00727013"/>
    <w:rsid w:val="00727BA0"/>
    <w:rsid w:val="00744A32"/>
    <w:rsid w:val="00751AFF"/>
    <w:rsid w:val="0075411E"/>
    <w:rsid w:val="00760761"/>
    <w:rsid w:val="0076149D"/>
    <w:rsid w:val="007623D8"/>
    <w:rsid w:val="00775A57"/>
    <w:rsid w:val="00775B11"/>
    <w:rsid w:val="00775B38"/>
    <w:rsid w:val="00776F9E"/>
    <w:rsid w:val="0077794B"/>
    <w:rsid w:val="00781118"/>
    <w:rsid w:val="0079444E"/>
    <w:rsid w:val="00795ED9"/>
    <w:rsid w:val="00796E14"/>
    <w:rsid w:val="007A287A"/>
    <w:rsid w:val="007C1BB1"/>
    <w:rsid w:val="007D0908"/>
    <w:rsid w:val="007D3306"/>
    <w:rsid w:val="007D7629"/>
    <w:rsid w:val="007E3ACF"/>
    <w:rsid w:val="007E7DC9"/>
    <w:rsid w:val="00802D7E"/>
    <w:rsid w:val="00803244"/>
    <w:rsid w:val="008068C9"/>
    <w:rsid w:val="00810D81"/>
    <w:rsid w:val="008110FA"/>
    <w:rsid w:val="00813F32"/>
    <w:rsid w:val="00816679"/>
    <w:rsid w:val="00821AF3"/>
    <w:rsid w:val="00824442"/>
    <w:rsid w:val="00830A4C"/>
    <w:rsid w:val="0083275C"/>
    <w:rsid w:val="008338AD"/>
    <w:rsid w:val="00835B90"/>
    <w:rsid w:val="0084356E"/>
    <w:rsid w:val="0084393D"/>
    <w:rsid w:val="008451EC"/>
    <w:rsid w:val="0086283D"/>
    <w:rsid w:val="00875D0D"/>
    <w:rsid w:val="00877413"/>
    <w:rsid w:val="008875DF"/>
    <w:rsid w:val="00887A87"/>
    <w:rsid w:val="00891F2E"/>
    <w:rsid w:val="008956EE"/>
    <w:rsid w:val="008A54B2"/>
    <w:rsid w:val="008A5BCD"/>
    <w:rsid w:val="008A5D85"/>
    <w:rsid w:val="008B2A46"/>
    <w:rsid w:val="008D1078"/>
    <w:rsid w:val="008D420C"/>
    <w:rsid w:val="008E1E83"/>
    <w:rsid w:val="008F5C63"/>
    <w:rsid w:val="008F60E7"/>
    <w:rsid w:val="008F7502"/>
    <w:rsid w:val="00902294"/>
    <w:rsid w:val="00920F33"/>
    <w:rsid w:val="00922D43"/>
    <w:rsid w:val="009247BA"/>
    <w:rsid w:val="00930A1E"/>
    <w:rsid w:val="00934AD2"/>
    <w:rsid w:val="00937830"/>
    <w:rsid w:val="00941A63"/>
    <w:rsid w:val="00967D5E"/>
    <w:rsid w:val="00970C3F"/>
    <w:rsid w:val="00972F9F"/>
    <w:rsid w:val="0098128B"/>
    <w:rsid w:val="009828E5"/>
    <w:rsid w:val="009940CE"/>
    <w:rsid w:val="009A424C"/>
    <w:rsid w:val="009C19F7"/>
    <w:rsid w:val="009C59EF"/>
    <w:rsid w:val="009D6049"/>
    <w:rsid w:val="009E1774"/>
    <w:rsid w:val="009E5C52"/>
    <w:rsid w:val="009E5FC9"/>
    <w:rsid w:val="009F384D"/>
    <w:rsid w:val="00A01A04"/>
    <w:rsid w:val="00A02954"/>
    <w:rsid w:val="00A05E23"/>
    <w:rsid w:val="00A06999"/>
    <w:rsid w:val="00A1401E"/>
    <w:rsid w:val="00A158F4"/>
    <w:rsid w:val="00A16870"/>
    <w:rsid w:val="00A16BD8"/>
    <w:rsid w:val="00A241ED"/>
    <w:rsid w:val="00A269BE"/>
    <w:rsid w:val="00A3454E"/>
    <w:rsid w:val="00A4208E"/>
    <w:rsid w:val="00A50BAC"/>
    <w:rsid w:val="00A52729"/>
    <w:rsid w:val="00A56BD6"/>
    <w:rsid w:val="00A56FED"/>
    <w:rsid w:val="00A5717A"/>
    <w:rsid w:val="00A67EDD"/>
    <w:rsid w:val="00A7560F"/>
    <w:rsid w:val="00A76946"/>
    <w:rsid w:val="00A83E36"/>
    <w:rsid w:val="00A93E8F"/>
    <w:rsid w:val="00AA1B75"/>
    <w:rsid w:val="00AA3881"/>
    <w:rsid w:val="00AB56E2"/>
    <w:rsid w:val="00AB7C49"/>
    <w:rsid w:val="00AD0C13"/>
    <w:rsid w:val="00AD15D1"/>
    <w:rsid w:val="00AD1792"/>
    <w:rsid w:val="00AD6BE6"/>
    <w:rsid w:val="00AE14E9"/>
    <w:rsid w:val="00AE1B2D"/>
    <w:rsid w:val="00AE6808"/>
    <w:rsid w:val="00AF3CF1"/>
    <w:rsid w:val="00B019C0"/>
    <w:rsid w:val="00B036FE"/>
    <w:rsid w:val="00B03E16"/>
    <w:rsid w:val="00B07518"/>
    <w:rsid w:val="00B07896"/>
    <w:rsid w:val="00B159B4"/>
    <w:rsid w:val="00B2529E"/>
    <w:rsid w:val="00B34B30"/>
    <w:rsid w:val="00B4364C"/>
    <w:rsid w:val="00B460A8"/>
    <w:rsid w:val="00B46DB2"/>
    <w:rsid w:val="00B53FCF"/>
    <w:rsid w:val="00B5490A"/>
    <w:rsid w:val="00B555BE"/>
    <w:rsid w:val="00B6114A"/>
    <w:rsid w:val="00B61412"/>
    <w:rsid w:val="00B645C9"/>
    <w:rsid w:val="00B6709D"/>
    <w:rsid w:val="00B83C59"/>
    <w:rsid w:val="00BA3A9A"/>
    <w:rsid w:val="00BA4F6A"/>
    <w:rsid w:val="00BA5F54"/>
    <w:rsid w:val="00BA6373"/>
    <w:rsid w:val="00BA7ADD"/>
    <w:rsid w:val="00BB18E6"/>
    <w:rsid w:val="00BB411B"/>
    <w:rsid w:val="00BB4F5A"/>
    <w:rsid w:val="00BC1124"/>
    <w:rsid w:val="00BC79EB"/>
    <w:rsid w:val="00BC7AC0"/>
    <w:rsid w:val="00BE4D66"/>
    <w:rsid w:val="00BE555D"/>
    <w:rsid w:val="00BE5E9E"/>
    <w:rsid w:val="00BF3E18"/>
    <w:rsid w:val="00BF40D9"/>
    <w:rsid w:val="00BF4C2A"/>
    <w:rsid w:val="00BF5B04"/>
    <w:rsid w:val="00C10BEE"/>
    <w:rsid w:val="00C13809"/>
    <w:rsid w:val="00C157E7"/>
    <w:rsid w:val="00C21F44"/>
    <w:rsid w:val="00C23F85"/>
    <w:rsid w:val="00C33FB3"/>
    <w:rsid w:val="00C379D7"/>
    <w:rsid w:val="00C41FC1"/>
    <w:rsid w:val="00C4377E"/>
    <w:rsid w:val="00C44973"/>
    <w:rsid w:val="00C704F7"/>
    <w:rsid w:val="00C754AD"/>
    <w:rsid w:val="00C75CAC"/>
    <w:rsid w:val="00C84CE8"/>
    <w:rsid w:val="00C85EE0"/>
    <w:rsid w:val="00C86B07"/>
    <w:rsid w:val="00C912BE"/>
    <w:rsid w:val="00C94871"/>
    <w:rsid w:val="00CB2D3A"/>
    <w:rsid w:val="00CC1A8E"/>
    <w:rsid w:val="00CC28C4"/>
    <w:rsid w:val="00CC322A"/>
    <w:rsid w:val="00CD05AB"/>
    <w:rsid w:val="00CD0810"/>
    <w:rsid w:val="00CD73B5"/>
    <w:rsid w:val="00CD73F5"/>
    <w:rsid w:val="00CE48C4"/>
    <w:rsid w:val="00CF30E6"/>
    <w:rsid w:val="00CF59D5"/>
    <w:rsid w:val="00D11E7A"/>
    <w:rsid w:val="00D2038F"/>
    <w:rsid w:val="00D24E26"/>
    <w:rsid w:val="00D40C13"/>
    <w:rsid w:val="00D52D3C"/>
    <w:rsid w:val="00D53A9E"/>
    <w:rsid w:val="00D54F0B"/>
    <w:rsid w:val="00D55723"/>
    <w:rsid w:val="00D63D06"/>
    <w:rsid w:val="00D65325"/>
    <w:rsid w:val="00D66534"/>
    <w:rsid w:val="00D677DC"/>
    <w:rsid w:val="00D71073"/>
    <w:rsid w:val="00D712C2"/>
    <w:rsid w:val="00D71A07"/>
    <w:rsid w:val="00D75561"/>
    <w:rsid w:val="00D76D79"/>
    <w:rsid w:val="00D836C5"/>
    <w:rsid w:val="00D84572"/>
    <w:rsid w:val="00D9128B"/>
    <w:rsid w:val="00D93721"/>
    <w:rsid w:val="00D96944"/>
    <w:rsid w:val="00DA0FFB"/>
    <w:rsid w:val="00DA38A0"/>
    <w:rsid w:val="00DB16B4"/>
    <w:rsid w:val="00DB3398"/>
    <w:rsid w:val="00DB3FFD"/>
    <w:rsid w:val="00DC0826"/>
    <w:rsid w:val="00DE0AF0"/>
    <w:rsid w:val="00DF16B0"/>
    <w:rsid w:val="00DF376F"/>
    <w:rsid w:val="00DF60CD"/>
    <w:rsid w:val="00DF7568"/>
    <w:rsid w:val="00E04D82"/>
    <w:rsid w:val="00E07D36"/>
    <w:rsid w:val="00E15A7A"/>
    <w:rsid w:val="00E201D8"/>
    <w:rsid w:val="00E20E51"/>
    <w:rsid w:val="00E219B2"/>
    <w:rsid w:val="00E3200E"/>
    <w:rsid w:val="00E451AC"/>
    <w:rsid w:val="00E46D93"/>
    <w:rsid w:val="00E50368"/>
    <w:rsid w:val="00E5354A"/>
    <w:rsid w:val="00E56BA8"/>
    <w:rsid w:val="00E66B1C"/>
    <w:rsid w:val="00E75DD4"/>
    <w:rsid w:val="00E87BB7"/>
    <w:rsid w:val="00E903E4"/>
    <w:rsid w:val="00E975AD"/>
    <w:rsid w:val="00EA297B"/>
    <w:rsid w:val="00EA741A"/>
    <w:rsid w:val="00EB5A96"/>
    <w:rsid w:val="00EC158D"/>
    <w:rsid w:val="00EE4C7F"/>
    <w:rsid w:val="00EF2B2C"/>
    <w:rsid w:val="00F06904"/>
    <w:rsid w:val="00F12BC1"/>
    <w:rsid w:val="00F20611"/>
    <w:rsid w:val="00F303BA"/>
    <w:rsid w:val="00F3243A"/>
    <w:rsid w:val="00F33B7E"/>
    <w:rsid w:val="00F36D63"/>
    <w:rsid w:val="00F36E18"/>
    <w:rsid w:val="00F372D1"/>
    <w:rsid w:val="00F43EDC"/>
    <w:rsid w:val="00F53901"/>
    <w:rsid w:val="00F5614F"/>
    <w:rsid w:val="00F578C7"/>
    <w:rsid w:val="00F64D03"/>
    <w:rsid w:val="00F72BB6"/>
    <w:rsid w:val="00F8014E"/>
    <w:rsid w:val="00F81D38"/>
    <w:rsid w:val="00F832C4"/>
    <w:rsid w:val="00FA6A3A"/>
    <w:rsid w:val="00FB04FC"/>
    <w:rsid w:val="00FB2C39"/>
    <w:rsid w:val="00FB369D"/>
    <w:rsid w:val="00FC0BC6"/>
    <w:rsid w:val="00FC5CDB"/>
    <w:rsid w:val="00FD4B4C"/>
    <w:rsid w:val="00FE158B"/>
    <w:rsid w:val="00FE23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AA3881"/>
    <w:pPr>
      <w:spacing w:after="0" w:line="240" w:lineRule="auto"/>
    </w:pPr>
    <w:rPr>
      <w:rFonts w:ascii="Cambria" w:eastAsia="MS Mincho" w:hAnsi="Cambria" w:cs="Times New Roman"/>
      <w:sz w:val="24"/>
      <w:szCs w:val="24"/>
      <w:lang w:val="en-US" w:eastAsia="ja-JP"/>
    </w:rPr>
  </w:style>
  <w:style w:type="paragraph" w:styleId="Ttulo2">
    <w:name w:val="heading 2"/>
    <w:basedOn w:val="Normal"/>
    <w:next w:val="Normal"/>
    <w:link w:val="Ttulo2Car"/>
    <w:rsid w:val="00AA3881"/>
    <w:pPr>
      <w:keepNext/>
      <w:ind w:firstLine="708"/>
      <w:jc w:val="center"/>
      <w:outlineLvl w:val="1"/>
    </w:pPr>
    <w:rPr>
      <w:rFonts w:ascii="Arial" w:eastAsia="Times New Roman" w:hAnsi="Arial"/>
      <w:b/>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72B"/>
    <w:pPr>
      <w:tabs>
        <w:tab w:val="center" w:pos="4252"/>
        <w:tab w:val="right" w:pos="8504"/>
      </w:tabs>
    </w:pPr>
  </w:style>
  <w:style w:type="character" w:customStyle="1" w:styleId="EncabezadoCar">
    <w:name w:val="Encabezado Car"/>
    <w:basedOn w:val="Fuentedeprrafopredeter"/>
    <w:link w:val="Encabezado"/>
    <w:uiPriority w:val="99"/>
    <w:rsid w:val="000B572B"/>
  </w:style>
  <w:style w:type="paragraph" w:styleId="Piedepgina">
    <w:name w:val="footer"/>
    <w:basedOn w:val="Normal"/>
    <w:link w:val="PiedepginaCar"/>
    <w:uiPriority w:val="99"/>
    <w:unhideWhenUsed/>
    <w:rsid w:val="000B572B"/>
    <w:pPr>
      <w:tabs>
        <w:tab w:val="center" w:pos="4252"/>
        <w:tab w:val="right" w:pos="8504"/>
      </w:tabs>
    </w:pPr>
  </w:style>
  <w:style w:type="character" w:customStyle="1" w:styleId="PiedepginaCar">
    <w:name w:val="Pie de página Car"/>
    <w:basedOn w:val="Fuentedeprrafopredeter"/>
    <w:link w:val="Piedepgina"/>
    <w:uiPriority w:val="99"/>
    <w:rsid w:val="000B572B"/>
  </w:style>
  <w:style w:type="paragraph" w:customStyle="1" w:styleId="Denominacindeldocumento">
    <w:name w:val="Denominación del documento"/>
    <w:basedOn w:val="Normal"/>
    <w:link w:val="DenominacindeldocumentoCar"/>
    <w:autoRedefine/>
    <w:rsid w:val="00343AB8"/>
    <w:pPr>
      <w:jc w:val="right"/>
    </w:pPr>
    <w:rPr>
      <w:rFonts w:ascii="Georgia" w:hAnsi="Georgia"/>
      <w:color w:val="BFB6AD"/>
      <w:sz w:val="20"/>
      <w:szCs w:val="20"/>
    </w:rPr>
  </w:style>
  <w:style w:type="paragraph" w:customStyle="1" w:styleId="Direccinemisora">
    <w:name w:val="Dirección emisora"/>
    <w:basedOn w:val="Denominacindeldocumento"/>
    <w:link w:val="DireccinemisoraCar"/>
    <w:rsid w:val="000B572B"/>
    <w:pPr>
      <w:spacing w:line="180" w:lineRule="exact"/>
    </w:pPr>
    <w:rPr>
      <w:sz w:val="16"/>
      <w:szCs w:val="16"/>
    </w:rPr>
  </w:style>
  <w:style w:type="paragraph" w:styleId="Textodeglobo">
    <w:name w:val="Balloon Text"/>
    <w:basedOn w:val="Normal"/>
    <w:link w:val="TextodegloboCar"/>
    <w:uiPriority w:val="99"/>
    <w:semiHidden/>
    <w:unhideWhenUsed/>
    <w:rsid w:val="003E1486"/>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486"/>
    <w:rPr>
      <w:rFonts w:ascii="Tahoma" w:hAnsi="Tahoma" w:cs="Tahoma"/>
      <w:sz w:val="16"/>
      <w:szCs w:val="16"/>
    </w:rPr>
  </w:style>
  <w:style w:type="character" w:customStyle="1" w:styleId="Ttulo2Car">
    <w:name w:val="Título 2 Car"/>
    <w:basedOn w:val="Fuentedeprrafopredeter"/>
    <w:link w:val="Ttulo2"/>
    <w:rsid w:val="00AA3881"/>
    <w:rPr>
      <w:rFonts w:ascii="Arial" w:eastAsia="Times New Roman" w:hAnsi="Arial" w:cs="Times New Roman"/>
      <w:b/>
      <w:sz w:val="32"/>
      <w:szCs w:val="20"/>
      <w:lang w:eastAsia="es-MX"/>
    </w:rPr>
  </w:style>
  <w:style w:type="paragraph" w:customStyle="1" w:styleId="TextoComunicadoSCJN">
    <w:name w:val="Texto Comunicado SCJN"/>
    <w:basedOn w:val="Normal"/>
    <w:autoRedefine/>
    <w:rsid w:val="00AA3881"/>
    <w:pPr>
      <w:spacing w:line="280" w:lineRule="exact"/>
      <w:contextualSpacing/>
    </w:pPr>
    <w:rPr>
      <w:rFonts w:ascii="Georgia" w:hAnsi="Georgia"/>
      <w:color w:val="172934"/>
      <w:sz w:val="28"/>
      <w:szCs w:val="28"/>
      <w:vertAlign w:val="subscript"/>
    </w:rPr>
  </w:style>
  <w:style w:type="paragraph" w:customStyle="1" w:styleId="Lugaryfecha">
    <w:name w:val="Lugar y fecha"/>
    <w:link w:val="LugaryfechaCar"/>
    <w:autoRedefine/>
    <w:qFormat/>
    <w:rsid w:val="00F578C7"/>
    <w:pPr>
      <w:ind w:left="709"/>
    </w:pPr>
    <w:rPr>
      <w:rFonts w:eastAsia="Times New Roman" w:cs="Times New Roman"/>
      <w:sz w:val="20"/>
      <w:szCs w:val="20"/>
      <w:lang w:eastAsia="es-MX"/>
    </w:rPr>
  </w:style>
  <w:style w:type="paragraph" w:customStyle="1" w:styleId="Ttulodocumento">
    <w:name w:val="Título documento"/>
    <w:basedOn w:val="Normal"/>
    <w:link w:val="TtulodocumentoCar"/>
    <w:qFormat/>
    <w:rsid w:val="005E6BE7"/>
    <w:pPr>
      <w:jc w:val="both"/>
    </w:pPr>
    <w:rPr>
      <w:rFonts w:asciiTheme="majorHAnsi" w:eastAsia="Times New Roman" w:hAnsiTheme="majorHAnsi" w:cs="Arial"/>
      <w:b/>
      <w:w w:val="80"/>
      <w:sz w:val="28"/>
      <w:lang w:val="es-ES" w:eastAsia="es-MX"/>
    </w:rPr>
  </w:style>
  <w:style w:type="character" w:customStyle="1" w:styleId="LugaryfechaCar">
    <w:name w:val="Lugar y fecha Car"/>
    <w:basedOn w:val="Ttulo2Car"/>
    <w:link w:val="Lugaryfecha"/>
    <w:rsid w:val="00F578C7"/>
    <w:rPr>
      <w:rFonts w:ascii="Arial" w:eastAsia="Times New Roman" w:hAnsi="Arial" w:cs="Times New Roman"/>
      <w:b/>
      <w:sz w:val="20"/>
      <w:szCs w:val="20"/>
      <w:lang w:eastAsia="es-MX"/>
    </w:rPr>
  </w:style>
  <w:style w:type="paragraph" w:customStyle="1" w:styleId="IntroduccinComunicado">
    <w:name w:val="Introducción Comunicado"/>
    <w:basedOn w:val="Normal"/>
    <w:link w:val="IntroduccinComunicadoCar"/>
    <w:rsid w:val="00AA3881"/>
    <w:pPr>
      <w:keepLines/>
      <w:numPr>
        <w:numId w:val="1"/>
      </w:numPr>
      <w:tabs>
        <w:tab w:val="left" w:pos="0"/>
        <w:tab w:val="left" w:pos="284"/>
        <w:tab w:val="left" w:pos="426"/>
        <w:tab w:val="left" w:pos="567"/>
      </w:tabs>
      <w:spacing w:after="120"/>
      <w:jc w:val="both"/>
    </w:pPr>
    <w:rPr>
      <w:rFonts w:ascii="Arial" w:hAnsi="Arial" w:cs="Arial"/>
      <w:i/>
      <w:sz w:val="22"/>
      <w:szCs w:val="22"/>
      <w:lang w:val="es-MX"/>
    </w:rPr>
  </w:style>
  <w:style w:type="character" w:customStyle="1" w:styleId="TtulodocumentoCar">
    <w:name w:val="Título documento Car"/>
    <w:basedOn w:val="Fuentedeprrafopredeter"/>
    <w:link w:val="Ttulodocumento"/>
    <w:rsid w:val="005E6BE7"/>
    <w:rPr>
      <w:rFonts w:asciiTheme="majorHAnsi" w:eastAsia="Times New Roman" w:hAnsiTheme="majorHAnsi" w:cs="Arial"/>
      <w:b/>
      <w:w w:val="80"/>
      <w:sz w:val="28"/>
      <w:szCs w:val="24"/>
      <w:lang w:eastAsia="es-MX"/>
    </w:rPr>
  </w:style>
  <w:style w:type="paragraph" w:customStyle="1" w:styleId="TextoPrimerprrafo">
    <w:name w:val="Texto Primer párrafo"/>
    <w:basedOn w:val="Normal"/>
    <w:link w:val="TextoPrimerprrafoCar"/>
    <w:rsid w:val="00AA3881"/>
    <w:pPr>
      <w:ind w:firstLine="708"/>
      <w:jc w:val="both"/>
    </w:pPr>
    <w:rPr>
      <w:rFonts w:ascii="Arial" w:hAnsi="Arial" w:cs="Arial"/>
      <w:lang w:val="es-MX"/>
    </w:rPr>
  </w:style>
  <w:style w:type="character" w:customStyle="1" w:styleId="IntroduccinComunicadoCar">
    <w:name w:val="Introducción Comunicado Car"/>
    <w:basedOn w:val="Fuentedeprrafopredeter"/>
    <w:link w:val="IntroduccinComunicado"/>
    <w:rsid w:val="00AA3881"/>
    <w:rPr>
      <w:rFonts w:ascii="Arial" w:eastAsia="MS Mincho" w:hAnsi="Arial" w:cs="Arial"/>
      <w:i/>
      <w:lang w:val="es-MX" w:eastAsia="ja-JP"/>
    </w:rPr>
  </w:style>
  <w:style w:type="paragraph" w:customStyle="1" w:styleId="Textonormal">
    <w:name w:val="Texto normal"/>
    <w:basedOn w:val="Normal"/>
    <w:link w:val="TextonormalCar"/>
    <w:qFormat/>
    <w:rsid w:val="00AA3881"/>
    <w:pPr>
      <w:jc w:val="both"/>
    </w:pPr>
    <w:rPr>
      <w:rFonts w:ascii="Arial" w:hAnsi="Arial" w:cs="Arial"/>
      <w:lang w:val="es-MX"/>
    </w:rPr>
  </w:style>
  <w:style w:type="character" w:customStyle="1" w:styleId="TextoPrimerprrafoCar">
    <w:name w:val="Texto Primer párrafo Car"/>
    <w:basedOn w:val="Fuentedeprrafopredeter"/>
    <w:link w:val="TextoPrimerprrafo"/>
    <w:rsid w:val="00AA3881"/>
    <w:rPr>
      <w:rFonts w:ascii="Arial" w:eastAsia="MS Mincho" w:hAnsi="Arial" w:cs="Arial"/>
      <w:sz w:val="24"/>
      <w:szCs w:val="24"/>
      <w:lang w:val="es-MX" w:eastAsia="ja-JP"/>
    </w:rPr>
  </w:style>
  <w:style w:type="paragraph" w:customStyle="1" w:styleId="Ttulodeldocumento">
    <w:name w:val="Título del documento"/>
    <w:basedOn w:val="Normal"/>
    <w:rsid w:val="00B5490A"/>
    <w:pPr>
      <w:spacing w:line="160" w:lineRule="exact"/>
      <w:jc w:val="right"/>
    </w:pPr>
    <w:rPr>
      <w:rFonts w:ascii="Georgia" w:hAnsi="Georgia"/>
      <w:color w:val="BFB6AD"/>
      <w:sz w:val="20"/>
      <w:szCs w:val="20"/>
    </w:rPr>
  </w:style>
  <w:style w:type="character" w:customStyle="1" w:styleId="TextonormalCar">
    <w:name w:val="Texto normal Car"/>
    <w:basedOn w:val="Fuentedeprrafopredeter"/>
    <w:link w:val="Textonormal"/>
    <w:rsid w:val="00AA3881"/>
    <w:rPr>
      <w:rFonts w:ascii="Arial" w:eastAsia="MS Mincho" w:hAnsi="Arial" w:cs="Arial"/>
      <w:sz w:val="24"/>
      <w:szCs w:val="24"/>
      <w:lang w:val="es-MX" w:eastAsia="ja-JP"/>
    </w:rPr>
  </w:style>
  <w:style w:type="paragraph" w:customStyle="1" w:styleId="NOMBREDELAREAEMISORA">
    <w:name w:val="NOMBRE DEL AREA EMISORA"/>
    <w:basedOn w:val="Direccinemisora"/>
    <w:link w:val="NOMBREDELAREAEMISORACar"/>
    <w:rsid w:val="00512258"/>
    <w:pPr>
      <w:spacing w:line="240" w:lineRule="exact"/>
    </w:pPr>
    <w:rPr>
      <w:color w:val="auto"/>
      <w:sz w:val="20"/>
      <w:lang w:val="es-MX"/>
    </w:rPr>
  </w:style>
  <w:style w:type="character" w:customStyle="1" w:styleId="DenominacindeldocumentoCar">
    <w:name w:val="Denominación del documento Car"/>
    <w:basedOn w:val="Fuentedeprrafopredeter"/>
    <w:link w:val="Denominacindeldocumento"/>
    <w:rsid w:val="00512258"/>
    <w:rPr>
      <w:rFonts w:ascii="Georgia" w:eastAsia="MS Mincho" w:hAnsi="Georgia" w:cs="Times New Roman"/>
      <w:color w:val="BFB6AD"/>
      <w:sz w:val="20"/>
      <w:szCs w:val="20"/>
      <w:lang w:val="en-US" w:eastAsia="ja-JP"/>
    </w:rPr>
  </w:style>
  <w:style w:type="character" w:customStyle="1" w:styleId="DireccinemisoraCar">
    <w:name w:val="Dirección emisora Car"/>
    <w:basedOn w:val="DenominacindeldocumentoCar"/>
    <w:link w:val="Direccinemisora"/>
    <w:rsid w:val="00512258"/>
    <w:rPr>
      <w:rFonts w:ascii="Georgia" w:eastAsia="MS Mincho" w:hAnsi="Georgia" w:cs="Times New Roman"/>
      <w:color w:val="BFB6AD"/>
      <w:sz w:val="16"/>
      <w:szCs w:val="16"/>
      <w:lang w:val="en-US" w:eastAsia="ja-JP"/>
    </w:rPr>
  </w:style>
  <w:style w:type="character" w:customStyle="1" w:styleId="NOMBREDELAREAEMISORACar">
    <w:name w:val="NOMBRE DEL AREA EMISORA Car"/>
    <w:basedOn w:val="DireccinemisoraCar"/>
    <w:link w:val="NOMBREDELAREAEMISORA"/>
    <w:rsid w:val="00512258"/>
    <w:rPr>
      <w:rFonts w:ascii="Georgia" w:eastAsia="MS Mincho" w:hAnsi="Georgia" w:cs="Times New Roman"/>
      <w:color w:val="BFB6AD"/>
      <w:sz w:val="20"/>
      <w:szCs w:val="16"/>
      <w:lang w:val="es-MX" w:eastAsia="ja-JP"/>
    </w:rPr>
  </w:style>
  <w:style w:type="paragraph" w:customStyle="1" w:styleId="AREAEMISORA">
    <w:name w:val="AREA EMISORA"/>
    <w:basedOn w:val="NOMBREDELAREAEMISORA"/>
    <w:link w:val="AREAEMISORACar"/>
    <w:qFormat/>
    <w:rsid w:val="005B709B"/>
  </w:style>
  <w:style w:type="character" w:customStyle="1" w:styleId="AREAEMISORACar">
    <w:name w:val="AREA EMISORA Car"/>
    <w:basedOn w:val="NOMBREDELAREAEMISORACar"/>
    <w:link w:val="AREAEMISORA"/>
    <w:rsid w:val="005B709B"/>
    <w:rPr>
      <w:rFonts w:ascii="Georgia" w:eastAsia="MS Mincho" w:hAnsi="Georgia" w:cs="Times New Roman"/>
      <w:color w:val="BFB6AD"/>
      <w:sz w:val="20"/>
      <w:szCs w:val="16"/>
      <w:lang w:val="es-MX" w:eastAsia="ja-JP"/>
    </w:rPr>
  </w:style>
  <w:style w:type="paragraph" w:customStyle="1" w:styleId="reaemisora">
    <w:name w:val="Área emisora"/>
    <w:basedOn w:val="Normal"/>
    <w:link w:val="reaemisoraCar"/>
    <w:rsid w:val="007039C5"/>
    <w:pPr>
      <w:spacing w:line="180" w:lineRule="exact"/>
      <w:jc w:val="right"/>
    </w:pPr>
    <w:rPr>
      <w:rFonts w:ascii="Arial" w:hAnsi="Arial" w:cs="Arial"/>
      <w:b/>
      <w:sz w:val="16"/>
      <w:szCs w:val="16"/>
      <w:lang w:val="es-MX"/>
    </w:rPr>
  </w:style>
  <w:style w:type="paragraph" w:customStyle="1" w:styleId="AREAQUEEMITE">
    <w:name w:val="AREA QUE EMITE"/>
    <w:basedOn w:val="reaemisora"/>
    <w:link w:val="AREAQUEEMITECar"/>
    <w:rsid w:val="001C21C1"/>
    <w:pPr>
      <w:spacing w:line="240" w:lineRule="exact"/>
    </w:pPr>
    <w:rPr>
      <w:rFonts w:ascii="Georgia" w:hAnsi="Georgia"/>
      <w:b w:val="0"/>
      <w:sz w:val="20"/>
      <w:szCs w:val="20"/>
    </w:rPr>
  </w:style>
  <w:style w:type="character" w:customStyle="1" w:styleId="reaemisoraCar">
    <w:name w:val="Área emisora Car"/>
    <w:basedOn w:val="Fuentedeprrafopredeter"/>
    <w:link w:val="reaemisora"/>
    <w:rsid w:val="001C21C1"/>
    <w:rPr>
      <w:rFonts w:ascii="Arial" w:eastAsia="MS Mincho" w:hAnsi="Arial" w:cs="Arial"/>
      <w:b/>
      <w:sz w:val="16"/>
      <w:szCs w:val="16"/>
      <w:lang w:val="es-MX" w:eastAsia="ja-JP"/>
    </w:rPr>
  </w:style>
  <w:style w:type="character" w:customStyle="1" w:styleId="AREAQUEEMITECar">
    <w:name w:val="AREA QUE EMITE Car"/>
    <w:basedOn w:val="reaemisoraCar"/>
    <w:link w:val="AREAQUEEMITE"/>
    <w:rsid w:val="001C21C1"/>
    <w:rPr>
      <w:rFonts w:ascii="Arial" w:eastAsia="MS Mincho" w:hAnsi="Arial" w:cs="Arial"/>
      <w:b/>
      <w:sz w:val="16"/>
      <w:szCs w:val="16"/>
      <w:lang w:val="es-MX" w:eastAsia="ja-JP"/>
    </w:rPr>
  </w:style>
  <w:style w:type="paragraph" w:styleId="Textonotapie">
    <w:name w:val="footnote text"/>
    <w:basedOn w:val="Normal"/>
    <w:link w:val="TextonotapieCar"/>
    <w:rsid w:val="00875D0D"/>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875D0D"/>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875D0D"/>
    <w:rPr>
      <w:vertAlign w:val="superscript"/>
    </w:rPr>
  </w:style>
  <w:style w:type="paragraph" w:styleId="Prrafodelista">
    <w:name w:val="List Paragraph"/>
    <w:basedOn w:val="Normal"/>
    <w:uiPriority w:val="34"/>
    <w:qFormat/>
    <w:rsid w:val="008068C9"/>
    <w:pPr>
      <w:ind w:left="720"/>
      <w:contextualSpacing/>
    </w:pPr>
    <w:rPr>
      <w:rFonts w:ascii="Times New Roman" w:eastAsia="Times New Roman" w:hAnsi="Times New Roman"/>
      <w:lang w:val="es-MX" w:eastAsia="es-MX"/>
    </w:rPr>
  </w:style>
  <w:style w:type="paragraph" w:styleId="Textonotaalfinal">
    <w:name w:val="endnote text"/>
    <w:basedOn w:val="Normal"/>
    <w:link w:val="TextonotaalfinalCar"/>
    <w:semiHidden/>
    <w:unhideWhenUsed/>
    <w:rsid w:val="00BF40D9"/>
    <w:rPr>
      <w:sz w:val="20"/>
      <w:szCs w:val="20"/>
    </w:rPr>
  </w:style>
  <w:style w:type="character" w:customStyle="1" w:styleId="TextonotaalfinalCar">
    <w:name w:val="Texto nota al final Car"/>
    <w:basedOn w:val="Fuentedeprrafopredeter"/>
    <w:link w:val="Textonotaalfinal"/>
    <w:semiHidden/>
    <w:rsid w:val="00BF40D9"/>
    <w:rPr>
      <w:rFonts w:ascii="Cambria" w:eastAsia="MS Mincho" w:hAnsi="Cambria" w:cs="Times New Roman"/>
      <w:sz w:val="20"/>
      <w:szCs w:val="20"/>
      <w:lang w:val="en-US" w:eastAsia="ja-JP"/>
    </w:rPr>
  </w:style>
  <w:style w:type="character" w:styleId="Refdenotaalfinal">
    <w:name w:val="endnote reference"/>
    <w:basedOn w:val="Fuentedeprrafopredeter"/>
    <w:semiHidden/>
    <w:unhideWhenUsed/>
    <w:rsid w:val="00BF40D9"/>
    <w:rPr>
      <w:vertAlign w:val="superscript"/>
    </w:rPr>
  </w:style>
  <w:style w:type="character" w:styleId="Refdecomentario">
    <w:name w:val="annotation reference"/>
    <w:basedOn w:val="Fuentedeprrafopredeter"/>
    <w:semiHidden/>
    <w:unhideWhenUsed/>
    <w:rsid w:val="009D6049"/>
    <w:rPr>
      <w:sz w:val="16"/>
      <w:szCs w:val="16"/>
    </w:rPr>
  </w:style>
  <w:style w:type="paragraph" w:styleId="Textocomentario">
    <w:name w:val="annotation text"/>
    <w:basedOn w:val="Normal"/>
    <w:link w:val="TextocomentarioCar"/>
    <w:semiHidden/>
    <w:unhideWhenUsed/>
    <w:rsid w:val="009D6049"/>
    <w:rPr>
      <w:sz w:val="20"/>
      <w:szCs w:val="20"/>
    </w:rPr>
  </w:style>
  <w:style w:type="character" w:customStyle="1" w:styleId="TextocomentarioCar">
    <w:name w:val="Texto comentario Car"/>
    <w:basedOn w:val="Fuentedeprrafopredeter"/>
    <w:link w:val="Textocomentario"/>
    <w:semiHidden/>
    <w:rsid w:val="009D6049"/>
    <w:rPr>
      <w:rFonts w:ascii="Cambria" w:eastAsia="MS Mincho" w:hAnsi="Cambria" w:cs="Times New Roman"/>
      <w:sz w:val="20"/>
      <w:szCs w:val="20"/>
      <w:lang w:val="en-US" w:eastAsia="ja-JP"/>
    </w:rPr>
  </w:style>
  <w:style w:type="paragraph" w:styleId="Asuntodelcomentario">
    <w:name w:val="annotation subject"/>
    <w:basedOn w:val="Textocomentario"/>
    <w:next w:val="Textocomentario"/>
    <w:link w:val="AsuntodelcomentarioCar"/>
    <w:semiHidden/>
    <w:unhideWhenUsed/>
    <w:rsid w:val="009D6049"/>
    <w:rPr>
      <w:b/>
      <w:bCs/>
    </w:rPr>
  </w:style>
  <w:style w:type="character" w:customStyle="1" w:styleId="AsuntodelcomentarioCar">
    <w:name w:val="Asunto del comentario Car"/>
    <w:basedOn w:val="TextocomentarioCar"/>
    <w:link w:val="Asuntodelcomentario"/>
    <w:semiHidden/>
    <w:rsid w:val="009D6049"/>
    <w:rPr>
      <w:rFonts w:ascii="Cambria" w:eastAsia="MS Mincho" w:hAnsi="Cambria"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1575">
      <w:bodyDiv w:val="1"/>
      <w:marLeft w:val="0"/>
      <w:marRight w:val="0"/>
      <w:marTop w:val="0"/>
      <w:marBottom w:val="0"/>
      <w:divBdr>
        <w:top w:val="none" w:sz="0" w:space="0" w:color="auto"/>
        <w:left w:val="none" w:sz="0" w:space="0" w:color="auto"/>
        <w:bottom w:val="none" w:sz="0" w:space="0" w:color="auto"/>
        <w:right w:val="none" w:sz="0" w:space="0" w:color="auto"/>
      </w:divBdr>
    </w:div>
    <w:div w:id="1168793337">
      <w:bodyDiv w:val="1"/>
      <w:marLeft w:val="0"/>
      <w:marRight w:val="0"/>
      <w:marTop w:val="0"/>
      <w:marBottom w:val="0"/>
      <w:divBdr>
        <w:top w:val="none" w:sz="0" w:space="0" w:color="auto"/>
        <w:left w:val="none" w:sz="0" w:space="0" w:color="auto"/>
        <w:bottom w:val="none" w:sz="0" w:space="0" w:color="auto"/>
        <w:right w:val="none" w:sz="0" w:space="0" w:color="auto"/>
      </w:divBdr>
    </w:div>
    <w:div w:id="1598175899">
      <w:bodyDiv w:val="1"/>
      <w:marLeft w:val="0"/>
      <w:marRight w:val="0"/>
      <w:marTop w:val="0"/>
      <w:marBottom w:val="0"/>
      <w:divBdr>
        <w:top w:val="none" w:sz="0" w:space="0" w:color="auto"/>
        <w:left w:val="none" w:sz="0" w:space="0" w:color="auto"/>
        <w:bottom w:val="none" w:sz="0" w:space="0" w:color="auto"/>
        <w:right w:val="none" w:sz="0" w:space="0" w:color="auto"/>
      </w:divBdr>
    </w:div>
    <w:div w:id="16960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TERCER%20TRIMESTRE\Copia%20de%20Tercer%20Trimestre%202017.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alvaradoa\Documents\ESTADISTICAS\INDICADORES%20GESTION\TRIMESTRAL\TERCER%20TRIMESTRE\Copia%20de%20Tercer%20Trimestre%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TERCER%20TRIMESTRE\Copia%20de%20Tercer%20Trimestre%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TERCER%20TRIMESTRE\Copia%20de%20Tercer%20Trimestre%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TERCER%20TRIMESTRE\Copia%20de%20Tercer%20Trimestre%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TERCER%20TRIMESTRE\Copia%20de%20Tercer%20Trimestre%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alvaradoa\Documents\ESTADISTICAS\INDICADORES%20GESTION\TRIMESTRAL\TERCER%20TRIMESTRE\Copia%20de%20Tercer%20Trimestre%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1402165743395665"/>
          <c:y val="0.12968964900892765"/>
          <c:w val="0.80071970202492038"/>
          <c:h val="0.70587267989350799"/>
        </c:manualLayout>
      </c:layout>
      <c:barChart>
        <c:barDir val="col"/>
        <c:grouping val="clustered"/>
        <c:varyColors val="0"/>
        <c:ser>
          <c:idx val="0"/>
          <c:order val="0"/>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2.4787006042194712E-17"/>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1122047801539272E-3"/>
                  <c:y val="0"/>
                </c:manualLayout>
              </c:layout>
              <c:spPr/>
              <c:txPr>
                <a:bodyPr/>
                <a:lstStyle/>
                <a:p>
                  <a:pPr>
                    <a:defRPr sz="800" b="1">
                      <a:latin typeface="Georgia" pitchFamily="18"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800">
                    <a:latin typeface="Georgia" pitchFamily="18"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2016'!$A$5:$A$6</c:f>
              <c:strCache>
                <c:ptCount val="2"/>
                <c:pt idx="0">
                  <c:v>Procedimientos Sumarios</c:v>
                </c:pt>
                <c:pt idx="1">
                  <c:v>Procedimientos Ordinarios</c:v>
                </c:pt>
              </c:strCache>
            </c:strRef>
          </c:cat>
          <c:val>
            <c:numRef>
              <c:f>'Tercer Trim 2016'!$C$5:$C$6</c:f>
              <c:numCache>
                <c:formatCode>0.00%</c:formatCode>
                <c:ptCount val="2"/>
                <c:pt idx="0">
                  <c:v>0.94069192751235586</c:v>
                </c:pt>
                <c:pt idx="1">
                  <c:v>5.9308072487644151E-2</c:v>
                </c:pt>
              </c:numCache>
            </c:numRef>
          </c:val>
        </c:ser>
        <c:dLbls>
          <c:showLegendKey val="0"/>
          <c:showVal val="0"/>
          <c:showCatName val="1"/>
          <c:showSerName val="0"/>
          <c:showPercent val="0"/>
          <c:showBubbleSize val="0"/>
        </c:dLbls>
        <c:gapWidth val="76"/>
        <c:axId val="167774080"/>
        <c:axId val="167775616"/>
      </c:barChart>
      <c:catAx>
        <c:axId val="167774080"/>
        <c:scaling>
          <c:orientation val="minMax"/>
        </c:scaling>
        <c:delete val="1"/>
        <c:axPos val="b"/>
        <c:numFmt formatCode="General" sourceLinked="0"/>
        <c:majorTickMark val="out"/>
        <c:minorTickMark val="none"/>
        <c:tickLblPos val="none"/>
        <c:crossAx val="167775616"/>
        <c:crosses val="autoZero"/>
        <c:auto val="1"/>
        <c:lblAlgn val="ctr"/>
        <c:lblOffset val="100"/>
        <c:noMultiLvlLbl val="0"/>
      </c:catAx>
      <c:valAx>
        <c:axId val="167775616"/>
        <c:scaling>
          <c:orientation val="minMax"/>
          <c:max val="1"/>
        </c:scaling>
        <c:delete val="0"/>
        <c:axPos val="l"/>
        <c:numFmt formatCode="0%" sourceLinked="0"/>
        <c:majorTickMark val="out"/>
        <c:minorTickMark val="none"/>
        <c:tickLblPos val="nextTo"/>
        <c:txPr>
          <a:bodyPr rot="0" vert="horz"/>
          <a:lstStyle/>
          <a:p>
            <a:pPr>
              <a:defRPr sz="900">
                <a:latin typeface="Arial" pitchFamily="34" charset="0"/>
                <a:cs typeface="Arial" pitchFamily="34" charset="0"/>
              </a:defRPr>
            </a:pPr>
            <a:endParaRPr lang="es-MX"/>
          </a:p>
        </c:txPr>
        <c:crossAx val="167774080"/>
        <c:crosses val="autoZero"/>
        <c:crossBetween val="between"/>
        <c:majorUnit val="0.1"/>
      </c:valAx>
      <c:spPr>
        <a:noFill/>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manualLayout>
          <c:layoutTarget val="inner"/>
          <c:xMode val="edge"/>
          <c:yMode val="edge"/>
          <c:x val="0.25053638281189611"/>
          <c:y val="8.5764230625620275E-2"/>
          <c:w val="0.72391676145671136"/>
          <c:h val="0.8088135486181306"/>
        </c:manualLayout>
      </c:layout>
      <c:barChart>
        <c:barDir val="bar"/>
        <c:grouping val="clustered"/>
        <c:varyColors val="0"/>
        <c:ser>
          <c:idx val="0"/>
          <c:order val="0"/>
          <c:tx>
            <c:strRef>
              <c:f>'Tercer Trim 2016'!$B$12</c:f>
              <c:strCache>
                <c:ptCount val="1"/>
                <c:pt idx="0">
                  <c:v>Tramitados</c:v>
                </c:pt>
              </c:strCache>
            </c:strRef>
          </c:tx>
          <c:spPr>
            <a:solidFill>
              <a:srgbClr val="73AFB6"/>
            </a:solidFill>
            <a:ln>
              <a:noFill/>
            </a:ln>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2016'!$A$13:$A$59</c:f>
              <c:strCache>
                <c:ptCount val="47"/>
                <c:pt idx="0">
                  <c:v>Lerma, Edo. de Mex.</c:v>
                </c:pt>
                <c:pt idx="1">
                  <c:v>Chetumal, Q.Roo</c:v>
                </c:pt>
                <c:pt idx="2">
                  <c:v>Mexicali, B.C</c:v>
                </c:pt>
                <c:pt idx="3">
                  <c:v>Saltillo, Coah.</c:v>
                </c:pt>
                <c:pt idx="4">
                  <c:v>Matamoros, Tamps.</c:v>
                </c:pt>
                <c:pt idx="5">
                  <c:v>Veracruz, Ver.</c:v>
                </c:pt>
                <c:pt idx="6">
                  <c:v>Villahermosa, Tab.</c:v>
                </c:pt>
                <c:pt idx="7">
                  <c:v>Tuxtla Gutiérrez, Chis.</c:v>
                </c:pt>
                <c:pt idx="8">
                  <c:v>Guanajuato, Gto.</c:v>
                </c:pt>
                <c:pt idx="9">
                  <c:v>Mérida, Yuc.</c:v>
                </c:pt>
                <c:pt idx="10">
                  <c:v>Ciudad Obregón, Son.</c:v>
                </c:pt>
                <c:pt idx="11">
                  <c:v>Uruapan, Mich.</c:v>
                </c:pt>
                <c:pt idx="12">
                  <c:v>Hermosillo, Son.</c:v>
                </c:pt>
                <c:pt idx="13">
                  <c:v>Mazatlán, Sin.</c:v>
                </c:pt>
                <c:pt idx="14">
                  <c:v>Culiacán, Sin.</c:v>
                </c:pt>
                <c:pt idx="15">
                  <c:v>Tapachula, Chis.</c:v>
                </c:pt>
                <c:pt idx="16">
                  <c:v>Chihuahua, Chih.</c:v>
                </c:pt>
                <c:pt idx="17">
                  <c:v>Acapulco, Gro. </c:v>
                </c:pt>
                <c:pt idx="18">
                  <c:v>Ensenada, B.C.</c:v>
                </c:pt>
                <c:pt idx="19">
                  <c:v>Ciudad Juárez, Chih.</c:v>
                </c:pt>
                <c:pt idx="20">
                  <c:v>Celaya, Gto.</c:v>
                </c:pt>
                <c:pt idx="21">
                  <c:v>Xalapa, Ver.</c:v>
                </c:pt>
                <c:pt idx="22">
                  <c:v>La Paz, B.C.S.</c:v>
                </c:pt>
                <c:pt idx="23">
                  <c:v>Tepic, Nay. </c:v>
                </c:pt>
                <c:pt idx="24">
                  <c:v>Torreón, Coah.</c:v>
                </c:pt>
                <c:pt idx="25">
                  <c:v>Pachuca, Hgo. </c:v>
                </c:pt>
                <c:pt idx="26">
                  <c:v>León, Gto.</c:v>
                </c:pt>
                <c:pt idx="27">
                  <c:v>Aguascalientes, Ags</c:v>
                </c:pt>
                <c:pt idx="28">
                  <c:v>Tijuana, B.C.</c:v>
                </c:pt>
                <c:pt idx="29">
                  <c:v>Durango, Dgo.</c:v>
                </c:pt>
                <c:pt idx="30">
                  <c:v>Puebla, Pue.</c:v>
                </c:pt>
                <c:pt idx="31">
                  <c:v>Nuevo Laredo, Tamps.</c:v>
                </c:pt>
                <c:pt idx="32">
                  <c:v>Colima, Col.</c:v>
                </c:pt>
                <c:pt idx="33">
                  <c:v>Guadalajara, Jal.</c:v>
                </c:pt>
                <c:pt idx="34">
                  <c:v>San Luis Potosí, S.L.P.</c:v>
                </c:pt>
                <c:pt idx="35">
                  <c:v>Cuernavaca, Mor.</c:v>
                </c:pt>
                <c:pt idx="36">
                  <c:v>Campeche, Camp.</c:v>
                </c:pt>
                <c:pt idx="37">
                  <c:v>Oaxaca, Oax</c:v>
                </c:pt>
                <c:pt idx="38">
                  <c:v>Monterrey, N.L.</c:v>
                </c:pt>
                <c:pt idx="39">
                  <c:v>Cancún, Q. Roo</c:v>
                </c:pt>
                <c:pt idx="40">
                  <c:v>Ciudad Victoria, Tamps.</c:v>
                </c:pt>
                <c:pt idx="41">
                  <c:v>Querétaro, Qro.</c:v>
                </c:pt>
                <c:pt idx="42">
                  <c:v>Morelia, Mich.</c:v>
                </c:pt>
                <c:pt idx="43">
                  <c:v>Toluca, Edo. de Mex.</c:v>
                </c:pt>
                <c:pt idx="44">
                  <c:v>Tlaxcala, Tlax.</c:v>
                </c:pt>
                <c:pt idx="45">
                  <c:v>Zacatecas, Zac.</c:v>
                </c:pt>
                <c:pt idx="46">
                  <c:v>Ciudad de México</c:v>
                </c:pt>
              </c:strCache>
            </c:strRef>
          </c:cat>
          <c:val>
            <c:numRef>
              <c:f>'Tercer Trim 2016'!$B$13:$B$59</c:f>
              <c:numCache>
                <c:formatCode>#,##0</c:formatCode>
                <c:ptCount val="47"/>
                <c:pt idx="0">
                  <c:v>0</c:v>
                </c:pt>
                <c:pt idx="1">
                  <c:v>0</c:v>
                </c:pt>
                <c:pt idx="2">
                  <c:v>0</c:v>
                </c:pt>
                <c:pt idx="3">
                  <c:v>0</c:v>
                </c:pt>
                <c:pt idx="4">
                  <c:v>16</c:v>
                </c:pt>
                <c:pt idx="5">
                  <c:v>18</c:v>
                </c:pt>
                <c:pt idx="6">
                  <c:v>45</c:v>
                </c:pt>
                <c:pt idx="7">
                  <c:v>48</c:v>
                </c:pt>
                <c:pt idx="8">
                  <c:v>50</c:v>
                </c:pt>
                <c:pt idx="9">
                  <c:v>52</c:v>
                </c:pt>
                <c:pt idx="10">
                  <c:v>52</c:v>
                </c:pt>
                <c:pt idx="11">
                  <c:v>54</c:v>
                </c:pt>
                <c:pt idx="12">
                  <c:v>66</c:v>
                </c:pt>
                <c:pt idx="13">
                  <c:v>66</c:v>
                </c:pt>
                <c:pt idx="14">
                  <c:v>69</c:v>
                </c:pt>
                <c:pt idx="15">
                  <c:v>72</c:v>
                </c:pt>
                <c:pt idx="16">
                  <c:v>79</c:v>
                </c:pt>
                <c:pt idx="17">
                  <c:v>88</c:v>
                </c:pt>
                <c:pt idx="18">
                  <c:v>89</c:v>
                </c:pt>
                <c:pt idx="19">
                  <c:v>90</c:v>
                </c:pt>
                <c:pt idx="20">
                  <c:v>96</c:v>
                </c:pt>
                <c:pt idx="21">
                  <c:v>97</c:v>
                </c:pt>
                <c:pt idx="22">
                  <c:v>98</c:v>
                </c:pt>
                <c:pt idx="23">
                  <c:v>99</c:v>
                </c:pt>
                <c:pt idx="24">
                  <c:v>101</c:v>
                </c:pt>
                <c:pt idx="25">
                  <c:v>102</c:v>
                </c:pt>
                <c:pt idx="26">
                  <c:v>110</c:v>
                </c:pt>
                <c:pt idx="27">
                  <c:v>120</c:v>
                </c:pt>
                <c:pt idx="28">
                  <c:v>130</c:v>
                </c:pt>
                <c:pt idx="29">
                  <c:v>134</c:v>
                </c:pt>
                <c:pt idx="30">
                  <c:v>137</c:v>
                </c:pt>
                <c:pt idx="31">
                  <c:v>147</c:v>
                </c:pt>
                <c:pt idx="32">
                  <c:v>153</c:v>
                </c:pt>
                <c:pt idx="33">
                  <c:v>155</c:v>
                </c:pt>
                <c:pt idx="34">
                  <c:v>189</c:v>
                </c:pt>
                <c:pt idx="35">
                  <c:v>193</c:v>
                </c:pt>
                <c:pt idx="36">
                  <c:v>194</c:v>
                </c:pt>
                <c:pt idx="37">
                  <c:v>194</c:v>
                </c:pt>
                <c:pt idx="38">
                  <c:v>208</c:v>
                </c:pt>
                <c:pt idx="39">
                  <c:v>218</c:v>
                </c:pt>
                <c:pt idx="40">
                  <c:v>254</c:v>
                </c:pt>
                <c:pt idx="41">
                  <c:v>273</c:v>
                </c:pt>
                <c:pt idx="42">
                  <c:v>279</c:v>
                </c:pt>
                <c:pt idx="43">
                  <c:v>396</c:v>
                </c:pt>
                <c:pt idx="44">
                  <c:v>428</c:v>
                </c:pt>
                <c:pt idx="45">
                  <c:v>649</c:v>
                </c:pt>
                <c:pt idx="46">
                  <c:v>1421</c:v>
                </c:pt>
              </c:numCache>
            </c:numRef>
          </c:val>
        </c:ser>
        <c:dLbls>
          <c:showLegendKey val="0"/>
          <c:showVal val="1"/>
          <c:showCatName val="0"/>
          <c:showSerName val="0"/>
          <c:showPercent val="0"/>
          <c:showBubbleSize val="0"/>
        </c:dLbls>
        <c:gapWidth val="150"/>
        <c:axId val="167802752"/>
        <c:axId val="168117376"/>
      </c:barChart>
      <c:catAx>
        <c:axId val="167802752"/>
        <c:scaling>
          <c:orientation val="minMax"/>
        </c:scaling>
        <c:delete val="0"/>
        <c:axPos val="l"/>
        <c:numFmt formatCode="General" sourceLinked="1"/>
        <c:majorTickMark val="out"/>
        <c:minorTickMark val="none"/>
        <c:tickLblPos val="nextTo"/>
        <c:txPr>
          <a:bodyPr rot="0" vert="horz"/>
          <a:lstStyle/>
          <a:p>
            <a:pPr>
              <a:defRPr sz="800" b="1"/>
            </a:pPr>
            <a:endParaRPr lang="es-MX"/>
          </a:p>
        </c:txPr>
        <c:crossAx val="168117376"/>
        <c:crosses val="autoZero"/>
        <c:auto val="0"/>
        <c:lblAlgn val="ctr"/>
        <c:lblOffset val="100"/>
        <c:tickLblSkip val="1"/>
        <c:tickMarkSkip val="1"/>
        <c:noMultiLvlLbl val="0"/>
      </c:catAx>
      <c:valAx>
        <c:axId val="168117376"/>
        <c:scaling>
          <c:orientation val="minMax"/>
          <c:max val="5000"/>
        </c:scaling>
        <c:delete val="0"/>
        <c:axPos val="b"/>
        <c:majorGridlines>
          <c:spPr>
            <a:ln>
              <a:solidFill>
                <a:schemeClr val="bg1">
                  <a:lumMod val="75000"/>
                </a:schemeClr>
              </a:solidFill>
            </a:ln>
          </c:spPr>
        </c:majorGridlines>
        <c:numFmt formatCode="#,##0" sourceLinked="1"/>
        <c:majorTickMark val="out"/>
        <c:minorTickMark val="none"/>
        <c:tickLblPos val="high"/>
        <c:spPr>
          <a:ln>
            <a:solidFill>
              <a:schemeClr val="tx1"/>
            </a:solidFill>
          </a:ln>
        </c:spPr>
        <c:txPr>
          <a:bodyPr rot="5400000" vert="horz"/>
          <a:lstStyle/>
          <a:p>
            <a:pPr>
              <a:defRPr/>
            </a:pPr>
            <a:endParaRPr lang="es-MX"/>
          </a:p>
        </c:txPr>
        <c:crossAx val="167802752"/>
        <c:crosses val="autoZero"/>
        <c:crossBetween val="between"/>
        <c:majorUnit val="500"/>
      </c:valAx>
      <c:spPr>
        <a:noFill/>
        <a:ln>
          <a:solidFill>
            <a:schemeClr val="tx1">
              <a:lumMod val="50000"/>
              <a:lumOff val="50000"/>
            </a:schemeClr>
          </a:solidFill>
        </a:ln>
      </c:spPr>
    </c:plotArea>
    <c:plotVisOnly val="1"/>
    <c:dispBlanksAs val="gap"/>
    <c:showDLblsOverMax val="0"/>
  </c:chart>
  <c:spPr>
    <a:noFill/>
  </c:spPr>
  <c:txPr>
    <a:bodyPr/>
    <a:lstStyle/>
    <a:p>
      <a:pPr>
        <a:defRPr>
          <a:latin typeface="Georgia" pitchFamily="18" charset="0"/>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6196942510558474"/>
          <c:y val="4.5041955237437058E-2"/>
          <c:w val="0.56168998508992218"/>
          <c:h val="0.88949158506842352"/>
        </c:manualLayout>
      </c:layout>
      <c:pieChart>
        <c:varyColors val="1"/>
        <c:ser>
          <c:idx val="0"/>
          <c:order val="0"/>
          <c:spPr>
            <a:solidFill>
              <a:srgbClr val="38939B"/>
            </a:solidFill>
            <a:ln>
              <a:noFill/>
            </a:ln>
            <a:effectLst/>
            <a:scene3d>
              <a:camera prst="orthographicFront"/>
              <a:lightRig rig="threePt" dir="t">
                <a:rot lat="0" lon="0" rev="1200000"/>
              </a:lightRig>
            </a:scene3d>
            <a:sp3d/>
          </c:spPr>
          <c:explosion val="25"/>
          <c:dPt>
            <c:idx val="0"/>
            <c:bubble3D val="0"/>
            <c:spPr>
              <a:solidFill>
                <a:srgbClr val="73AFB6"/>
              </a:solidFill>
              <a:ln>
                <a:noFill/>
              </a:ln>
              <a:effectLst/>
              <a:scene3d>
                <a:camera prst="orthographicFront"/>
                <a:lightRig rig="threePt" dir="t">
                  <a:rot lat="0" lon="0" rev="1200000"/>
                </a:lightRig>
              </a:scene3d>
              <a:sp3d/>
            </c:spPr>
          </c:dPt>
          <c:dPt>
            <c:idx val="1"/>
            <c:bubble3D val="0"/>
            <c:explosion val="0"/>
            <c:spPr>
              <a:solidFill>
                <a:srgbClr val="D31245"/>
              </a:solidFill>
              <a:ln>
                <a:noFill/>
              </a:ln>
              <a:effectLst/>
              <a:scene3d>
                <a:camera prst="orthographicFront"/>
                <a:lightRig rig="threePt" dir="t">
                  <a:rot lat="0" lon="0" rev="1200000"/>
                </a:lightRig>
              </a:scene3d>
              <a:sp3d/>
            </c:spPr>
          </c:dPt>
          <c:dLbls>
            <c:dLbl>
              <c:idx val="0"/>
              <c:layout>
                <c:manualLayout>
                  <c:x val="0.17353977378443206"/>
                  <c:y val="-5.6082590148689625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5.7489247110090964E-2"/>
                  <c:y val="9.8199689541208987E-3"/>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'Tercer Trim 2016'!$A$69:$A$70</c:f>
              <c:strCache>
                <c:ptCount val="2"/>
                <c:pt idx="0">
                  <c:v>Solicitudes recibidas de manera presencial</c:v>
                </c:pt>
                <c:pt idx="1">
                  <c:v>Solicitudes recibidas por medios electrónicos</c:v>
                </c:pt>
              </c:strCache>
            </c:strRef>
          </c:cat>
          <c:val>
            <c:numRef>
              <c:f>'Tercer Trim 2016'!$C$69:$C$70</c:f>
              <c:numCache>
                <c:formatCode>0.00%</c:formatCode>
                <c:ptCount val="2"/>
                <c:pt idx="0">
                  <c:v>0.64056898346247249</c:v>
                </c:pt>
                <c:pt idx="1">
                  <c:v>0.35943101653752746</c:v>
                </c:pt>
              </c:numCache>
            </c:numRef>
          </c:val>
        </c:ser>
        <c:dLbls>
          <c:showLegendKey val="0"/>
          <c:showVal val="1"/>
          <c:showCatName val="1"/>
          <c:showSerName val="0"/>
          <c:showPercent val="0"/>
          <c:showBubbleSize val="0"/>
          <c:showLeaderLines val="0"/>
        </c:dLbls>
        <c:firstSliceAng val="0"/>
      </c:pieChart>
      <c:spPr>
        <a:noFill/>
        <a:ln w="25400">
          <a:noFill/>
        </a:ln>
      </c:spPr>
    </c:plotArea>
    <c:plotVisOnly val="1"/>
    <c:dispBlanksAs val="zero"/>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19"/>
    </mc:Choice>
    <mc:Fallback>
      <c:style val="19"/>
    </mc:Fallback>
  </mc:AlternateContent>
  <c:chart>
    <c:autoTitleDeleted val="0"/>
    <c:plotArea>
      <c:layout>
        <c:manualLayout>
          <c:layoutTarget val="inner"/>
          <c:xMode val="edge"/>
          <c:yMode val="edge"/>
          <c:x val="0.17390269530668689"/>
          <c:y val="0.18794326241134757"/>
          <c:w val="0.77057342787510941"/>
          <c:h val="0.61231808789858722"/>
        </c:manualLayout>
      </c:layout>
      <c:barChart>
        <c:barDir val="bar"/>
        <c:grouping val="clustered"/>
        <c:varyColors val="0"/>
        <c:ser>
          <c:idx val="1"/>
          <c:order val="0"/>
          <c:spPr>
            <a:solidFill>
              <a:srgbClr val="C00000"/>
            </a:solidFill>
            <a:effectLst>
              <a:outerShdw blurRad="50800" dist="38100" algn="l" rotWithShape="0">
                <a:prstClr val="black">
                  <a:alpha val="40000"/>
                </a:prstClr>
              </a:outerShdw>
            </a:effectLst>
          </c:spPr>
          <c:invertIfNegative val="0"/>
          <c:dPt>
            <c:idx val="0"/>
            <c:invertIfNegative val="0"/>
            <c:bubble3D val="0"/>
            <c:spPr>
              <a:solidFill>
                <a:srgbClr val="D31245"/>
              </a:solidFill>
              <a:ln>
                <a:noFill/>
              </a:ln>
              <a:effectLst/>
            </c:spPr>
          </c:dPt>
          <c:dPt>
            <c:idx val="1"/>
            <c:invertIfNegative val="0"/>
            <c:bubble3D val="0"/>
            <c:spPr>
              <a:solidFill>
                <a:srgbClr val="D59F0F"/>
              </a:solidFill>
              <a:ln>
                <a:noFill/>
              </a:ln>
              <a:effectLst/>
            </c:spPr>
          </c:dPt>
          <c:dPt>
            <c:idx val="2"/>
            <c:invertIfNegative val="0"/>
            <c:bubble3D val="0"/>
            <c:spPr>
              <a:solidFill>
                <a:srgbClr val="73AFB6"/>
              </a:solidFill>
              <a:ln>
                <a:noFill/>
              </a:ln>
              <a:effectLst/>
            </c:spPr>
          </c:dPt>
          <c:dLbls>
            <c:dLbl>
              <c:idx val="0"/>
              <c:spPr/>
              <c:txPr>
                <a:bodyPr/>
                <a:lstStyle/>
                <a:p>
                  <a:pPr>
                    <a:defRPr sz="900" b="1">
                      <a:solidFill>
                        <a:sysClr val="windowText" lastClr="000000"/>
                      </a:solidFill>
                      <a:latin typeface="+mj-lt"/>
                      <a:cs typeface="Arial" pitchFamily="34" charset="0"/>
                    </a:defRPr>
                  </a:pPr>
                  <a:endParaRPr lang="es-MX"/>
                </a:p>
              </c:txPr>
              <c:showLegendKey val="0"/>
              <c:showVal val="1"/>
              <c:showCatName val="0"/>
              <c:showSerName val="0"/>
              <c:showPercent val="0"/>
              <c:showBubbleSize val="0"/>
            </c:dLbl>
            <c:dLbl>
              <c:idx val="1"/>
              <c:layout>
                <c:manualLayout>
                  <c:x val="1.0260194552510321E-2"/>
                  <c:y val="7.233273056057868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2016'!$A$77:$A$79</c:f>
              <c:strCache>
                <c:ptCount val="3"/>
                <c:pt idx="0">
                  <c:v>Orientaciones</c:v>
                </c:pt>
                <c:pt idx="1">
                  <c:v>Canalizaciones</c:v>
                </c:pt>
                <c:pt idx="2">
                  <c:v>Solicitudes</c:v>
                </c:pt>
              </c:strCache>
            </c:strRef>
          </c:cat>
          <c:val>
            <c:numRef>
              <c:f>'Tercer Trim 2016'!$B$77:$B$79</c:f>
              <c:numCache>
                <c:formatCode>General</c:formatCode>
                <c:ptCount val="3"/>
                <c:pt idx="0" formatCode="#,##0">
                  <c:v>19</c:v>
                </c:pt>
                <c:pt idx="1">
                  <c:v>105</c:v>
                </c:pt>
                <c:pt idx="2" formatCode="#,##0">
                  <c:v>8647</c:v>
                </c:pt>
              </c:numCache>
            </c:numRef>
          </c:val>
        </c:ser>
        <c:dLbls>
          <c:showLegendKey val="0"/>
          <c:showVal val="1"/>
          <c:showCatName val="0"/>
          <c:showSerName val="0"/>
          <c:showPercent val="0"/>
          <c:showBubbleSize val="0"/>
        </c:dLbls>
        <c:gapWidth val="75"/>
        <c:axId val="168334464"/>
        <c:axId val="168336000"/>
      </c:barChart>
      <c:catAx>
        <c:axId val="168334464"/>
        <c:scaling>
          <c:orientation val="minMax"/>
        </c:scaling>
        <c:delete val="0"/>
        <c:axPos val="l"/>
        <c:numFmt formatCode="General" sourceLinked="1"/>
        <c:majorTickMark val="none"/>
        <c:minorTickMark val="none"/>
        <c:tickLblPos val="low"/>
        <c:txPr>
          <a:bodyPr rot="0" vert="horz"/>
          <a:lstStyle/>
          <a:p>
            <a:pPr>
              <a:defRPr sz="800" b="1">
                <a:latin typeface="Arial" pitchFamily="34" charset="0"/>
                <a:cs typeface="Arial" pitchFamily="34" charset="0"/>
              </a:defRPr>
            </a:pPr>
            <a:endParaRPr lang="es-MX"/>
          </a:p>
        </c:txPr>
        <c:crossAx val="168336000"/>
        <c:crosses val="autoZero"/>
        <c:auto val="1"/>
        <c:lblAlgn val="ctr"/>
        <c:lblOffset val="100"/>
        <c:tickLblSkip val="1"/>
        <c:tickMarkSkip val="1"/>
        <c:noMultiLvlLbl val="0"/>
      </c:catAx>
      <c:valAx>
        <c:axId val="168336000"/>
        <c:scaling>
          <c:orientation val="minMax"/>
          <c:max val="18000"/>
          <c:min val="0"/>
        </c:scaling>
        <c:delete val="0"/>
        <c:axPos val="b"/>
        <c:numFmt formatCode="#,##0" sourceLinked="1"/>
        <c:majorTickMark val="none"/>
        <c:minorTickMark val="none"/>
        <c:tickLblPos val="nextTo"/>
        <c:txPr>
          <a:bodyPr rot="0" vert="horz"/>
          <a:lstStyle/>
          <a:p>
            <a:pPr>
              <a:defRPr sz="900">
                <a:latin typeface="Arial" pitchFamily="34" charset="0"/>
                <a:cs typeface="Arial" pitchFamily="34" charset="0"/>
              </a:defRPr>
            </a:pPr>
            <a:endParaRPr lang="es-MX"/>
          </a:p>
        </c:txPr>
        <c:crossAx val="168334464"/>
        <c:crosses val="autoZero"/>
        <c:crossBetween val="between"/>
        <c:majorUnit val="2000"/>
      </c:valAx>
      <c:spPr>
        <a:noFill/>
      </c:spPr>
    </c:plotArea>
    <c:legend>
      <c:legendPos val="b"/>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manualLayout>
          <c:layoutTarget val="inner"/>
          <c:xMode val="edge"/>
          <c:yMode val="edge"/>
          <c:x val="0.15000022194635121"/>
          <c:y val="0.12250014953631606"/>
          <c:w val="0.78030418487242748"/>
          <c:h val="0.70000085449323446"/>
        </c:manualLayout>
      </c:layout>
      <c:barChart>
        <c:barDir val="col"/>
        <c:grouping val="clustered"/>
        <c:varyColors val="0"/>
        <c:ser>
          <c:idx val="0"/>
          <c:order val="0"/>
          <c:invertIfNegative val="0"/>
          <c:dPt>
            <c:idx val="0"/>
            <c:invertIfNegative val="1"/>
            <c:bubble3D val="0"/>
            <c:spPr>
              <a:solidFill>
                <a:srgbClr val="D31245"/>
              </a:solidFill>
              <a:ln>
                <a:noFill/>
              </a:ln>
              <a:effectLst/>
              <a:scene3d>
                <a:camera prst="orthographicFront"/>
                <a:lightRig rig="threePt" dir="t">
                  <a:rot lat="0" lon="0" rev="1200000"/>
                </a:lightRig>
              </a:scene3d>
              <a:sp3d/>
            </c:spPr>
          </c:dPt>
          <c:dPt>
            <c:idx val="1"/>
            <c:invertIfNegative val="0"/>
            <c:bubble3D val="0"/>
            <c:spPr>
              <a:solidFill>
                <a:srgbClr val="73ACB6"/>
              </a:solidFill>
              <a:effectLst/>
              <a:scene3d>
                <a:camera prst="orthographicFront"/>
                <a:lightRig rig="threePt" dir="t">
                  <a:rot lat="0" lon="0" rev="1200000"/>
                </a:lightRig>
              </a:scene3d>
              <a:sp3d/>
            </c:spPr>
          </c:dPt>
          <c:dLbls>
            <c:dLbl>
              <c:idx val="0"/>
              <c:layout>
                <c:manualLayout>
                  <c:x val="0"/>
                  <c:y val="1.35249402027250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579976724470425E-3"/>
                  <c:y val="-4.50831340090833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mj-lt"/>
                    <a:cs typeface="Arial"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'Tercer Trim 2016'!$A$84:$A$85</c:f>
              <c:strCache>
                <c:ptCount val="2"/>
                <c:pt idx="0">
                  <c:v>Administrativa</c:v>
                </c:pt>
                <c:pt idx="1">
                  <c:v>Jurisdiccional</c:v>
                </c:pt>
              </c:strCache>
            </c:strRef>
          </c:cat>
          <c:val>
            <c:numRef>
              <c:f>'Tercer Trim 2016'!$C$84:$C$85</c:f>
              <c:numCache>
                <c:formatCode>0.00%</c:formatCode>
                <c:ptCount val="2"/>
                <c:pt idx="0">
                  <c:v>0.21626984126984128</c:v>
                </c:pt>
                <c:pt idx="1">
                  <c:v>0.78373015873015872</c:v>
                </c:pt>
              </c:numCache>
            </c:numRef>
          </c:val>
        </c:ser>
        <c:dLbls>
          <c:showLegendKey val="0"/>
          <c:showVal val="1"/>
          <c:showCatName val="0"/>
          <c:showSerName val="0"/>
          <c:showPercent val="0"/>
          <c:showBubbleSize val="0"/>
        </c:dLbls>
        <c:gapWidth val="103"/>
        <c:overlap val="88"/>
        <c:axId val="168343424"/>
        <c:axId val="168350848"/>
      </c:barChart>
      <c:catAx>
        <c:axId val="168343424"/>
        <c:scaling>
          <c:orientation val="minMax"/>
        </c:scaling>
        <c:delete val="0"/>
        <c:axPos val="b"/>
        <c:numFmt formatCode="General" sourceLinked="1"/>
        <c:majorTickMark val="out"/>
        <c:minorTickMark val="none"/>
        <c:tickLblPos val="nextTo"/>
        <c:txPr>
          <a:bodyPr rot="0" vert="horz"/>
          <a:lstStyle/>
          <a:p>
            <a:pPr>
              <a:defRPr sz="1100">
                <a:latin typeface="+mj-lt"/>
                <a:cs typeface="Arial" pitchFamily="34" charset="0"/>
              </a:defRPr>
            </a:pPr>
            <a:endParaRPr lang="es-MX"/>
          </a:p>
        </c:txPr>
        <c:crossAx val="168350848"/>
        <c:crosses val="autoZero"/>
        <c:auto val="1"/>
        <c:lblAlgn val="ctr"/>
        <c:lblOffset val="100"/>
        <c:tickLblSkip val="1"/>
        <c:tickMarkSkip val="1"/>
        <c:noMultiLvlLbl val="0"/>
      </c:catAx>
      <c:valAx>
        <c:axId val="168350848"/>
        <c:scaling>
          <c:orientation val="minMax"/>
          <c:max val="1"/>
        </c:scaling>
        <c:delete val="0"/>
        <c:axPos val="l"/>
        <c:majorGridlines/>
        <c:numFmt formatCode="0%" sourceLinked="0"/>
        <c:majorTickMark val="out"/>
        <c:minorTickMark val="none"/>
        <c:tickLblPos val="nextTo"/>
        <c:txPr>
          <a:bodyPr rot="0" vert="horz"/>
          <a:lstStyle/>
          <a:p>
            <a:pPr>
              <a:defRPr sz="1000">
                <a:latin typeface="Arial" pitchFamily="34" charset="0"/>
                <a:cs typeface="Arial" pitchFamily="34" charset="0"/>
              </a:defRPr>
            </a:pPr>
            <a:endParaRPr lang="es-MX"/>
          </a:p>
        </c:txPr>
        <c:crossAx val="168343424"/>
        <c:crosses val="autoZero"/>
        <c:crossBetween val="between"/>
        <c:majorUnit val="0.2"/>
      </c:valAx>
      <c:spPr>
        <a:noFill/>
      </c:spPr>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pieChart>
        <c:varyColors val="1"/>
        <c:ser>
          <c:idx val="0"/>
          <c:order val="0"/>
          <c:spPr>
            <a:solidFill>
              <a:srgbClr val="80A1B6"/>
            </a:solidFill>
          </c:spPr>
          <c:explosion val="14"/>
          <c:dPt>
            <c:idx val="0"/>
            <c:bubble3D val="0"/>
            <c:spPr>
              <a:solidFill>
                <a:srgbClr val="73ACB6"/>
              </a:solidFill>
              <a:ln>
                <a:noFill/>
              </a:ln>
              <a:effectLst/>
              <a:scene3d>
                <a:camera prst="orthographicFront"/>
                <a:lightRig rig="threePt" dir="t">
                  <a:rot lat="0" lon="0" rev="1200000"/>
                </a:lightRig>
              </a:scene3d>
              <a:sp3d/>
            </c:spPr>
          </c:dPt>
          <c:dPt>
            <c:idx val="1"/>
            <c:bubble3D val="0"/>
            <c:spPr>
              <a:solidFill>
                <a:srgbClr val="D31245"/>
              </a:solidFill>
              <a:ln>
                <a:noFill/>
              </a:ln>
              <a:effectLst/>
              <a:scene3d>
                <a:camera prst="orthographicFront"/>
                <a:lightRig rig="threePt" dir="t">
                  <a:rot lat="0" lon="0" rev="1200000"/>
                </a:lightRig>
              </a:scene3d>
              <a:sp3d/>
            </c:spPr>
          </c:dPt>
          <c:dLbls>
            <c:dLbl>
              <c:idx val="0"/>
              <c:layout>
                <c:manualLayout>
                  <c:x val="0.26050173462475273"/>
                  <c:y val="-0.11086583387041225"/>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13598086068257609"/>
                  <c:y val="5.9577916204957386E-2"/>
                </c:manualLayout>
              </c:layout>
              <c:numFmt formatCode="0.00%" sourceLinked="0"/>
              <c:spPr/>
              <c:txPr>
                <a:bodyPr/>
                <a:lstStyle/>
                <a:p>
                  <a:pPr>
                    <a:defRPr sz="1000" b="1">
                      <a:solidFill>
                        <a:sysClr val="windowText" lastClr="000000"/>
                      </a:solidFill>
                      <a:latin typeface="+mn-lt"/>
                      <a:cs typeface="Calibri" pitchFamily="34" charset="0"/>
                    </a:defRPr>
                  </a:pPr>
                  <a:endParaRPr lang="es-MX"/>
                </a:p>
              </c:txPr>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1000" b="1">
                    <a:latin typeface="+mn-lt"/>
                    <a:cs typeface="Calibri"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extLst>
          </c:dLbls>
          <c:cat>
            <c:strRef>
              <c:f>'Tercer Trim 2016'!$A$92:$A$93</c:f>
              <c:strCache>
                <c:ptCount val="2"/>
                <c:pt idx="0">
                  <c:v>Tramitados sin intervención del Comité</c:v>
                </c:pt>
                <c:pt idx="1">
                  <c:v>Turnos al Comité</c:v>
                </c:pt>
              </c:strCache>
            </c:strRef>
          </c:cat>
          <c:val>
            <c:numRef>
              <c:f>'Tercer Trim 2016'!$B$92:$B$93</c:f>
              <c:numCache>
                <c:formatCode>0.00%</c:formatCode>
                <c:ptCount val="2"/>
                <c:pt idx="0">
                  <c:v>0.91865079365079361</c:v>
                </c:pt>
                <c:pt idx="1">
                  <c:v>8.1349206349206352E-2</c:v>
                </c:pt>
              </c:numCache>
            </c:numRef>
          </c:val>
        </c:ser>
        <c:dLbls>
          <c:showLegendKey val="0"/>
          <c:showVal val="1"/>
          <c:showCatName val="1"/>
          <c:showSerName val="0"/>
          <c:showPercent val="0"/>
          <c:showBubbleSize val="0"/>
          <c:showLeaderLines val="0"/>
        </c:dLbls>
        <c:firstSliceAng val="0"/>
      </c:pieChart>
    </c:plotArea>
    <c:plotVisOnly val="1"/>
    <c:dispBlanksAs val="zero"/>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8.1683989501312337E-2"/>
          <c:y val="9.0037778064627164E-2"/>
          <c:w val="0.87301710325507265"/>
          <c:h val="0.85111765653794869"/>
        </c:manualLayout>
      </c:layout>
      <c:barChart>
        <c:barDir val="col"/>
        <c:grouping val="clustered"/>
        <c:varyColors val="0"/>
        <c:ser>
          <c:idx val="0"/>
          <c:order val="0"/>
          <c:spPr>
            <a:solidFill>
              <a:srgbClr val="C00000"/>
            </a:solidFill>
          </c:spPr>
          <c:invertIfNegative val="0"/>
          <c:dPt>
            <c:idx val="0"/>
            <c:invertIfNegative val="0"/>
            <c:bubble3D val="0"/>
            <c:spPr>
              <a:solidFill>
                <a:srgbClr val="73AFB6"/>
              </a:solidFill>
              <a:ln>
                <a:noFill/>
              </a:ln>
              <a:effectLst/>
              <a:scene3d>
                <a:camera prst="orthographicFront"/>
                <a:lightRig rig="threePt" dir="t">
                  <a:rot lat="0" lon="0" rev="1200000"/>
                </a:lightRig>
              </a:scene3d>
              <a:sp3d/>
            </c:spPr>
          </c:dPt>
          <c:dPt>
            <c:idx val="1"/>
            <c:invertIfNegative val="0"/>
            <c:bubble3D val="0"/>
            <c:spPr>
              <a:solidFill>
                <a:srgbClr val="D31245"/>
              </a:solidFill>
              <a:ln>
                <a:noFill/>
              </a:ln>
              <a:effectLst/>
              <a:scene3d>
                <a:camera prst="orthographicFront"/>
                <a:lightRig rig="threePt" dir="t">
                  <a:rot lat="0" lon="0" rev="1200000"/>
                </a:lightRig>
              </a:scene3d>
              <a:sp3d/>
            </c:spPr>
          </c:dPt>
          <c:dLbls>
            <c:dLbl>
              <c:idx val="0"/>
              <c:layout>
                <c:manualLayout>
                  <c:x val="-1.9240019240019288E-3"/>
                  <c:y val="-4.8192771084337442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
                  <c:y val="-1.60642570281125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b="1">
                    <a:latin typeface="Georgia" pitchFamily="18" charset="0"/>
                    <a:cs typeface="Arial" pitchFamily="34" charset="0"/>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'Tercer Trim 2016'!$A$96:$A$97</c:f>
              <c:strCache>
                <c:ptCount val="2"/>
                <c:pt idx="0">
                  <c:v>Clasificaciones emitidas por el Comité</c:v>
                </c:pt>
                <c:pt idx="1">
                  <c:v>Recursos de Revisión promovidos</c:v>
                </c:pt>
              </c:strCache>
            </c:strRef>
          </c:cat>
          <c:val>
            <c:numRef>
              <c:f>'Tercer Trim 2016'!$B$96:$B$97</c:f>
              <c:numCache>
                <c:formatCode>General</c:formatCode>
                <c:ptCount val="2"/>
                <c:pt idx="0">
                  <c:v>41</c:v>
                </c:pt>
                <c:pt idx="1">
                  <c:v>2</c:v>
                </c:pt>
              </c:numCache>
            </c:numRef>
          </c:val>
        </c:ser>
        <c:dLbls>
          <c:showLegendKey val="0"/>
          <c:showVal val="1"/>
          <c:showCatName val="1"/>
          <c:showSerName val="0"/>
          <c:showPercent val="0"/>
          <c:showBubbleSize val="0"/>
        </c:dLbls>
        <c:gapWidth val="150"/>
        <c:axId val="184977664"/>
        <c:axId val="184993664"/>
      </c:barChart>
      <c:catAx>
        <c:axId val="184977664"/>
        <c:scaling>
          <c:orientation val="minMax"/>
        </c:scaling>
        <c:delete val="1"/>
        <c:axPos val="b"/>
        <c:numFmt formatCode="General" sourceLinked="0"/>
        <c:majorTickMark val="out"/>
        <c:minorTickMark val="none"/>
        <c:tickLblPos val="none"/>
        <c:crossAx val="184993664"/>
        <c:crosses val="autoZero"/>
        <c:auto val="1"/>
        <c:lblAlgn val="ctr"/>
        <c:lblOffset val="100"/>
        <c:noMultiLvlLbl val="0"/>
      </c:catAx>
      <c:valAx>
        <c:axId val="184993664"/>
        <c:scaling>
          <c:orientation val="minMax"/>
          <c:max val="100"/>
          <c:min val="0"/>
        </c:scaling>
        <c:delete val="0"/>
        <c:axPos val="l"/>
        <c:numFmt formatCode="General" sourceLinked="1"/>
        <c:majorTickMark val="out"/>
        <c:minorTickMark val="none"/>
        <c:tickLblPos val="nextTo"/>
        <c:txPr>
          <a:bodyPr rot="0" vert="horz"/>
          <a:lstStyle/>
          <a:p>
            <a:pPr>
              <a:defRPr sz="900">
                <a:latin typeface="Arial" pitchFamily="34" charset="0"/>
                <a:cs typeface="Arial" pitchFamily="34" charset="0"/>
              </a:defRPr>
            </a:pPr>
            <a:endParaRPr lang="es-MX"/>
          </a:p>
        </c:txPr>
        <c:crossAx val="184977664"/>
        <c:crosses val="autoZero"/>
        <c:crossBetween val="between"/>
        <c:majorUnit val="20"/>
      </c:valAx>
      <c:spPr>
        <a:noFill/>
      </c:spPr>
    </c:plotArea>
    <c:plotVisOnly val="1"/>
    <c:dispBlanksAs val="gap"/>
    <c:showDLblsOverMax val="0"/>
  </c:chart>
  <c:spPr>
    <a:noFill/>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0.24684</cdr:x>
      <cdr:y>0.01437</cdr:y>
    </cdr:from>
    <cdr:to>
      <cdr:x>0.9972</cdr:x>
      <cdr:y>0.03997</cdr:y>
    </cdr:to>
    <cdr:sp macro="" textlink="">
      <cdr:nvSpPr>
        <cdr:cNvPr id="2" name="2 CuadroTexto"/>
        <cdr:cNvSpPr txBox="1"/>
      </cdr:nvSpPr>
      <cdr:spPr>
        <a:xfrm xmlns:a="http://schemas.openxmlformats.org/drawingml/2006/main">
          <a:off x="1676371" y="142896"/>
          <a:ext cx="5095939" cy="2545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rtlCol="0" anchor="t">
          <a:noAutofit/>
        </a:bodyP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s-MX" sz="900" b="1">
              <a:latin typeface="Arial" pitchFamily="34" charset="0"/>
              <a:cs typeface="Arial" pitchFamily="34" charset="0"/>
            </a:rPr>
            <a:t>Sumarios Tramitados</a:t>
          </a:r>
        </a:p>
      </cdr:txBody>
    </cdr:sp>
  </cdr:relSizeAnchor>
</c:userShapes>
</file>

<file path=word/theme/theme1.xml><?xml version="1.0" encoding="utf-8"?>
<a:theme xmlns:a="http://schemas.openxmlformats.org/drawingml/2006/main" name="Tema de Office">
  <a:themeElements>
    <a:clrScheme name="Colores SCJN">
      <a:dk1>
        <a:srgbClr val="172934"/>
      </a:dk1>
      <a:lt1>
        <a:srgbClr val="BFB6AD"/>
      </a:lt1>
      <a:dk2>
        <a:srgbClr val="4B3900"/>
      </a:dk2>
      <a:lt2>
        <a:srgbClr val="FFFFFF"/>
      </a:lt2>
      <a:accent1>
        <a:srgbClr val="860038"/>
      </a:accent1>
      <a:accent2>
        <a:srgbClr val="916D00"/>
      </a:accent2>
      <a:accent3>
        <a:srgbClr val="847A18"/>
      </a:accent3>
      <a:accent4>
        <a:srgbClr val="33460E"/>
      </a:accent4>
      <a:accent5>
        <a:srgbClr val="5C2946"/>
      </a:accent5>
      <a:accent6>
        <a:srgbClr val="6E8778"/>
      </a:accent6>
      <a:hlink>
        <a:srgbClr val="3B6E8F"/>
      </a:hlink>
      <a:folHlink>
        <a:srgbClr val="006A71"/>
      </a:folHlink>
    </a:clrScheme>
    <a:fontScheme name="Fuentes SCJN">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9EF2-B632-45FA-AF91-CE52A151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961</Words>
  <Characters>5290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Ruiz</dc:creator>
  <cp:lastModifiedBy>CARLOS ERNESTO MARAVELES TOVAR</cp:lastModifiedBy>
  <cp:revision>2</cp:revision>
  <cp:lastPrinted>2017-10-23T15:10:00Z</cp:lastPrinted>
  <dcterms:created xsi:type="dcterms:W3CDTF">2017-10-25T00:04:00Z</dcterms:created>
  <dcterms:modified xsi:type="dcterms:W3CDTF">2017-10-25T00:04:00Z</dcterms:modified>
</cp:coreProperties>
</file>