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613F" w14:textId="77777777" w:rsidR="00875D0D" w:rsidRPr="005B585E" w:rsidRDefault="00875D0D" w:rsidP="00C3121E"/>
    <w:p w14:paraId="55546123" w14:textId="77777777" w:rsidR="00875D0D" w:rsidRPr="00C3121E" w:rsidRDefault="00875D0D" w:rsidP="00C3121E">
      <w:pPr>
        <w:numPr>
          <w:ilvl w:val="0"/>
          <w:numId w:val="2"/>
        </w:numPr>
        <w:jc w:val="both"/>
        <w:rPr>
          <w:rFonts w:asciiTheme="majorHAnsi" w:hAnsiTheme="majorHAnsi" w:cs="Arial"/>
          <w:b/>
          <w:sz w:val="22"/>
          <w:szCs w:val="26"/>
          <w:lang w:val="es-MX"/>
        </w:rPr>
      </w:pPr>
      <w:r w:rsidRPr="00C3121E">
        <w:rPr>
          <w:rFonts w:asciiTheme="majorHAnsi" w:hAnsiTheme="majorHAnsi" w:cs="Arial"/>
          <w:b/>
          <w:sz w:val="22"/>
          <w:szCs w:val="26"/>
          <w:lang w:val="es-MX"/>
        </w:rPr>
        <w:t>Disponibilidad de información en medios de acceso público</w:t>
      </w:r>
      <w:r w:rsidRPr="00C3121E">
        <w:rPr>
          <w:rStyle w:val="Refdenotaalpie"/>
          <w:rFonts w:asciiTheme="majorHAnsi" w:hAnsiTheme="majorHAnsi" w:cs="Arial"/>
          <w:b/>
          <w:sz w:val="22"/>
          <w:szCs w:val="26"/>
        </w:rPr>
        <w:footnoteReference w:id="1"/>
      </w:r>
      <w:r w:rsidRPr="00C3121E">
        <w:rPr>
          <w:rFonts w:asciiTheme="majorHAnsi" w:hAnsiTheme="majorHAnsi" w:cs="Arial"/>
          <w:b/>
          <w:sz w:val="22"/>
          <w:szCs w:val="26"/>
          <w:lang w:val="es-MX"/>
        </w:rPr>
        <w:t xml:space="preserve">. </w:t>
      </w:r>
    </w:p>
    <w:p w14:paraId="211F5ED9" w14:textId="77777777" w:rsidR="00875D0D" w:rsidRPr="00C3121E" w:rsidRDefault="00875D0D" w:rsidP="00C3121E">
      <w:pPr>
        <w:ind w:left="360"/>
        <w:jc w:val="both"/>
        <w:rPr>
          <w:rFonts w:ascii="Arial" w:hAnsi="Arial" w:cs="Arial"/>
          <w:b/>
          <w:sz w:val="22"/>
          <w:szCs w:val="26"/>
          <w:lang w:val="es-MX"/>
        </w:rPr>
      </w:pPr>
    </w:p>
    <w:p w14:paraId="4B866A39" w14:textId="77777777" w:rsidR="00875D0D" w:rsidRPr="00C3121E" w:rsidRDefault="00875D0D" w:rsidP="00C3121E">
      <w:pPr>
        <w:ind w:left="709"/>
        <w:jc w:val="both"/>
        <w:rPr>
          <w:rFonts w:ascii="Georgia" w:hAnsi="Georgia" w:cs="Arial"/>
          <w:b/>
          <w:sz w:val="22"/>
          <w:szCs w:val="26"/>
          <w:lang w:val="es-MX"/>
        </w:rPr>
      </w:pPr>
      <w:r w:rsidRPr="00C3121E">
        <w:rPr>
          <w:rFonts w:ascii="Georgia" w:hAnsi="Georgia" w:cs="Arial"/>
          <w:sz w:val="22"/>
          <w:szCs w:val="26"/>
          <w:lang w:val="es-MX"/>
        </w:rPr>
        <w:t xml:space="preserve">Este indicador permite medir la cantidad de información pública disponible para otorgarse a través del procedimiento sumario.  </w:t>
      </w:r>
    </w:p>
    <w:p w14:paraId="7EA5D9CE" w14:textId="77777777" w:rsidR="00875D0D" w:rsidRPr="00C3121E" w:rsidRDefault="00875D0D" w:rsidP="00C3121E">
      <w:pPr>
        <w:ind w:left="360"/>
        <w:jc w:val="both"/>
        <w:rPr>
          <w:rFonts w:ascii="Georgia" w:hAnsi="Georgia" w:cs="Arial"/>
          <w:b/>
          <w:sz w:val="22"/>
          <w:szCs w:val="26"/>
          <w:lang w:val="es-MX"/>
        </w:rPr>
      </w:pPr>
    </w:p>
    <w:p w14:paraId="3BA1B084" w14:textId="77777777" w:rsidR="00875D0D" w:rsidRPr="00C3121E" w:rsidRDefault="00875D0D" w:rsidP="00C3121E">
      <w:pPr>
        <w:ind w:left="360"/>
        <w:jc w:val="both"/>
        <w:rPr>
          <w:rFonts w:ascii="Georgia" w:hAnsi="Georgia" w:cs="Arial"/>
          <w:b/>
          <w:sz w:val="22"/>
          <w:szCs w:val="26"/>
          <w:lang w:val="es-MX"/>
        </w:rPr>
      </w:pPr>
    </w:p>
    <w:p w14:paraId="44FD9B62" w14:textId="77777777" w:rsidR="00875D0D" w:rsidRPr="00C3121E" w:rsidRDefault="00875D0D" w:rsidP="00C3121E">
      <w:pPr>
        <w:tabs>
          <w:tab w:val="left" w:pos="6732"/>
        </w:tabs>
        <w:ind w:left="709"/>
        <w:jc w:val="both"/>
        <w:rPr>
          <w:rFonts w:ascii="Georgia" w:hAnsi="Georgia" w:cs="Arial"/>
          <w:b/>
          <w:sz w:val="22"/>
          <w:szCs w:val="26"/>
          <w:lang w:val="es-MX"/>
        </w:rPr>
      </w:pPr>
      <w:r w:rsidRPr="00C3121E">
        <w:rPr>
          <w:rFonts w:ascii="Georgia" w:hAnsi="Georgia" w:cs="Arial"/>
          <w:b/>
          <w:sz w:val="22"/>
          <w:szCs w:val="26"/>
          <w:lang w:val="es-MX"/>
        </w:rPr>
        <w:t>Resultados:</w:t>
      </w:r>
      <w:r w:rsidR="00551928" w:rsidRPr="00C3121E">
        <w:rPr>
          <w:rFonts w:ascii="Georgia" w:hAnsi="Georgia" w:cs="Arial"/>
          <w:b/>
          <w:sz w:val="22"/>
          <w:szCs w:val="26"/>
          <w:lang w:val="es-MX"/>
        </w:rPr>
        <w:tab/>
      </w:r>
    </w:p>
    <w:p w14:paraId="503ED9DD" w14:textId="77777777" w:rsidR="00113DC9" w:rsidRPr="00C3121E" w:rsidRDefault="00113DC9" w:rsidP="00C3121E">
      <w:pPr>
        <w:ind w:left="709"/>
        <w:jc w:val="both"/>
        <w:rPr>
          <w:rFonts w:ascii="Georgia" w:hAnsi="Georgia" w:cs="Arial"/>
          <w:b/>
          <w:sz w:val="22"/>
          <w:szCs w:val="26"/>
          <w:lang w:val="es-MX"/>
        </w:rPr>
      </w:pPr>
    </w:p>
    <w:p w14:paraId="1638D645" w14:textId="1274C82D" w:rsidR="00696BBF" w:rsidRPr="00C3121E" w:rsidRDefault="00696BBF" w:rsidP="00C3121E">
      <w:pPr>
        <w:ind w:left="709"/>
        <w:jc w:val="both"/>
        <w:rPr>
          <w:rFonts w:ascii="Georgia" w:hAnsi="Georgia" w:cs="Arial"/>
          <w:sz w:val="22"/>
          <w:szCs w:val="26"/>
          <w:lang w:val="es-MX"/>
        </w:rPr>
      </w:pPr>
      <w:r w:rsidRPr="00C3121E">
        <w:rPr>
          <w:rFonts w:ascii="Georgia" w:hAnsi="Georgia" w:cs="Arial"/>
          <w:sz w:val="22"/>
          <w:szCs w:val="26"/>
          <w:lang w:val="es-MX"/>
        </w:rPr>
        <w:t xml:space="preserve">Porcentaje de procedimientos sumarios: </w:t>
      </w:r>
      <w:r w:rsidR="00DC3A52" w:rsidRPr="00C3121E">
        <w:rPr>
          <w:rFonts w:ascii="Georgia" w:hAnsi="Georgia" w:cs="Arial"/>
          <w:b/>
          <w:sz w:val="22"/>
          <w:szCs w:val="26"/>
          <w:lang w:val="es-MX"/>
        </w:rPr>
        <w:t>9</w:t>
      </w:r>
      <w:r w:rsidR="00390233" w:rsidRPr="00C3121E">
        <w:rPr>
          <w:rFonts w:ascii="Georgia" w:hAnsi="Georgia" w:cs="Arial"/>
          <w:b/>
          <w:sz w:val="22"/>
          <w:szCs w:val="26"/>
          <w:lang w:val="es-MX"/>
        </w:rPr>
        <w:t>8</w:t>
      </w:r>
      <w:r w:rsidR="00803E21" w:rsidRPr="00C3121E">
        <w:rPr>
          <w:rFonts w:ascii="Georgia" w:hAnsi="Georgia" w:cs="Arial"/>
          <w:b/>
          <w:sz w:val="22"/>
          <w:szCs w:val="26"/>
          <w:lang w:val="es-MX"/>
        </w:rPr>
        <w:t>.</w:t>
      </w:r>
      <w:r w:rsidR="00B10892">
        <w:rPr>
          <w:rFonts w:ascii="Georgia" w:hAnsi="Georgia" w:cs="Arial"/>
          <w:b/>
          <w:sz w:val="22"/>
          <w:szCs w:val="26"/>
          <w:lang w:val="es-MX"/>
        </w:rPr>
        <w:t>78</w:t>
      </w:r>
      <w:r w:rsidRPr="00C3121E">
        <w:rPr>
          <w:rFonts w:ascii="Georgia" w:hAnsi="Georgia" w:cs="Arial"/>
          <w:b/>
          <w:sz w:val="22"/>
          <w:szCs w:val="26"/>
          <w:lang w:val="es-MX"/>
        </w:rPr>
        <w:t>%</w:t>
      </w:r>
    </w:p>
    <w:p w14:paraId="1D80C686" w14:textId="77777777" w:rsidR="00696BBF" w:rsidRPr="00C3121E" w:rsidRDefault="00696BBF" w:rsidP="00C3121E">
      <w:pPr>
        <w:ind w:left="709"/>
        <w:jc w:val="both"/>
        <w:rPr>
          <w:rFonts w:ascii="Georgia" w:hAnsi="Georgia" w:cs="Arial"/>
          <w:sz w:val="22"/>
          <w:szCs w:val="26"/>
          <w:lang w:val="es-MX"/>
        </w:rPr>
      </w:pPr>
    </w:p>
    <w:p w14:paraId="704CB1A8" w14:textId="67531CE7" w:rsidR="00875D0D" w:rsidRPr="00C3121E" w:rsidRDefault="00696BBF" w:rsidP="00C3121E">
      <w:pPr>
        <w:ind w:left="709"/>
        <w:jc w:val="both"/>
        <w:rPr>
          <w:rFonts w:ascii="Georgia" w:hAnsi="Georgia" w:cs="Arial"/>
          <w:sz w:val="22"/>
          <w:szCs w:val="26"/>
          <w:lang w:val="es-MX"/>
        </w:rPr>
      </w:pPr>
      <w:r w:rsidRPr="00C3121E">
        <w:rPr>
          <w:rFonts w:ascii="Georgia" w:hAnsi="Georgia" w:cs="Arial"/>
          <w:sz w:val="22"/>
          <w:szCs w:val="26"/>
          <w:lang w:val="es-MX"/>
        </w:rPr>
        <w:t>Porcentaje de procedimientos ordinarios:</w:t>
      </w:r>
      <w:r w:rsidRPr="00C3121E">
        <w:rPr>
          <w:rFonts w:ascii="Georgia" w:hAnsi="Georgia" w:cs="Arial"/>
          <w:b/>
          <w:bCs/>
          <w:sz w:val="22"/>
          <w:szCs w:val="26"/>
          <w:lang w:val="es-MX"/>
        </w:rPr>
        <w:t xml:space="preserve"> </w:t>
      </w:r>
      <w:r w:rsidR="00390233" w:rsidRPr="00C3121E">
        <w:rPr>
          <w:rFonts w:ascii="Georgia" w:hAnsi="Georgia" w:cs="Arial"/>
          <w:b/>
          <w:bCs/>
          <w:sz w:val="22"/>
          <w:szCs w:val="26"/>
          <w:lang w:val="es-MX"/>
        </w:rPr>
        <w:t>1</w:t>
      </w:r>
      <w:r w:rsidR="006F4AC9" w:rsidRPr="00C3121E">
        <w:rPr>
          <w:rFonts w:ascii="Georgia" w:hAnsi="Georgia" w:cs="Arial"/>
          <w:b/>
          <w:sz w:val="22"/>
          <w:szCs w:val="26"/>
          <w:lang w:val="es-MX"/>
        </w:rPr>
        <w:t>.</w:t>
      </w:r>
      <w:r w:rsidR="00B10892">
        <w:rPr>
          <w:rFonts w:ascii="Georgia" w:hAnsi="Georgia" w:cs="Arial"/>
          <w:b/>
          <w:sz w:val="22"/>
          <w:szCs w:val="26"/>
          <w:lang w:val="es-MX"/>
        </w:rPr>
        <w:t>22</w:t>
      </w:r>
      <w:r w:rsidRPr="00C3121E">
        <w:rPr>
          <w:rFonts w:ascii="Georgia" w:hAnsi="Georgia" w:cs="Arial"/>
          <w:b/>
          <w:sz w:val="22"/>
          <w:szCs w:val="26"/>
          <w:lang w:val="es-MX"/>
        </w:rPr>
        <w:t>%</w:t>
      </w:r>
    </w:p>
    <w:p w14:paraId="494875F6" w14:textId="77777777" w:rsidR="00875D0D" w:rsidRPr="00C3121E" w:rsidRDefault="00875D0D" w:rsidP="00C3121E">
      <w:pPr>
        <w:ind w:left="709"/>
        <w:jc w:val="both"/>
        <w:rPr>
          <w:rFonts w:ascii="Georgia" w:hAnsi="Georgia" w:cs="Arial"/>
          <w:b/>
          <w:sz w:val="22"/>
          <w:szCs w:val="26"/>
          <w:lang w:val="es-MX"/>
        </w:rPr>
      </w:pPr>
    </w:p>
    <w:p w14:paraId="7BE248FD" w14:textId="77777777" w:rsidR="00875D0D" w:rsidRPr="00C3121E" w:rsidRDefault="00875D0D" w:rsidP="00C3121E">
      <w:pPr>
        <w:ind w:left="709"/>
        <w:jc w:val="both"/>
        <w:rPr>
          <w:rFonts w:ascii="Arial" w:hAnsi="Arial" w:cs="Arial"/>
          <w:b/>
          <w:sz w:val="22"/>
          <w:szCs w:val="26"/>
          <w:lang w:val="es-MX"/>
        </w:rPr>
      </w:pPr>
    </w:p>
    <w:p w14:paraId="3316FDF5" w14:textId="77777777" w:rsidR="006550E2" w:rsidRPr="00C3121E" w:rsidRDefault="00875D0D" w:rsidP="00C3121E">
      <w:pPr>
        <w:tabs>
          <w:tab w:val="left" w:pos="7956"/>
        </w:tabs>
        <w:ind w:left="709"/>
        <w:jc w:val="both"/>
        <w:rPr>
          <w:rFonts w:ascii="Georgia" w:hAnsi="Georgia" w:cs="Arial"/>
          <w:b/>
          <w:sz w:val="22"/>
          <w:szCs w:val="26"/>
          <w:lang w:val="es-MX"/>
        </w:rPr>
      </w:pPr>
      <w:r w:rsidRPr="00C3121E">
        <w:rPr>
          <w:rFonts w:ascii="Georgia" w:hAnsi="Georgia" w:cs="Arial"/>
          <w:b/>
          <w:sz w:val="22"/>
          <w:szCs w:val="26"/>
          <w:lang w:val="es-MX"/>
        </w:rPr>
        <w:t>Gráfica:</w:t>
      </w:r>
    </w:p>
    <w:p w14:paraId="14197726" w14:textId="77777777" w:rsidR="006550E2" w:rsidRPr="00C3121E" w:rsidRDefault="006550E2" w:rsidP="00C3121E">
      <w:pPr>
        <w:tabs>
          <w:tab w:val="left" w:pos="7956"/>
        </w:tabs>
        <w:ind w:left="709"/>
        <w:jc w:val="both"/>
        <w:rPr>
          <w:rFonts w:ascii="Georgia" w:hAnsi="Georgia" w:cs="Arial"/>
          <w:b/>
          <w:sz w:val="22"/>
          <w:szCs w:val="26"/>
          <w:lang w:val="es-MX"/>
        </w:rPr>
      </w:pPr>
    </w:p>
    <w:p w14:paraId="2FFCA9CC" w14:textId="77777777" w:rsidR="00875D0D" w:rsidRPr="00C3121E" w:rsidRDefault="00DB3398" w:rsidP="00C3121E">
      <w:pPr>
        <w:tabs>
          <w:tab w:val="left" w:pos="7956"/>
        </w:tabs>
        <w:ind w:left="709"/>
        <w:jc w:val="both"/>
        <w:rPr>
          <w:rFonts w:ascii="Georgia" w:hAnsi="Georgia" w:cs="Arial"/>
          <w:b/>
          <w:sz w:val="22"/>
          <w:szCs w:val="26"/>
          <w:lang w:val="es-MX"/>
        </w:rPr>
      </w:pPr>
      <w:r w:rsidRPr="00C3121E">
        <w:rPr>
          <w:rFonts w:ascii="Georgia" w:hAnsi="Georgia" w:cs="Arial"/>
          <w:b/>
          <w:sz w:val="22"/>
          <w:szCs w:val="26"/>
          <w:lang w:val="es-MX"/>
        </w:rPr>
        <w:tab/>
      </w:r>
    </w:p>
    <w:p w14:paraId="0B0ACB68" w14:textId="77777777" w:rsidR="00891F2E" w:rsidRPr="00C3121E" w:rsidRDefault="00891F2E" w:rsidP="00C3121E">
      <w:pPr>
        <w:ind w:left="709"/>
        <w:jc w:val="both"/>
        <w:rPr>
          <w:rFonts w:ascii="Georgia" w:hAnsi="Georgia" w:cs="Arial"/>
          <w:b/>
          <w:sz w:val="22"/>
          <w:szCs w:val="26"/>
          <w:lang w:val="es-MX"/>
        </w:rPr>
      </w:pPr>
    </w:p>
    <w:p w14:paraId="418866C2" w14:textId="4FFDCF1E" w:rsidR="00891F2E" w:rsidRPr="00070FE0" w:rsidRDefault="00B10892" w:rsidP="00C3121E">
      <w:pPr>
        <w:ind w:left="709"/>
        <w:jc w:val="both"/>
        <w:rPr>
          <w:rFonts w:ascii="Georgia" w:hAnsi="Georgia" w:cs="Arial"/>
          <w:b/>
          <w:sz w:val="22"/>
          <w:szCs w:val="26"/>
          <w:lang w:val="es-MX"/>
        </w:rPr>
      </w:pPr>
      <w:r>
        <w:rPr>
          <w:noProof/>
        </w:rPr>
        <w:drawing>
          <wp:inline distT="0" distB="0" distL="0" distR="0" wp14:anchorId="56FF9973" wp14:editId="26AEABAB">
            <wp:extent cx="4696627" cy="2603500"/>
            <wp:effectExtent l="0" t="0" r="0" b="0"/>
            <wp:docPr id="420969938" name="Gráfico 1">
              <a:extLst xmlns:a="http://schemas.openxmlformats.org/drawingml/2006/main">
                <a:ext uri="{FF2B5EF4-FFF2-40B4-BE49-F238E27FC236}">
                  <a16:creationId xmlns:a16="http://schemas.microsoft.com/office/drawing/2014/main" id="{00000000-0008-0000-0100-00003D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DAF958" w14:textId="77777777" w:rsidR="004040B6" w:rsidRPr="00C3121E" w:rsidRDefault="004040B6" w:rsidP="00C3121E">
      <w:pPr>
        <w:spacing w:after="200" w:line="276" w:lineRule="auto"/>
        <w:jc w:val="center"/>
        <w:rPr>
          <w:rFonts w:asciiTheme="minorHAnsi" w:eastAsia="Times New Roman" w:hAnsiTheme="minorHAnsi"/>
          <w:sz w:val="20"/>
          <w:szCs w:val="20"/>
          <w:lang w:val="es-ES" w:eastAsia="es-MX"/>
        </w:rPr>
      </w:pPr>
      <w:r w:rsidRPr="00C3121E">
        <w:br w:type="page"/>
      </w:r>
    </w:p>
    <w:p w14:paraId="739C68C7" w14:textId="77777777" w:rsidR="00875D0D" w:rsidRPr="00C3121E" w:rsidRDefault="00875D0D" w:rsidP="00C3121E">
      <w:pPr>
        <w:numPr>
          <w:ilvl w:val="0"/>
          <w:numId w:val="2"/>
        </w:numPr>
        <w:jc w:val="both"/>
        <w:rPr>
          <w:rFonts w:ascii="Georgia" w:hAnsi="Georgia" w:cs="Arial"/>
          <w:b/>
          <w:sz w:val="22"/>
          <w:szCs w:val="26"/>
          <w:lang w:val="es-MX"/>
        </w:rPr>
      </w:pPr>
      <w:r w:rsidRPr="00C3121E">
        <w:rPr>
          <w:rFonts w:ascii="Georgia" w:hAnsi="Georgia" w:cs="Arial"/>
          <w:b/>
          <w:sz w:val="22"/>
          <w:szCs w:val="26"/>
          <w:lang w:val="es-MX"/>
        </w:rPr>
        <w:lastRenderedPageBreak/>
        <w:t>Trámite de solicitudes de información mediante el procedimiento sumario en los Módulos de Acceso a la Información</w:t>
      </w:r>
      <w:r w:rsidRPr="00C3121E">
        <w:rPr>
          <w:rStyle w:val="Refdenotaalpie"/>
          <w:rFonts w:ascii="Georgia" w:hAnsi="Georgia" w:cs="Arial"/>
          <w:b/>
          <w:sz w:val="22"/>
          <w:szCs w:val="26"/>
        </w:rPr>
        <w:footnoteReference w:id="2"/>
      </w:r>
      <w:r w:rsidRPr="00C3121E">
        <w:rPr>
          <w:rFonts w:ascii="Georgia" w:hAnsi="Georgia" w:cs="Arial"/>
          <w:b/>
          <w:sz w:val="22"/>
          <w:szCs w:val="26"/>
          <w:lang w:val="es-MX"/>
        </w:rPr>
        <w:t>.</w:t>
      </w:r>
    </w:p>
    <w:p w14:paraId="526C82E4" w14:textId="77777777" w:rsidR="00875D0D" w:rsidRPr="00C3121E" w:rsidRDefault="00875D0D" w:rsidP="00C3121E">
      <w:pPr>
        <w:ind w:left="360"/>
        <w:jc w:val="both"/>
        <w:rPr>
          <w:rFonts w:ascii="Arial" w:hAnsi="Arial" w:cs="Arial"/>
          <w:b/>
          <w:sz w:val="22"/>
          <w:szCs w:val="26"/>
          <w:lang w:val="es-MX"/>
        </w:rPr>
      </w:pPr>
    </w:p>
    <w:p w14:paraId="27E6548C" w14:textId="77777777" w:rsidR="00875D0D" w:rsidRPr="00C3121E" w:rsidRDefault="00875D0D" w:rsidP="00C3121E">
      <w:pPr>
        <w:ind w:left="709"/>
        <w:jc w:val="both"/>
        <w:rPr>
          <w:rFonts w:ascii="Georgia" w:hAnsi="Georgia" w:cs="Arial"/>
          <w:b/>
          <w:sz w:val="22"/>
          <w:szCs w:val="26"/>
          <w:lang w:val="es-MX"/>
        </w:rPr>
      </w:pPr>
      <w:r w:rsidRPr="00C3121E">
        <w:rPr>
          <w:rFonts w:ascii="Georgia" w:hAnsi="Georgia" w:cs="Arial"/>
          <w:sz w:val="22"/>
          <w:szCs w:val="26"/>
          <w:lang w:val="es-MX"/>
        </w:rPr>
        <w:t>Este indicador permite determinar las ciudades en que realizan el mayor número de trámites de solicitudes de información mediante el procedimiento sumario.</w:t>
      </w:r>
    </w:p>
    <w:p w14:paraId="4A465208" w14:textId="77777777" w:rsidR="00875D0D" w:rsidRPr="00C3121E" w:rsidRDefault="00875D0D" w:rsidP="00C3121E">
      <w:pPr>
        <w:ind w:left="709"/>
        <w:jc w:val="both"/>
        <w:rPr>
          <w:rFonts w:ascii="Georgia" w:hAnsi="Georgia" w:cs="Arial"/>
          <w:sz w:val="22"/>
          <w:szCs w:val="26"/>
          <w:lang w:val="es-MX"/>
        </w:rPr>
      </w:pPr>
      <w:r w:rsidRPr="00C3121E">
        <w:rPr>
          <w:rFonts w:ascii="Georgia" w:hAnsi="Georgia" w:cs="Arial"/>
          <w:sz w:val="22"/>
          <w:szCs w:val="26"/>
          <w:lang w:val="es-MX"/>
        </w:rPr>
        <w:t xml:space="preserve"> </w:t>
      </w:r>
    </w:p>
    <w:p w14:paraId="06C5C837" w14:textId="77777777" w:rsidR="00DB3398" w:rsidRPr="00C3121E" w:rsidRDefault="00DB3398" w:rsidP="00C3121E">
      <w:pPr>
        <w:ind w:left="709"/>
        <w:jc w:val="both"/>
        <w:rPr>
          <w:rFonts w:ascii="Georgia" w:hAnsi="Georgia" w:cs="Arial"/>
          <w:sz w:val="22"/>
          <w:szCs w:val="26"/>
          <w:lang w:val="es-MX"/>
        </w:rPr>
      </w:pPr>
    </w:p>
    <w:p w14:paraId="6C9E8825" w14:textId="77777777" w:rsidR="00875D0D" w:rsidRPr="00C36EFC" w:rsidRDefault="00875D0D" w:rsidP="00C3121E">
      <w:pPr>
        <w:ind w:left="709"/>
        <w:jc w:val="both"/>
        <w:rPr>
          <w:lang w:val="es-MX"/>
        </w:rPr>
      </w:pPr>
      <w:r w:rsidRPr="00C36EFC">
        <w:rPr>
          <w:rFonts w:ascii="Georgia" w:hAnsi="Georgia" w:cs="Arial"/>
          <w:b/>
          <w:sz w:val="22"/>
          <w:szCs w:val="26"/>
          <w:lang w:val="es-MX"/>
        </w:rPr>
        <w:t>Resultados:</w:t>
      </w:r>
      <w:r w:rsidR="004E1E63" w:rsidRPr="00C36EFC">
        <w:rPr>
          <w:lang w:val="es-MX"/>
        </w:rPr>
        <w:tab/>
      </w:r>
    </w:p>
    <w:p w14:paraId="18D9ED0E" w14:textId="77777777" w:rsidR="00DB3398" w:rsidRPr="00C3121E" w:rsidRDefault="00DB3398" w:rsidP="00C3121E">
      <w:pPr>
        <w:ind w:left="709"/>
        <w:jc w:val="both"/>
      </w:pPr>
    </w:p>
    <w:p w14:paraId="7B67DE11" w14:textId="77777777" w:rsidR="00DB3398" w:rsidRPr="00C3121E" w:rsidRDefault="00DB3398" w:rsidP="00C3121E">
      <w:pPr>
        <w:jc w:val="both"/>
      </w:pPr>
    </w:p>
    <w:p w14:paraId="5ABF23EA" w14:textId="77777777" w:rsidR="00DB3398" w:rsidRPr="00C3121E" w:rsidRDefault="00DB3398" w:rsidP="00C3121E">
      <w:pPr>
        <w:jc w:val="both"/>
      </w:pPr>
    </w:p>
    <w:tbl>
      <w:tblPr>
        <w:tblpPr w:leftFromText="141" w:rightFromText="141" w:vertAnchor="text" w:tblpX="709" w:tblpY="1"/>
        <w:tblOverlap w:val="never"/>
        <w:tblW w:w="7748" w:type="dxa"/>
        <w:tblCellMar>
          <w:left w:w="70" w:type="dxa"/>
          <w:right w:w="70" w:type="dxa"/>
        </w:tblCellMar>
        <w:tblLook w:val="04A0" w:firstRow="1" w:lastRow="0" w:firstColumn="1" w:lastColumn="0" w:noHBand="0" w:noVBand="1"/>
      </w:tblPr>
      <w:tblGrid>
        <w:gridCol w:w="4931"/>
        <w:gridCol w:w="1408"/>
        <w:gridCol w:w="1409"/>
      </w:tblGrid>
      <w:tr w:rsidR="00875D0D" w:rsidRPr="00C3121E" w14:paraId="3FAD78D2" w14:textId="77777777" w:rsidTr="006E1943">
        <w:trPr>
          <w:trHeight w:val="263"/>
        </w:trPr>
        <w:tc>
          <w:tcPr>
            <w:tcW w:w="4931" w:type="dxa"/>
            <w:tcBorders>
              <w:top w:val="nil"/>
              <w:left w:val="nil"/>
              <w:bottom w:val="single" w:sz="8" w:space="0" w:color="auto"/>
              <w:right w:val="nil"/>
            </w:tcBorders>
            <w:noWrap/>
            <w:vAlign w:val="bottom"/>
            <w:hideMark/>
          </w:tcPr>
          <w:p w14:paraId="71D1BE04" w14:textId="77777777" w:rsidR="00875D0D" w:rsidRPr="00C3121E" w:rsidRDefault="00875D0D" w:rsidP="00C3121E">
            <w:pPr>
              <w:rPr>
                <w:rFonts w:ascii="Arial" w:hAnsi="Arial" w:cs="Arial"/>
                <w:sz w:val="20"/>
                <w:szCs w:val="20"/>
              </w:rPr>
            </w:pPr>
          </w:p>
        </w:tc>
        <w:tc>
          <w:tcPr>
            <w:tcW w:w="1408" w:type="dxa"/>
            <w:tcBorders>
              <w:top w:val="single" w:sz="8" w:space="0" w:color="auto"/>
              <w:left w:val="single" w:sz="8" w:space="0" w:color="auto"/>
              <w:bottom w:val="nil"/>
              <w:right w:val="single" w:sz="8" w:space="0" w:color="auto"/>
            </w:tcBorders>
            <w:shd w:val="clear" w:color="auto" w:fill="679BBC" w:themeFill="text1" w:themeFillTint="80"/>
            <w:noWrap/>
            <w:vAlign w:val="center"/>
            <w:hideMark/>
          </w:tcPr>
          <w:p w14:paraId="1673A2E1" w14:textId="77777777" w:rsidR="00875D0D" w:rsidRPr="00C3121E" w:rsidRDefault="00875D0D" w:rsidP="00C3121E">
            <w:pPr>
              <w:jc w:val="center"/>
              <w:rPr>
                <w:rFonts w:ascii="Arial" w:hAnsi="Arial" w:cs="Arial"/>
                <w:b/>
                <w:bCs/>
                <w:color w:val="FFFFFF"/>
                <w:sz w:val="20"/>
              </w:rPr>
            </w:pPr>
            <w:proofErr w:type="spellStart"/>
            <w:r w:rsidRPr="00C3121E">
              <w:rPr>
                <w:rFonts w:ascii="Arial" w:hAnsi="Arial" w:cs="Arial"/>
                <w:b/>
                <w:bCs/>
                <w:color w:val="FFFFFF"/>
                <w:sz w:val="20"/>
                <w:szCs w:val="22"/>
              </w:rPr>
              <w:t>Sumarios</w:t>
            </w:r>
            <w:proofErr w:type="spellEnd"/>
          </w:p>
        </w:tc>
        <w:tc>
          <w:tcPr>
            <w:tcW w:w="1409" w:type="dxa"/>
            <w:vMerge w:val="restart"/>
            <w:tcBorders>
              <w:top w:val="single" w:sz="8" w:space="0" w:color="auto"/>
              <w:left w:val="single" w:sz="8" w:space="0" w:color="auto"/>
              <w:bottom w:val="single" w:sz="8" w:space="0" w:color="000000"/>
              <w:right w:val="single" w:sz="8" w:space="0" w:color="auto"/>
            </w:tcBorders>
            <w:shd w:val="clear" w:color="auto" w:fill="679BBC" w:themeFill="text1" w:themeFillTint="80"/>
            <w:noWrap/>
            <w:vAlign w:val="center"/>
            <w:hideMark/>
          </w:tcPr>
          <w:p w14:paraId="6D3C5C4A" w14:textId="77777777" w:rsidR="00875D0D" w:rsidRPr="00C3121E" w:rsidRDefault="00875D0D" w:rsidP="00C3121E">
            <w:pPr>
              <w:jc w:val="center"/>
              <w:rPr>
                <w:rFonts w:ascii="Arial" w:hAnsi="Arial" w:cs="Arial"/>
                <w:b/>
                <w:bCs/>
                <w:color w:val="FFFFFF"/>
                <w:sz w:val="20"/>
              </w:rPr>
            </w:pPr>
            <w:proofErr w:type="spellStart"/>
            <w:r w:rsidRPr="00C3121E">
              <w:rPr>
                <w:rFonts w:ascii="Arial" w:hAnsi="Arial" w:cs="Arial"/>
                <w:b/>
                <w:bCs/>
                <w:color w:val="FFFFFF"/>
                <w:sz w:val="20"/>
                <w:szCs w:val="22"/>
              </w:rPr>
              <w:t>Porcentaje</w:t>
            </w:r>
            <w:proofErr w:type="spellEnd"/>
          </w:p>
        </w:tc>
      </w:tr>
      <w:tr w:rsidR="00875D0D" w:rsidRPr="00C3121E" w14:paraId="65054C40" w14:textId="77777777" w:rsidTr="006E1943">
        <w:trPr>
          <w:trHeight w:val="263"/>
        </w:trPr>
        <w:tc>
          <w:tcPr>
            <w:tcW w:w="4931" w:type="dxa"/>
            <w:tcBorders>
              <w:top w:val="single" w:sz="8" w:space="0" w:color="auto"/>
              <w:left w:val="single" w:sz="8" w:space="0" w:color="auto"/>
              <w:bottom w:val="single" w:sz="8" w:space="0" w:color="auto"/>
              <w:right w:val="single" w:sz="8" w:space="0" w:color="auto"/>
            </w:tcBorders>
            <w:shd w:val="clear" w:color="000000" w:fill="679BBC" w:themeFill="text1" w:themeFillTint="80"/>
            <w:noWrap/>
            <w:vAlign w:val="center"/>
            <w:hideMark/>
          </w:tcPr>
          <w:p w14:paraId="7D00E687" w14:textId="77777777" w:rsidR="00875D0D" w:rsidRPr="00C3121E" w:rsidRDefault="00875D0D" w:rsidP="00C3121E">
            <w:pPr>
              <w:jc w:val="center"/>
              <w:rPr>
                <w:rFonts w:ascii="Arial" w:hAnsi="Arial" w:cs="Arial"/>
                <w:b/>
                <w:bCs/>
                <w:color w:val="FFFFFF"/>
                <w:sz w:val="20"/>
              </w:rPr>
            </w:pPr>
            <w:r w:rsidRPr="00C3121E">
              <w:rPr>
                <w:rFonts w:ascii="Arial" w:hAnsi="Arial" w:cs="Arial"/>
                <w:b/>
                <w:bCs/>
                <w:color w:val="FFFFFF"/>
                <w:sz w:val="20"/>
                <w:szCs w:val="22"/>
              </w:rPr>
              <w:t>Ciudad</w:t>
            </w:r>
          </w:p>
        </w:tc>
        <w:tc>
          <w:tcPr>
            <w:tcW w:w="1408" w:type="dxa"/>
            <w:tcBorders>
              <w:top w:val="nil"/>
              <w:left w:val="nil"/>
              <w:bottom w:val="single" w:sz="8" w:space="0" w:color="auto"/>
              <w:right w:val="single" w:sz="8" w:space="0" w:color="auto"/>
            </w:tcBorders>
            <w:shd w:val="clear" w:color="auto" w:fill="679BBC" w:themeFill="text1" w:themeFillTint="80"/>
            <w:noWrap/>
            <w:vAlign w:val="center"/>
            <w:hideMark/>
          </w:tcPr>
          <w:p w14:paraId="2698CBDF" w14:textId="77777777" w:rsidR="00875D0D" w:rsidRPr="00C3121E" w:rsidRDefault="00875D0D" w:rsidP="00C3121E">
            <w:pPr>
              <w:jc w:val="center"/>
              <w:rPr>
                <w:rFonts w:ascii="Arial" w:hAnsi="Arial" w:cs="Arial"/>
                <w:b/>
                <w:bCs/>
                <w:color w:val="FFFFFF"/>
                <w:sz w:val="20"/>
              </w:rPr>
            </w:pPr>
            <w:proofErr w:type="spellStart"/>
            <w:r w:rsidRPr="00C3121E">
              <w:rPr>
                <w:rFonts w:ascii="Arial" w:hAnsi="Arial" w:cs="Arial"/>
                <w:b/>
                <w:bCs/>
                <w:color w:val="FFFFFF"/>
                <w:sz w:val="20"/>
                <w:szCs w:val="22"/>
              </w:rPr>
              <w:t>Tramitados</w:t>
            </w:r>
            <w:proofErr w:type="spellEnd"/>
          </w:p>
        </w:tc>
        <w:tc>
          <w:tcPr>
            <w:tcW w:w="1409" w:type="dxa"/>
            <w:vMerge/>
            <w:tcBorders>
              <w:top w:val="single" w:sz="8" w:space="0" w:color="auto"/>
              <w:left w:val="single" w:sz="8" w:space="0" w:color="auto"/>
              <w:bottom w:val="single" w:sz="8" w:space="0" w:color="000000"/>
              <w:right w:val="single" w:sz="8" w:space="0" w:color="auto"/>
            </w:tcBorders>
            <w:shd w:val="clear" w:color="auto" w:fill="679BBC" w:themeFill="text1" w:themeFillTint="80"/>
            <w:vAlign w:val="center"/>
            <w:hideMark/>
          </w:tcPr>
          <w:p w14:paraId="4ED1E32E" w14:textId="77777777" w:rsidR="00875D0D" w:rsidRPr="00C3121E" w:rsidRDefault="00875D0D" w:rsidP="00C3121E">
            <w:pPr>
              <w:rPr>
                <w:rFonts w:ascii="Arial" w:hAnsi="Arial" w:cs="Arial"/>
                <w:b/>
                <w:bCs/>
                <w:color w:val="FFFFFF"/>
                <w:sz w:val="20"/>
              </w:rPr>
            </w:pPr>
          </w:p>
        </w:tc>
      </w:tr>
      <w:tr w:rsidR="00B10892" w:rsidRPr="00C3121E" w14:paraId="3A9FAA9E"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hideMark/>
          </w:tcPr>
          <w:p w14:paraId="174B2CB6" w14:textId="470DDF3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Ciudad de México</w:t>
            </w:r>
          </w:p>
        </w:tc>
        <w:tc>
          <w:tcPr>
            <w:tcW w:w="1408" w:type="dxa"/>
            <w:tcBorders>
              <w:top w:val="nil"/>
              <w:left w:val="nil"/>
              <w:bottom w:val="single" w:sz="8" w:space="0" w:color="auto"/>
              <w:right w:val="single" w:sz="8" w:space="0" w:color="auto"/>
            </w:tcBorders>
            <w:noWrap/>
            <w:vAlign w:val="bottom"/>
          </w:tcPr>
          <w:p w14:paraId="39FF0674" w14:textId="7404755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10,545</w:t>
            </w:r>
          </w:p>
        </w:tc>
        <w:tc>
          <w:tcPr>
            <w:tcW w:w="1409" w:type="dxa"/>
            <w:tcBorders>
              <w:top w:val="nil"/>
              <w:left w:val="nil"/>
              <w:bottom w:val="single" w:sz="8" w:space="0" w:color="auto"/>
              <w:right w:val="single" w:sz="8" w:space="0" w:color="auto"/>
            </w:tcBorders>
            <w:noWrap/>
            <w:vAlign w:val="bottom"/>
          </w:tcPr>
          <w:p w14:paraId="07A75CCC" w14:textId="625B3589"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76.24%</w:t>
            </w:r>
          </w:p>
        </w:tc>
      </w:tr>
      <w:tr w:rsidR="00B10892" w:rsidRPr="00C3121E" w14:paraId="627966D7"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1A614532" w14:textId="0634232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Tlaxcala, </w:t>
            </w:r>
            <w:proofErr w:type="spellStart"/>
            <w:r w:rsidRPr="00B10892">
              <w:rPr>
                <w:rFonts w:asciiTheme="minorHAnsi" w:hAnsiTheme="minorHAnsi" w:cstheme="minorHAnsi"/>
                <w:sz w:val="20"/>
                <w:szCs w:val="20"/>
              </w:rPr>
              <w:t>Tlax</w:t>
            </w:r>
            <w:proofErr w:type="spellEnd"/>
            <w:r w:rsidRPr="00B10892">
              <w:rPr>
                <w:rFonts w:asciiTheme="minorHAnsi" w:hAnsiTheme="minorHAnsi" w:cstheme="minorHAnsi"/>
                <w:sz w:val="20"/>
                <w:szCs w:val="20"/>
              </w:rPr>
              <w:t>.</w:t>
            </w:r>
          </w:p>
        </w:tc>
        <w:tc>
          <w:tcPr>
            <w:tcW w:w="1408" w:type="dxa"/>
            <w:tcBorders>
              <w:top w:val="nil"/>
              <w:left w:val="nil"/>
              <w:bottom w:val="single" w:sz="8" w:space="0" w:color="auto"/>
              <w:right w:val="single" w:sz="8" w:space="0" w:color="auto"/>
            </w:tcBorders>
            <w:noWrap/>
            <w:vAlign w:val="bottom"/>
          </w:tcPr>
          <w:p w14:paraId="20A841D1" w14:textId="3E9D870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348</w:t>
            </w:r>
          </w:p>
        </w:tc>
        <w:tc>
          <w:tcPr>
            <w:tcW w:w="1409" w:type="dxa"/>
            <w:tcBorders>
              <w:top w:val="nil"/>
              <w:left w:val="nil"/>
              <w:bottom w:val="single" w:sz="8" w:space="0" w:color="auto"/>
              <w:right w:val="single" w:sz="8" w:space="0" w:color="auto"/>
            </w:tcBorders>
            <w:noWrap/>
            <w:vAlign w:val="bottom"/>
          </w:tcPr>
          <w:p w14:paraId="71F1C0AB" w14:textId="464E9DC9"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2.52%</w:t>
            </w:r>
          </w:p>
        </w:tc>
      </w:tr>
      <w:tr w:rsidR="00B10892" w:rsidRPr="00C3121E" w14:paraId="1E4F28F8"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666B36B8" w14:textId="39399DBE"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Cancún, Q. Roo</w:t>
            </w:r>
          </w:p>
        </w:tc>
        <w:tc>
          <w:tcPr>
            <w:tcW w:w="1408" w:type="dxa"/>
            <w:tcBorders>
              <w:top w:val="nil"/>
              <w:left w:val="nil"/>
              <w:bottom w:val="single" w:sz="8" w:space="0" w:color="auto"/>
              <w:right w:val="single" w:sz="8" w:space="0" w:color="auto"/>
            </w:tcBorders>
            <w:noWrap/>
            <w:vAlign w:val="bottom"/>
          </w:tcPr>
          <w:p w14:paraId="3A1F3146" w14:textId="36C1109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290</w:t>
            </w:r>
          </w:p>
        </w:tc>
        <w:tc>
          <w:tcPr>
            <w:tcW w:w="1409" w:type="dxa"/>
            <w:tcBorders>
              <w:top w:val="nil"/>
              <w:left w:val="nil"/>
              <w:bottom w:val="single" w:sz="8" w:space="0" w:color="auto"/>
              <w:right w:val="single" w:sz="8" w:space="0" w:color="auto"/>
            </w:tcBorders>
            <w:noWrap/>
            <w:vAlign w:val="bottom"/>
          </w:tcPr>
          <w:p w14:paraId="59B20AA4" w14:textId="432D554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2.10%</w:t>
            </w:r>
          </w:p>
        </w:tc>
      </w:tr>
      <w:tr w:rsidR="00B10892" w:rsidRPr="00C3121E" w14:paraId="2D32D2F5"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5DE38171" w14:textId="29819F6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Zacatecas, Zac.</w:t>
            </w:r>
          </w:p>
        </w:tc>
        <w:tc>
          <w:tcPr>
            <w:tcW w:w="1408" w:type="dxa"/>
            <w:tcBorders>
              <w:top w:val="nil"/>
              <w:left w:val="nil"/>
              <w:bottom w:val="single" w:sz="8" w:space="0" w:color="auto"/>
              <w:right w:val="single" w:sz="8" w:space="0" w:color="auto"/>
            </w:tcBorders>
            <w:noWrap/>
            <w:vAlign w:val="bottom"/>
          </w:tcPr>
          <w:p w14:paraId="7BE9B399" w14:textId="2B4C26E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261</w:t>
            </w:r>
          </w:p>
        </w:tc>
        <w:tc>
          <w:tcPr>
            <w:tcW w:w="1409" w:type="dxa"/>
            <w:tcBorders>
              <w:top w:val="nil"/>
              <w:left w:val="nil"/>
              <w:bottom w:val="single" w:sz="8" w:space="0" w:color="auto"/>
              <w:right w:val="single" w:sz="8" w:space="0" w:color="auto"/>
            </w:tcBorders>
            <w:noWrap/>
            <w:vAlign w:val="bottom"/>
          </w:tcPr>
          <w:p w14:paraId="4F9BF5D5" w14:textId="1CC3BD4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1.89%</w:t>
            </w:r>
          </w:p>
        </w:tc>
      </w:tr>
      <w:tr w:rsidR="00B10892" w:rsidRPr="00C3121E" w14:paraId="7E57AF24"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11D3CE09" w14:textId="0DCC7FFD"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Aguascalientes, </w:t>
            </w:r>
            <w:proofErr w:type="spellStart"/>
            <w:r w:rsidRPr="00B10892">
              <w:rPr>
                <w:rFonts w:asciiTheme="minorHAnsi" w:hAnsiTheme="minorHAnsi" w:cstheme="minorHAnsi"/>
                <w:sz w:val="20"/>
                <w:szCs w:val="20"/>
              </w:rPr>
              <w:t>Ags</w:t>
            </w:r>
            <w:proofErr w:type="spellEnd"/>
          </w:p>
        </w:tc>
        <w:tc>
          <w:tcPr>
            <w:tcW w:w="1408" w:type="dxa"/>
            <w:tcBorders>
              <w:top w:val="nil"/>
              <w:left w:val="nil"/>
              <w:bottom w:val="single" w:sz="8" w:space="0" w:color="auto"/>
              <w:right w:val="single" w:sz="8" w:space="0" w:color="auto"/>
            </w:tcBorders>
            <w:noWrap/>
            <w:vAlign w:val="bottom"/>
          </w:tcPr>
          <w:p w14:paraId="0593D842" w14:textId="0FFCE93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222</w:t>
            </w:r>
          </w:p>
        </w:tc>
        <w:tc>
          <w:tcPr>
            <w:tcW w:w="1409" w:type="dxa"/>
            <w:tcBorders>
              <w:top w:val="nil"/>
              <w:left w:val="nil"/>
              <w:bottom w:val="single" w:sz="8" w:space="0" w:color="auto"/>
              <w:right w:val="single" w:sz="8" w:space="0" w:color="auto"/>
            </w:tcBorders>
            <w:noWrap/>
            <w:vAlign w:val="bottom"/>
          </w:tcPr>
          <w:p w14:paraId="13DC1D2B" w14:textId="093752D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1.61%</w:t>
            </w:r>
          </w:p>
        </w:tc>
      </w:tr>
      <w:tr w:rsidR="00B10892" w:rsidRPr="00C3121E" w14:paraId="11614747"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04E704F2" w14:textId="701201ED"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Toluca, Edo. de Mex.</w:t>
            </w:r>
          </w:p>
        </w:tc>
        <w:tc>
          <w:tcPr>
            <w:tcW w:w="1408" w:type="dxa"/>
            <w:tcBorders>
              <w:top w:val="nil"/>
              <w:left w:val="nil"/>
              <w:bottom w:val="single" w:sz="8" w:space="0" w:color="auto"/>
              <w:right w:val="single" w:sz="8" w:space="0" w:color="auto"/>
            </w:tcBorders>
            <w:noWrap/>
            <w:vAlign w:val="bottom"/>
          </w:tcPr>
          <w:p w14:paraId="2DB57DF9" w14:textId="32958DBF"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215</w:t>
            </w:r>
          </w:p>
        </w:tc>
        <w:tc>
          <w:tcPr>
            <w:tcW w:w="1409" w:type="dxa"/>
            <w:tcBorders>
              <w:top w:val="nil"/>
              <w:left w:val="nil"/>
              <w:bottom w:val="single" w:sz="8" w:space="0" w:color="auto"/>
              <w:right w:val="single" w:sz="8" w:space="0" w:color="auto"/>
            </w:tcBorders>
            <w:noWrap/>
            <w:vAlign w:val="bottom"/>
          </w:tcPr>
          <w:p w14:paraId="26AE8CEE" w14:textId="701DA0B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1.55%</w:t>
            </w:r>
          </w:p>
        </w:tc>
      </w:tr>
      <w:tr w:rsidR="00B10892" w:rsidRPr="00C3121E" w14:paraId="40D9EB51"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5BF826D7" w14:textId="517D154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Campeche, Camp.</w:t>
            </w:r>
          </w:p>
        </w:tc>
        <w:tc>
          <w:tcPr>
            <w:tcW w:w="1408" w:type="dxa"/>
            <w:tcBorders>
              <w:top w:val="nil"/>
              <w:left w:val="nil"/>
              <w:bottom w:val="single" w:sz="8" w:space="0" w:color="auto"/>
              <w:right w:val="single" w:sz="8" w:space="0" w:color="auto"/>
            </w:tcBorders>
            <w:noWrap/>
            <w:vAlign w:val="bottom"/>
          </w:tcPr>
          <w:p w14:paraId="59F6DAD9" w14:textId="090FE635"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206</w:t>
            </w:r>
          </w:p>
        </w:tc>
        <w:tc>
          <w:tcPr>
            <w:tcW w:w="1409" w:type="dxa"/>
            <w:tcBorders>
              <w:top w:val="nil"/>
              <w:left w:val="nil"/>
              <w:bottom w:val="single" w:sz="8" w:space="0" w:color="auto"/>
              <w:right w:val="single" w:sz="8" w:space="0" w:color="auto"/>
            </w:tcBorders>
            <w:noWrap/>
            <w:vAlign w:val="bottom"/>
          </w:tcPr>
          <w:p w14:paraId="6E36A161" w14:textId="73C8FE7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1.49%</w:t>
            </w:r>
          </w:p>
        </w:tc>
      </w:tr>
      <w:tr w:rsidR="00B10892" w:rsidRPr="00C3121E" w14:paraId="0D66E396"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03255D9E" w14:textId="3472743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Morelia, Mich.</w:t>
            </w:r>
          </w:p>
        </w:tc>
        <w:tc>
          <w:tcPr>
            <w:tcW w:w="1408" w:type="dxa"/>
            <w:tcBorders>
              <w:top w:val="nil"/>
              <w:left w:val="nil"/>
              <w:bottom w:val="single" w:sz="8" w:space="0" w:color="auto"/>
              <w:right w:val="single" w:sz="8" w:space="0" w:color="auto"/>
            </w:tcBorders>
            <w:noWrap/>
            <w:vAlign w:val="bottom"/>
          </w:tcPr>
          <w:p w14:paraId="4B852C0C" w14:textId="2171D74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186</w:t>
            </w:r>
          </w:p>
        </w:tc>
        <w:tc>
          <w:tcPr>
            <w:tcW w:w="1409" w:type="dxa"/>
            <w:tcBorders>
              <w:top w:val="nil"/>
              <w:left w:val="nil"/>
              <w:bottom w:val="single" w:sz="8" w:space="0" w:color="auto"/>
              <w:right w:val="single" w:sz="8" w:space="0" w:color="auto"/>
            </w:tcBorders>
            <w:noWrap/>
            <w:vAlign w:val="bottom"/>
          </w:tcPr>
          <w:p w14:paraId="4EF7A44C" w14:textId="1ED996D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1.34%</w:t>
            </w:r>
          </w:p>
        </w:tc>
      </w:tr>
      <w:tr w:rsidR="00B10892" w:rsidRPr="00C3121E" w14:paraId="637629E1"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3F359B27" w14:textId="7E45A76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La Paz, B.C.S.</w:t>
            </w:r>
          </w:p>
        </w:tc>
        <w:tc>
          <w:tcPr>
            <w:tcW w:w="1408" w:type="dxa"/>
            <w:tcBorders>
              <w:top w:val="nil"/>
              <w:left w:val="nil"/>
              <w:bottom w:val="single" w:sz="8" w:space="0" w:color="auto"/>
              <w:right w:val="single" w:sz="8" w:space="0" w:color="auto"/>
            </w:tcBorders>
            <w:noWrap/>
            <w:vAlign w:val="bottom"/>
          </w:tcPr>
          <w:p w14:paraId="068E00B6" w14:textId="67A4C6F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150</w:t>
            </w:r>
          </w:p>
        </w:tc>
        <w:tc>
          <w:tcPr>
            <w:tcW w:w="1409" w:type="dxa"/>
            <w:tcBorders>
              <w:top w:val="nil"/>
              <w:left w:val="nil"/>
              <w:bottom w:val="single" w:sz="8" w:space="0" w:color="auto"/>
              <w:right w:val="single" w:sz="8" w:space="0" w:color="auto"/>
            </w:tcBorders>
            <w:noWrap/>
            <w:vAlign w:val="bottom"/>
          </w:tcPr>
          <w:p w14:paraId="10BDFBEB" w14:textId="2A66837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1.08%</w:t>
            </w:r>
          </w:p>
        </w:tc>
      </w:tr>
      <w:tr w:rsidR="00B10892" w:rsidRPr="00C3121E" w14:paraId="6239C0D2"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47318FD4" w14:textId="3F1FD02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Tepic, Nay. </w:t>
            </w:r>
          </w:p>
        </w:tc>
        <w:tc>
          <w:tcPr>
            <w:tcW w:w="1408" w:type="dxa"/>
            <w:tcBorders>
              <w:top w:val="nil"/>
              <w:left w:val="nil"/>
              <w:bottom w:val="single" w:sz="8" w:space="0" w:color="auto"/>
              <w:right w:val="single" w:sz="8" w:space="0" w:color="auto"/>
            </w:tcBorders>
            <w:noWrap/>
            <w:vAlign w:val="bottom"/>
          </w:tcPr>
          <w:p w14:paraId="536791DB" w14:textId="4C1CC19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147</w:t>
            </w:r>
          </w:p>
        </w:tc>
        <w:tc>
          <w:tcPr>
            <w:tcW w:w="1409" w:type="dxa"/>
            <w:tcBorders>
              <w:top w:val="nil"/>
              <w:left w:val="nil"/>
              <w:bottom w:val="single" w:sz="8" w:space="0" w:color="auto"/>
              <w:right w:val="single" w:sz="8" w:space="0" w:color="auto"/>
            </w:tcBorders>
            <w:noWrap/>
            <w:vAlign w:val="bottom"/>
          </w:tcPr>
          <w:p w14:paraId="4753503B" w14:textId="132398DD"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1.06%</w:t>
            </w:r>
          </w:p>
        </w:tc>
      </w:tr>
      <w:tr w:rsidR="00B10892" w:rsidRPr="00C3121E" w14:paraId="423936A2"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5CA72CE0" w14:textId="7EC5A69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Mazatlán, Sin.</w:t>
            </w:r>
          </w:p>
        </w:tc>
        <w:tc>
          <w:tcPr>
            <w:tcW w:w="1408" w:type="dxa"/>
            <w:tcBorders>
              <w:top w:val="nil"/>
              <w:left w:val="nil"/>
              <w:bottom w:val="single" w:sz="8" w:space="0" w:color="auto"/>
              <w:right w:val="single" w:sz="8" w:space="0" w:color="auto"/>
            </w:tcBorders>
            <w:noWrap/>
            <w:vAlign w:val="bottom"/>
          </w:tcPr>
          <w:p w14:paraId="14717F7E" w14:textId="0774628E"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132</w:t>
            </w:r>
          </w:p>
        </w:tc>
        <w:tc>
          <w:tcPr>
            <w:tcW w:w="1409" w:type="dxa"/>
            <w:tcBorders>
              <w:top w:val="nil"/>
              <w:left w:val="nil"/>
              <w:bottom w:val="single" w:sz="8" w:space="0" w:color="auto"/>
              <w:right w:val="single" w:sz="8" w:space="0" w:color="auto"/>
            </w:tcBorders>
            <w:noWrap/>
            <w:vAlign w:val="bottom"/>
          </w:tcPr>
          <w:p w14:paraId="6134D0C0" w14:textId="6475EEB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0.95%</w:t>
            </w:r>
          </w:p>
        </w:tc>
      </w:tr>
      <w:tr w:rsidR="00B10892" w:rsidRPr="00C3121E" w14:paraId="0898FED0"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27F1B95F" w14:textId="0A57C20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Pachuca, </w:t>
            </w:r>
            <w:proofErr w:type="spellStart"/>
            <w:r w:rsidRPr="00B10892">
              <w:rPr>
                <w:rFonts w:asciiTheme="minorHAnsi" w:hAnsiTheme="minorHAnsi" w:cstheme="minorHAnsi"/>
                <w:sz w:val="20"/>
                <w:szCs w:val="20"/>
              </w:rPr>
              <w:t>Hgo</w:t>
            </w:r>
            <w:proofErr w:type="spellEnd"/>
            <w:r w:rsidRPr="00B10892">
              <w:rPr>
                <w:rFonts w:asciiTheme="minorHAnsi" w:hAnsiTheme="minorHAnsi" w:cstheme="minorHAnsi"/>
                <w:sz w:val="20"/>
                <w:szCs w:val="20"/>
              </w:rPr>
              <w:t xml:space="preserve">. </w:t>
            </w:r>
          </w:p>
        </w:tc>
        <w:tc>
          <w:tcPr>
            <w:tcW w:w="1408" w:type="dxa"/>
            <w:tcBorders>
              <w:top w:val="nil"/>
              <w:left w:val="nil"/>
              <w:bottom w:val="single" w:sz="8" w:space="0" w:color="auto"/>
              <w:right w:val="single" w:sz="8" w:space="0" w:color="auto"/>
            </w:tcBorders>
            <w:noWrap/>
            <w:vAlign w:val="bottom"/>
          </w:tcPr>
          <w:p w14:paraId="7F614727" w14:textId="3459C0E9"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119</w:t>
            </w:r>
          </w:p>
        </w:tc>
        <w:tc>
          <w:tcPr>
            <w:tcW w:w="1409" w:type="dxa"/>
            <w:tcBorders>
              <w:top w:val="nil"/>
              <w:left w:val="nil"/>
              <w:bottom w:val="single" w:sz="8" w:space="0" w:color="auto"/>
              <w:right w:val="single" w:sz="8" w:space="0" w:color="auto"/>
            </w:tcBorders>
            <w:noWrap/>
            <w:vAlign w:val="bottom"/>
          </w:tcPr>
          <w:p w14:paraId="51F3949C" w14:textId="2E8D28F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0.86%</w:t>
            </w:r>
          </w:p>
        </w:tc>
      </w:tr>
      <w:tr w:rsidR="00B10892" w:rsidRPr="00C3121E" w14:paraId="280909FF"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707438BE" w14:textId="608C3BB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Tuxtla Gutiérrez, Chis.</w:t>
            </w:r>
          </w:p>
        </w:tc>
        <w:tc>
          <w:tcPr>
            <w:tcW w:w="1408" w:type="dxa"/>
            <w:tcBorders>
              <w:top w:val="nil"/>
              <w:left w:val="nil"/>
              <w:bottom w:val="single" w:sz="8" w:space="0" w:color="auto"/>
              <w:right w:val="single" w:sz="8" w:space="0" w:color="auto"/>
            </w:tcBorders>
            <w:noWrap/>
            <w:vAlign w:val="bottom"/>
          </w:tcPr>
          <w:p w14:paraId="35B1C04B" w14:textId="5200ABD5"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96</w:t>
            </w:r>
          </w:p>
        </w:tc>
        <w:tc>
          <w:tcPr>
            <w:tcW w:w="1409" w:type="dxa"/>
            <w:tcBorders>
              <w:top w:val="nil"/>
              <w:left w:val="nil"/>
              <w:bottom w:val="single" w:sz="8" w:space="0" w:color="auto"/>
              <w:right w:val="single" w:sz="8" w:space="0" w:color="auto"/>
            </w:tcBorders>
            <w:noWrap/>
            <w:vAlign w:val="bottom"/>
          </w:tcPr>
          <w:p w14:paraId="7F2ACD0B" w14:textId="18D1623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0.69%</w:t>
            </w:r>
          </w:p>
        </w:tc>
      </w:tr>
      <w:tr w:rsidR="00B10892" w:rsidRPr="00C3121E" w14:paraId="6F6BF6A6"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7DD13DCC" w14:textId="1477AEE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Saltillo, </w:t>
            </w:r>
            <w:proofErr w:type="spellStart"/>
            <w:r w:rsidRPr="00B10892">
              <w:rPr>
                <w:rFonts w:asciiTheme="minorHAnsi" w:hAnsiTheme="minorHAnsi" w:cstheme="minorHAnsi"/>
                <w:sz w:val="20"/>
                <w:szCs w:val="20"/>
              </w:rPr>
              <w:t>Coah</w:t>
            </w:r>
            <w:proofErr w:type="spellEnd"/>
            <w:r w:rsidRPr="00B10892">
              <w:rPr>
                <w:rFonts w:asciiTheme="minorHAnsi" w:hAnsiTheme="minorHAnsi" w:cstheme="minorHAnsi"/>
                <w:sz w:val="20"/>
                <w:szCs w:val="20"/>
              </w:rPr>
              <w:t>.</w:t>
            </w:r>
          </w:p>
        </w:tc>
        <w:tc>
          <w:tcPr>
            <w:tcW w:w="1408" w:type="dxa"/>
            <w:tcBorders>
              <w:top w:val="nil"/>
              <w:left w:val="nil"/>
              <w:bottom w:val="single" w:sz="8" w:space="0" w:color="auto"/>
              <w:right w:val="single" w:sz="8" w:space="0" w:color="auto"/>
            </w:tcBorders>
            <w:noWrap/>
            <w:vAlign w:val="bottom"/>
          </w:tcPr>
          <w:p w14:paraId="5F3CA3DC" w14:textId="30557C7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94</w:t>
            </w:r>
          </w:p>
        </w:tc>
        <w:tc>
          <w:tcPr>
            <w:tcW w:w="1409" w:type="dxa"/>
            <w:tcBorders>
              <w:top w:val="nil"/>
              <w:left w:val="nil"/>
              <w:bottom w:val="single" w:sz="8" w:space="0" w:color="auto"/>
              <w:right w:val="single" w:sz="8" w:space="0" w:color="auto"/>
            </w:tcBorders>
            <w:noWrap/>
            <w:vAlign w:val="bottom"/>
          </w:tcPr>
          <w:p w14:paraId="3467065D" w14:textId="6ED4C02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0.68%</w:t>
            </w:r>
          </w:p>
        </w:tc>
      </w:tr>
      <w:tr w:rsidR="00B10892" w:rsidRPr="00C3121E" w14:paraId="6436526A"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1BE2287B" w14:textId="6AA4605D"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Guadalajara, Jal.</w:t>
            </w:r>
          </w:p>
        </w:tc>
        <w:tc>
          <w:tcPr>
            <w:tcW w:w="1408" w:type="dxa"/>
            <w:tcBorders>
              <w:top w:val="nil"/>
              <w:left w:val="nil"/>
              <w:bottom w:val="single" w:sz="8" w:space="0" w:color="auto"/>
              <w:right w:val="single" w:sz="8" w:space="0" w:color="auto"/>
            </w:tcBorders>
            <w:noWrap/>
            <w:vAlign w:val="bottom"/>
          </w:tcPr>
          <w:p w14:paraId="4E37B8FF" w14:textId="29482FE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82</w:t>
            </w:r>
          </w:p>
        </w:tc>
        <w:tc>
          <w:tcPr>
            <w:tcW w:w="1409" w:type="dxa"/>
            <w:tcBorders>
              <w:top w:val="nil"/>
              <w:left w:val="nil"/>
              <w:bottom w:val="single" w:sz="8" w:space="0" w:color="auto"/>
              <w:right w:val="single" w:sz="8" w:space="0" w:color="auto"/>
            </w:tcBorders>
            <w:noWrap/>
            <w:vAlign w:val="bottom"/>
          </w:tcPr>
          <w:p w14:paraId="4AC0DEF6" w14:textId="248FD18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0.59%</w:t>
            </w:r>
          </w:p>
        </w:tc>
      </w:tr>
      <w:tr w:rsidR="00B10892" w:rsidRPr="00C3121E" w14:paraId="4EDD94D5"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13049E8D" w14:textId="1C8EB12A"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Colima, Col.</w:t>
            </w:r>
          </w:p>
        </w:tc>
        <w:tc>
          <w:tcPr>
            <w:tcW w:w="1408" w:type="dxa"/>
            <w:tcBorders>
              <w:top w:val="nil"/>
              <w:left w:val="nil"/>
              <w:bottom w:val="single" w:sz="8" w:space="0" w:color="auto"/>
              <w:right w:val="single" w:sz="8" w:space="0" w:color="auto"/>
            </w:tcBorders>
            <w:noWrap/>
            <w:vAlign w:val="bottom"/>
          </w:tcPr>
          <w:p w14:paraId="33434C3C" w14:textId="1A788EEE"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62</w:t>
            </w:r>
          </w:p>
        </w:tc>
        <w:tc>
          <w:tcPr>
            <w:tcW w:w="1409" w:type="dxa"/>
            <w:tcBorders>
              <w:top w:val="nil"/>
              <w:left w:val="nil"/>
              <w:bottom w:val="single" w:sz="8" w:space="0" w:color="auto"/>
              <w:right w:val="single" w:sz="8" w:space="0" w:color="auto"/>
            </w:tcBorders>
            <w:noWrap/>
            <w:vAlign w:val="bottom"/>
          </w:tcPr>
          <w:p w14:paraId="37D05870" w14:textId="69581E7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0.45%</w:t>
            </w:r>
          </w:p>
        </w:tc>
      </w:tr>
      <w:tr w:rsidR="00B10892" w:rsidRPr="00C3121E" w14:paraId="710BD7DE"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25A3888C" w14:textId="1DC02CBF"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Querétaro, </w:t>
            </w:r>
            <w:proofErr w:type="spellStart"/>
            <w:r w:rsidRPr="00B10892">
              <w:rPr>
                <w:rFonts w:asciiTheme="minorHAnsi" w:hAnsiTheme="minorHAnsi" w:cstheme="minorHAnsi"/>
                <w:sz w:val="20"/>
                <w:szCs w:val="20"/>
              </w:rPr>
              <w:t>Qro</w:t>
            </w:r>
            <w:proofErr w:type="spellEnd"/>
            <w:r w:rsidRPr="00B10892">
              <w:rPr>
                <w:rFonts w:asciiTheme="minorHAnsi" w:hAnsiTheme="minorHAnsi" w:cstheme="minorHAnsi"/>
                <w:sz w:val="20"/>
                <w:szCs w:val="20"/>
              </w:rPr>
              <w:t>.</w:t>
            </w:r>
          </w:p>
        </w:tc>
        <w:tc>
          <w:tcPr>
            <w:tcW w:w="1408" w:type="dxa"/>
            <w:tcBorders>
              <w:top w:val="nil"/>
              <w:left w:val="nil"/>
              <w:bottom w:val="single" w:sz="8" w:space="0" w:color="auto"/>
              <w:right w:val="single" w:sz="8" w:space="0" w:color="auto"/>
            </w:tcBorders>
            <w:noWrap/>
            <w:vAlign w:val="bottom"/>
          </w:tcPr>
          <w:p w14:paraId="0DBA1C2F" w14:textId="2F02A03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58</w:t>
            </w:r>
          </w:p>
        </w:tc>
        <w:tc>
          <w:tcPr>
            <w:tcW w:w="1409" w:type="dxa"/>
            <w:tcBorders>
              <w:top w:val="nil"/>
              <w:left w:val="nil"/>
              <w:bottom w:val="single" w:sz="8" w:space="0" w:color="auto"/>
              <w:right w:val="single" w:sz="8" w:space="0" w:color="auto"/>
            </w:tcBorders>
            <w:noWrap/>
            <w:vAlign w:val="bottom"/>
          </w:tcPr>
          <w:p w14:paraId="37D7E8D4" w14:textId="2D88A8DE"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0.42%</w:t>
            </w:r>
          </w:p>
        </w:tc>
      </w:tr>
      <w:tr w:rsidR="00B10892" w:rsidRPr="00C3121E" w14:paraId="34B55658"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6E654B18" w14:textId="4D6F34B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Puebla, Pue.</w:t>
            </w:r>
          </w:p>
        </w:tc>
        <w:tc>
          <w:tcPr>
            <w:tcW w:w="1408" w:type="dxa"/>
            <w:tcBorders>
              <w:top w:val="nil"/>
              <w:left w:val="nil"/>
              <w:bottom w:val="single" w:sz="8" w:space="0" w:color="auto"/>
              <w:right w:val="single" w:sz="8" w:space="0" w:color="auto"/>
            </w:tcBorders>
            <w:noWrap/>
            <w:vAlign w:val="bottom"/>
          </w:tcPr>
          <w:p w14:paraId="3EFEC3D7" w14:textId="7E0F9BE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52</w:t>
            </w:r>
          </w:p>
        </w:tc>
        <w:tc>
          <w:tcPr>
            <w:tcW w:w="1409" w:type="dxa"/>
            <w:tcBorders>
              <w:top w:val="nil"/>
              <w:left w:val="nil"/>
              <w:bottom w:val="single" w:sz="8" w:space="0" w:color="auto"/>
              <w:right w:val="single" w:sz="8" w:space="0" w:color="auto"/>
            </w:tcBorders>
            <w:noWrap/>
            <w:vAlign w:val="bottom"/>
          </w:tcPr>
          <w:p w14:paraId="4EABED24" w14:textId="1F28A35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0.38%</w:t>
            </w:r>
          </w:p>
        </w:tc>
      </w:tr>
      <w:tr w:rsidR="00B10892" w:rsidRPr="00C3121E" w14:paraId="0E6EF7CF" w14:textId="77777777" w:rsidTr="00CC245F">
        <w:trPr>
          <w:trHeight w:val="331"/>
        </w:trPr>
        <w:tc>
          <w:tcPr>
            <w:tcW w:w="4931" w:type="dxa"/>
            <w:tcBorders>
              <w:top w:val="nil"/>
              <w:left w:val="single" w:sz="8" w:space="0" w:color="auto"/>
              <w:bottom w:val="single" w:sz="8" w:space="0" w:color="auto"/>
              <w:right w:val="single" w:sz="8" w:space="0" w:color="auto"/>
            </w:tcBorders>
            <w:noWrap/>
            <w:vAlign w:val="bottom"/>
          </w:tcPr>
          <w:p w14:paraId="2BBE46C3" w14:textId="4C7993C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Ciudad Juárez, Chih.</w:t>
            </w:r>
          </w:p>
        </w:tc>
        <w:tc>
          <w:tcPr>
            <w:tcW w:w="1408" w:type="dxa"/>
            <w:tcBorders>
              <w:top w:val="nil"/>
              <w:left w:val="nil"/>
              <w:bottom w:val="single" w:sz="8" w:space="0" w:color="auto"/>
              <w:right w:val="single" w:sz="8" w:space="0" w:color="auto"/>
            </w:tcBorders>
            <w:noWrap/>
            <w:vAlign w:val="bottom"/>
          </w:tcPr>
          <w:p w14:paraId="3DAD63AF" w14:textId="4704E8D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50</w:t>
            </w:r>
          </w:p>
        </w:tc>
        <w:tc>
          <w:tcPr>
            <w:tcW w:w="1409" w:type="dxa"/>
            <w:tcBorders>
              <w:top w:val="nil"/>
              <w:left w:val="nil"/>
              <w:bottom w:val="single" w:sz="8" w:space="0" w:color="auto"/>
              <w:right w:val="single" w:sz="8" w:space="0" w:color="auto"/>
            </w:tcBorders>
            <w:noWrap/>
            <w:vAlign w:val="bottom"/>
          </w:tcPr>
          <w:p w14:paraId="3FD5F6EF" w14:textId="071545B3"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0.36%</w:t>
            </w:r>
          </w:p>
        </w:tc>
      </w:tr>
    </w:tbl>
    <w:tbl>
      <w:tblPr>
        <w:tblW w:w="7545" w:type="dxa"/>
        <w:tblInd w:w="718" w:type="dxa"/>
        <w:tblCellMar>
          <w:left w:w="70" w:type="dxa"/>
          <w:right w:w="70" w:type="dxa"/>
        </w:tblCellMar>
        <w:tblLook w:val="04A0" w:firstRow="1" w:lastRow="0" w:firstColumn="1" w:lastColumn="0" w:noHBand="0" w:noVBand="1"/>
      </w:tblPr>
      <w:tblGrid>
        <w:gridCol w:w="4796"/>
        <w:gridCol w:w="1246"/>
        <w:gridCol w:w="1503"/>
      </w:tblGrid>
      <w:tr w:rsidR="002D0E84" w:rsidRPr="00C3121E" w14:paraId="1C597D77" w14:textId="77777777" w:rsidTr="006E1943">
        <w:trPr>
          <w:trHeight w:val="254"/>
        </w:trPr>
        <w:tc>
          <w:tcPr>
            <w:tcW w:w="4796" w:type="dxa"/>
            <w:tcBorders>
              <w:top w:val="nil"/>
              <w:left w:val="nil"/>
              <w:bottom w:val="single" w:sz="8" w:space="0" w:color="auto"/>
              <w:right w:val="nil"/>
            </w:tcBorders>
            <w:noWrap/>
            <w:vAlign w:val="bottom"/>
            <w:hideMark/>
          </w:tcPr>
          <w:p w14:paraId="52257087" w14:textId="77777777" w:rsidR="002D0E84" w:rsidRPr="00C3121E" w:rsidRDefault="002D0E84" w:rsidP="00C3121E">
            <w:pPr>
              <w:rPr>
                <w:rFonts w:ascii="Arial" w:hAnsi="Arial" w:cs="Arial"/>
                <w:sz w:val="20"/>
                <w:szCs w:val="20"/>
              </w:rPr>
            </w:pPr>
          </w:p>
        </w:tc>
        <w:tc>
          <w:tcPr>
            <w:tcW w:w="1246" w:type="dxa"/>
            <w:tcBorders>
              <w:top w:val="single" w:sz="8" w:space="0" w:color="auto"/>
              <w:left w:val="single" w:sz="8" w:space="0" w:color="auto"/>
              <w:bottom w:val="nil"/>
              <w:right w:val="single" w:sz="8" w:space="0" w:color="auto"/>
            </w:tcBorders>
            <w:shd w:val="clear" w:color="auto" w:fill="679BBC" w:themeFill="text1" w:themeFillTint="80"/>
            <w:noWrap/>
            <w:vAlign w:val="center"/>
            <w:hideMark/>
          </w:tcPr>
          <w:p w14:paraId="015ACAF5" w14:textId="77777777" w:rsidR="002D0E84" w:rsidRPr="00C3121E" w:rsidRDefault="002D0E84" w:rsidP="00C3121E">
            <w:pPr>
              <w:jc w:val="center"/>
              <w:rPr>
                <w:rFonts w:ascii="Arial" w:hAnsi="Arial" w:cs="Arial"/>
                <w:b/>
                <w:bCs/>
                <w:color w:val="FFFFFF"/>
                <w:sz w:val="20"/>
              </w:rPr>
            </w:pPr>
            <w:proofErr w:type="spellStart"/>
            <w:r w:rsidRPr="00C3121E">
              <w:rPr>
                <w:rFonts w:ascii="Arial" w:hAnsi="Arial" w:cs="Arial"/>
                <w:b/>
                <w:bCs/>
                <w:color w:val="FFFFFF"/>
                <w:sz w:val="20"/>
                <w:szCs w:val="22"/>
              </w:rPr>
              <w:t>Sumarios</w:t>
            </w:r>
            <w:proofErr w:type="spellEnd"/>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679BBC" w:themeFill="text1" w:themeFillTint="80"/>
            <w:noWrap/>
            <w:vAlign w:val="center"/>
            <w:hideMark/>
          </w:tcPr>
          <w:p w14:paraId="1328B94D" w14:textId="77777777" w:rsidR="002D0E84" w:rsidRPr="00C3121E" w:rsidRDefault="002D0E84" w:rsidP="00C3121E">
            <w:pPr>
              <w:jc w:val="center"/>
              <w:rPr>
                <w:rFonts w:ascii="Arial" w:hAnsi="Arial" w:cs="Arial"/>
                <w:b/>
                <w:bCs/>
                <w:color w:val="FFFFFF"/>
                <w:sz w:val="20"/>
              </w:rPr>
            </w:pPr>
            <w:proofErr w:type="spellStart"/>
            <w:r w:rsidRPr="00C3121E">
              <w:rPr>
                <w:rFonts w:ascii="Arial" w:hAnsi="Arial" w:cs="Arial"/>
                <w:b/>
                <w:bCs/>
                <w:color w:val="FFFFFF"/>
                <w:sz w:val="20"/>
                <w:szCs w:val="22"/>
              </w:rPr>
              <w:t>Porcentaje</w:t>
            </w:r>
            <w:proofErr w:type="spellEnd"/>
          </w:p>
        </w:tc>
      </w:tr>
      <w:tr w:rsidR="002D0E84" w:rsidRPr="00C3121E" w14:paraId="1AE4C5F4" w14:textId="77777777" w:rsidTr="006E1943">
        <w:trPr>
          <w:trHeight w:val="254"/>
        </w:trPr>
        <w:tc>
          <w:tcPr>
            <w:tcW w:w="4796" w:type="dxa"/>
            <w:tcBorders>
              <w:top w:val="single" w:sz="8" w:space="0" w:color="auto"/>
              <w:left w:val="single" w:sz="8" w:space="0" w:color="auto"/>
              <w:bottom w:val="single" w:sz="8" w:space="0" w:color="auto"/>
              <w:right w:val="single" w:sz="8" w:space="0" w:color="auto"/>
            </w:tcBorders>
            <w:shd w:val="clear" w:color="000000" w:fill="679BBC" w:themeFill="text1" w:themeFillTint="80"/>
            <w:noWrap/>
            <w:vAlign w:val="center"/>
            <w:hideMark/>
          </w:tcPr>
          <w:p w14:paraId="302F0FF1" w14:textId="77777777" w:rsidR="002D0E84" w:rsidRPr="00C3121E" w:rsidRDefault="002D0E84" w:rsidP="00C3121E">
            <w:pPr>
              <w:jc w:val="center"/>
              <w:rPr>
                <w:rFonts w:ascii="Arial" w:hAnsi="Arial" w:cs="Arial"/>
                <w:b/>
                <w:bCs/>
                <w:color w:val="FFFFFF"/>
                <w:sz w:val="20"/>
              </w:rPr>
            </w:pPr>
            <w:r w:rsidRPr="00C3121E">
              <w:rPr>
                <w:rFonts w:ascii="Arial" w:hAnsi="Arial" w:cs="Arial"/>
                <w:b/>
                <w:bCs/>
                <w:color w:val="FFFFFF"/>
                <w:sz w:val="20"/>
                <w:szCs w:val="22"/>
              </w:rPr>
              <w:t>Ciudad</w:t>
            </w:r>
          </w:p>
        </w:tc>
        <w:tc>
          <w:tcPr>
            <w:tcW w:w="1246" w:type="dxa"/>
            <w:tcBorders>
              <w:top w:val="nil"/>
              <w:left w:val="nil"/>
              <w:bottom w:val="single" w:sz="8" w:space="0" w:color="auto"/>
              <w:right w:val="single" w:sz="8" w:space="0" w:color="auto"/>
            </w:tcBorders>
            <w:shd w:val="clear" w:color="auto" w:fill="679BBC" w:themeFill="text1" w:themeFillTint="80"/>
            <w:noWrap/>
            <w:vAlign w:val="center"/>
            <w:hideMark/>
          </w:tcPr>
          <w:p w14:paraId="18835A3F" w14:textId="77777777" w:rsidR="002D0E84" w:rsidRPr="00C3121E" w:rsidRDefault="002D0E84" w:rsidP="00C3121E">
            <w:pPr>
              <w:jc w:val="center"/>
              <w:rPr>
                <w:rFonts w:ascii="Arial" w:hAnsi="Arial" w:cs="Arial"/>
                <w:b/>
                <w:bCs/>
                <w:color w:val="FFFFFF"/>
                <w:sz w:val="20"/>
              </w:rPr>
            </w:pPr>
            <w:proofErr w:type="spellStart"/>
            <w:r w:rsidRPr="00C3121E">
              <w:rPr>
                <w:rFonts w:ascii="Arial" w:hAnsi="Arial" w:cs="Arial"/>
                <w:b/>
                <w:bCs/>
                <w:color w:val="FFFFFF"/>
                <w:sz w:val="20"/>
                <w:szCs w:val="22"/>
              </w:rPr>
              <w:t>Tramitados</w:t>
            </w:r>
            <w:proofErr w:type="spellEnd"/>
          </w:p>
        </w:tc>
        <w:tc>
          <w:tcPr>
            <w:tcW w:w="1503" w:type="dxa"/>
            <w:vMerge/>
            <w:tcBorders>
              <w:top w:val="single" w:sz="8" w:space="0" w:color="auto"/>
              <w:left w:val="single" w:sz="8" w:space="0" w:color="auto"/>
              <w:bottom w:val="single" w:sz="8" w:space="0" w:color="000000"/>
              <w:right w:val="single" w:sz="8" w:space="0" w:color="auto"/>
            </w:tcBorders>
            <w:shd w:val="clear" w:color="auto" w:fill="679BBC" w:themeFill="text1" w:themeFillTint="80"/>
            <w:vAlign w:val="center"/>
            <w:hideMark/>
          </w:tcPr>
          <w:p w14:paraId="0229DBE0" w14:textId="77777777" w:rsidR="002D0E84" w:rsidRPr="00C3121E" w:rsidRDefault="002D0E84" w:rsidP="00C3121E">
            <w:pPr>
              <w:rPr>
                <w:rFonts w:ascii="Arial" w:hAnsi="Arial" w:cs="Arial"/>
                <w:b/>
                <w:bCs/>
                <w:color w:val="FFFFFF"/>
                <w:sz w:val="20"/>
              </w:rPr>
            </w:pPr>
          </w:p>
        </w:tc>
      </w:tr>
      <w:tr w:rsidR="00B10892" w:rsidRPr="00C3121E" w14:paraId="6F885718"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558AEBDC" w14:textId="3A3E87B7" w:rsidR="00B10892" w:rsidRPr="00C36EFC" w:rsidRDefault="00B10892" w:rsidP="00B10892">
            <w:pPr>
              <w:tabs>
                <w:tab w:val="left" w:pos="270"/>
              </w:tabs>
              <w:rPr>
                <w:rFonts w:asciiTheme="minorHAnsi" w:hAnsiTheme="minorHAnsi" w:cstheme="minorHAnsi"/>
                <w:sz w:val="20"/>
                <w:szCs w:val="20"/>
                <w:lang w:val="es-MX"/>
              </w:rPr>
            </w:pPr>
            <w:r w:rsidRPr="00C36EFC">
              <w:rPr>
                <w:rFonts w:asciiTheme="minorHAnsi" w:hAnsiTheme="minorHAnsi" w:cstheme="minorHAnsi"/>
                <w:sz w:val="20"/>
                <w:szCs w:val="20"/>
                <w:lang w:val="es-MX"/>
              </w:rPr>
              <w:t>San Luis Potosí, S.L.P.</w:t>
            </w:r>
          </w:p>
        </w:tc>
        <w:tc>
          <w:tcPr>
            <w:tcW w:w="1246" w:type="dxa"/>
            <w:tcBorders>
              <w:top w:val="nil"/>
              <w:left w:val="nil"/>
              <w:bottom w:val="single" w:sz="8" w:space="0" w:color="auto"/>
              <w:right w:val="single" w:sz="8" w:space="0" w:color="auto"/>
            </w:tcBorders>
            <w:noWrap/>
            <w:vAlign w:val="bottom"/>
          </w:tcPr>
          <w:p w14:paraId="4D873153" w14:textId="0F439B1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46</w:t>
            </w:r>
          </w:p>
        </w:tc>
        <w:tc>
          <w:tcPr>
            <w:tcW w:w="1503" w:type="dxa"/>
            <w:tcBorders>
              <w:top w:val="nil"/>
              <w:left w:val="nil"/>
              <w:bottom w:val="single" w:sz="8" w:space="0" w:color="auto"/>
              <w:right w:val="single" w:sz="8" w:space="0" w:color="auto"/>
            </w:tcBorders>
            <w:noWrap/>
            <w:vAlign w:val="bottom"/>
          </w:tcPr>
          <w:p w14:paraId="567C0994" w14:textId="5CECC50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0.33%</w:t>
            </w:r>
          </w:p>
        </w:tc>
      </w:tr>
      <w:tr w:rsidR="00B10892" w:rsidRPr="00C3121E" w14:paraId="6ACFD1AE"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5C8215E0" w14:textId="1A4AD365"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Villahermosa, Tab.</w:t>
            </w:r>
          </w:p>
        </w:tc>
        <w:tc>
          <w:tcPr>
            <w:tcW w:w="1246" w:type="dxa"/>
            <w:tcBorders>
              <w:top w:val="nil"/>
              <w:left w:val="nil"/>
              <w:bottom w:val="single" w:sz="8" w:space="0" w:color="auto"/>
              <w:right w:val="single" w:sz="8" w:space="0" w:color="auto"/>
            </w:tcBorders>
            <w:noWrap/>
            <w:vAlign w:val="bottom"/>
          </w:tcPr>
          <w:p w14:paraId="058E0A6B" w14:textId="665AF935"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46</w:t>
            </w:r>
          </w:p>
        </w:tc>
        <w:tc>
          <w:tcPr>
            <w:tcW w:w="1503" w:type="dxa"/>
            <w:tcBorders>
              <w:top w:val="nil"/>
              <w:left w:val="nil"/>
              <w:bottom w:val="single" w:sz="8" w:space="0" w:color="auto"/>
              <w:right w:val="single" w:sz="8" w:space="0" w:color="auto"/>
            </w:tcBorders>
            <w:noWrap/>
            <w:vAlign w:val="bottom"/>
          </w:tcPr>
          <w:p w14:paraId="35326EC2" w14:textId="5827B1B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0.33%</w:t>
            </w:r>
          </w:p>
        </w:tc>
      </w:tr>
      <w:tr w:rsidR="00B10892" w:rsidRPr="00C3121E" w14:paraId="433FE60F"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41ABEBCF" w14:textId="616C12C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Torreón, </w:t>
            </w:r>
            <w:proofErr w:type="spellStart"/>
            <w:r w:rsidRPr="00B10892">
              <w:rPr>
                <w:rFonts w:asciiTheme="minorHAnsi" w:hAnsiTheme="minorHAnsi" w:cstheme="minorHAnsi"/>
                <w:sz w:val="20"/>
                <w:szCs w:val="20"/>
              </w:rPr>
              <w:t>Coah</w:t>
            </w:r>
            <w:proofErr w:type="spellEnd"/>
            <w:r w:rsidRPr="00B10892">
              <w:rPr>
                <w:rFonts w:asciiTheme="minorHAnsi" w:hAnsiTheme="minorHAnsi" w:cstheme="minorHAnsi"/>
                <w:sz w:val="20"/>
                <w:szCs w:val="20"/>
              </w:rPr>
              <w:t>.</w:t>
            </w:r>
          </w:p>
        </w:tc>
        <w:tc>
          <w:tcPr>
            <w:tcW w:w="1246" w:type="dxa"/>
            <w:tcBorders>
              <w:top w:val="nil"/>
              <w:left w:val="nil"/>
              <w:bottom w:val="single" w:sz="8" w:space="0" w:color="auto"/>
              <w:right w:val="single" w:sz="8" w:space="0" w:color="auto"/>
            </w:tcBorders>
            <w:noWrap/>
            <w:vAlign w:val="bottom"/>
          </w:tcPr>
          <w:p w14:paraId="7B8237BE" w14:textId="218FD65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44</w:t>
            </w:r>
          </w:p>
        </w:tc>
        <w:tc>
          <w:tcPr>
            <w:tcW w:w="1503" w:type="dxa"/>
            <w:tcBorders>
              <w:top w:val="nil"/>
              <w:left w:val="nil"/>
              <w:bottom w:val="single" w:sz="8" w:space="0" w:color="auto"/>
              <w:right w:val="single" w:sz="8" w:space="0" w:color="auto"/>
            </w:tcBorders>
            <w:noWrap/>
            <w:vAlign w:val="bottom"/>
          </w:tcPr>
          <w:p w14:paraId="4DA1622B" w14:textId="1451DBB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0.32%</w:t>
            </w:r>
          </w:p>
        </w:tc>
      </w:tr>
      <w:tr w:rsidR="00B10892" w:rsidRPr="00C3121E" w14:paraId="6B97D8FC"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0569B082" w14:textId="128C6F33"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Veracruz, Ver.</w:t>
            </w:r>
          </w:p>
        </w:tc>
        <w:tc>
          <w:tcPr>
            <w:tcW w:w="1246" w:type="dxa"/>
            <w:tcBorders>
              <w:top w:val="nil"/>
              <w:left w:val="nil"/>
              <w:bottom w:val="single" w:sz="8" w:space="0" w:color="auto"/>
              <w:right w:val="single" w:sz="8" w:space="0" w:color="auto"/>
            </w:tcBorders>
            <w:noWrap/>
            <w:vAlign w:val="bottom"/>
          </w:tcPr>
          <w:p w14:paraId="42A523A6" w14:textId="0996CA6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42</w:t>
            </w:r>
          </w:p>
        </w:tc>
        <w:tc>
          <w:tcPr>
            <w:tcW w:w="1503" w:type="dxa"/>
            <w:tcBorders>
              <w:top w:val="nil"/>
              <w:left w:val="nil"/>
              <w:bottom w:val="single" w:sz="8" w:space="0" w:color="auto"/>
              <w:right w:val="single" w:sz="8" w:space="0" w:color="auto"/>
            </w:tcBorders>
            <w:noWrap/>
            <w:vAlign w:val="bottom"/>
          </w:tcPr>
          <w:p w14:paraId="54556887" w14:textId="4E4E7093"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0.30%</w:t>
            </w:r>
          </w:p>
        </w:tc>
      </w:tr>
      <w:tr w:rsidR="00B10892" w:rsidRPr="00C3121E" w14:paraId="524FA5CC"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3B6C2280" w14:textId="183A0B8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Durango, </w:t>
            </w:r>
            <w:proofErr w:type="spellStart"/>
            <w:r w:rsidRPr="00B10892">
              <w:rPr>
                <w:rFonts w:asciiTheme="minorHAnsi" w:hAnsiTheme="minorHAnsi" w:cstheme="minorHAnsi"/>
                <w:sz w:val="20"/>
                <w:szCs w:val="20"/>
              </w:rPr>
              <w:t>Dgo</w:t>
            </w:r>
            <w:proofErr w:type="spellEnd"/>
            <w:r w:rsidRPr="00B10892">
              <w:rPr>
                <w:rFonts w:asciiTheme="minorHAnsi" w:hAnsiTheme="minorHAnsi" w:cstheme="minorHAnsi"/>
                <w:sz w:val="20"/>
                <w:szCs w:val="20"/>
              </w:rPr>
              <w:t>.</w:t>
            </w:r>
          </w:p>
        </w:tc>
        <w:tc>
          <w:tcPr>
            <w:tcW w:w="1246" w:type="dxa"/>
            <w:tcBorders>
              <w:top w:val="nil"/>
              <w:left w:val="nil"/>
              <w:bottom w:val="single" w:sz="8" w:space="0" w:color="auto"/>
              <w:right w:val="single" w:sz="8" w:space="0" w:color="auto"/>
            </w:tcBorders>
            <w:noWrap/>
            <w:vAlign w:val="bottom"/>
          </w:tcPr>
          <w:p w14:paraId="3E745228" w14:textId="6DA9DE29"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42</w:t>
            </w:r>
          </w:p>
        </w:tc>
        <w:tc>
          <w:tcPr>
            <w:tcW w:w="1503" w:type="dxa"/>
            <w:tcBorders>
              <w:top w:val="nil"/>
              <w:left w:val="nil"/>
              <w:bottom w:val="single" w:sz="8" w:space="0" w:color="auto"/>
              <w:right w:val="single" w:sz="8" w:space="0" w:color="auto"/>
            </w:tcBorders>
            <w:noWrap/>
            <w:vAlign w:val="bottom"/>
          </w:tcPr>
          <w:p w14:paraId="0F809137" w14:textId="69AC3F29"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0.30%</w:t>
            </w:r>
          </w:p>
        </w:tc>
      </w:tr>
      <w:tr w:rsidR="00B10892" w:rsidRPr="00C3121E" w14:paraId="66C83187"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54987380" w14:textId="694F7AC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Cuernavaca, Mor.</w:t>
            </w:r>
          </w:p>
        </w:tc>
        <w:tc>
          <w:tcPr>
            <w:tcW w:w="1246" w:type="dxa"/>
            <w:tcBorders>
              <w:top w:val="nil"/>
              <w:left w:val="nil"/>
              <w:bottom w:val="single" w:sz="8" w:space="0" w:color="auto"/>
              <w:right w:val="single" w:sz="8" w:space="0" w:color="auto"/>
            </w:tcBorders>
            <w:noWrap/>
            <w:vAlign w:val="bottom"/>
          </w:tcPr>
          <w:p w14:paraId="7793E105" w14:textId="21B586C3"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41</w:t>
            </w:r>
          </w:p>
        </w:tc>
        <w:tc>
          <w:tcPr>
            <w:tcW w:w="1503" w:type="dxa"/>
            <w:tcBorders>
              <w:top w:val="nil"/>
              <w:left w:val="nil"/>
              <w:bottom w:val="single" w:sz="8" w:space="0" w:color="auto"/>
              <w:right w:val="single" w:sz="8" w:space="0" w:color="auto"/>
            </w:tcBorders>
            <w:noWrap/>
            <w:vAlign w:val="bottom"/>
          </w:tcPr>
          <w:p w14:paraId="7F2C6FC1" w14:textId="2C4513C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0.30%</w:t>
            </w:r>
          </w:p>
        </w:tc>
      </w:tr>
      <w:tr w:rsidR="00B10892" w:rsidRPr="00C3121E" w14:paraId="059B1B37"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2920EFF8" w14:textId="1CD5E7AF"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Oaxaca, Oax</w:t>
            </w:r>
          </w:p>
        </w:tc>
        <w:tc>
          <w:tcPr>
            <w:tcW w:w="1246" w:type="dxa"/>
            <w:tcBorders>
              <w:top w:val="nil"/>
              <w:left w:val="nil"/>
              <w:bottom w:val="single" w:sz="8" w:space="0" w:color="auto"/>
              <w:right w:val="single" w:sz="8" w:space="0" w:color="auto"/>
            </w:tcBorders>
            <w:noWrap/>
            <w:vAlign w:val="bottom"/>
          </w:tcPr>
          <w:p w14:paraId="6FA2D475" w14:textId="28F7EFB9"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38</w:t>
            </w:r>
          </w:p>
        </w:tc>
        <w:tc>
          <w:tcPr>
            <w:tcW w:w="1503" w:type="dxa"/>
            <w:tcBorders>
              <w:top w:val="nil"/>
              <w:left w:val="nil"/>
              <w:bottom w:val="single" w:sz="8" w:space="0" w:color="auto"/>
              <w:right w:val="single" w:sz="8" w:space="0" w:color="auto"/>
            </w:tcBorders>
            <w:noWrap/>
            <w:vAlign w:val="bottom"/>
          </w:tcPr>
          <w:p w14:paraId="54BD84C3" w14:textId="02A24FB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0.27%</w:t>
            </w:r>
          </w:p>
        </w:tc>
      </w:tr>
      <w:tr w:rsidR="00B10892" w:rsidRPr="00C3121E" w14:paraId="287B47DC"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2A6FAF73" w14:textId="590A21DF"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Mérida, </w:t>
            </w:r>
            <w:proofErr w:type="spellStart"/>
            <w:r w:rsidRPr="00B10892">
              <w:rPr>
                <w:rFonts w:asciiTheme="minorHAnsi" w:hAnsiTheme="minorHAnsi" w:cstheme="minorHAnsi"/>
                <w:sz w:val="20"/>
                <w:szCs w:val="20"/>
              </w:rPr>
              <w:t>Yuc</w:t>
            </w:r>
            <w:proofErr w:type="spellEnd"/>
            <w:r w:rsidRPr="00B10892">
              <w:rPr>
                <w:rFonts w:asciiTheme="minorHAnsi" w:hAnsiTheme="minorHAnsi" w:cstheme="minorHAnsi"/>
                <w:sz w:val="20"/>
                <w:szCs w:val="20"/>
              </w:rPr>
              <w:t>.</w:t>
            </w:r>
          </w:p>
        </w:tc>
        <w:tc>
          <w:tcPr>
            <w:tcW w:w="1246" w:type="dxa"/>
            <w:tcBorders>
              <w:top w:val="nil"/>
              <w:left w:val="nil"/>
              <w:bottom w:val="single" w:sz="8" w:space="0" w:color="auto"/>
              <w:right w:val="single" w:sz="8" w:space="0" w:color="auto"/>
            </w:tcBorders>
            <w:noWrap/>
            <w:vAlign w:val="bottom"/>
          </w:tcPr>
          <w:p w14:paraId="19AA9789" w14:textId="5EA9943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33</w:t>
            </w:r>
          </w:p>
        </w:tc>
        <w:tc>
          <w:tcPr>
            <w:tcW w:w="1503" w:type="dxa"/>
            <w:tcBorders>
              <w:top w:val="nil"/>
              <w:left w:val="nil"/>
              <w:bottom w:val="single" w:sz="8" w:space="0" w:color="auto"/>
              <w:right w:val="single" w:sz="8" w:space="0" w:color="auto"/>
            </w:tcBorders>
            <w:noWrap/>
            <w:vAlign w:val="bottom"/>
          </w:tcPr>
          <w:p w14:paraId="4084248F" w14:textId="1FDADFB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0.24%</w:t>
            </w:r>
          </w:p>
        </w:tc>
      </w:tr>
      <w:tr w:rsidR="00B10892" w:rsidRPr="00C3121E" w14:paraId="3A18BC76"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1C808875" w14:textId="094561CE"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Tijuana, B.C.</w:t>
            </w:r>
          </w:p>
        </w:tc>
        <w:tc>
          <w:tcPr>
            <w:tcW w:w="1246" w:type="dxa"/>
            <w:tcBorders>
              <w:top w:val="nil"/>
              <w:left w:val="nil"/>
              <w:bottom w:val="single" w:sz="8" w:space="0" w:color="auto"/>
              <w:right w:val="single" w:sz="8" w:space="0" w:color="auto"/>
            </w:tcBorders>
            <w:noWrap/>
            <w:vAlign w:val="bottom"/>
          </w:tcPr>
          <w:p w14:paraId="09FFB990" w14:textId="5269ADD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32</w:t>
            </w:r>
          </w:p>
        </w:tc>
        <w:tc>
          <w:tcPr>
            <w:tcW w:w="1503" w:type="dxa"/>
            <w:tcBorders>
              <w:top w:val="nil"/>
              <w:left w:val="nil"/>
              <w:bottom w:val="single" w:sz="8" w:space="0" w:color="auto"/>
              <w:right w:val="single" w:sz="8" w:space="0" w:color="auto"/>
            </w:tcBorders>
            <w:noWrap/>
            <w:vAlign w:val="bottom"/>
          </w:tcPr>
          <w:p w14:paraId="327E809C" w14:textId="57D90763"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0.23%</w:t>
            </w:r>
          </w:p>
        </w:tc>
      </w:tr>
      <w:tr w:rsidR="00B10892" w:rsidRPr="00C3121E" w14:paraId="07C5283F"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6202C1E6" w14:textId="7F9FE1A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León, </w:t>
            </w:r>
            <w:proofErr w:type="spellStart"/>
            <w:r w:rsidRPr="00B10892">
              <w:rPr>
                <w:rFonts w:asciiTheme="minorHAnsi" w:hAnsiTheme="minorHAnsi" w:cstheme="minorHAnsi"/>
                <w:sz w:val="20"/>
                <w:szCs w:val="20"/>
              </w:rPr>
              <w:t>Gto</w:t>
            </w:r>
            <w:proofErr w:type="spellEnd"/>
            <w:r w:rsidRPr="00B10892">
              <w:rPr>
                <w:rFonts w:asciiTheme="minorHAnsi" w:hAnsiTheme="minorHAnsi" w:cstheme="minorHAnsi"/>
                <w:sz w:val="20"/>
                <w:szCs w:val="20"/>
              </w:rPr>
              <w:t>.</w:t>
            </w:r>
          </w:p>
        </w:tc>
        <w:tc>
          <w:tcPr>
            <w:tcW w:w="1246" w:type="dxa"/>
            <w:tcBorders>
              <w:top w:val="nil"/>
              <w:left w:val="nil"/>
              <w:bottom w:val="single" w:sz="8" w:space="0" w:color="auto"/>
              <w:right w:val="single" w:sz="8" w:space="0" w:color="auto"/>
            </w:tcBorders>
            <w:noWrap/>
            <w:vAlign w:val="bottom"/>
          </w:tcPr>
          <w:p w14:paraId="1ED575E4" w14:textId="3D91E53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31</w:t>
            </w:r>
          </w:p>
        </w:tc>
        <w:tc>
          <w:tcPr>
            <w:tcW w:w="1503" w:type="dxa"/>
            <w:tcBorders>
              <w:top w:val="nil"/>
              <w:left w:val="nil"/>
              <w:bottom w:val="single" w:sz="8" w:space="0" w:color="auto"/>
              <w:right w:val="single" w:sz="8" w:space="0" w:color="auto"/>
            </w:tcBorders>
            <w:noWrap/>
            <w:vAlign w:val="bottom"/>
          </w:tcPr>
          <w:p w14:paraId="7E185D6D" w14:textId="67BB79D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0.22%</w:t>
            </w:r>
          </w:p>
        </w:tc>
      </w:tr>
      <w:tr w:rsidR="00B10892" w:rsidRPr="00C3121E" w14:paraId="063D3FC3"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31A59FED" w14:textId="5009FC2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Ciudad Victoria, Tamps.</w:t>
            </w:r>
          </w:p>
        </w:tc>
        <w:tc>
          <w:tcPr>
            <w:tcW w:w="1246" w:type="dxa"/>
            <w:tcBorders>
              <w:top w:val="nil"/>
              <w:left w:val="nil"/>
              <w:bottom w:val="single" w:sz="8" w:space="0" w:color="auto"/>
              <w:right w:val="single" w:sz="8" w:space="0" w:color="auto"/>
            </w:tcBorders>
            <w:noWrap/>
            <w:vAlign w:val="bottom"/>
          </w:tcPr>
          <w:p w14:paraId="39F512ED" w14:textId="6231FC2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26</w:t>
            </w:r>
          </w:p>
        </w:tc>
        <w:tc>
          <w:tcPr>
            <w:tcW w:w="1503" w:type="dxa"/>
            <w:tcBorders>
              <w:top w:val="nil"/>
              <w:left w:val="nil"/>
              <w:bottom w:val="single" w:sz="8" w:space="0" w:color="auto"/>
              <w:right w:val="single" w:sz="8" w:space="0" w:color="auto"/>
            </w:tcBorders>
            <w:noWrap/>
            <w:vAlign w:val="bottom"/>
          </w:tcPr>
          <w:p w14:paraId="09E3E10C" w14:textId="5633D18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0.19%</w:t>
            </w:r>
          </w:p>
        </w:tc>
      </w:tr>
      <w:tr w:rsidR="00B10892" w:rsidRPr="00C3121E" w14:paraId="740DE2CC"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76C3CA5E" w14:textId="21D872CE"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 xml:space="preserve">Acapulco, Gro. </w:t>
            </w:r>
          </w:p>
        </w:tc>
        <w:tc>
          <w:tcPr>
            <w:tcW w:w="1246" w:type="dxa"/>
            <w:tcBorders>
              <w:top w:val="nil"/>
              <w:left w:val="nil"/>
              <w:bottom w:val="single" w:sz="8" w:space="0" w:color="auto"/>
              <w:right w:val="single" w:sz="8" w:space="0" w:color="auto"/>
            </w:tcBorders>
            <w:noWrap/>
            <w:vAlign w:val="bottom"/>
          </w:tcPr>
          <w:p w14:paraId="503770A2" w14:textId="634C05D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25</w:t>
            </w:r>
          </w:p>
        </w:tc>
        <w:tc>
          <w:tcPr>
            <w:tcW w:w="1503" w:type="dxa"/>
            <w:tcBorders>
              <w:top w:val="nil"/>
              <w:left w:val="nil"/>
              <w:bottom w:val="single" w:sz="8" w:space="0" w:color="auto"/>
              <w:right w:val="single" w:sz="8" w:space="0" w:color="auto"/>
            </w:tcBorders>
            <w:noWrap/>
            <w:vAlign w:val="bottom"/>
          </w:tcPr>
          <w:p w14:paraId="79E8D3AF" w14:textId="7CC4CC1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0.18%</w:t>
            </w:r>
          </w:p>
        </w:tc>
      </w:tr>
      <w:tr w:rsidR="00B10892" w:rsidRPr="00C3121E" w14:paraId="414EA392"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53C2A09F" w14:textId="56AC0FBF" w:rsidR="00B10892" w:rsidRPr="00B10892" w:rsidRDefault="00B10892" w:rsidP="00B10892">
            <w:pPr>
              <w:rPr>
                <w:rFonts w:asciiTheme="minorHAnsi" w:hAnsiTheme="minorHAnsi" w:cstheme="minorHAnsi"/>
                <w:sz w:val="20"/>
                <w:szCs w:val="20"/>
                <w:lang w:val="es-MX"/>
              </w:rPr>
            </w:pPr>
            <w:r w:rsidRPr="00B10892">
              <w:rPr>
                <w:rFonts w:asciiTheme="minorHAnsi" w:hAnsiTheme="minorHAnsi" w:cstheme="minorHAnsi"/>
                <w:sz w:val="20"/>
                <w:szCs w:val="20"/>
              </w:rPr>
              <w:t>Hermosillo, Son.</w:t>
            </w:r>
          </w:p>
        </w:tc>
        <w:tc>
          <w:tcPr>
            <w:tcW w:w="1246" w:type="dxa"/>
            <w:tcBorders>
              <w:top w:val="nil"/>
              <w:left w:val="nil"/>
              <w:bottom w:val="single" w:sz="8" w:space="0" w:color="auto"/>
              <w:right w:val="single" w:sz="8" w:space="0" w:color="auto"/>
            </w:tcBorders>
            <w:noWrap/>
            <w:vAlign w:val="bottom"/>
          </w:tcPr>
          <w:p w14:paraId="6C98DEFB" w14:textId="67978F9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24</w:t>
            </w:r>
          </w:p>
        </w:tc>
        <w:tc>
          <w:tcPr>
            <w:tcW w:w="1503" w:type="dxa"/>
            <w:tcBorders>
              <w:top w:val="nil"/>
              <w:left w:val="nil"/>
              <w:bottom w:val="single" w:sz="8" w:space="0" w:color="auto"/>
              <w:right w:val="single" w:sz="8" w:space="0" w:color="auto"/>
            </w:tcBorders>
            <w:noWrap/>
            <w:vAlign w:val="bottom"/>
          </w:tcPr>
          <w:p w14:paraId="3FAF409D" w14:textId="45E1D075"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0.17%</w:t>
            </w:r>
          </w:p>
        </w:tc>
      </w:tr>
      <w:tr w:rsidR="00B10892" w:rsidRPr="00C3121E" w14:paraId="0EDE1A5D"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00E5FE65" w14:textId="3BEDD2C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Monterrey, N.L.</w:t>
            </w:r>
          </w:p>
        </w:tc>
        <w:tc>
          <w:tcPr>
            <w:tcW w:w="1246" w:type="dxa"/>
            <w:tcBorders>
              <w:top w:val="nil"/>
              <w:left w:val="nil"/>
              <w:bottom w:val="single" w:sz="8" w:space="0" w:color="auto"/>
              <w:right w:val="single" w:sz="8" w:space="0" w:color="auto"/>
            </w:tcBorders>
            <w:noWrap/>
            <w:vAlign w:val="bottom"/>
          </w:tcPr>
          <w:p w14:paraId="125D20D1" w14:textId="7BC7932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18</w:t>
            </w:r>
          </w:p>
        </w:tc>
        <w:tc>
          <w:tcPr>
            <w:tcW w:w="1503" w:type="dxa"/>
            <w:tcBorders>
              <w:top w:val="nil"/>
              <w:left w:val="nil"/>
              <w:bottom w:val="single" w:sz="8" w:space="0" w:color="auto"/>
              <w:right w:val="single" w:sz="8" w:space="0" w:color="auto"/>
            </w:tcBorders>
            <w:noWrap/>
            <w:vAlign w:val="bottom"/>
          </w:tcPr>
          <w:p w14:paraId="19C0A747" w14:textId="050B8D22"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0.13%</w:t>
            </w:r>
          </w:p>
        </w:tc>
      </w:tr>
      <w:tr w:rsidR="00B10892" w:rsidRPr="00C3121E" w14:paraId="4CA0B50B"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79A60928" w14:textId="4315C007" w:rsidR="00B10892" w:rsidRPr="00B10892" w:rsidRDefault="00B10892" w:rsidP="00B10892">
            <w:pPr>
              <w:rPr>
                <w:rFonts w:asciiTheme="minorHAnsi" w:hAnsiTheme="minorHAnsi" w:cstheme="minorHAnsi"/>
                <w:sz w:val="20"/>
                <w:szCs w:val="20"/>
                <w:lang w:val="es-MX"/>
              </w:rPr>
            </w:pPr>
            <w:r w:rsidRPr="00B10892">
              <w:rPr>
                <w:rFonts w:asciiTheme="minorHAnsi" w:hAnsiTheme="minorHAnsi" w:cstheme="minorHAnsi"/>
                <w:sz w:val="20"/>
                <w:szCs w:val="20"/>
              </w:rPr>
              <w:t xml:space="preserve">Chetumal, </w:t>
            </w:r>
            <w:proofErr w:type="spellStart"/>
            <w:proofErr w:type="gramStart"/>
            <w:r w:rsidRPr="00B10892">
              <w:rPr>
                <w:rFonts w:asciiTheme="minorHAnsi" w:hAnsiTheme="minorHAnsi" w:cstheme="minorHAnsi"/>
                <w:sz w:val="20"/>
                <w:szCs w:val="20"/>
              </w:rPr>
              <w:t>Q.Roo</w:t>
            </w:r>
            <w:proofErr w:type="spellEnd"/>
            <w:proofErr w:type="gramEnd"/>
          </w:p>
        </w:tc>
        <w:tc>
          <w:tcPr>
            <w:tcW w:w="1246" w:type="dxa"/>
            <w:tcBorders>
              <w:top w:val="nil"/>
              <w:left w:val="nil"/>
              <w:bottom w:val="single" w:sz="8" w:space="0" w:color="auto"/>
              <w:right w:val="single" w:sz="8" w:space="0" w:color="auto"/>
            </w:tcBorders>
            <w:noWrap/>
            <w:vAlign w:val="bottom"/>
          </w:tcPr>
          <w:p w14:paraId="71BA41E5" w14:textId="78794248"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14</w:t>
            </w:r>
          </w:p>
        </w:tc>
        <w:tc>
          <w:tcPr>
            <w:tcW w:w="1503" w:type="dxa"/>
            <w:tcBorders>
              <w:top w:val="nil"/>
              <w:left w:val="nil"/>
              <w:bottom w:val="single" w:sz="8" w:space="0" w:color="auto"/>
              <w:right w:val="single" w:sz="8" w:space="0" w:color="auto"/>
            </w:tcBorders>
            <w:noWrap/>
            <w:vAlign w:val="bottom"/>
          </w:tcPr>
          <w:p w14:paraId="117EE841" w14:textId="5464FDDB"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0.10%</w:t>
            </w:r>
          </w:p>
        </w:tc>
      </w:tr>
      <w:tr w:rsidR="00B10892" w:rsidRPr="00C3121E" w14:paraId="4A763DB3"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4C4E4003" w14:textId="59FA5E44"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Culiacán, Sin.</w:t>
            </w:r>
          </w:p>
        </w:tc>
        <w:tc>
          <w:tcPr>
            <w:tcW w:w="1246" w:type="dxa"/>
            <w:tcBorders>
              <w:top w:val="nil"/>
              <w:left w:val="nil"/>
              <w:bottom w:val="single" w:sz="8" w:space="0" w:color="auto"/>
              <w:right w:val="single" w:sz="8" w:space="0" w:color="auto"/>
            </w:tcBorders>
            <w:noWrap/>
            <w:vAlign w:val="bottom"/>
          </w:tcPr>
          <w:p w14:paraId="70FA84D5" w14:textId="7D1B747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9</w:t>
            </w:r>
          </w:p>
        </w:tc>
        <w:tc>
          <w:tcPr>
            <w:tcW w:w="1503" w:type="dxa"/>
            <w:tcBorders>
              <w:top w:val="nil"/>
              <w:left w:val="nil"/>
              <w:bottom w:val="single" w:sz="8" w:space="0" w:color="auto"/>
              <w:right w:val="single" w:sz="8" w:space="0" w:color="auto"/>
            </w:tcBorders>
            <w:noWrap/>
            <w:vAlign w:val="bottom"/>
          </w:tcPr>
          <w:p w14:paraId="55C6E619" w14:textId="2E89B8E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0.07%</w:t>
            </w:r>
          </w:p>
        </w:tc>
      </w:tr>
      <w:tr w:rsidR="00B10892" w:rsidRPr="00C3121E" w14:paraId="46F2C98B"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3529D618" w14:textId="7D801990"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Xalapa, Ver.</w:t>
            </w:r>
          </w:p>
        </w:tc>
        <w:tc>
          <w:tcPr>
            <w:tcW w:w="1246" w:type="dxa"/>
            <w:tcBorders>
              <w:top w:val="nil"/>
              <w:left w:val="nil"/>
              <w:bottom w:val="single" w:sz="8" w:space="0" w:color="auto"/>
              <w:right w:val="single" w:sz="8" w:space="0" w:color="auto"/>
            </w:tcBorders>
            <w:noWrap/>
            <w:vAlign w:val="bottom"/>
          </w:tcPr>
          <w:p w14:paraId="210716EF" w14:textId="5A2FD007"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5</w:t>
            </w:r>
          </w:p>
        </w:tc>
        <w:tc>
          <w:tcPr>
            <w:tcW w:w="1503" w:type="dxa"/>
            <w:tcBorders>
              <w:top w:val="nil"/>
              <w:left w:val="nil"/>
              <w:bottom w:val="single" w:sz="8" w:space="0" w:color="auto"/>
              <w:right w:val="single" w:sz="8" w:space="0" w:color="auto"/>
            </w:tcBorders>
            <w:noWrap/>
            <w:vAlign w:val="bottom"/>
          </w:tcPr>
          <w:p w14:paraId="28079BDA" w14:textId="4EA519E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0.04%</w:t>
            </w:r>
          </w:p>
        </w:tc>
      </w:tr>
      <w:tr w:rsidR="00B10892" w:rsidRPr="00C3121E" w14:paraId="7D902141" w14:textId="77777777" w:rsidTr="00DA6750">
        <w:trPr>
          <w:trHeight w:val="320"/>
        </w:trPr>
        <w:tc>
          <w:tcPr>
            <w:tcW w:w="4796" w:type="dxa"/>
            <w:tcBorders>
              <w:top w:val="nil"/>
              <w:left w:val="single" w:sz="8" w:space="0" w:color="auto"/>
              <w:bottom w:val="single" w:sz="8" w:space="0" w:color="auto"/>
              <w:right w:val="single" w:sz="8" w:space="0" w:color="auto"/>
            </w:tcBorders>
            <w:noWrap/>
            <w:vAlign w:val="bottom"/>
          </w:tcPr>
          <w:p w14:paraId="6B2AC10B" w14:textId="4B1785FC"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Lerma, Edo. de Mex.</w:t>
            </w:r>
          </w:p>
        </w:tc>
        <w:tc>
          <w:tcPr>
            <w:tcW w:w="1246" w:type="dxa"/>
            <w:tcBorders>
              <w:top w:val="nil"/>
              <w:left w:val="nil"/>
              <w:bottom w:val="single" w:sz="8" w:space="0" w:color="auto"/>
              <w:right w:val="single" w:sz="8" w:space="0" w:color="auto"/>
            </w:tcBorders>
            <w:noWrap/>
            <w:vAlign w:val="bottom"/>
          </w:tcPr>
          <w:p w14:paraId="623CC43F" w14:textId="0D6F5DE6"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w:t>
            </w:r>
          </w:p>
        </w:tc>
        <w:tc>
          <w:tcPr>
            <w:tcW w:w="1503" w:type="dxa"/>
            <w:tcBorders>
              <w:top w:val="nil"/>
              <w:left w:val="nil"/>
              <w:bottom w:val="single" w:sz="8" w:space="0" w:color="auto"/>
              <w:right w:val="single" w:sz="8" w:space="0" w:color="auto"/>
            </w:tcBorders>
            <w:noWrap/>
            <w:vAlign w:val="bottom"/>
          </w:tcPr>
          <w:p w14:paraId="50418B76" w14:textId="23D69B21" w:rsidR="00B10892" w:rsidRPr="00B10892" w:rsidRDefault="00B10892" w:rsidP="00B10892">
            <w:pPr>
              <w:rPr>
                <w:rFonts w:asciiTheme="minorHAnsi" w:hAnsiTheme="minorHAnsi" w:cstheme="minorHAnsi"/>
                <w:sz w:val="20"/>
                <w:szCs w:val="20"/>
              </w:rPr>
            </w:pPr>
            <w:r w:rsidRPr="00B10892">
              <w:rPr>
                <w:rFonts w:asciiTheme="minorHAnsi" w:hAnsiTheme="minorHAnsi" w:cstheme="minorHAnsi"/>
                <w:sz w:val="20"/>
                <w:szCs w:val="20"/>
              </w:rPr>
              <w:t>0.00%</w:t>
            </w:r>
          </w:p>
        </w:tc>
      </w:tr>
      <w:tr w:rsidR="00372836" w:rsidRPr="00C3121E" w14:paraId="0BCCBB7C" w14:textId="77777777" w:rsidTr="00492577">
        <w:trPr>
          <w:trHeight w:val="320"/>
        </w:trPr>
        <w:tc>
          <w:tcPr>
            <w:tcW w:w="4796" w:type="dxa"/>
            <w:tcBorders>
              <w:top w:val="nil"/>
              <w:left w:val="single" w:sz="8" w:space="0" w:color="auto"/>
              <w:bottom w:val="single" w:sz="8" w:space="0" w:color="auto"/>
              <w:right w:val="single" w:sz="8" w:space="0" w:color="auto"/>
            </w:tcBorders>
            <w:noWrap/>
            <w:vAlign w:val="bottom"/>
            <w:hideMark/>
          </w:tcPr>
          <w:p w14:paraId="6D957816" w14:textId="77777777" w:rsidR="00372836" w:rsidRPr="00C3121E" w:rsidRDefault="00372836" w:rsidP="00C3121E">
            <w:pPr>
              <w:rPr>
                <w:rFonts w:asciiTheme="minorHAnsi" w:hAnsiTheme="minorHAnsi" w:cstheme="minorHAnsi"/>
                <w:b/>
                <w:bCs/>
                <w:sz w:val="20"/>
                <w:szCs w:val="20"/>
              </w:rPr>
            </w:pPr>
            <w:r w:rsidRPr="00C3121E">
              <w:rPr>
                <w:rFonts w:asciiTheme="minorHAnsi" w:hAnsiTheme="minorHAnsi" w:cstheme="minorHAnsi"/>
                <w:b/>
                <w:bCs/>
                <w:sz w:val="20"/>
                <w:szCs w:val="20"/>
              </w:rPr>
              <w:t>Total</w:t>
            </w:r>
          </w:p>
        </w:tc>
        <w:tc>
          <w:tcPr>
            <w:tcW w:w="1246" w:type="dxa"/>
            <w:tcBorders>
              <w:top w:val="nil"/>
              <w:left w:val="nil"/>
              <w:bottom w:val="single" w:sz="8" w:space="0" w:color="auto"/>
              <w:right w:val="single" w:sz="8" w:space="0" w:color="auto"/>
            </w:tcBorders>
            <w:noWrap/>
            <w:vAlign w:val="bottom"/>
            <w:hideMark/>
          </w:tcPr>
          <w:p w14:paraId="1A2CE1B9" w14:textId="1E7AC5A9" w:rsidR="00372836" w:rsidRPr="00C3121E" w:rsidRDefault="00390233" w:rsidP="00C3121E">
            <w:pPr>
              <w:jc w:val="center"/>
              <w:rPr>
                <w:rFonts w:asciiTheme="minorHAnsi" w:hAnsiTheme="minorHAnsi" w:cstheme="minorHAnsi"/>
                <w:b/>
                <w:bCs/>
                <w:sz w:val="20"/>
                <w:szCs w:val="20"/>
              </w:rPr>
            </w:pPr>
            <w:r w:rsidRPr="00C3121E">
              <w:rPr>
                <w:rFonts w:asciiTheme="minorHAnsi" w:hAnsiTheme="minorHAnsi" w:cstheme="minorHAnsi"/>
                <w:b/>
                <w:bCs/>
                <w:sz w:val="20"/>
                <w:szCs w:val="20"/>
              </w:rPr>
              <w:t>1</w:t>
            </w:r>
            <w:r w:rsidR="00B10892">
              <w:rPr>
                <w:rFonts w:asciiTheme="minorHAnsi" w:hAnsiTheme="minorHAnsi" w:cstheme="minorHAnsi"/>
                <w:b/>
                <w:bCs/>
                <w:sz w:val="20"/>
                <w:szCs w:val="20"/>
              </w:rPr>
              <w:t>3</w:t>
            </w:r>
            <w:r w:rsidR="00966A4C" w:rsidRPr="00C3121E">
              <w:rPr>
                <w:rFonts w:asciiTheme="minorHAnsi" w:hAnsiTheme="minorHAnsi" w:cstheme="minorHAnsi"/>
                <w:b/>
                <w:bCs/>
                <w:sz w:val="20"/>
                <w:szCs w:val="20"/>
              </w:rPr>
              <w:t>,</w:t>
            </w:r>
            <w:r w:rsidR="00B10892">
              <w:rPr>
                <w:rFonts w:asciiTheme="minorHAnsi" w:hAnsiTheme="minorHAnsi" w:cstheme="minorHAnsi"/>
                <w:b/>
                <w:bCs/>
                <w:sz w:val="20"/>
                <w:szCs w:val="20"/>
              </w:rPr>
              <w:t>831</w:t>
            </w:r>
            <w:r w:rsidR="00BE6BBF" w:rsidRPr="00C3121E">
              <w:rPr>
                <w:rStyle w:val="Refdenotaalpie"/>
                <w:rFonts w:asciiTheme="minorHAnsi" w:hAnsiTheme="minorHAnsi" w:cstheme="minorHAnsi"/>
                <w:b/>
                <w:bCs/>
                <w:sz w:val="20"/>
                <w:szCs w:val="20"/>
              </w:rPr>
              <w:footnoteReference w:id="3"/>
            </w:r>
          </w:p>
        </w:tc>
        <w:tc>
          <w:tcPr>
            <w:tcW w:w="1503" w:type="dxa"/>
            <w:tcBorders>
              <w:top w:val="nil"/>
              <w:left w:val="nil"/>
              <w:bottom w:val="single" w:sz="8" w:space="0" w:color="auto"/>
              <w:right w:val="single" w:sz="8" w:space="0" w:color="auto"/>
            </w:tcBorders>
            <w:noWrap/>
            <w:vAlign w:val="bottom"/>
            <w:hideMark/>
          </w:tcPr>
          <w:p w14:paraId="46DC4841" w14:textId="77777777" w:rsidR="00372836" w:rsidRPr="00C3121E" w:rsidRDefault="00372836" w:rsidP="00C3121E">
            <w:pPr>
              <w:jc w:val="center"/>
              <w:rPr>
                <w:rFonts w:asciiTheme="minorHAnsi" w:hAnsiTheme="minorHAnsi" w:cstheme="minorHAnsi"/>
                <w:b/>
                <w:sz w:val="20"/>
                <w:szCs w:val="20"/>
              </w:rPr>
            </w:pPr>
            <w:r w:rsidRPr="00C3121E">
              <w:rPr>
                <w:rFonts w:asciiTheme="minorHAnsi" w:hAnsiTheme="minorHAnsi" w:cstheme="minorHAnsi"/>
                <w:b/>
                <w:sz w:val="20"/>
                <w:szCs w:val="20"/>
              </w:rPr>
              <w:t>100.00%</w:t>
            </w:r>
          </w:p>
        </w:tc>
      </w:tr>
    </w:tbl>
    <w:p w14:paraId="5E1834F6" w14:textId="77777777" w:rsidR="00390233" w:rsidRPr="00C3121E" w:rsidRDefault="00390233" w:rsidP="00C3121E">
      <w:pPr>
        <w:ind w:left="720"/>
        <w:jc w:val="both"/>
        <w:rPr>
          <w:rFonts w:ascii="Georgia" w:hAnsi="Georgia" w:cs="Arial"/>
          <w:b/>
          <w:sz w:val="22"/>
          <w:szCs w:val="22"/>
          <w:lang w:val="es-MX"/>
        </w:rPr>
      </w:pPr>
    </w:p>
    <w:p w14:paraId="6BA4300A" w14:textId="77777777" w:rsidR="00390233" w:rsidRPr="00C3121E" w:rsidRDefault="00390233" w:rsidP="00C3121E">
      <w:pPr>
        <w:ind w:left="720"/>
        <w:jc w:val="both"/>
        <w:rPr>
          <w:rFonts w:ascii="Georgia" w:hAnsi="Georgia" w:cs="Arial"/>
          <w:b/>
          <w:sz w:val="22"/>
          <w:szCs w:val="22"/>
          <w:lang w:val="es-MX"/>
        </w:rPr>
      </w:pPr>
    </w:p>
    <w:p w14:paraId="48413DAB" w14:textId="5E1FA847" w:rsidR="00CE48C4" w:rsidRPr="00C3121E" w:rsidRDefault="00547593" w:rsidP="00C3121E">
      <w:pPr>
        <w:ind w:left="720"/>
        <w:jc w:val="both"/>
        <w:rPr>
          <w:rFonts w:ascii="Georgia" w:hAnsi="Georgia" w:cs="Arial"/>
          <w:b/>
          <w:sz w:val="22"/>
          <w:szCs w:val="22"/>
          <w:lang w:val="es-MX"/>
        </w:rPr>
      </w:pPr>
      <w:r w:rsidRPr="00C3121E">
        <w:rPr>
          <w:rFonts w:ascii="Georgia" w:hAnsi="Georgia" w:cs="Arial"/>
          <w:b/>
          <w:sz w:val="22"/>
          <w:szCs w:val="22"/>
          <w:lang w:val="es-MX"/>
        </w:rPr>
        <w:tab/>
      </w:r>
    </w:p>
    <w:p w14:paraId="148EFE1F" w14:textId="5533DFC5" w:rsidR="001A52FD" w:rsidRPr="00C3121E" w:rsidRDefault="001855E3" w:rsidP="00C3121E">
      <w:pPr>
        <w:ind w:left="720"/>
        <w:jc w:val="both"/>
        <w:rPr>
          <w:rFonts w:ascii="Georgia" w:hAnsi="Georgia" w:cs="Arial"/>
          <w:b/>
          <w:sz w:val="22"/>
          <w:szCs w:val="22"/>
          <w:lang w:val="es-MX"/>
        </w:rPr>
      </w:pPr>
      <w:r>
        <w:rPr>
          <w:noProof/>
        </w:rPr>
        <mc:AlternateContent>
          <mc:Choice Requires="wps">
            <w:drawing>
              <wp:anchor distT="0" distB="0" distL="114300" distR="114300" simplePos="0" relativeHeight="251661312" behindDoc="0" locked="0" layoutInCell="1" allowOverlap="1" wp14:anchorId="6A77C9B9" wp14:editId="1BA52E5A">
                <wp:simplePos x="0" y="0"/>
                <wp:positionH relativeFrom="margin">
                  <wp:posOffset>4977765</wp:posOffset>
                </wp:positionH>
                <wp:positionV relativeFrom="paragraph">
                  <wp:posOffset>828040</wp:posOffset>
                </wp:positionV>
                <wp:extent cx="699770" cy="304800"/>
                <wp:effectExtent l="0" t="0" r="0" b="0"/>
                <wp:wrapNone/>
                <wp:docPr id="824592253" name="Cuadro de texto 1"/>
                <wp:cNvGraphicFramePr/>
                <a:graphic xmlns:a="http://schemas.openxmlformats.org/drawingml/2006/main">
                  <a:graphicData uri="http://schemas.microsoft.com/office/word/2010/wordprocessingShape">
                    <wps:wsp>
                      <wps:cNvSpPr txBox="1"/>
                      <wps:spPr>
                        <a:xfrm>
                          <a:off x="0" y="0"/>
                          <a:ext cx="699770" cy="304800"/>
                        </a:xfrm>
                        <a:prstGeom prst="rect">
                          <a:avLst/>
                        </a:prstGeom>
                        <a:noFill/>
                        <a:ln w="6350">
                          <a:noFill/>
                        </a:ln>
                      </wps:spPr>
                      <wps:txbx>
                        <w:txbxContent>
                          <w:p w14:paraId="46200B09" w14:textId="35D5531B" w:rsidR="001855E3" w:rsidRPr="00B10892" w:rsidRDefault="00B10892">
                            <w:pPr>
                              <w:rPr>
                                <w:rFonts w:asciiTheme="majorHAnsi" w:hAnsiTheme="majorHAnsi"/>
                                <w:sz w:val="20"/>
                                <w:szCs w:val="20"/>
                              </w:rPr>
                            </w:pPr>
                            <w:r w:rsidRPr="00B10892">
                              <w:rPr>
                                <w:rFonts w:asciiTheme="majorHAnsi" w:hAnsiTheme="majorHAnsi"/>
                                <w:sz w:val="20"/>
                                <w:szCs w:val="20"/>
                              </w:rPr>
                              <w:t>10</w:t>
                            </w:r>
                            <w:r w:rsidR="001855E3" w:rsidRPr="00B10892">
                              <w:rPr>
                                <w:rFonts w:asciiTheme="majorHAnsi" w:hAnsiTheme="majorHAnsi"/>
                                <w:sz w:val="20"/>
                                <w:szCs w:val="20"/>
                              </w:rPr>
                              <w:t>,</w:t>
                            </w:r>
                            <w:r w:rsidRPr="00B10892">
                              <w:rPr>
                                <w:rFonts w:asciiTheme="majorHAnsi" w:hAnsiTheme="majorHAnsi"/>
                                <w:sz w:val="20"/>
                                <w:szCs w:val="20"/>
                              </w:rPr>
                              <w:t>545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7C9B9" id="_x0000_t202" coordsize="21600,21600" o:spt="202" path="m,l,21600r21600,l21600,xe">
                <v:stroke joinstyle="miter"/>
                <v:path gradientshapeok="t" o:connecttype="rect"/>
              </v:shapetype>
              <v:shape id="Cuadro de texto 1" o:spid="_x0000_s1026" type="#_x0000_t202" style="position:absolute;left:0;text-align:left;margin-left:391.95pt;margin-top:65.2pt;width:55.1pt;height:2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" filled="f" stroked="f" strokeweight=".5pt">
                <v:textbox>
                  <w:txbxContent>
                    <w:p w14:paraId="46200B09" w14:textId="35D5531B" w:rsidR="001855E3" w:rsidRPr="00B10892" w:rsidRDefault="00B10892">
                      <w:pPr>
                        <w:rPr>
                          <w:rFonts w:asciiTheme="majorHAnsi" w:hAnsiTheme="majorHAnsi"/>
                          <w:sz w:val="20"/>
                          <w:szCs w:val="20"/>
                        </w:rPr>
                      </w:pPr>
                      <w:r w:rsidRPr="00B10892">
                        <w:rPr>
                          <w:rFonts w:asciiTheme="majorHAnsi" w:hAnsiTheme="majorHAnsi"/>
                          <w:sz w:val="20"/>
                          <w:szCs w:val="20"/>
                        </w:rPr>
                        <w:t>10</w:t>
                      </w:r>
                      <w:r w:rsidR="001855E3" w:rsidRPr="00B10892">
                        <w:rPr>
                          <w:rFonts w:asciiTheme="majorHAnsi" w:hAnsiTheme="majorHAnsi"/>
                          <w:sz w:val="20"/>
                          <w:szCs w:val="20"/>
                        </w:rPr>
                        <w:t>,</w:t>
                      </w:r>
                      <w:r w:rsidRPr="00B10892">
                        <w:rPr>
                          <w:rFonts w:asciiTheme="majorHAnsi" w:hAnsiTheme="majorHAnsi"/>
                          <w:sz w:val="20"/>
                          <w:szCs w:val="20"/>
                        </w:rPr>
                        <w:t>545</w:t>
                      </w:r>
                    </w:p>
                  </w:txbxContent>
                </v:textbox>
                <w10:wrap anchorx="margin"/>
              </v:shape>
            </w:pict>
          </mc:Fallback>
        </mc:AlternateContent>
      </w:r>
      <w:r w:rsidR="00B10892">
        <w:rPr>
          <w:noProof/>
        </w:rPr>
        <w:drawing>
          <wp:inline distT="0" distB="0" distL="0" distR="0" wp14:anchorId="421C6EFE" wp14:editId="15BAD7A2">
            <wp:extent cx="5193665" cy="7456170"/>
            <wp:effectExtent l="0" t="0" r="6985" b="11430"/>
            <wp:docPr id="596279107" name="Gráfico 1">
              <a:extLst xmlns:a="http://schemas.openxmlformats.org/drawingml/2006/main">
                <a:ext uri="{FF2B5EF4-FFF2-40B4-BE49-F238E27FC236}">
                  <a16:creationId xmlns:a16="http://schemas.microsoft.com/office/drawing/2014/main" id="{00000000-0008-0000-0200-00000B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001EE6" w14:textId="77777777" w:rsidR="001220D3" w:rsidRPr="00C3121E" w:rsidRDefault="001220D3" w:rsidP="00C3121E">
      <w:pPr>
        <w:numPr>
          <w:ilvl w:val="0"/>
          <w:numId w:val="2"/>
        </w:numPr>
        <w:jc w:val="both"/>
        <w:rPr>
          <w:rFonts w:ascii="Georgia" w:hAnsi="Georgia" w:cs="Arial"/>
          <w:b/>
          <w:sz w:val="22"/>
          <w:szCs w:val="22"/>
          <w:lang w:val="es-MX"/>
        </w:rPr>
      </w:pPr>
      <w:r w:rsidRPr="00C3121E">
        <w:rPr>
          <w:rFonts w:ascii="Georgia" w:hAnsi="Georgia" w:cs="Arial"/>
          <w:b/>
          <w:sz w:val="22"/>
          <w:szCs w:val="22"/>
          <w:lang w:val="es-MX"/>
        </w:rPr>
        <w:t>Medio preferido por los gobernados para presentar sus solicitudes de acceso a la información</w:t>
      </w:r>
      <w:r w:rsidRPr="00C3121E">
        <w:rPr>
          <w:rStyle w:val="Refdenotaalpie"/>
          <w:rFonts w:ascii="Georgia" w:hAnsi="Georgia" w:cs="Arial"/>
          <w:b/>
          <w:sz w:val="22"/>
          <w:szCs w:val="22"/>
        </w:rPr>
        <w:footnoteReference w:id="4"/>
      </w:r>
      <w:r w:rsidRPr="00C3121E">
        <w:rPr>
          <w:rFonts w:ascii="Georgia" w:hAnsi="Georgia" w:cs="Arial"/>
          <w:b/>
          <w:sz w:val="22"/>
          <w:szCs w:val="22"/>
          <w:lang w:val="es-MX"/>
        </w:rPr>
        <w:t xml:space="preserve">.  </w:t>
      </w:r>
    </w:p>
    <w:p w14:paraId="4CB7B1D8" w14:textId="77777777" w:rsidR="00F578C7" w:rsidRPr="00C3121E" w:rsidRDefault="00F578C7" w:rsidP="00C3121E">
      <w:pPr>
        <w:ind w:left="360"/>
        <w:jc w:val="both"/>
        <w:rPr>
          <w:rFonts w:ascii="Georgia" w:hAnsi="Georgia" w:cs="Arial"/>
          <w:b/>
          <w:sz w:val="22"/>
          <w:szCs w:val="22"/>
          <w:lang w:val="es-MX"/>
        </w:rPr>
      </w:pPr>
    </w:p>
    <w:p w14:paraId="3E2E895B" w14:textId="77777777" w:rsidR="00F578C7" w:rsidRPr="00C3121E" w:rsidRDefault="00F578C7" w:rsidP="00C3121E">
      <w:pPr>
        <w:ind w:left="709"/>
        <w:jc w:val="both"/>
        <w:rPr>
          <w:rFonts w:ascii="Georgia" w:hAnsi="Georgia" w:cs="Arial"/>
          <w:b/>
          <w:sz w:val="22"/>
          <w:szCs w:val="22"/>
          <w:lang w:val="es-MX"/>
        </w:rPr>
      </w:pPr>
      <w:r w:rsidRPr="00C3121E">
        <w:rPr>
          <w:rFonts w:ascii="Georgia" w:hAnsi="Georgia" w:cs="Arial"/>
          <w:sz w:val="22"/>
          <w:szCs w:val="22"/>
          <w:lang w:val="es-MX"/>
        </w:rPr>
        <w:t>Este indicador permite</w:t>
      </w:r>
      <w:r w:rsidRPr="00C3121E">
        <w:rPr>
          <w:rFonts w:ascii="Georgia" w:hAnsi="Georgia" w:cs="Arial"/>
          <w:b/>
          <w:sz w:val="22"/>
          <w:szCs w:val="22"/>
          <w:lang w:val="es-MX"/>
        </w:rPr>
        <w:t xml:space="preserve"> </w:t>
      </w:r>
      <w:r w:rsidRPr="00C3121E">
        <w:rPr>
          <w:rFonts w:ascii="Georgia" w:hAnsi="Georgia" w:cs="Arial"/>
          <w:sz w:val="22"/>
          <w:szCs w:val="22"/>
          <w:lang w:val="es-MX"/>
        </w:rPr>
        <w:t>determinar el medio preferido por los gobernados para presentar sus solicitudes de información</w:t>
      </w:r>
      <w:r w:rsidR="00B6709D" w:rsidRPr="00C3121E">
        <w:rPr>
          <w:rFonts w:ascii="Georgia" w:hAnsi="Georgia" w:cs="Arial"/>
          <w:sz w:val="22"/>
          <w:szCs w:val="22"/>
          <w:lang w:val="es-MX"/>
        </w:rPr>
        <w:t>.</w:t>
      </w:r>
    </w:p>
    <w:p w14:paraId="1A583264" w14:textId="77777777" w:rsidR="00F578C7" w:rsidRPr="00C3121E" w:rsidRDefault="00F578C7" w:rsidP="00C3121E">
      <w:pPr>
        <w:ind w:left="709"/>
        <w:jc w:val="both"/>
        <w:rPr>
          <w:rFonts w:ascii="Georgia" w:hAnsi="Georgia" w:cs="Arial"/>
          <w:b/>
          <w:sz w:val="22"/>
          <w:szCs w:val="22"/>
          <w:lang w:val="es-MX"/>
        </w:rPr>
      </w:pPr>
      <w:r w:rsidRPr="00C3121E">
        <w:rPr>
          <w:rFonts w:ascii="Georgia" w:hAnsi="Georgia" w:cs="Arial"/>
          <w:sz w:val="22"/>
          <w:szCs w:val="22"/>
          <w:lang w:val="es-MX"/>
        </w:rPr>
        <w:t xml:space="preserve"> </w:t>
      </w:r>
    </w:p>
    <w:p w14:paraId="4491E0FF" w14:textId="77777777" w:rsidR="00F578C7" w:rsidRPr="00C3121E" w:rsidRDefault="00F578C7" w:rsidP="00C3121E">
      <w:pPr>
        <w:ind w:left="709"/>
        <w:jc w:val="both"/>
        <w:rPr>
          <w:rFonts w:ascii="Georgia" w:hAnsi="Georgia" w:cs="Arial"/>
          <w:b/>
          <w:sz w:val="22"/>
          <w:szCs w:val="22"/>
          <w:lang w:val="es-MX"/>
        </w:rPr>
      </w:pPr>
      <w:r w:rsidRPr="00C3121E">
        <w:rPr>
          <w:rFonts w:ascii="Georgia" w:hAnsi="Georgia" w:cs="Arial"/>
          <w:b/>
          <w:sz w:val="22"/>
          <w:szCs w:val="22"/>
          <w:lang w:val="es-MX"/>
        </w:rPr>
        <w:t>Resultados:</w:t>
      </w:r>
    </w:p>
    <w:p w14:paraId="2B717918" w14:textId="77777777" w:rsidR="00F578C7" w:rsidRPr="00C3121E" w:rsidRDefault="00F578C7" w:rsidP="00C3121E">
      <w:pPr>
        <w:ind w:left="709" w:firstLine="360"/>
        <w:jc w:val="both"/>
        <w:rPr>
          <w:rFonts w:ascii="Georgia" w:hAnsi="Georgia" w:cs="Arial"/>
          <w:sz w:val="22"/>
          <w:szCs w:val="22"/>
          <w:lang w:val="es-MX"/>
        </w:rPr>
      </w:pPr>
    </w:p>
    <w:p w14:paraId="3B3F5B1F" w14:textId="7066A958" w:rsidR="00F578C7" w:rsidRPr="00C3121E" w:rsidRDefault="00F578C7" w:rsidP="00C3121E">
      <w:pPr>
        <w:ind w:left="709"/>
        <w:jc w:val="both"/>
        <w:rPr>
          <w:rFonts w:ascii="Georgia" w:hAnsi="Georgia" w:cs="Arial"/>
          <w:sz w:val="22"/>
          <w:szCs w:val="22"/>
          <w:lang w:val="es-MX"/>
        </w:rPr>
      </w:pPr>
      <w:r w:rsidRPr="00C3121E">
        <w:rPr>
          <w:rFonts w:ascii="Georgia" w:hAnsi="Georgia" w:cs="Arial"/>
          <w:sz w:val="22"/>
          <w:szCs w:val="22"/>
          <w:lang w:val="es-MX"/>
        </w:rPr>
        <w:t xml:space="preserve">Porcentaje de solicitudes recibidas de manera presencial: </w:t>
      </w:r>
      <w:r w:rsidR="00870832">
        <w:rPr>
          <w:rFonts w:ascii="Georgia" w:hAnsi="Georgia" w:cs="Arial"/>
          <w:b/>
          <w:sz w:val="22"/>
          <w:szCs w:val="22"/>
          <w:lang w:val="es-MX"/>
        </w:rPr>
        <w:t>18</w:t>
      </w:r>
      <w:r w:rsidR="00524895" w:rsidRPr="00C3121E">
        <w:rPr>
          <w:rFonts w:ascii="Georgia" w:hAnsi="Georgia" w:cs="Arial"/>
          <w:b/>
          <w:sz w:val="22"/>
          <w:szCs w:val="22"/>
          <w:lang w:val="es-MX"/>
        </w:rPr>
        <w:t>.</w:t>
      </w:r>
      <w:r w:rsidR="00870832">
        <w:rPr>
          <w:rFonts w:ascii="Georgia" w:hAnsi="Georgia" w:cs="Arial"/>
          <w:b/>
          <w:sz w:val="22"/>
          <w:szCs w:val="22"/>
          <w:lang w:val="es-MX"/>
        </w:rPr>
        <w:t>51</w:t>
      </w:r>
      <w:r w:rsidR="00E56BA8" w:rsidRPr="00C3121E">
        <w:rPr>
          <w:rFonts w:ascii="Georgia" w:hAnsi="Georgia" w:cs="Arial"/>
          <w:b/>
          <w:sz w:val="22"/>
          <w:szCs w:val="22"/>
          <w:lang w:val="es-MX"/>
        </w:rPr>
        <w:t>%</w:t>
      </w:r>
    </w:p>
    <w:p w14:paraId="08978018" w14:textId="77777777" w:rsidR="00F578C7" w:rsidRPr="00C3121E" w:rsidRDefault="00F578C7" w:rsidP="00C3121E">
      <w:pPr>
        <w:ind w:left="709"/>
        <w:jc w:val="both"/>
        <w:rPr>
          <w:rFonts w:ascii="Georgia" w:hAnsi="Georgia" w:cs="Arial"/>
          <w:sz w:val="22"/>
          <w:szCs w:val="22"/>
          <w:lang w:val="es-MX"/>
        </w:rPr>
      </w:pPr>
    </w:p>
    <w:p w14:paraId="3719C54D" w14:textId="02167016" w:rsidR="00F578C7" w:rsidRDefault="00F578C7" w:rsidP="00C3121E">
      <w:pPr>
        <w:ind w:left="709"/>
        <w:jc w:val="both"/>
        <w:rPr>
          <w:rFonts w:ascii="Georgia" w:hAnsi="Georgia" w:cs="Arial"/>
          <w:b/>
          <w:sz w:val="22"/>
          <w:szCs w:val="22"/>
          <w:lang w:val="es-MX"/>
        </w:rPr>
      </w:pPr>
      <w:r w:rsidRPr="00C3121E">
        <w:rPr>
          <w:rFonts w:ascii="Georgia" w:hAnsi="Georgia" w:cs="Arial"/>
          <w:sz w:val="22"/>
          <w:szCs w:val="22"/>
          <w:lang w:val="es-MX"/>
        </w:rPr>
        <w:t xml:space="preserve">Porcentaje de solicitudes recibidas por medios electrónicos: </w:t>
      </w:r>
      <w:r w:rsidR="00870832">
        <w:rPr>
          <w:rFonts w:ascii="Georgia" w:hAnsi="Georgia" w:cs="Arial"/>
          <w:b/>
          <w:sz w:val="22"/>
          <w:szCs w:val="22"/>
          <w:lang w:val="es-MX"/>
        </w:rPr>
        <w:t>81</w:t>
      </w:r>
      <w:r w:rsidR="00524895" w:rsidRPr="00C3121E">
        <w:rPr>
          <w:rFonts w:ascii="Georgia" w:hAnsi="Georgia" w:cs="Arial"/>
          <w:b/>
          <w:sz w:val="22"/>
          <w:szCs w:val="22"/>
          <w:lang w:val="es-MX"/>
        </w:rPr>
        <w:t>.</w:t>
      </w:r>
      <w:r w:rsidR="001855E3">
        <w:rPr>
          <w:rFonts w:ascii="Georgia" w:hAnsi="Georgia" w:cs="Arial"/>
          <w:b/>
          <w:sz w:val="22"/>
          <w:szCs w:val="22"/>
          <w:lang w:val="es-MX"/>
        </w:rPr>
        <w:t>4</w:t>
      </w:r>
      <w:r w:rsidR="00870832">
        <w:rPr>
          <w:rFonts w:ascii="Georgia" w:hAnsi="Georgia" w:cs="Arial"/>
          <w:b/>
          <w:sz w:val="22"/>
          <w:szCs w:val="22"/>
          <w:lang w:val="es-MX"/>
        </w:rPr>
        <w:t>9</w:t>
      </w:r>
      <w:r w:rsidR="00E56BA8" w:rsidRPr="00C3121E">
        <w:rPr>
          <w:rFonts w:ascii="Georgia" w:hAnsi="Georgia" w:cs="Arial"/>
          <w:b/>
          <w:sz w:val="22"/>
          <w:szCs w:val="22"/>
          <w:lang w:val="es-MX"/>
        </w:rPr>
        <w:t>%</w:t>
      </w:r>
    </w:p>
    <w:p w14:paraId="69B096F3" w14:textId="77777777" w:rsidR="001855E3" w:rsidRDefault="001855E3" w:rsidP="00C3121E">
      <w:pPr>
        <w:ind w:left="709"/>
        <w:jc w:val="both"/>
        <w:rPr>
          <w:rFonts w:ascii="Georgia" w:hAnsi="Georgia" w:cs="Arial"/>
          <w:b/>
          <w:sz w:val="22"/>
          <w:szCs w:val="22"/>
          <w:lang w:val="es-MX"/>
        </w:rPr>
      </w:pPr>
    </w:p>
    <w:p w14:paraId="47315208" w14:textId="77777777" w:rsidR="001855E3" w:rsidRPr="00C3121E" w:rsidRDefault="001855E3" w:rsidP="00C3121E">
      <w:pPr>
        <w:ind w:left="709"/>
        <w:jc w:val="both"/>
        <w:rPr>
          <w:rFonts w:ascii="Georgia" w:hAnsi="Georgia" w:cs="Arial"/>
          <w:b/>
          <w:sz w:val="22"/>
          <w:szCs w:val="22"/>
          <w:lang w:val="es-MX"/>
        </w:rPr>
      </w:pPr>
    </w:p>
    <w:p w14:paraId="12770612" w14:textId="77777777" w:rsidR="00FB221C" w:rsidRPr="00C3121E" w:rsidRDefault="00FB221C" w:rsidP="00C3121E">
      <w:pPr>
        <w:ind w:left="709"/>
        <w:jc w:val="both"/>
        <w:rPr>
          <w:rFonts w:ascii="Georgia" w:hAnsi="Georgia" w:cs="Arial"/>
          <w:b/>
          <w:sz w:val="22"/>
          <w:szCs w:val="22"/>
          <w:lang w:val="es-MX"/>
        </w:rPr>
      </w:pPr>
    </w:p>
    <w:p w14:paraId="11B98E7B" w14:textId="6EA10FDF" w:rsidR="00FB221C" w:rsidRPr="00C3121E" w:rsidRDefault="00870832" w:rsidP="00C3121E">
      <w:pPr>
        <w:ind w:left="709"/>
        <w:jc w:val="both"/>
        <w:rPr>
          <w:rFonts w:ascii="Georgia" w:hAnsi="Georgia" w:cs="Arial"/>
          <w:b/>
          <w:sz w:val="22"/>
          <w:szCs w:val="22"/>
          <w:lang w:val="es-MX"/>
        </w:rPr>
      </w:pPr>
      <w:r>
        <w:rPr>
          <w:noProof/>
        </w:rPr>
        <w:drawing>
          <wp:inline distT="0" distB="0" distL="0" distR="0" wp14:anchorId="33EAC8EF" wp14:editId="512B5A74">
            <wp:extent cx="5143501" cy="2855912"/>
            <wp:effectExtent l="0" t="0" r="0" b="0"/>
            <wp:docPr id="1499806242" name="Gráfico 1">
              <a:extLst xmlns:a="http://schemas.openxmlformats.org/drawingml/2006/main">
                <a:ext uri="{FF2B5EF4-FFF2-40B4-BE49-F238E27FC236}">
                  <a16:creationId xmlns:a16="http://schemas.microsoft.com/office/drawing/2014/main" id="{00000000-0008-0000-0100-000040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229864" w14:textId="77777777" w:rsidR="00FB221C" w:rsidRPr="00C3121E" w:rsidRDefault="00FB221C" w:rsidP="00C3121E">
      <w:pPr>
        <w:ind w:left="709"/>
        <w:jc w:val="both"/>
        <w:rPr>
          <w:rFonts w:ascii="Georgia" w:hAnsi="Georgia" w:cs="Arial"/>
          <w:b/>
          <w:sz w:val="22"/>
          <w:szCs w:val="22"/>
          <w:lang w:val="es-MX"/>
        </w:rPr>
      </w:pPr>
    </w:p>
    <w:p w14:paraId="13D09CB7" w14:textId="77777777" w:rsidR="00FB221C" w:rsidRPr="00C3121E" w:rsidRDefault="00FB221C" w:rsidP="00C3121E">
      <w:pPr>
        <w:ind w:left="709"/>
        <w:jc w:val="both"/>
        <w:rPr>
          <w:rFonts w:ascii="Georgia" w:hAnsi="Georgia" w:cs="Arial"/>
          <w:b/>
          <w:sz w:val="22"/>
          <w:szCs w:val="22"/>
          <w:lang w:val="es-MX"/>
        </w:rPr>
      </w:pPr>
    </w:p>
    <w:p w14:paraId="56D6BC31" w14:textId="58DE841C" w:rsidR="0001314E" w:rsidRPr="00C3121E" w:rsidRDefault="00FB221C" w:rsidP="00C3121E">
      <w:pPr>
        <w:jc w:val="both"/>
        <w:rPr>
          <w:rFonts w:ascii="Georgia" w:hAnsi="Georgia" w:cs="Arial"/>
          <w:sz w:val="22"/>
          <w:szCs w:val="22"/>
          <w:lang w:val="es-MX"/>
        </w:rPr>
      </w:pPr>
      <w:r w:rsidRPr="00C3121E">
        <w:rPr>
          <w:rFonts w:ascii="Georgia" w:hAnsi="Georgia" w:cs="Arial"/>
          <w:b/>
          <w:sz w:val="22"/>
          <w:szCs w:val="22"/>
          <w:lang w:val="es-MX"/>
        </w:rPr>
        <w:tab/>
      </w:r>
    </w:p>
    <w:p w14:paraId="06FE7600" w14:textId="3142FA34" w:rsidR="00F578C7" w:rsidRPr="00C3121E" w:rsidRDefault="00BB37F7" w:rsidP="00C3121E">
      <w:pPr>
        <w:jc w:val="both"/>
        <w:rPr>
          <w:rFonts w:ascii="Arial" w:hAnsi="Arial" w:cs="Arial"/>
          <w:sz w:val="26"/>
          <w:szCs w:val="26"/>
          <w:lang w:val="es-MX"/>
        </w:rPr>
      </w:pPr>
      <w:r w:rsidRPr="00C3121E">
        <w:rPr>
          <w:rFonts w:ascii="Arial" w:hAnsi="Arial" w:cs="Arial"/>
          <w:sz w:val="26"/>
          <w:szCs w:val="26"/>
          <w:lang w:val="es-MX"/>
        </w:rPr>
        <w:tab/>
      </w:r>
    </w:p>
    <w:p w14:paraId="6B019B70" w14:textId="4D2C7C1F" w:rsidR="00F578C7" w:rsidRPr="00C3121E" w:rsidRDefault="00F578C7" w:rsidP="00C3121E">
      <w:pPr>
        <w:jc w:val="both"/>
        <w:rPr>
          <w:rFonts w:ascii="Arial" w:hAnsi="Arial" w:cs="Arial"/>
          <w:b/>
          <w:sz w:val="26"/>
          <w:szCs w:val="26"/>
          <w:lang w:val="es-MX"/>
        </w:rPr>
      </w:pPr>
    </w:p>
    <w:p w14:paraId="37B515CB" w14:textId="77777777" w:rsidR="00744011" w:rsidRPr="00C3121E" w:rsidRDefault="00744011" w:rsidP="00C3121E">
      <w:pPr>
        <w:ind w:left="708"/>
        <w:jc w:val="both"/>
        <w:rPr>
          <w:rFonts w:ascii="Arial" w:hAnsi="Arial" w:cs="Arial"/>
          <w:b/>
          <w:sz w:val="26"/>
          <w:szCs w:val="26"/>
          <w:lang w:val="es-MX"/>
        </w:rPr>
      </w:pPr>
    </w:p>
    <w:p w14:paraId="3EA59DD1" w14:textId="3E69EC32" w:rsidR="00524895" w:rsidRPr="00C3121E" w:rsidRDefault="00524895" w:rsidP="00C3121E">
      <w:pPr>
        <w:ind w:left="720"/>
        <w:jc w:val="both"/>
        <w:rPr>
          <w:rFonts w:asciiTheme="majorHAnsi" w:hAnsiTheme="majorHAnsi" w:cs="Arial"/>
          <w:b/>
          <w:sz w:val="22"/>
          <w:szCs w:val="26"/>
          <w:lang w:val="es-MX"/>
        </w:rPr>
      </w:pPr>
    </w:p>
    <w:p w14:paraId="4F2AB1B0" w14:textId="77777777" w:rsidR="00524895" w:rsidRPr="00C3121E" w:rsidRDefault="00524895" w:rsidP="00C3121E">
      <w:pPr>
        <w:ind w:left="720"/>
        <w:jc w:val="both"/>
        <w:rPr>
          <w:rFonts w:asciiTheme="majorHAnsi" w:hAnsiTheme="majorHAnsi" w:cs="Arial"/>
          <w:b/>
          <w:sz w:val="22"/>
          <w:szCs w:val="26"/>
          <w:lang w:val="es-MX"/>
        </w:rPr>
      </w:pPr>
    </w:p>
    <w:p w14:paraId="29FAE8F2" w14:textId="2175C8D0" w:rsidR="00574F2C" w:rsidRPr="00C3121E" w:rsidRDefault="00574F2C" w:rsidP="00C3121E">
      <w:pPr>
        <w:numPr>
          <w:ilvl w:val="0"/>
          <w:numId w:val="2"/>
        </w:numPr>
        <w:jc w:val="both"/>
        <w:rPr>
          <w:rFonts w:asciiTheme="majorHAnsi" w:hAnsiTheme="majorHAnsi" w:cs="Arial"/>
          <w:b/>
          <w:sz w:val="22"/>
          <w:szCs w:val="26"/>
          <w:lang w:val="es-MX"/>
        </w:rPr>
      </w:pPr>
      <w:r w:rsidRPr="00C3121E">
        <w:rPr>
          <w:rFonts w:asciiTheme="majorHAnsi" w:hAnsiTheme="majorHAnsi" w:cs="Arial"/>
          <w:b/>
          <w:sz w:val="22"/>
          <w:szCs w:val="26"/>
          <w:lang w:val="es-MX"/>
        </w:rPr>
        <w:t>Conocimiento de las personas respecto de la información que pueden obtener de la Suprema Corte de Justicia de la Nación</w:t>
      </w:r>
      <w:r w:rsidRPr="00C3121E">
        <w:rPr>
          <w:rStyle w:val="Refdenotaalpie"/>
          <w:rFonts w:asciiTheme="majorHAnsi" w:hAnsiTheme="majorHAnsi" w:cs="Arial"/>
          <w:b/>
          <w:sz w:val="22"/>
          <w:szCs w:val="26"/>
        </w:rPr>
        <w:footnoteReference w:id="5"/>
      </w:r>
      <w:r w:rsidRPr="00C3121E">
        <w:rPr>
          <w:rFonts w:asciiTheme="majorHAnsi" w:hAnsiTheme="majorHAnsi" w:cs="Arial"/>
          <w:b/>
          <w:sz w:val="22"/>
          <w:szCs w:val="26"/>
          <w:lang w:val="es-MX"/>
        </w:rPr>
        <w:t>.</w:t>
      </w:r>
    </w:p>
    <w:p w14:paraId="19C745FC" w14:textId="77777777" w:rsidR="00574F2C" w:rsidRPr="00C3121E" w:rsidRDefault="00574F2C" w:rsidP="00C3121E">
      <w:pPr>
        <w:ind w:left="360"/>
        <w:jc w:val="both"/>
        <w:rPr>
          <w:rFonts w:asciiTheme="majorHAnsi" w:hAnsiTheme="majorHAnsi" w:cs="Arial"/>
          <w:b/>
          <w:sz w:val="22"/>
          <w:szCs w:val="26"/>
          <w:lang w:val="es-MX"/>
        </w:rPr>
      </w:pPr>
    </w:p>
    <w:p w14:paraId="0CD4A59F" w14:textId="77777777" w:rsidR="00574F2C" w:rsidRPr="00C3121E" w:rsidRDefault="00574F2C" w:rsidP="00C3121E">
      <w:pPr>
        <w:ind w:left="709"/>
        <w:jc w:val="both"/>
        <w:rPr>
          <w:rFonts w:asciiTheme="majorHAnsi" w:hAnsiTheme="majorHAnsi" w:cs="Arial"/>
          <w:b/>
          <w:sz w:val="22"/>
          <w:szCs w:val="26"/>
          <w:lang w:val="es-MX"/>
        </w:rPr>
      </w:pPr>
      <w:r w:rsidRPr="00C3121E">
        <w:rPr>
          <w:rFonts w:asciiTheme="majorHAnsi" w:hAnsiTheme="majorHAnsi" w:cs="Arial"/>
          <w:sz w:val="22"/>
          <w:szCs w:val="26"/>
          <w:lang w:val="es-MX"/>
        </w:rPr>
        <w:t xml:space="preserve">Este indicador permite medir el grado de conocimiento de los solicitantes respecto de la información que está bajo el resguardo de la Suprema Corte en sus diversos acervos.  </w:t>
      </w:r>
    </w:p>
    <w:p w14:paraId="54E28CC4" w14:textId="77777777" w:rsidR="00574F2C" w:rsidRPr="00C3121E" w:rsidRDefault="00574F2C" w:rsidP="00C3121E">
      <w:pPr>
        <w:ind w:left="709"/>
        <w:jc w:val="both"/>
        <w:rPr>
          <w:rFonts w:asciiTheme="majorHAnsi" w:hAnsiTheme="majorHAnsi" w:cs="Arial"/>
          <w:sz w:val="22"/>
          <w:szCs w:val="26"/>
          <w:lang w:val="es-MX"/>
        </w:rPr>
      </w:pPr>
    </w:p>
    <w:p w14:paraId="123F2A66" w14:textId="77777777" w:rsidR="00574F2C" w:rsidRPr="00C3121E" w:rsidRDefault="00574F2C" w:rsidP="00C3121E">
      <w:pPr>
        <w:ind w:left="709"/>
        <w:jc w:val="both"/>
        <w:rPr>
          <w:rFonts w:asciiTheme="majorHAnsi" w:hAnsiTheme="majorHAnsi" w:cs="Arial"/>
          <w:b/>
          <w:sz w:val="22"/>
          <w:szCs w:val="26"/>
          <w:lang w:val="es-MX"/>
        </w:rPr>
      </w:pPr>
      <w:r w:rsidRPr="00C3121E">
        <w:rPr>
          <w:rFonts w:asciiTheme="majorHAnsi" w:hAnsiTheme="majorHAnsi" w:cs="Arial"/>
          <w:b/>
          <w:sz w:val="22"/>
          <w:szCs w:val="26"/>
          <w:lang w:val="es-MX"/>
        </w:rPr>
        <w:t>Resultados:</w:t>
      </w:r>
    </w:p>
    <w:p w14:paraId="1C4A53D0" w14:textId="77777777" w:rsidR="00574F2C" w:rsidRPr="00C3121E" w:rsidRDefault="00574F2C" w:rsidP="00C3121E">
      <w:pPr>
        <w:ind w:left="709" w:firstLine="360"/>
        <w:jc w:val="both"/>
        <w:rPr>
          <w:rFonts w:asciiTheme="majorHAnsi" w:hAnsiTheme="majorHAnsi" w:cs="Arial"/>
          <w:sz w:val="22"/>
          <w:szCs w:val="26"/>
          <w:lang w:val="es-MX"/>
        </w:rPr>
      </w:pPr>
    </w:p>
    <w:p w14:paraId="6A7E1459" w14:textId="6F4134B7" w:rsidR="00574F2C" w:rsidRPr="00C3121E" w:rsidRDefault="00574F2C" w:rsidP="00C3121E">
      <w:pPr>
        <w:ind w:left="709"/>
        <w:jc w:val="both"/>
        <w:rPr>
          <w:rFonts w:asciiTheme="majorHAnsi" w:hAnsiTheme="majorHAnsi" w:cs="Arial"/>
          <w:sz w:val="22"/>
          <w:szCs w:val="26"/>
          <w:lang w:val="es-MX"/>
        </w:rPr>
      </w:pPr>
      <w:r w:rsidRPr="00C3121E">
        <w:rPr>
          <w:rFonts w:asciiTheme="majorHAnsi" w:hAnsiTheme="majorHAnsi" w:cs="Arial"/>
          <w:sz w:val="22"/>
          <w:szCs w:val="26"/>
          <w:lang w:val="es-MX"/>
        </w:rPr>
        <w:t xml:space="preserve">Número de canalizaciones al Consejo de la Judicatura Federal respecto del total de solicitudes: </w:t>
      </w:r>
      <w:r w:rsidR="001220D3" w:rsidRPr="00C3121E">
        <w:rPr>
          <w:rFonts w:asciiTheme="majorHAnsi" w:hAnsiTheme="majorHAnsi" w:cs="Arial"/>
          <w:b/>
          <w:sz w:val="22"/>
          <w:szCs w:val="26"/>
          <w:lang w:val="es-MX"/>
        </w:rPr>
        <w:t>7</w:t>
      </w:r>
      <w:r w:rsidR="00DC3573" w:rsidRPr="00C3121E">
        <w:rPr>
          <w:rFonts w:asciiTheme="majorHAnsi" w:hAnsiTheme="majorHAnsi" w:cs="Arial"/>
          <w:b/>
          <w:sz w:val="22"/>
          <w:szCs w:val="26"/>
          <w:lang w:val="es-MX"/>
        </w:rPr>
        <w:t>4</w:t>
      </w:r>
      <w:r w:rsidRPr="00C3121E">
        <w:rPr>
          <w:rFonts w:asciiTheme="majorHAnsi" w:hAnsiTheme="majorHAnsi" w:cs="Arial"/>
          <w:sz w:val="22"/>
          <w:szCs w:val="26"/>
          <w:lang w:val="es-MX"/>
        </w:rPr>
        <w:t>.</w:t>
      </w:r>
    </w:p>
    <w:p w14:paraId="01DF869C" w14:textId="77777777" w:rsidR="00574F2C" w:rsidRPr="00C3121E" w:rsidRDefault="00574F2C" w:rsidP="00C3121E">
      <w:pPr>
        <w:ind w:left="709"/>
        <w:jc w:val="both"/>
        <w:rPr>
          <w:rFonts w:asciiTheme="majorHAnsi" w:hAnsiTheme="majorHAnsi" w:cs="Arial"/>
          <w:sz w:val="22"/>
          <w:szCs w:val="26"/>
          <w:lang w:val="es-MX"/>
        </w:rPr>
      </w:pPr>
    </w:p>
    <w:p w14:paraId="773BADD7" w14:textId="4123E175" w:rsidR="00574F2C" w:rsidRPr="00C3121E" w:rsidRDefault="00574F2C" w:rsidP="00C3121E">
      <w:pPr>
        <w:ind w:left="709"/>
        <w:jc w:val="both"/>
        <w:rPr>
          <w:rFonts w:asciiTheme="majorHAnsi" w:hAnsiTheme="majorHAnsi" w:cs="Arial"/>
          <w:sz w:val="22"/>
          <w:szCs w:val="26"/>
          <w:lang w:val="es-MX"/>
        </w:rPr>
      </w:pPr>
      <w:r w:rsidRPr="00C3121E">
        <w:rPr>
          <w:rFonts w:asciiTheme="majorHAnsi" w:hAnsiTheme="majorHAnsi" w:cs="Arial"/>
          <w:sz w:val="22"/>
          <w:szCs w:val="26"/>
          <w:lang w:val="es-MX"/>
        </w:rPr>
        <w:t xml:space="preserve">Número de orientaciones respecto del total de solicitudes: </w:t>
      </w:r>
      <w:r w:rsidR="00DC3573" w:rsidRPr="00C3121E">
        <w:rPr>
          <w:rFonts w:asciiTheme="majorHAnsi" w:hAnsiTheme="majorHAnsi" w:cs="Arial"/>
          <w:b/>
          <w:sz w:val="22"/>
          <w:szCs w:val="26"/>
          <w:lang w:val="es-MX"/>
        </w:rPr>
        <w:t>1</w:t>
      </w:r>
      <w:r w:rsidR="00352822" w:rsidRPr="00C3121E">
        <w:rPr>
          <w:rFonts w:asciiTheme="majorHAnsi" w:hAnsiTheme="majorHAnsi" w:cs="Arial"/>
          <w:b/>
          <w:sz w:val="22"/>
          <w:szCs w:val="26"/>
          <w:lang w:val="es-MX"/>
        </w:rPr>
        <w:t>5</w:t>
      </w:r>
      <w:r w:rsidR="001220D3" w:rsidRPr="00C3121E">
        <w:rPr>
          <w:rFonts w:asciiTheme="majorHAnsi" w:hAnsiTheme="majorHAnsi" w:cs="Arial"/>
          <w:b/>
          <w:sz w:val="22"/>
          <w:szCs w:val="26"/>
          <w:lang w:val="es-MX"/>
        </w:rPr>
        <w:t>9</w:t>
      </w:r>
      <w:r w:rsidRPr="00C3121E">
        <w:rPr>
          <w:rFonts w:asciiTheme="majorHAnsi" w:hAnsiTheme="majorHAnsi" w:cs="Arial"/>
          <w:sz w:val="22"/>
          <w:szCs w:val="26"/>
          <w:lang w:val="es-MX"/>
        </w:rPr>
        <w:t>.</w:t>
      </w:r>
    </w:p>
    <w:p w14:paraId="47890087" w14:textId="77777777" w:rsidR="00574F2C" w:rsidRPr="00C3121E" w:rsidRDefault="00574F2C" w:rsidP="00C3121E">
      <w:pPr>
        <w:ind w:left="709"/>
        <w:jc w:val="both"/>
        <w:rPr>
          <w:rFonts w:asciiTheme="majorHAnsi" w:hAnsiTheme="majorHAnsi" w:cs="Arial"/>
          <w:sz w:val="22"/>
          <w:szCs w:val="26"/>
          <w:lang w:val="es-MX"/>
        </w:rPr>
      </w:pPr>
    </w:p>
    <w:p w14:paraId="6DE60957" w14:textId="77777777" w:rsidR="00891F2E" w:rsidRPr="00C3121E" w:rsidRDefault="00891F2E" w:rsidP="00C3121E">
      <w:pPr>
        <w:ind w:left="709"/>
        <w:jc w:val="both"/>
        <w:rPr>
          <w:rFonts w:asciiTheme="majorHAnsi" w:hAnsiTheme="majorHAnsi" w:cs="Arial"/>
          <w:sz w:val="22"/>
          <w:szCs w:val="26"/>
          <w:lang w:val="es-MX"/>
        </w:rPr>
      </w:pPr>
    </w:p>
    <w:p w14:paraId="2D0147B1" w14:textId="77777777" w:rsidR="00574F2C" w:rsidRPr="00C3121E" w:rsidRDefault="00574F2C" w:rsidP="00C3121E">
      <w:pPr>
        <w:ind w:left="709"/>
        <w:jc w:val="both"/>
        <w:rPr>
          <w:rFonts w:asciiTheme="majorHAnsi" w:hAnsiTheme="majorHAnsi" w:cs="Arial"/>
          <w:b/>
          <w:sz w:val="22"/>
          <w:szCs w:val="26"/>
        </w:rPr>
      </w:pPr>
      <w:r w:rsidRPr="00C3121E">
        <w:rPr>
          <w:rFonts w:asciiTheme="majorHAnsi" w:hAnsiTheme="majorHAnsi" w:cs="Arial"/>
          <w:b/>
          <w:sz w:val="22"/>
          <w:szCs w:val="26"/>
        </w:rPr>
        <w:t>Gráfica:</w:t>
      </w:r>
    </w:p>
    <w:p w14:paraId="3DF27EA5" w14:textId="2527EC36" w:rsidR="00BB37F7" w:rsidRPr="00C3121E" w:rsidRDefault="00BB37F7" w:rsidP="00C3121E">
      <w:pPr>
        <w:pStyle w:val="Lugaryfecha"/>
      </w:pPr>
      <w:r w:rsidRPr="00C3121E">
        <w:tab/>
      </w:r>
      <w:r w:rsidR="00870832">
        <w:rPr>
          <w:noProof/>
        </w:rPr>
        <w:drawing>
          <wp:inline distT="0" distB="0" distL="0" distR="0" wp14:anchorId="079D9ABA" wp14:editId="1AECF49A">
            <wp:extent cx="5850890" cy="3241675"/>
            <wp:effectExtent l="0" t="0" r="0" b="0"/>
            <wp:docPr id="1825615842" name="Gráfico 1">
              <a:extLst xmlns:a="http://schemas.openxmlformats.org/drawingml/2006/main">
                <a:ext uri="{FF2B5EF4-FFF2-40B4-BE49-F238E27FC236}">
                  <a16:creationId xmlns:a16="http://schemas.microsoft.com/office/drawing/2014/main" id="{00000000-0008-0000-0100-00004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B68449" w14:textId="77777777" w:rsidR="005C71B4" w:rsidRPr="00C3121E" w:rsidRDefault="005C71B4" w:rsidP="00C3121E">
      <w:pPr>
        <w:pStyle w:val="Lugaryfecha"/>
      </w:pPr>
    </w:p>
    <w:p w14:paraId="32803A81" w14:textId="77777777" w:rsidR="005C71B4" w:rsidRPr="00C3121E" w:rsidRDefault="005C71B4" w:rsidP="00C3121E">
      <w:pPr>
        <w:pStyle w:val="Lugaryfecha"/>
      </w:pPr>
    </w:p>
    <w:p w14:paraId="18CB02A4" w14:textId="77777777" w:rsidR="00574F2C" w:rsidRPr="00C3121E" w:rsidRDefault="00574F2C" w:rsidP="00C3121E">
      <w:pPr>
        <w:numPr>
          <w:ilvl w:val="0"/>
          <w:numId w:val="2"/>
        </w:numPr>
        <w:jc w:val="both"/>
        <w:rPr>
          <w:rFonts w:asciiTheme="majorHAnsi" w:hAnsiTheme="majorHAnsi" w:cs="Arial"/>
          <w:b/>
          <w:sz w:val="22"/>
          <w:szCs w:val="26"/>
          <w:lang w:val="es-MX"/>
        </w:rPr>
      </w:pPr>
      <w:r w:rsidRPr="00C3121E">
        <w:rPr>
          <w:rFonts w:asciiTheme="majorHAnsi" w:hAnsiTheme="majorHAnsi" w:cs="Arial"/>
          <w:b/>
          <w:sz w:val="22"/>
          <w:szCs w:val="26"/>
          <w:lang w:val="es-MX"/>
        </w:rPr>
        <w:t>Tipo de información solicitada por los peticionarios mediante procedimiento ordinario</w:t>
      </w:r>
      <w:r w:rsidRPr="00C3121E">
        <w:rPr>
          <w:rStyle w:val="Refdenotaalpie"/>
          <w:rFonts w:asciiTheme="majorHAnsi" w:hAnsiTheme="majorHAnsi" w:cs="Arial"/>
          <w:b/>
          <w:sz w:val="22"/>
          <w:szCs w:val="26"/>
        </w:rPr>
        <w:footnoteReference w:id="6"/>
      </w:r>
      <w:r w:rsidRPr="00C3121E">
        <w:rPr>
          <w:rFonts w:asciiTheme="majorHAnsi" w:hAnsiTheme="majorHAnsi" w:cs="Arial"/>
          <w:b/>
          <w:sz w:val="22"/>
          <w:szCs w:val="26"/>
          <w:lang w:val="es-MX"/>
        </w:rPr>
        <w:t>.</w:t>
      </w:r>
    </w:p>
    <w:p w14:paraId="3F311A88" w14:textId="77777777" w:rsidR="00574F2C" w:rsidRPr="00C3121E" w:rsidRDefault="00574F2C" w:rsidP="00C3121E">
      <w:pPr>
        <w:ind w:left="360"/>
        <w:jc w:val="both"/>
        <w:rPr>
          <w:rFonts w:asciiTheme="majorHAnsi" w:hAnsiTheme="majorHAnsi" w:cs="Arial"/>
          <w:sz w:val="22"/>
          <w:szCs w:val="26"/>
          <w:lang w:val="es-MX"/>
        </w:rPr>
      </w:pPr>
    </w:p>
    <w:p w14:paraId="59D39BC9" w14:textId="77777777" w:rsidR="00574F2C" w:rsidRPr="00C3121E" w:rsidRDefault="00574F2C" w:rsidP="00C3121E">
      <w:pPr>
        <w:tabs>
          <w:tab w:val="left" w:pos="709"/>
        </w:tabs>
        <w:ind w:left="709"/>
        <w:jc w:val="both"/>
        <w:rPr>
          <w:rFonts w:asciiTheme="majorHAnsi" w:hAnsiTheme="majorHAnsi" w:cs="Arial"/>
          <w:b/>
          <w:sz w:val="22"/>
          <w:szCs w:val="26"/>
          <w:lang w:val="es-MX"/>
        </w:rPr>
      </w:pPr>
      <w:r w:rsidRPr="00C3121E">
        <w:rPr>
          <w:rFonts w:asciiTheme="majorHAnsi" w:hAnsiTheme="majorHAnsi" w:cs="Arial"/>
          <w:sz w:val="22"/>
          <w:szCs w:val="26"/>
          <w:lang w:val="es-MX"/>
        </w:rPr>
        <w:t>Este indicador permite advertir la preferencia de los peticionarios respecto del tipo de información que solicitan, es decir, si el requerimiento versa sobre información Administrativa o Jurisdiccional bajo resguardo de la Suprema Corte.</w:t>
      </w:r>
    </w:p>
    <w:p w14:paraId="260C59B2" w14:textId="77777777" w:rsidR="00574F2C" w:rsidRPr="00C3121E" w:rsidRDefault="00574F2C" w:rsidP="00C3121E">
      <w:pPr>
        <w:tabs>
          <w:tab w:val="left" w:pos="709"/>
        </w:tabs>
        <w:ind w:left="709"/>
        <w:jc w:val="both"/>
        <w:rPr>
          <w:rFonts w:asciiTheme="majorHAnsi" w:hAnsiTheme="majorHAnsi" w:cs="Arial"/>
          <w:sz w:val="22"/>
          <w:szCs w:val="26"/>
          <w:lang w:val="es-MX"/>
        </w:rPr>
      </w:pPr>
      <w:r w:rsidRPr="00C3121E">
        <w:rPr>
          <w:rFonts w:asciiTheme="majorHAnsi" w:hAnsiTheme="majorHAnsi" w:cs="Arial"/>
          <w:sz w:val="22"/>
          <w:szCs w:val="26"/>
          <w:lang w:val="es-MX"/>
        </w:rPr>
        <w:t xml:space="preserve">     </w:t>
      </w:r>
    </w:p>
    <w:p w14:paraId="42D9B5D0" w14:textId="77777777" w:rsidR="00574F2C" w:rsidRPr="00C3121E" w:rsidRDefault="00574F2C" w:rsidP="00C3121E">
      <w:pPr>
        <w:tabs>
          <w:tab w:val="left" w:pos="709"/>
        </w:tabs>
        <w:ind w:left="709"/>
        <w:jc w:val="both"/>
        <w:rPr>
          <w:rFonts w:asciiTheme="majorHAnsi" w:hAnsiTheme="majorHAnsi" w:cs="Arial"/>
          <w:b/>
          <w:sz w:val="22"/>
          <w:szCs w:val="26"/>
          <w:lang w:val="es-MX"/>
        </w:rPr>
      </w:pPr>
      <w:r w:rsidRPr="00C3121E">
        <w:rPr>
          <w:rFonts w:asciiTheme="majorHAnsi" w:hAnsiTheme="majorHAnsi" w:cs="Arial"/>
          <w:b/>
          <w:sz w:val="22"/>
          <w:szCs w:val="26"/>
          <w:lang w:val="es-MX"/>
        </w:rPr>
        <w:t>Resultados</w:t>
      </w:r>
      <w:r w:rsidRPr="00C3121E">
        <w:rPr>
          <w:rStyle w:val="Refdenotaalpie"/>
          <w:rFonts w:asciiTheme="majorHAnsi" w:hAnsiTheme="majorHAnsi" w:cs="Arial"/>
          <w:b/>
          <w:sz w:val="22"/>
          <w:szCs w:val="26"/>
        </w:rPr>
        <w:footnoteReference w:id="7"/>
      </w:r>
      <w:r w:rsidRPr="00C3121E">
        <w:rPr>
          <w:rFonts w:asciiTheme="majorHAnsi" w:hAnsiTheme="majorHAnsi" w:cs="Arial"/>
          <w:b/>
          <w:sz w:val="22"/>
          <w:szCs w:val="26"/>
          <w:lang w:val="es-MX"/>
        </w:rPr>
        <w:t>:</w:t>
      </w:r>
    </w:p>
    <w:p w14:paraId="3520D696" w14:textId="77777777" w:rsidR="00574F2C" w:rsidRPr="00C3121E" w:rsidRDefault="00574F2C" w:rsidP="00C3121E">
      <w:pPr>
        <w:tabs>
          <w:tab w:val="left" w:pos="709"/>
        </w:tabs>
        <w:ind w:left="709" w:firstLine="360"/>
        <w:jc w:val="both"/>
        <w:rPr>
          <w:rFonts w:asciiTheme="majorHAnsi" w:hAnsiTheme="majorHAnsi" w:cs="Arial"/>
          <w:sz w:val="22"/>
          <w:szCs w:val="26"/>
          <w:lang w:val="es-MX"/>
        </w:rPr>
      </w:pPr>
    </w:p>
    <w:p w14:paraId="47D51328" w14:textId="5EBEF9EB" w:rsidR="00574F2C" w:rsidRPr="00C3121E" w:rsidRDefault="00574F2C" w:rsidP="00C3121E">
      <w:pPr>
        <w:tabs>
          <w:tab w:val="left" w:pos="709"/>
        </w:tabs>
        <w:ind w:left="709"/>
        <w:jc w:val="both"/>
        <w:rPr>
          <w:rFonts w:asciiTheme="majorHAnsi" w:hAnsiTheme="majorHAnsi" w:cs="Arial"/>
          <w:b/>
          <w:sz w:val="22"/>
          <w:szCs w:val="26"/>
          <w:lang w:val="es-MX"/>
        </w:rPr>
      </w:pPr>
      <w:r w:rsidRPr="00C3121E">
        <w:rPr>
          <w:rFonts w:asciiTheme="majorHAnsi" w:hAnsiTheme="majorHAnsi" w:cs="Arial"/>
          <w:sz w:val="22"/>
          <w:szCs w:val="26"/>
          <w:lang w:val="es-MX"/>
        </w:rPr>
        <w:t xml:space="preserve">Porcentaje de solicitudes de información administrativa: </w:t>
      </w:r>
      <w:r w:rsidR="007B4B66" w:rsidRPr="00C3121E">
        <w:rPr>
          <w:rFonts w:asciiTheme="majorHAnsi" w:hAnsiTheme="majorHAnsi" w:cs="Arial"/>
          <w:b/>
          <w:sz w:val="22"/>
          <w:szCs w:val="26"/>
          <w:lang w:val="es-MX"/>
        </w:rPr>
        <w:t>4</w:t>
      </w:r>
      <w:r w:rsidR="001220D3" w:rsidRPr="00C3121E">
        <w:rPr>
          <w:rFonts w:asciiTheme="majorHAnsi" w:hAnsiTheme="majorHAnsi" w:cs="Arial"/>
          <w:b/>
          <w:sz w:val="22"/>
          <w:szCs w:val="26"/>
          <w:lang w:val="es-MX"/>
        </w:rPr>
        <w:t>7</w:t>
      </w:r>
      <w:r w:rsidR="003152AC" w:rsidRPr="00C3121E">
        <w:rPr>
          <w:rFonts w:asciiTheme="majorHAnsi" w:hAnsiTheme="majorHAnsi" w:cs="Arial"/>
          <w:b/>
          <w:sz w:val="22"/>
          <w:szCs w:val="26"/>
          <w:lang w:val="es-MX"/>
        </w:rPr>
        <w:t>.</w:t>
      </w:r>
      <w:r w:rsidR="001220D3" w:rsidRPr="00C3121E">
        <w:rPr>
          <w:rFonts w:asciiTheme="majorHAnsi" w:hAnsiTheme="majorHAnsi" w:cs="Arial"/>
          <w:b/>
          <w:sz w:val="22"/>
          <w:szCs w:val="26"/>
          <w:lang w:val="es-MX"/>
        </w:rPr>
        <w:t>43</w:t>
      </w:r>
      <w:r w:rsidR="00760761" w:rsidRPr="00C3121E">
        <w:rPr>
          <w:rFonts w:asciiTheme="majorHAnsi" w:hAnsiTheme="majorHAnsi" w:cs="Arial"/>
          <w:b/>
          <w:sz w:val="22"/>
          <w:szCs w:val="26"/>
          <w:lang w:val="es-MX"/>
        </w:rPr>
        <w:t>%</w:t>
      </w:r>
    </w:p>
    <w:p w14:paraId="544CB721" w14:textId="77777777" w:rsidR="00574F2C" w:rsidRPr="00C3121E" w:rsidRDefault="00574F2C" w:rsidP="00C3121E">
      <w:pPr>
        <w:tabs>
          <w:tab w:val="left" w:pos="709"/>
        </w:tabs>
        <w:ind w:left="709"/>
        <w:jc w:val="both"/>
        <w:rPr>
          <w:rFonts w:asciiTheme="majorHAnsi" w:hAnsiTheme="majorHAnsi" w:cs="Arial"/>
          <w:sz w:val="22"/>
          <w:szCs w:val="26"/>
          <w:lang w:val="es-MX"/>
        </w:rPr>
      </w:pPr>
    </w:p>
    <w:p w14:paraId="1E1A3F69" w14:textId="4E1BFFA4" w:rsidR="00574F2C" w:rsidRPr="00C3121E" w:rsidRDefault="00574F2C" w:rsidP="00C3121E">
      <w:pPr>
        <w:tabs>
          <w:tab w:val="left" w:pos="709"/>
        </w:tabs>
        <w:ind w:left="709"/>
        <w:jc w:val="both"/>
        <w:rPr>
          <w:rFonts w:asciiTheme="majorHAnsi" w:hAnsiTheme="majorHAnsi" w:cs="Arial"/>
          <w:sz w:val="22"/>
          <w:szCs w:val="26"/>
          <w:lang w:val="es-MX"/>
        </w:rPr>
      </w:pPr>
      <w:r w:rsidRPr="00C3121E">
        <w:rPr>
          <w:rFonts w:asciiTheme="majorHAnsi" w:hAnsiTheme="majorHAnsi" w:cs="Arial"/>
          <w:sz w:val="22"/>
          <w:szCs w:val="26"/>
          <w:lang w:val="es-MX"/>
        </w:rPr>
        <w:t xml:space="preserve">Porcentaje de solicitudes de información jurisdiccional: </w:t>
      </w:r>
      <w:r w:rsidR="007B4B66" w:rsidRPr="00C3121E">
        <w:rPr>
          <w:rFonts w:asciiTheme="majorHAnsi" w:hAnsiTheme="majorHAnsi" w:cs="Arial"/>
          <w:b/>
          <w:sz w:val="22"/>
          <w:szCs w:val="26"/>
          <w:lang w:val="es-MX"/>
        </w:rPr>
        <w:t>5</w:t>
      </w:r>
      <w:r w:rsidR="001220D3" w:rsidRPr="00C3121E">
        <w:rPr>
          <w:rFonts w:asciiTheme="majorHAnsi" w:hAnsiTheme="majorHAnsi" w:cs="Arial"/>
          <w:b/>
          <w:sz w:val="22"/>
          <w:szCs w:val="26"/>
          <w:lang w:val="es-MX"/>
        </w:rPr>
        <w:t>2</w:t>
      </w:r>
      <w:r w:rsidR="00887DA0" w:rsidRPr="00C3121E">
        <w:rPr>
          <w:rFonts w:asciiTheme="majorHAnsi" w:hAnsiTheme="majorHAnsi" w:cs="Arial"/>
          <w:b/>
          <w:sz w:val="22"/>
          <w:szCs w:val="26"/>
          <w:lang w:val="es-MX"/>
        </w:rPr>
        <w:t>.</w:t>
      </w:r>
      <w:r w:rsidR="001220D3" w:rsidRPr="00C3121E">
        <w:rPr>
          <w:rFonts w:asciiTheme="majorHAnsi" w:hAnsiTheme="majorHAnsi" w:cs="Arial"/>
          <w:b/>
          <w:sz w:val="22"/>
          <w:szCs w:val="26"/>
          <w:lang w:val="es-MX"/>
        </w:rPr>
        <w:t>57</w:t>
      </w:r>
      <w:r w:rsidR="00760761" w:rsidRPr="00C3121E">
        <w:rPr>
          <w:rFonts w:asciiTheme="majorHAnsi" w:hAnsiTheme="majorHAnsi" w:cs="Arial"/>
          <w:b/>
          <w:sz w:val="22"/>
          <w:szCs w:val="26"/>
          <w:lang w:val="es-MX"/>
        </w:rPr>
        <w:t>%</w:t>
      </w:r>
    </w:p>
    <w:p w14:paraId="6FFF717D" w14:textId="77777777" w:rsidR="00574F2C" w:rsidRPr="00C3121E" w:rsidRDefault="00574F2C" w:rsidP="00C3121E">
      <w:pPr>
        <w:tabs>
          <w:tab w:val="left" w:pos="709"/>
        </w:tabs>
        <w:ind w:left="709"/>
        <w:jc w:val="both"/>
        <w:rPr>
          <w:rFonts w:asciiTheme="majorHAnsi" w:hAnsiTheme="majorHAnsi" w:cs="Arial"/>
          <w:b/>
          <w:sz w:val="22"/>
          <w:szCs w:val="26"/>
          <w:lang w:val="es-MX"/>
        </w:rPr>
      </w:pPr>
    </w:p>
    <w:p w14:paraId="35B1BA27" w14:textId="0F1048CE" w:rsidR="00574F2C" w:rsidRPr="00C3121E" w:rsidRDefault="00574F2C" w:rsidP="00C3121E">
      <w:pPr>
        <w:tabs>
          <w:tab w:val="left" w:pos="709"/>
        </w:tabs>
        <w:ind w:left="709"/>
        <w:jc w:val="both"/>
        <w:rPr>
          <w:rFonts w:asciiTheme="majorHAnsi" w:hAnsiTheme="majorHAnsi" w:cs="Arial"/>
          <w:b/>
          <w:sz w:val="22"/>
          <w:szCs w:val="26"/>
        </w:rPr>
      </w:pPr>
      <w:r w:rsidRPr="00C3121E">
        <w:rPr>
          <w:rFonts w:asciiTheme="majorHAnsi" w:hAnsiTheme="majorHAnsi" w:cs="Arial"/>
          <w:b/>
          <w:sz w:val="22"/>
          <w:szCs w:val="26"/>
        </w:rPr>
        <w:t>Gráfica:</w:t>
      </w:r>
    </w:p>
    <w:p w14:paraId="6E5BFADE" w14:textId="77777777" w:rsidR="00887625" w:rsidRPr="00C3121E" w:rsidRDefault="00887625" w:rsidP="00C3121E">
      <w:pPr>
        <w:tabs>
          <w:tab w:val="left" w:pos="709"/>
        </w:tabs>
        <w:ind w:left="709"/>
        <w:jc w:val="both"/>
        <w:rPr>
          <w:rFonts w:asciiTheme="majorHAnsi" w:hAnsiTheme="majorHAnsi" w:cs="Arial"/>
          <w:b/>
          <w:sz w:val="22"/>
          <w:szCs w:val="26"/>
        </w:rPr>
      </w:pPr>
    </w:p>
    <w:p w14:paraId="3A5159D5" w14:textId="77777777" w:rsidR="00887625" w:rsidRPr="00C3121E" w:rsidRDefault="00887625" w:rsidP="00C3121E">
      <w:pPr>
        <w:tabs>
          <w:tab w:val="left" w:pos="709"/>
        </w:tabs>
        <w:ind w:left="709"/>
        <w:jc w:val="both"/>
        <w:rPr>
          <w:rFonts w:asciiTheme="majorHAnsi" w:hAnsiTheme="majorHAnsi" w:cs="Arial"/>
          <w:b/>
          <w:sz w:val="22"/>
          <w:szCs w:val="26"/>
        </w:rPr>
      </w:pPr>
    </w:p>
    <w:p w14:paraId="474F5F90" w14:textId="42070B86" w:rsidR="00887625" w:rsidRPr="00C3121E" w:rsidRDefault="003E5752" w:rsidP="00C3121E">
      <w:pPr>
        <w:tabs>
          <w:tab w:val="left" w:pos="709"/>
        </w:tabs>
        <w:ind w:left="709"/>
        <w:jc w:val="both"/>
        <w:rPr>
          <w:rFonts w:asciiTheme="majorHAnsi" w:hAnsiTheme="majorHAnsi" w:cs="Arial"/>
          <w:b/>
          <w:sz w:val="22"/>
          <w:szCs w:val="26"/>
        </w:rPr>
      </w:pPr>
      <w:r>
        <w:rPr>
          <w:noProof/>
        </w:rPr>
        <w:drawing>
          <wp:inline distT="0" distB="0" distL="0" distR="0" wp14:anchorId="2351DDF0" wp14:editId="16BBF3E4">
            <wp:extent cx="4778409" cy="2766218"/>
            <wp:effectExtent l="0" t="0" r="0" b="0"/>
            <wp:docPr id="1951700564" name="Gráfico 1">
              <a:extLst xmlns:a="http://schemas.openxmlformats.org/drawingml/2006/main">
                <a:ext uri="{FF2B5EF4-FFF2-40B4-BE49-F238E27FC236}">
                  <a16:creationId xmlns:a16="http://schemas.microsoft.com/office/drawing/2014/main" id="{00000000-0008-0000-0100-000042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96F7BC" w14:textId="77777777" w:rsidR="00887625" w:rsidRPr="00C3121E" w:rsidRDefault="00887625" w:rsidP="00C3121E">
      <w:pPr>
        <w:tabs>
          <w:tab w:val="left" w:pos="709"/>
        </w:tabs>
        <w:ind w:left="709"/>
        <w:jc w:val="both"/>
        <w:rPr>
          <w:rFonts w:asciiTheme="majorHAnsi" w:hAnsiTheme="majorHAnsi" w:cs="Arial"/>
          <w:b/>
          <w:sz w:val="22"/>
          <w:szCs w:val="26"/>
        </w:rPr>
      </w:pPr>
    </w:p>
    <w:p w14:paraId="1FAC43CE" w14:textId="77777777" w:rsidR="00574F2C" w:rsidRPr="00C3121E" w:rsidRDefault="00574F2C" w:rsidP="00C3121E">
      <w:pPr>
        <w:numPr>
          <w:ilvl w:val="0"/>
          <w:numId w:val="2"/>
        </w:numPr>
        <w:jc w:val="both"/>
        <w:rPr>
          <w:rFonts w:asciiTheme="majorHAnsi" w:hAnsiTheme="majorHAnsi" w:cs="Arial"/>
          <w:b/>
          <w:sz w:val="22"/>
          <w:szCs w:val="26"/>
          <w:lang w:val="es-MX"/>
        </w:rPr>
      </w:pPr>
      <w:r w:rsidRPr="00C3121E">
        <w:rPr>
          <w:rFonts w:asciiTheme="majorHAnsi" w:hAnsiTheme="majorHAnsi" w:cs="Arial"/>
          <w:b/>
          <w:sz w:val="22"/>
          <w:szCs w:val="26"/>
          <w:lang w:val="es-MX"/>
        </w:rPr>
        <w:t xml:space="preserve">Intervención del </w:t>
      </w:r>
      <w:r w:rsidR="00417C2B" w:rsidRPr="00C3121E">
        <w:rPr>
          <w:rFonts w:asciiTheme="majorHAnsi" w:hAnsiTheme="majorHAnsi" w:cs="Arial"/>
          <w:b/>
          <w:sz w:val="22"/>
          <w:szCs w:val="26"/>
          <w:lang w:val="es-MX"/>
        </w:rPr>
        <w:t>Comité de Transparencia</w:t>
      </w:r>
      <w:r w:rsidRPr="00C3121E">
        <w:rPr>
          <w:rFonts w:asciiTheme="majorHAnsi" w:hAnsiTheme="majorHAnsi" w:cs="Arial"/>
          <w:b/>
          <w:sz w:val="22"/>
          <w:szCs w:val="26"/>
          <w:lang w:val="es-MX"/>
        </w:rPr>
        <w:t xml:space="preserve"> dentro del procedimiento ordinario</w:t>
      </w:r>
      <w:r w:rsidRPr="00C3121E">
        <w:rPr>
          <w:rStyle w:val="Refdenotaalpie"/>
          <w:rFonts w:asciiTheme="majorHAnsi" w:hAnsiTheme="majorHAnsi" w:cs="Arial"/>
          <w:b/>
          <w:sz w:val="22"/>
          <w:szCs w:val="26"/>
        </w:rPr>
        <w:footnoteReference w:id="8"/>
      </w:r>
      <w:r w:rsidRPr="00C3121E">
        <w:rPr>
          <w:rFonts w:asciiTheme="majorHAnsi" w:hAnsiTheme="majorHAnsi" w:cs="Arial"/>
          <w:b/>
          <w:sz w:val="22"/>
          <w:szCs w:val="26"/>
          <w:lang w:val="es-MX"/>
        </w:rPr>
        <w:t xml:space="preserve">. </w:t>
      </w:r>
    </w:p>
    <w:p w14:paraId="2EB20BEE" w14:textId="77777777" w:rsidR="00574F2C" w:rsidRPr="00C3121E" w:rsidRDefault="00574F2C" w:rsidP="00C3121E">
      <w:pPr>
        <w:ind w:left="360"/>
        <w:jc w:val="both"/>
        <w:rPr>
          <w:rFonts w:asciiTheme="majorHAnsi" w:hAnsiTheme="majorHAnsi" w:cs="Arial"/>
          <w:b/>
          <w:sz w:val="22"/>
          <w:szCs w:val="26"/>
          <w:lang w:val="es-MX"/>
        </w:rPr>
      </w:pPr>
    </w:p>
    <w:p w14:paraId="7F8077FB" w14:textId="77777777" w:rsidR="00574F2C" w:rsidRPr="00C3121E" w:rsidRDefault="00574F2C" w:rsidP="00C3121E">
      <w:pPr>
        <w:ind w:left="709"/>
        <w:jc w:val="both"/>
        <w:rPr>
          <w:rFonts w:asciiTheme="majorHAnsi" w:hAnsiTheme="majorHAnsi" w:cs="Arial"/>
          <w:b/>
          <w:sz w:val="22"/>
          <w:szCs w:val="26"/>
          <w:lang w:val="es-MX"/>
        </w:rPr>
      </w:pPr>
      <w:r w:rsidRPr="00C3121E">
        <w:rPr>
          <w:rFonts w:asciiTheme="majorHAnsi" w:hAnsiTheme="majorHAnsi" w:cs="Arial"/>
          <w:sz w:val="22"/>
          <w:szCs w:val="26"/>
          <w:lang w:val="es-MX"/>
        </w:rPr>
        <w:t xml:space="preserve">Este indicador permite establecer el grado de intervención del Comité de </w:t>
      </w:r>
      <w:r w:rsidR="00417C2B" w:rsidRPr="00C3121E">
        <w:rPr>
          <w:rFonts w:asciiTheme="majorHAnsi" w:hAnsiTheme="majorHAnsi" w:cs="Arial"/>
          <w:sz w:val="22"/>
          <w:szCs w:val="26"/>
          <w:lang w:val="es-MX"/>
        </w:rPr>
        <w:t xml:space="preserve">Transparencia </w:t>
      </w:r>
      <w:r w:rsidRPr="00C3121E">
        <w:rPr>
          <w:rFonts w:asciiTheme="majorHAnsi" w:hAnsiTheme="majorHAnsi" w:cs="Arial"/>
          <w:sz w:val="22"/>
          <w:szCs w:val="26"/>
          <w:lang w:val="es-MX"/>
        </w:rPr>
        <w:t>dentro del procedimiento ordinario.</w:t>
      </w:r>
    </w:p>
    <w:p w14:paraId="7E87E62B" w14:textId="77777777" w:rsidR="00574F2C" w:rsidRPr="00C3121E" w:rsidRDefault="00574F2C" w:rsidP="00C3121E">
      <w:pPr>
        <w:ind w:left="709"/>
        <w:jc w:val="both"/>
        <w:rPr>
          <w:rFonts w:asciiTheme="majorHAnsi" w:hAnsiTheme="majorHAnsi" w:cs="Arial"/>
          <w:b/>
          <w:sz w:val="22"/>
          <w:szCs w:val="26"/>
          <w:lang w:val="es-MX"/>
        </w:rPr>
      </w:pPr>
    </w:p>
    <w:p w14:paraId="3E9607EB" w14:textId="77777777" w:rsidR="00574F2C" w:rsidRPr="00C3121E" w:rsidRDefault="00574F2C" w:rsidP="00C3121E">
      <w:pPr>
        <w:ind w:left="709"/>
        <w:jc w:val="both"/>
        <w:rPr>
          <w:rFonts w:asciiTheme="majorHAnsi" w:hAnsiTheme="majorHAnsi" w:cs="Arial"/>
          <w:b/>
          <w:sz w:val="22"/>
          <w:szCs w:val="26"/>
          <w:lang w:val="es-MX"/>
        </w:rPr>
      </w:pPr>
      <w:r w:rsidRPr="00C3121E">
        <w:rPr>
          <w:rFonts w:asciiTheme="majorHAnsi" w:hAnsiTheme="majorHAnsi" w:cs="Arial"/>
          <w:b/>
          <w:sz w:val="22"/>
          <w:szCs w:val="26"/>
          <w:lang w:val="es-MX"/>
        </w:rPr>
        <w:t>Resultados:</w:t>
      </w:r>
    </w:p>
    <w:p w14:paraId="1CBA856F" w14:textId="77777777" w:rsidR="00574F2C" w:rsidRPr="00C3121E" w:rsidRDefault="00574F2C" w:rsidP="00C3121E">
      <w:pPr>
        <w:ind w:left="709" w:firstLine="360"/>
        <w:jc w:val="both"/>
        <w:rPr>
          <w:rFonts w:asciiTheme="majorHAnsi" w:hAnsiTheme="majorHAnsi" w:cs="Arial"/>
          <w:sz w:val="22"/>
          <w:szCs w:val="26"/>
          <w:lang w:val="es-MX"/>
        </w:rPr>
      </w:pPr>
    </w:p>
    <w:p w14:paraId="3A9DBC9B" w14:textId="6969EDE6" w:rsidR="00574F2C" w:rsidRPr="00C3121E" w:rsidRDefault="00574F2C" w:rsidP="00C3121E">
      <w:pPr>
        <w:ind w:left="709"/>
        <w:jc w:val="both"/>
        <w:rPr>
          <w:rFonts w:asciiTheme="majorHAnsi" w:hAnsiTheme="majorHAnsi" w:cs="Arial"/>
          <w:b/>
          <w:sz w:val="22"/>
          <w:szCs w:val="26"/>
          <w:lang w:val="es-MX"/>
        </w:rPr>
      </w:pPr>
      <w:r w:rsidRPr="00C3121E">
        <w:rPr>
          <w:rFonts w:asciiTheme="majorHAnsi" w:hAnsiTheme="majorHAnsi" w:cs="Arial"/>
          <w:sz w:val="22"/>
          <w:szCs w:val="26"/>
          <w:lang w:val="es-MX"/>
        </w:rPr>
        <w:t xml:space="preserve">Porcentaje de turno de asuntos al Comité de </w:t>
      </w:r>
      <w:r w:rsidR="00417C2B" w:rsidRPr="00C3121E">
        <w:rPr>
          <w:rFonts w:asciiTheme="majorHAnsi" w:hAnsiTheme="majorHAnsi" w:cs="Arial"/>
          <w:sz w:val="22"/>
          <w:szCs w:val="26"/>
          <w:lang w:val="es-MX"/>
        </w:rPr>
        <w:t xml:space="preserve">Transparencia </w:t>
      </w:r>
      <w:r w:rsidRPr="00C3121E">
        <w:rPr>
          <w:rFonts w:asciiTheme="majorHAnsi" w:hAnsiTheme="majorHAnsi" w:cs="Arial"/>
          <w:sz w:val="22"/>
          <w:szCs w:val="26"/>
          <w:lang w:val="es-MX"/>
        </w:rPr>
        <w:t xml:space="preserve">respecto del total de expedientes de solicitudes de información tramitadas mediante el procedimiento ordinario: </w:t>
      </w:r>
      <w:r w:rsidR="001220D3" w:rsidRPr="00C3121E">
        <w:rPr>
          <w:rFonts w:asciiTheme="majorHAnsi" w:hAnsiTheme="majorHAnsi" w:cs="Arial"/>
          <w:b/>
          <w:sz w:val="22"/>
          <w:szCs w:val="26"/>
          <w:lang w:val="es-MX"/>
        </w:rPr>
        <w:t>7</w:t>
      </w:r>
      <w:r w:rsidR="00542D12" w:rsidRPr="00C3121E">
        <w:rPr>
          <w:rFonts w:asciiTheme="majorHAnsi" w:hAnsiTheme="majorHAnsi" w:cs="Arial"/>
          <w:b/>
          <w:sz w:val="22"/>
          <w:szCs w:val="26"/>
          <w:lang w:val="es-MX"/>
        </w:rPr>
        <w:t>.</w:t>
      </w:r>
      <w:r w:rsidR="001220D3" w:rsidRPr="00C3121E">
        <w:rPr>
          <w:rFonts w:asciiTheme="majorHAnsi" w:hAnsiTheme="majorHAnsi" w:cs="Arial"/>
          <w:b/>
          <w:sz w:val="22"/>
          <w:szCs w:val="26"/>
          <w:lang w:val="es-MX"/>
        </w:rPr>
        <w:t>43</w:t>
      </w:r>
      <w:r w:rsidR="003F64FF" w:rsidRPr="00C3121E">
        <w:rPr>
          <w:rFonts w:asciiTheme="majorHAnsi" w:hAnsiTheme="majorHAnsi" w:cs="Arial"/>
          <w:b/>
          <w:sz w:val="22"/>
          <w:szCs w:val="26"/>
          <w:lang w:val="es-MX"/>
        </w:rPr>
        <w:t>%</w:t>
      </w:r>
    </w:p>
    <w:p w14:paraId="50595283" w14:textId="77777777" w:rsidR="00574F2C" w:rsidRPr="00C3121E" w:rsidRDefault="00574F2C" w:rsidP="00C3121E">
      <w:pPr>
        <w:ind w:left="709"/>
        <w:jc w:val="both"/>
        <w:rPr>
          <w:rFonts w:asciiTheme="majorHAnsi" w:hAnsiTheme="majorHAnsi" w:cs="Arial"/>
          <w:sz w:val="22"/>
          <w:szCs w:val="26"/>
          <w:lang w:val="es-MX"/>
        </w:rPr>
      </w:pPr>
    </w:p>
    <w:p w14:paraId="0DBF3B04" w14:textId="77777777" w:rsidR="00574F2C" w:rsidRPr="00C3121E" w:rsidRDefault="00B019C0" w:rsidP="00C3121E">
      <w:pPr>
        <w:ind w:left="709"/>
        <w:jc w:val="both"/>
        <w:rPr>
          <w:rFonts w:asciiTheme="majorHAnsi" w:hAnsiTheme="majorHAnsi" w:cs="Arial"/>
          <w:b/>
          <w:sz w:val="22"/>
          <w:szCs w:val="26"/>
        </w:rPr>
      </w:pPr>
      <w:r w:rsidRPr="00C3121E">
        <w:rPr>
          <w:rFonts w:asciiTheme="majorHAnsi" w:hAnsiTheme="majorHAnsi" w:cs="Arial"/>
          <w:b/>
          <w:sz w:val="22"/>
          <w:szCs w:val="26"/>
        </w:rPr>
        <w:t>G</w:t>
      </w:r>
      <w:r w:rsidR="00574F2C" w:rsidRPr="00C3121E">
        <w:rPr>
          <w:rFonts w:asciiTheme="majorHAnsi" w:hAnsiTheme="majorHAnsi" w:cs="Arial"/>
          <w:b/>
          <w:sz w:val="22"/>
          <w:szCs w:val="26"/>
        </w:rPr>
        <w:t>ráfica:</w:t>
      </w:r>
    </w:p>
    <w:p w14:paraId="7C47D09B" w14:textId="77777777" w:rsidR="00500076" w:rsidRPr="00C3121E" w:rsidRDefault="00500076" w:rsidP="00C3121E">
      <w:pPr>
        <w:ind w:left="709"/>
        <w:jc w:val="both"/>
        <w:rPr>
          <w:rFonts w:asciiTheme="majorHAnsi" w:hAnsiTheme="majorHAnsi" w:cs="Arial"/>
          <w:b/>
          <w:sz w:val="22"/>
          <w:szCs w:val="26"/>
        </w:rPr>
      </w:pPr>
    </w:p>
    <w:p w14:paraId="5726DF9D" w14:textId="77777777" w:rsidR="007A0ABC" w:rsidRPr="00C3121E" w:rsidRDefault="007A0ABC" w:rsidP="00C3121E">
      <w:pPr>
        <w:ind w:left="709"/>
        <w:jc w:val="both"/>
        <w:rPr>
          <w:rFonts w:asciiTheme="majorHAnsi" w:hAnsiTheme="majorHAnsi" w:cs="Arial"/>
          <w:b/>
          <w:sz w:val="22"/>
          <w:szCs w:val="26"/>
        </w:rPr>
      </w:pPr>
    </w:p>
    <w:p w14:paraId="6A1AC770" w14:textId="6EE1B7A1" w:rsidR="00B019C0" w:rsidRPr="00C3121E" w:rsidRDefault="001220D3" w:rsidP="00C3121E">
      <w:pPr>
        <w:ind w:left="709"/>
        <w:jc w:val="both"/>
        <w:rPr>
          <w:rFonts w:asciiTheme="majorHAnsi" w:hAnsiTheme="majorHAnsi" w:cs="Arial"/>
          <w:b/>
          <w:sz w:val="22"/>
          <w:szCs w:val="26"/>
        </w:rPr>
      </w:pPr>
      <w:r w:rsidRPr="00C3121E">
        <w:rPr>
          <w:noProof/>
        </w:rPr>
        <w:drawing>
          <wp:inline distT="0" distB="0" distL="0" distR="0" wp14:anchorId="644E8DD4" wp14:editId="34A3DF0C">
            <wp:extent cx="4279106" cy="2834154"/>
            <wp:effectExtent l="0" t="0" r="0" b="0"/>
            <wp:docPr id="1480719403" name="Gráfico 1">
              <a:extLst xmlns:a="http://schemas.openxmlformats.org/drawingml/2006/main">
                <a:ext uri="{FF2B5EF4-FFF2-40B4-BE49-F238E27FC236}">
                  <a16:creationId xmlns:a16="http://schemas.microsoft.com/office/drawing/2014/main" id="{00000000-0008-0000-0100-000043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D20D92" w14:textId="77777777" w:rsidR="00A448B2" w:rsidRPr="00C3121E" w:rsidRDefault="00A448B2" w:rsidP="00C3121E">
      <w:pPr>
        <w:ind w:left="709"/>
        <w:jc w:val="both"/>
        <w:rPr>
          <w:rFonts w:asciiTheme="majorHAnsi" w:hAnsiTheme="majorHAnsi" w:cs="Arial"/>
          <w:b/>
          <w:sz w:val="22"/>
          <w:szCs w:val="26"/>
        </w:rPr>
      </w:pPr>
    </w:p>
    <w:p w14:paraId="2061FAB7" w14:textId="095D7FC0" w:rsidR="00B019C0" w:rsidRPr="00C3121E" w:rsidRDefault="00595936" w:rsidP="00C3121E">
      <w:pPr>
        <w:pStyle w:val="Lugaryfecha"/>
        <w:rPr>
          <w:rFonts w:asciiTheme="majorHAnsi" w:hAnsiTheme="majorHAnsi" w:cs="Arial"/>
          <w:sz w:val="22"/>
          <w:szCs w:val="26"/>
        </w:rPr>
      </w:pPr>
      <w:r w:rsidRPr="00C3121E">
        <w:rPr>
          <w:rFonts w:asciiTheme="majorHAnsi" w:hAnsiTheme="majorHAnsi" w:cs="Arial"/>
          <w:sz w:val="22"/>
          <w:szCs w:val="26"/>
        </w:rPr>
        <w:tab/>
      </w:r>
    </w:p>
    <w:p w14:paraId="69DC0EF4" w14:textId="77777777" w:rsidR="003640DF" w:rsidRPr="00C3121E" w:rsidRDefault="003640DF" w:rsidP="00C3121E">
      <w:pPr>
        <w:pStyle w:val="Lugaryfecha"/>
      </w:pPr>
    </w:p>
    <w:p w14:paraId="3A3683A1" w14:textId="77777777" w:rsidR="00534D7D" w:rsidRPr="00C3121E" w:rsidRDefault="00534D7D" w:rsidP="00C3121E">
      <w:pPr>
        <w:spacing w:after="200" w:line="276" w:lineRule="auto"/>
        <w:rPr>
          <w:rFonts w:asciiTheme="minorHAnsi" w:eastAsia="Times New Roman" w:hAnsiTheme="minorHAnsi"/>
          <w:sz w:val="20"/>
          <w:szCs w:val="20"/>
          <w:lang w:val="es-MX" w:eastAsia="es-MX"/>
        </w:rPr>
      </w:pPr>
      <w:r w:rsidRPr="00C3121E">
        <w:rPr>
          <w:lang w:val="es-MX"/>
        </w:rPr>
        <w:br w:type="page"/>
      </w:r>
    </w:p>
    <w:p w14:paraId="58647AEC" w14:textId="77777777" w:rsidR="00574F2C" w:rsidRPr="00C3121E" w:rsidRDefault="00574F2C" w:rsidP="00C3121E">
      <w:pPr>
        <w:numPr>
          <w:ilvl w:val="0"/>
          <w:numId w:val="2"/>
        </w:numPr>
        <w:jc w:val="both"/>
        <w:rPr>
          <w:rFonts w:asciiTheme="majorHAnsi" w:hAnsiTheme="majorHAnsi" w:cs="Arial"/>
          <w:b/>
          <w:sz w:val="22"/>
          <w:szCs w:val="22"/>
          <w:lang w:val="es-MX"/>
        </w:rPr>
      </w:pPr>
      <w:r w:rsidRPr="00C3121E">
        <w:rPr>
          <w:rFonts w:asciiTheme="majorHAnsi" w:hAnsiTheme="majorHAnsi" w:cs="Arial"/>
          <w:b/>
          <w:sz w:val="22"/>
          <w:szCs w:val="22"/>
          <w:lang w:val="es-MX"/>
        </w:rPr>
        <w:t xml:space="preserve">Aceptación de las resoluciones del Comité de </w:t>
      </w:r>
      <w:r w:rsidR="00417C2B" w:rsidRPr="00C3121E">
        <w:rPr>
          <w:rFonts w:asciiTheme="majorHAnsi" w:hAnsiTheme="majorHAnsi" w:cs="Arial"/>
          <w:b/>
          <w:sz w:val="22"/>
          <w:szCs w:val="22"/>
          <w:lang w:val="es-MX"/>
        </w:rPr>
        <w:t xml:space="preserve">Transparencia </w:t>
      </w:r>
      <w:r w:rsidRPr="00C3121E">
        <w:rPr>
          <w:rFonts w:asciiTheme="majorHAnsi" w:hAnsiTheme="majorHAnsi" w:cs="Arial"/>
          <w:b/>
          <w:sz w:val="22"/>
          <w:szCs w:val="22"/>
          <w:lang w:val="es-MX"/>
        </w:rPr>
        <w:t>por parte de los solicitantes</w:t>
      </w:r>
      <w:r w:rsidRPr="00C3121E">
        <w:rPr>
          <w:rStyle w:val="Refdenotaalpie"/>
          <w:rFonts w:asciiTheme="majorHAnsi" w:hAnsiTheme="majorHAnsi" w:cs="Arial"/>
          <w:b/>
          <w:sz w:val="22"/>
          <w:szCs w:val="22"/>
        </w:rPr>
        <w:footnoteReference w:id="9"/>
      </w:r>
      <w:r w:rsidRPr="00C3121E">
        <w:rPr>
          <w:rFonts w:asciiTheme="majorHAnsi" w:hAnsiTheme="majorHAnsi" w:cs="Arial"/>
          <w:b/>
          <w:sz w:val="22"/>
          <w:szCs w:val="22"/>
          <w:lang w:val="es-MX"/>
        </w:rPr>
        <w:t xml:space="preserve">. </w:t>
      </w:r>
    </w:p>
    <w:p w14:paraId="21CC9BDC" w14:textId="77777777" w:rsidR="00574F2C" w:rsidRPr="00C3121E" w:rsidRDefault="00574F2C" w:rsidP="00C3121E">
      <w:pPr>
        <w:ind w:left="360"/>
        <w:jc w:val="both"/>
        <w:rPr>
          <w:rFonts w:asciiTheme="majorHAnsi" w:hAnsiTheme="majorHAnsi" w:cs="Arial"/>
          <w:b/>
          <w:sz w:val="22"/>
          <w:szCs w:val="22"/>
          <w:lang w:val="es-MX"/>
        </w:rPr>
      </w:pPr>
    </w:p>
    <w:p w14:paraId="4183FE85" w14:textId="77777777" w:rsidR="00574F2C" w:rsidRPr="00C3121E" w:rsidRDefault="00574F2C" w:rsidP="00C3121E">
      <w:pPr>
        <w:ind w:left="360"/>
        <w:jc w:val="both"/>
        <w:rPr>
          <w:rFonts w:asciiTheme="majorHAnsi" w:hAnsiTheme="majorHAnsi" w:cs="Arial"/>
          <w:b/>
          <w:sz w:val="22"/>
          <w:szCs w:val="22"/>
          <w:lang w:val="es-MX"/>
        </w:rPr>
      </w:pPr>
    </w:p>
    <w:p w14:paraId="7FC8059C" w14:textId="77777777" w:rsidR="00574F2C" w:rsidRPr="00C3121E" w:rsidRDefault="00574F2C" w:rsidP="00C3121E">
      <w:pPr>
        <w:ind w:left="709"/>
        <w:jc w:val="both"/>
        <w:rPr>
          <w:rFonts w:asciiTheme="majorHAnsi" w:hAnsiTheme="majorHAnsi" w:cs="Arial"/>
          <w:b/>
          <w:sz w:val="22"/>
          <w:szCs w:val="22"/>
          <w:lang w:val="es-MX"/>
        </w:rPr>
      </w:pPr>
      <w:r w:rsidRPr="00C3121E">
        <w:rPr>
          <w:rFonts w:asciiTheme="majorHAnsi" w:hAnsiTheme="majorHAnsi" w:cs="Arial"/>
          <w:sz w:val="22"/>
          <w:szCs w:val="22"/>
          <w:lang w:val="es-MX"/>
        </w:rPr>
        <w:t>Este indicador permite</w:t>
      </w:r>
      <w:r w:rsidRPr="00C3121E">
        <w:rPr>
          <w:rFonts w:asciiTheme="majorHAnsi" w:hAnsiTheme="majorHAnsi" w:cs="Arial"/>
          <w:b/>
          <w:sz w:val="22"/>
          <w:szCs w:val="22"/>
          <w:lang w:val="es-MX"/>
        </w:rPr>
        <w:t xml:space="preserve"> </w:t>
      </w:r>
      <w:r w:rsidRPr="00C3121E">
        <w:rPr>
          <w:rFonts w:asciiTheme="majorHAnsi" w:hAnsiTheme="majorHAnsi" w:cs="Arial"/>
          <w:sz w:val="22"/>
          <w:szCs w:val="22"/>
          <w:lang w:val="es-MX"/>
        </w:rPr>
        <w:t xml:space="preserve">establecer el nivel de aceptación que tienen las resoluciones del Comité por parte de los solicitantes. </w:t>
      </w:r>
    </w:p>
    <w:p w14:paraId="378C34F2" w14:textId="77777777" w:rsidR="00574F2C" w:rsidRPr="00C3121E" w:rsidRDefault="00574F2C" w:rsidP="00C3121E">
      <w:pPr>
        <w:ind w:left="709"/>
        <w:jc w:val="both"/>
        <w:rPr>
          <w:rFonts w:asciiTheme="majorHAnsi" w:hAnsiTheme="majorHAnsi" w:cs="Arial"/>
          <w:sz w:val="22"/>
          <w:szCs w:val="22"/>
          <w:lang w:val="es-MX"/>
        </w:rPr>
      </w:pPr>
      <w:r w:rsidRPr="00C3121E">
        <w:rPr>
          <w:rFonts w:asciiTheme="majorHAnsi" w:hAnsiTheme="majorHAnsi" w:cs="Arial"/>
          <w:sz w:val="22"/>
          <w:szCs w:val="22"/>
          <w:lang w:val="es-MX"/>
        </w:rPr>
        <w:t xml:space="preserve">     </w:t>
      </w:r>
    </w:p>
    <w:p w14:paraId="18D80ABF" w14:textId="77777777" w:rsidR="00574F2C" w:rsidRPr="00C3121E" w:rsidRDefault="00574F2C" w:rsidP="00C3121E">
      <w:pPr>
        <w:ind w:left="709"/>
        <w:jc w:val="both"/>
        <w:rPr>
          <w:rFonts w:asciiTheme="majorHAnsi" w:hAnsiTheme="majorHAnsi" w:cs="Arial"/>
          <w:b/>
          <w:sz w:val="22"/>
          <w:szCs w:val="22"/>
          <w:lang w:val="es-MX"/>
        </w:rPr>
      </w:pPr>
      <w:r w:rsidRPr="00C3121E">
        <w:rPr>
          <w:rFonts w:asciiTheme="majorHAnsi" w:hAnsiTheme="majorHAnsi" w:cs="Arial"/>
          <w:b/>
          <w:sz w:val="22"/>
          <w:szCs w:val="22"/>
          <w:lang w:val="es-MX"/>
        </w:rPr>
        <w:t>Resultados:</w:t>
      </w:r>
    </w:p>
    <w:p w14:paraId="33210B44" w14:textId="77777777" w:rsidR="00574F2C" w:rsidRPr="00C3121E" w:rsidRDefault="00574F2C" w:rsidP="00C3121E">
      <w:pPr>
        <w:ind w:left="709" w:firstLine="360"/>
        <w:jc w:val="both"/>
        <w:rPr>
          <w:rFonts w:asciiTheme="majorHAnsi" w:hAnsiTheme="majorHAnsi" w:cs="Arial"/>
          <w:sz w:val="22"/>
          <w:szCs w:val="22"/>
          <w:lang w:val="es-MX"/>
        </w:rPr>
      </w:pPr>
    </w:p>
    <w:p w14:paraId="15BA0D4B" w14:textId="6FB34138" w:rsidR="00574F2C" w:rsidRPr="00C3121E" w:rsidRDefault="00574F2C" w:rsidP="00C3121E">
      <w:pPr>
        <w:ind w:left="709"/>
        <w:jc w:val="both"/>
        <w:rPr>
          <w:rFonts w:asciiTheme="majorHAnsi" w:hAnsiTheme="majorHAnsi" w:cs="Arial"/>
          <w:b/>
          <w:sz w:val="22"/>
          <w:szCs w:val="22"/>
          <w:lang w:val="es-MX"/>
        </w:rPr>
      </w:pPr>
      <w:r w:rsidRPr="00C3121E">
        <w:rPr>
          <w:rFonts w:asciiTheme="majorHAnsi" w:hAnsiTheme="majorHAnsi" w:cs="Arial"/>
          <w:sz w:val="22"/>
          <w:szCs w:val="22"/>
          <w:lang w:val="es-MX"/>
        </w:rPr>
        <w:t xml:space="preserve">Número de recursos de revisión promovidos en contra de resoluciones del Comité de </w:t>
      </w:r>
      <w:r w:rsidR="00417C2B" w:rsidRPr="00C3121E">
        <w:rPr>
          <w:rFonts w:asciiTheme="majorHAnsi" w:hAnsiTheme="majorHAnsi" w:cs="Arial"/>
          <w:sz w:val="22"/>
          <w:szCs w:val="22"/>
          <w:lang w:val="es-MX"/>
        </w:rPr>
        <w:t>Transparencia</w:t>
      </w:r>
      <w:r w:rsidRPr="00C3121E">
        <w:rPr>
          <w:rFonts w:asciiTheme="majorHAnsi" w:hAnsiTheme="majorHAnsi" w:cs="Arial"/>
          <w:sz w:val="22"/>
          <w:szCs w:val="22"/>
          <w:lang w:val="es-MX"/>
        </w:rPr>
        <w:t xml:space="preserve">: </w:t>
      </w:r>
      <w:r w:rsidR="001220D3" w:rsidRPr="00C3121E">
        <w:rPr>
          <w:rFonts w:asciiTheme="majorHAnsi" w:hAnsiTheme="majorHAnsi" w:cs="Arial"/>
          <w:b/>
          <w:sz w:val="22"/>
          <w:szCs w:val="22"/>
          <w:lang w:val="es-MX"/>
        </w:rPr>
        <w:t>2</w:t>
      </w:r>
      <w:r w:rsidRPr="00C3121E">
        <w:rPr>
          <w:rFonts w:asciiTheme="majorHAnsi" w:hAnsiTheme="majorHAnsi" w:cs="Arial"/>
          <w:b/>
          <w:sz w:val="22"/>
          <w:szCs w:val="22"/>
          <w:lang w:val="es-MX"/>
        </w:rPr>
        <w:t>.</w:t>
      </w:r>
    </w:p>
    <w:p w14:paraId="1D9CA4B4" w14:textId="77777777" w:rsidR="00574F2C" w:rsidRPr="00C3121E" w:rsidRDefault="00574F2C" w:rsidP="00C3121E">
      <w:pPr>
        <w:ind w:left="709"/>
        <w:jc w:val="both"/>
        <w:rPr>
          <w:rFonts w:asciiTheme="majorHAnsi" w:hAnsiTheme="majorHAnsi" w:cs="Arial"/>
          <w:sz w:val="22"/>
          <w:szCs w:val="22"/>
          <w:lang w:val="es-MX"/>
        </w:rPr>
      </w:pPr>
    </w:p>
    <w:p w14:paraId="4D1B6C70" w14:textId="77777777" w:rsidR="0084359E" w:rsidRPr="00C3121E" w:rsidRDefault="00E71D52" w:rsidP="00C3121E">
      <w:pPr>
        <w:ind w:left="709"/>
        <w:jc w:val="both"/>
        <w:rPr>
          <w:rFonts w:asciiTheme="majorHAnsi" w:hAnsiTheme="majorHAnsi" w:cs="Arial"/>
          <w:sz w:val="22"/>
          <w:szCs w:val="22"/>
        </w:rPr>
      </w:pPr>
      <w:r w:rsidRPr="00C3121E">
        <w:rPr>
          <w:rFonts w:asciiTheme="majorHAnsi" w:hAnsiTheme="majorHAnsi" w:cs="Arial"/>
          <w:b/>
          <w:sz w:val="22"/>
          <w:szCs w:val="22"/>
        </w:rPr>
        <w:t>Grafica</w:t>
      </w:r>
      <w:r w:rsidR="00574F2C" w:rsidRPr="00C3121E">
        <w:rPr>
          <w:rFonts w:asciiTheme="majorHAnsi" w:hAnsiTheme="majorHAnsi" w:cs="Arial"/>
          <w:b/>
          <w:sz w:val="22"/>
          <w:szCs w:val="22"/>
        </w:rPr>
        <w:t>:</w:t>
      </w:r>
      <w:r w:rsidR="00574F2C" w:rsidRPr="00C3121E">
        <w:rPr>
          <w:rFonts w:asciiTheme="majorHAnsi" w:hAnsiTheme="majorHAnsi" w:cs="Arial"/>
          <w:sz w:val="22"/>
          <w:szCs w:val="22"/>
        </w:rPr>
        <w:t xml:space="preserve"> </w:t>
      </w:r>
    </w:p>
    <w:p w14:paraId="3879AF9D" w14:textId="77777777" w:rsidR="0084359E" w:rsidRPr="00C3121E" w:rsidRDefault="0084359E" w:rsidP="00C3121E">
      <w:pPr>
        <w:ind w:left="709"/>
        <w:jc w:val="both"/>
        <w:rPr>
          <w:rFonts w:asciiTheme="majorHAnsi" w:hAnsiTheme="majorHAnsi" w:cs="Arial"/>
          <w:sz w:val="22"/>
          <w:szCs w:val="22"/>
        </w:rPr>
      </w:pPr>
    </w:p>
    <w:p w14:paraId="015716A2" w14:textId="7A1C0E83" w:rsidR="00893C1E" w:rsidRPr="00C3121E" w:rsidRDefault="001220D3" w:rsidP="00C3121E">
      <w:pPr>
        <w:ind w:left="709"/>
        <w:jc w:val="both"/>
        <w:rPr>
          <w:rFonts w:ascii="Arial" w:hAnsi="Arial" w:cs="Arial"/>
          <w:sz w:val="26"/>
          <w:szCs w:val="26"/>
        </w:rPr>
      </w:pPr>
      <w:r w:rsidRPr="00C3121E">
        <w:rPr>
          <w:noProof/>
        </w:rPr>
        <w:drawing>
          <wp:inline distT="0" distB="0" distL="0" distR="0" wp14:anchorId="2165ABCE" wp14:editId="547CCD2F">
            <wp:extent cx="5476875" cy="2847975"/>
            <wp:effectExtent l="0" t="0" r="0" b="0"/>
            <wp:docPr id="1396815118" name="Gráfico 1">
              <a:extLst xmlns:a="http://schemas.openxmlformats.org/drawingml/2006/main">
                <a:ext uri="{FF2B5EF4-FFF2-40B4-BE49-F238E27FC236}">
                  <a16:creationId xmlns:a16="http://schemas.microsoft.com/office/drawing/2014/main" id="{00000000-0008-0000-0100-000044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F5AC6" w:rsidRPr="00C3121E">
        <w:rPr>
          <w:rFonts w:ascii="Arial" w:hAnsi="Arial" w:cs="Arial"/>
          <w:sz w:val="26"/>
          <w:szCs w:val="26"/>
        </w:rPr>
        <w:tab/>
      </w:r>
    </w:p>
    <w:p w14:paraId="050BF004" w14:textId="1A1540D4" w:rsidR="003640DF" w:rsidRPr="00C3121E" w:rsidRDefault="003640DF" w:rsidP="00C3121E">
      <w:pPr>
        <w:pStyle w:val="Lugaryfecha"/>
        <w:rPr>
          <w:lang w:val="es-MX"/>
        </w:rPr>
      </w:pPr>
    </w:p>
    <w:p w14:paraId="36036E8B" w14:textId="77777777" w:rsidR="00744A32" w:rsidRPr="00C3121E" w:rsidRDefault="00744A32" w:rsidP="00C3121E">
      <w:pPr>
        <w:spacing w:after="200" w:line="276" w:lineRule="auto"/>
        <w:rPr>
          <w:rFonts w:asciiTheme="minorHAnsi" w:eastAsia="Times New Roman" w:hAnsiTheme="minorHAnsi"/>
          <w:sz w:val="20"/>
          <w:szCs w:val="20"/>
          <w:lang w:val="es-MX" w:eastAsia="es-MX"/>
        </w:rPr>
      </w:pPr>
      <w:r w:rsidRPr="00C3121E">
        <w:rPr>
          <w:lang w:val="es-MX"/>
        </w:rPr>
        <w:br w:type="page"/>
      </w:r>
    </w:p>
    <w:p w14:paraId="3CB4AC76" w14:textId="15B05D11" w:rsidR="008068C9" w:rsidRPr="00C3121E" w:rsidRDefault="008068C9" w:rsidP="00C3121E">
      <w:pPr>
        <w:pStyle w:val="Prrafodelista"/>
        <w:numPr>
          <w:ilvl w:val="0"/>
          <w:numId w:val="2"/>
        </w:numPr>
        <w:jc w:val="both"/>
        <w:rPr>
          <w:rFonts w:ascii="Georgia" w:hAnsi="Georgia" w:cs="Arial"/>
          <w:b/>
          <w:sz w:val="22"/>
          <w:szCs w:val="22"/>
        </w:rPr>
      </w:pPr>
      <w:bookmarkStart w:id="0" w:name="_Hlk80895528"/>
      <w:r w:rsidRPr="00C3121E">
        <w:rPr>
          <w:rFonts w:ascii="Georgia" w:hAnsi="Georgia" w:cs="Arial"/>
          <w:b/>
          <w:sz w:val="22"/>
          <w:szCs w:val="22"/>
        </w:rPr>
        <w:t xml:space="preserve">Numeralia relacionada con los indicadores de gestión correspondientes al periodo de </w:t>
      </w:r>
      <w:r w:rsidR="00D062B3" w:rsidRPr="00C3121E">
        <w:rPr>
          <w:rFonts w:ascii="Georgia" w:hAnsi="Georgia" w:cs="Arial"/>
          <w:b/>
          <w:sz w:val="22"/>
          <w:szCs w:val="22"/>
        </w:rPr>
        <w:t>Octubre</w:t>
      </w:r>
      <w:r w:rsidR="00DF376F" w:rsidRPr="00C3121E">
        <w:rPr>
          <w:rFonts w:ascii="Georgia" w:hAnsi="Georgia" w:cs="Arial"/>
          <w:b/>
          <w:sz w:val="22"/>
          <w:szCs w:val="22"/>
        </w:rPr>
        <w:t xml:space="preserve"> a </w:t>
      </w:r>
      <w:r w:rsidR="00D062B3" w:rsidRPr="00C3121E">
        <w:rPr>
          <w:rFonts w:ascii="Georgia" w:hAnsi="Georgia" w:cs="Arial"/>
          <w:b/>
          <w:sz w:val="22"/>
          <w:szCs w:val="22"/>
        </w:rPr>
        <w:t>Dic</w:t>
      </w:r>
      <w:r w:rsidR="009923F8" w:rsidRPr="00C3121E">
        <w:rPr>
          <w:rFonts w:ascii="Georgia" w:hAnsi="Georgia" w:cs="Arial"/>
          <w:b/>
          <w:sz w:val="22"/>
          <w:szCs w:val="22"/>
        </w:rPr>
        <w:t>iembre</w:t>
      </w:r>
      <w:r w:rsidR="001F41D0" w:rsidRPr="00C3121E">
        <w:rPr>
          <w:rFonts w:ascii="Georgia" w:hAnsi="Georgia" w:cs="Arial"/>
          <w:b/>
          <w:sz w:val="22"/>
          <w:szCs w:val="22"/>
        </w:rPr>
        <w:t xml:space="preserve"> de 20</w:t>
      </w:r>
      <w:r w:rsidR="005761C7" w:rsidRPr="00C3121E">
        <w:rPr>
          <w:rFonts w:ascii="Georgia" w:hAnsi="Georgia" w:cs="Arial"/>
          <w:b/>
          <w:sz w:val="22"/>
          <w:szCs w:val="22"/>
        </w:rPr>
        <w:t>2</w:t>
      </w:r>
      <w:r w:rsidR="00F15157" w:rsidRPr="00C3121E">
        <w:rPr>
          <w:rFonts w:ascii="Georgia" w:hAnsi="Georgia" w:cs="Arial"/>
          <w:b/>
          <w:sz w:val="22"/>
          <w:szCs w:val="22"/>
        </w:rPr>
        <w:t>5</w:t>
      </w:r>
      <w:r w:rsidR="0077794B" w:rsidRPr="00C3121E">
        <w:rPr>
          <w:rFonts w:ascii="Georgia" w:hAnsi="Georgia" w:cs="Arial"/>
          <w:b/>
          <w:sz w:val="22"/>
          <w:szCs w:val="22"/>
        </w:rPr>
        <w:t>.</w:t>
      </w:r>
    </w:p>
    <w:p w14:paraId="7A48FCE9" w14:textId="77777777" w:rsidR="008068C9" w:rsidRPr="00C3121E" w:rsidRDefault="008068C9" w:rsidP="00C3121E">
      <w:pPr>
        <w:ind w:left="720"/>
        <w:jc w:val="both"/>
        <w:rPr>
          <w:rFonts w:ascii="Georgia" w:hAnsi="Georgia" w:cs="Arial"/>
          <w:sz w:val="22"/>
          <w:szCs w:val="22"/>
          <w:lang w:val="es-MX"/>
        </w:rPr>
      </w:pPr>
    </w:p>
    <w:p w14:paraId="5D1B72E0" w14:textId="1A516EC0" w:rsidR="00BA6373" w:rsidRPr="001842F6" w:rsidRDefault="00BA6373"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Total</w:t>
      </w:r>
      <w:proofErr w:type="gramEnd"/>
      <w:r w:rsidRPr="00C3121E">
        <w:rPr>
          <w:rFonts w:ascii="Georgia" w:hAnsi="Georgia" w:cs="Arial"/>
          <w:sz w:val="22"/>
          <w:szCs w:val="22"/>
        </w:rPr>
        <w:t xml:space="preserve"> de solicitudes de información recibidas</w:t>
      </w:r>
      <w:r w:rsidRPr="001842F6">
        <w:rPr>
          <w:rFonts w:ascii="Georgia" w:hAnsi="Georgia" w:cs="Arial"/>
          <w:sz w:val="22"/>
          <w:szCs w:val="22"/>
        </w:rPr>
        <w:t xml:space="preserve">: </w:t>
      </w:r>
      <w:r w:rsidR="00153779" w:rsidRPr="001842F6">
        <w:rPr>
          <w:rFonts w:ascii="Georgia" w:hAnsi="Georgia" w:cs="Arial"/>
          <w:sz w:val="22"/>
          <w:szCs w:val="22"/>
        </w:rPr>
        <w:t>1</w:t>
      </w:r>
      <w:r w:rsidR="000A59D0" w:rsidRPr="001842F6">
        <w:rPr>
          <w:rFonts w:ascii="Georgia" w:hAnsi="Georgia" w:cs="Arial"/>
          <w:sz w:val="22"/>
          <w:szCs w:val="22"/>
        </w:rPr>
        <w:t>4</w:t>
      </w:r>
      <w:r w:rsidRPr="001842F6">
        <w:rPr>
          <w:rFonts w:ascii="Georgia" w:hAnsi="Georgia" w:cs="Arial"/>
          <w:sz w:val="22"/>
          <w:szCs w:val="22"/>
        </w:rPr>
        <w:t>,</w:t>
      </w:r>
      <w:r w:rsidR="000A59D0" w:rsidRPr="001842F6">
        <w:rPr>
          <w:rFonts w:ascii="Georgia" w:hAnsi="Georgia" w:cs="Arial"/>
          <w:sz w:val="22"/>
          <w:szCs w:val="22"/>
        </w:rPr>
        <w:t>502</w:t>
      </w:r>
      <w:r w:rsidRPr="001842F6">
        <w:rPr>
          <w:rFonts w:ascii="Georgia" w:hAnsi="Georgia" w:cs="Arial"/>
          <w:sz w:val="22"/>
          <w:szCs w:val="22"/>
        </w:rPr>
        <w:t>.</w:t>
      </w:r>
    </w:p>
    <w:p w14:paraId="0112DB83" w14:textId="77777777" w:rsidR="00BA6373" w:rsidRPr="00C3121E" w:rsidRDefault="00BA6373" w:rsidP="00C3121E">
      <w:pPr>
        <w:ind w:left="1134"/>
        <w:jc w:val="both"/>
        <w:rPr>
          <w:rFonts w:ascii="Georgia" w:hAnsi="Georgia" w:cs="Arial"/>
          <w:sz w:val="22"/>
          <w:szCs w:val="22"/>
          <w:lang w:val="es-MX"/>
        </w:rPr>
      </w:pPr>
    </w:p>
    <w:p w14:paraId="4B7BE5CA" w14:textId="003AE1A5" w:rsidR="00BA6373" w:rsidRPr="00C3121E" w:rsidRDefault="00BA6373"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w:t>
      </w:r>
      <w:r w:rsidR="00C5521F" w:rsidRPr="00C3121E">
        <w:rPr>
          <w:rFonts w:ascii="Georgia" w:hAnsi="Georgia" w:cs="Arial"/>
          <w:sz w:val="22"/>
          <w:szCs w:val="22"/>
        </w:rPr>
        <w:t>l</w:t>
      </w:r>
      <w:proofErr w:type="gramEnd"/>
      <w:r w:rsidR="00C5521F" w:rsidRPr="00C3121E">
        <w:rPr>
          <w:rFonts w:ascii="Georgia" w:hAnsi="Georgia" w:cs="Arial"/>
          <w:sz w:val="22"/>
          <w:szCs w:val="22"/>
        </w:rPr>
        <w:t xml:space="preserve"> de solicitudes en trámite</w:t>
      </w:r>
      <w:r w:rsidR="009E4996" w:rsidRPr="00C3121E">
        <w:rPr>
          <w:rFonts w:ascii="Georgia" w:hAnsi="Georgia" w:cs="Arial"/>
          <w:sz w:val="22"/>
          <w:szCs w:val="22"/>
        </w:rPr>
        <w:t xml:space="preserve">: </w:t>
      </w:r>
      <w:r w:rsidR="006F6471" w:rsidRPr="00C3121E">
        <w:rPr>
          <w:rFonts w:ascii="Georgia" w:hAnsi="Georgia" w:cs="Arial"/>
          <w:sz w:val="22"/>
          <w:szCs w:val="22"/>
        </w:rPr>
        <w:t>30</w:t>
      </w:r>
      <w:r w:rsidRPr="00C3121E">
        <w:rPr>
          <w:rFonts w:ascii="Georgia" w:hAnsi="Georgia" w:cs="Arial"/>
          <w:sz w:val="22"/>
          <w:szCs w:val="22"/>
        </w:rPr>
        <w:t>.</w:t>
      </w:r>
    </w:p>
    <w:p w14:paraId="6B2B4EDF" w14:textId="77777777" w:rsidR="00BA6373" w:rsidRPr="00033787" w:rsidRDefault="00BA6373" w:rsidP="00C3121E">
      <w:pPr>
        <w:rPr>
          <w:rFonts w:ascii="Georgia" w:hAnsi="Georgia" w:cs="Arial"/>
          <w:sz w:val="22"/>
          <w:szCs w:val="22"/>
          <w:lang w:val="es-MX"/>
        </w:rPr>
      </w:pPr>
    </w:p>
    <w:p w14:paraId="777DBA2B" w14:textId="13DA0D40" w:rsidR="00BA6373" w:rsidRPr="001842F6" w:rsidRDefault="00BA6373"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Total</w:t>
      </w:r>
      <w:proofErr w:type="gramEnd"/>
      <w:r w:rsidRPr="00C3121E">
        <w:rPr>
          <w:rFonts w:ascii="Georgia" w:hAnsi="Georgia" w:cs="Arial"/>
          <w:sz w:val="22"/>
          <w:szCs w:val="22"/>
        </w:rPr>
        <w:t xml:space="preserve"> de solicit</w:t>
      </w:r>
      <w:r w:rsidR="00C00B35" w:rsidRPr="00C3121E">
        <w:rPr>
          <w:rFonts w:ascii="Georgia" w:hAnsi="Georgia" w:cs="Arial"/>
          <w:sz w:val="22"/>
          <w:szCs w:val="22"/>
        </w:rPr>
        <w:t>ud</w:t>
      </w:r>
      <w:r w:rsidR="00C5521F" w:rsidRPr="00C3121E">
        <w:rPr>
          <w:rFonts w:ascii="Georgia" w:hAnsi="Georgia" w:cs="Arial"/>
          <w:sz w:val="22"/>
          <w:szCs w:val="22"/>
        </w:rPr>
        <w:t>es de información resueltas</w:t>
      </w:r>
      <w:r w:rsidR="009E4996" w:rsidRPr="001842F6">
        <w:rPr>
          <w:rFonts w:ascii="Georgia" w:hAnsi="Georgia" w:cs="Arial"/>
          <w:sz w:val="22"/>
          <w:szCs w:val="22"/>
        </w:rPr>
        <w:t xml:space="preserve">: </w:t>
      </w:r>
      <w:r w:rsidR="00153779" w:rsidRPr="001842F6">
        <w:rPr>
          <w:rFonts w:ascii="Georgia" w:hAnsi="Georgia" w:cs="Arial"/>
          <w:sz w:val="22"/>
          <w:szCs w:val="22"/>
        </w:rPr>
        <w:t>1</w:t>
      </w:r>
      <w:r w:rsidR="007E31F9" w:rsidRPr="001842F6">
        <w:rPr>
          <w:rFonts w:ascii="Georgia" w:hAnsi="Georgia" w:cs="Arial"/>
          <w:sz w:val="22"/>
          <w:szCs w:val="22"/>
        </w:rPr>
        <w:t>4</w:t>
      </w:r>
      <w:r w:rsidR="00B11EF1" w:rsidRPr="001842F6">
        <w:rPr>
          <w:rFonts w:ascii="Georgia" w:hAnsi="Georgia" w:cs="Arial"/>
          <w:sz w:val="22"/>
          <w:szCs w:val="22"/>
        </w:rPr>
        <w:t>,</w:t>
      </w:r>
      <w:r w:rsidR="007E31F9" w:rsidRPr="001842F6">
        <w:rPr>
          <w:rFonts w:ascii="Georgia" w:hAnsi="Georgia" w:cs="Arial"/>
          <w:sz w:val="22"/>
          <w:szCs w:val="22"/>
        </w:rPr>
        <w:t>472</w:t>
      </w:r>
      <w:r w:rsidRPr="001842F6">
        <w:rPr>
          <w:rFonts w:ascii="Georgia" w:hAnsi="Georgia" w:cs="Arial"/>
          <w:sz w:val="22"/>
          <w:szCs w:val="22"/>
        </w:rPr>
        <w:t>.</w:t>
      </w:r>
    </w:p>
    <w:p w14:paraId="2D5BF8E3" w14:textId="77777777" w:rsidR="00BA6373" w:rsidRPr="001842F6" w:rsidRDefault="00BA6373" w:rsidP="00C3121E">
      <w:pPr>
        <w:pStyle w:val="Prrafodelista"/>
        <w:ind w:left="1134"/>
        <w:jc w:val="both"/>
        <w:rPr>
          <w:rFonts w:ascii="Georgia" w:hAnsi="Georgia" w:cs="Arial"/>
          <w:sz w:val="22"/>
          <w:szCs w:val="22"/>
        </w:rPr>
      </w:pPr>
    </w:p>
    <w:p w14:paraId="3C67DA48" w14:textId="15A264BE" w:rsidR="00BA6373" w:rsidRPr="001842F6" w:rsidRDefault="00BA6373" w:rsidP="00C3121E">
      <w:pPr>
        <w:pStyle w:val="Prrafodelista"/>
        <w:numPr>
          <w:ilvl w:val="0"/>
          <w:numId w:val="7"/>
        </w:numPr>
        <w:ind w:left="1134"/>
        <w:contextualSpacing w:val="0"/>
        <w:jc w:val="both"/>
        <w:rPr>
          <w:rFonts w:ascii="Georgia" w:hAnsi="Georgia" w:cs="Arial"/>
          <w:sz w:val="22"/>
          <w:szCs w:val="22"/>
        </w:rPr>
      </w:pPr>
      <w:r w:rsidRPr="001842F6">
        <w:rPr>
          <w:rFonts w:ascii="Georgia" w:hAnsi="Georgia" w:cs="Arial"/>
          <w:sz w:val="22"/>
          <w:szCs w:val="22"/>
        </w:rPr>
        <w:t>Número de solicitudes realizadas a tr</w:t>
      </w:r>
      <w:r w:rsidR="00216077" w:rsidRPr="001842F6">
        <w:rPr>
          <w:rFonts w:ascii="Georgia" w:hAnsi="Georgia" w:cs="Arial"/>
          <w:sz w:val="22"/>
          <w:szCs w:val="22"/>
        </w:rPr>
        <w:t>av</w:t>
      </w:r>
      <w:r w:rsidR="005B1966" w:rsidRPr="001842F6">
        <w:rPr>
          <w:rFonts w:ascii="Georgia" w:hAnsi="Georgia" w:cs="Arial"/>
          <w:sz w:val="22"/>
          <w:szCs w:val="22"/>
        </w:rPr>
        <w:t xml:space="preserve">és de medios electrónicos: </w:t>
      </w:r>
      <w:r w:rsidR="007E31F9" w:rsidRPr="001842F6">
        <w:rPr>
          <w:rFonts w:ascii="Georgia" w:hAnsi="Georgia" w:cs="Arial"/>
          <w:sz w:val="22"/>
          <w:szCs w:val="22"/>
        </w:rPr>
        <w:t>1</w:t>
      </w:r>
      <w:r w:rsidR="00892A4E" w:rsidRPr="001842F6">
        <w:rPr>
          <w:rFonts w:ascii="Georgia" w:hAnsi="Georgia" w:cs="Arial"/>
          <w:sz w:val="22"/>
          <w:szCs w:val="22"/>
        </w:rPr>
        <w:t>1</w:t>
      </w:r>
      <w:r w:rsidR="00F838F5" w:rsidRPr="001842F6">
        <w:rPr>
          <w:rFonts w:ascii="Georgia" w:hAnsi="Georgia" w:cs="Arial"/>
          <w:sz w:val="22"/>
          <w:szCs w:val="22"/>
        </w:rPr>
        <w:t>,</w:t>
      </w:r>
      <w:r w:rsidR="00892A4E" w:rsidRPr="001842F6">
        <w:rPr>
          <w:rFonts w:ascii="Georgia" w:hAnsi="Georgia" w:cs="Arial"/>
          <w:sz w:val="22"/>
          <w:szCs w:val="22"/>
        </w:rPr>
        <w:t>81</w:t>
      </w:r>
      <w:r w:rsidR="007E31F9" w:rsidRPr="001842F6">
        <w:rPr>
          <w:rFonts w:ascii="Georgia" w:hAnsi="Georgia" w:cs="Arial"/>
          <w:sz w:val="22"/>
          <w:szCs w:val="22"/>
        </w:rPr>
        <w:t>7</w:t>
      </w:r>
      <w:r w:rsidR="00F563D6" w:rsidRPr="001842F6">
        <w:rPr>
          <w:rFonts w:ascii="Georgia" w:hAnsi="Georgia" w:cs="Arial"/>
          <w:sz w:val="22"/>
          <w:szCs w:val="22"/>
        </w:rPr>
        <w:t>.</w:t>
      </w:r>
      <w:r w:rsidR="005B1966" w:rsidRPr="001842F6">
        <w:rPr>
          <w:rFonts w:ascii="Georgia" w:hAnsi="Georgia" w:cs="Arial"/>
          <w:sz w:val="22"/>
          <w:szCs w:val="22"/>
        </w:rPr>
        <w:t xml:space="preserve"> </w:t>
      </w:r>
    </w:p>
    <w:p w14:paraId="772DD05F" w14:textId="77777777" w:rsidR="00BA6373" w:rsidRPr="001842F6" w:rsidRDefault="00BA6373" w:rsidP="00C3121E">
      <w:pPr>
        <w:pStyle w:val="Prrafodelista"/>
        <w:ind w:left="1134"/>
        <w:jc w:val="both"/>
        <w:rPr>
          <w:rFonts w:ascii="Georgia" w:hAnsi="Georgia" w:cs="Arial"/>
          <w:sz w:val="22"/>
          <w:szCs w:val="22"/>
        </w:rPr>
      </w:pPr>
    </w:p>
    <w:p w14:paraId="339FD302" w14:textId="7B738D72" w:rsidR="008068C9" w:rsidRPr="001842F6" w:rsidRDefault="00BA6373" w:rsidP="00C3121E">
      <w:pPr>
        <w:pStyle w:val="Prrafodelista"/>
        <w:numPr>
          <w:ilvl w:val="0"/>
          <w:numId w:val="7"/>
        </w:numPr>
        <w:ind w:left="1134"/>
        <w:contextualSpacing w:val="0"/>
        <w:jc w:val="both"/>
        <w:rPr>
          <w:rFonts w:ascii="Georgia" w:hAnsi="Georgia" w:cs="Arial"/>
          <w:sz w:val="22"/>
          <w:szCs w:val="22"/>
        </w:rPr>
      </w:pPr>
      <w:r w:rsidRPr="001842F6">
        <w:rPr>
          <w:rFonts w:ascii="Georgia" w:hAnsi="Georgia" w:cs="Arial"/>
          <w:sz w:val="22"/>
          <w:szCs w:val="22"/>
        </w:rPr>
        <w:t>Número solicitudes realiz</w:t>
      </w:r>
      <w:r w:rsidR="005B1966" w:rsidRPr="001842F6">
        <w:rPr>
          <w:rFonts w:ascii="Georgia" w:hAnsi="Georgia" w:cs="Arial"/>
          <w:sz w:val="22"/>
          <w:szCs w:val="22"/>
        </w:rPr>
        <w:t>adas de manera presencial</w:t>
      </w:r>
      <w:r w:rsidR="00BE13F2" w:rsidRPr="001842F6">
        <w:rPr>
          <w:rFonts w:ascii="Georgia" w:hAnsi="Georgia" w:cs="Arial"/>
          <w:sz w:val="22"/>
          <w:szCs w:val="22"/>
        </w:rPr>
        <w:t xml:space="preserve">: </w:t>
      </w:r>
      <w:r w:rsidR="007E31F9" w:rsidRPr="001842F6">
        <w:rPr>
          <w:rFonts w:ascii="Georgia" w:hAnsi="Georgia" w:cs="Arial"/>
          <w:sz w:val="22"/>
          <w:szCs w:val="22"/>
        </w:rPr>
        <w:t>2,685</w:t>
      </w:r>
      <w:r w:rsidRPr="001842F6">
        <w:rPr>
          <w:rFonts w:ascii="Georgia" w:hAnsi="Georgia" w:cs="Arial"/>
          <w:sz w:val="22"/>
          <w:szCs w:val="22"/>
        </w:rPr>
        <w:t>.</w:t>
      </w:r>
    </w:p>
    <w:p w14:paraId="156ECF5E" w14:textId="77777777" w:rsidR="008068C9" w:rsidRPr="001842F6" w:rsidRDefault="008068C9" w:rsidP="00C3121E">
      <w:pPr>
        <w:pStyle w:val="Prrafodelista"/>
        <w:jc w:val="both"/>
        <w:rPr>
          <w:rFonts w:ascii="Georgia" w:hAnsi="Georgia" w:cs="Arial"/>
          <w:sz w:val="22"/>
          <w:szCs w:val="22"/>
        </w:rPr>
      </w:pPr>
    </w:p>
    <w:p w14:paraId="5716023E" w14:textId="49A714A5" w:rsidR="008068C9" w:rsidRPr="001842F6" w:rsidRDefault="008068C9" w:rsidP="00C3121E">
      <w:pPr>
        <w:pStyle w:val="Prrafodelista"/>
        <w:numPr>
          <w:ilvl w:val="0"/>
          <w:numId w:val="7"/>
        </w:numPr>
        <w:ind w:left="1134"/>
        <w:contextualSpacing w:val="0"/>
        <w:jc w:val="both"/>
        <w:rPr>
          <w:rFonts w:ascii="Georgia" w:hAnsi="Georgia" w:cs="Arial"/>
          <w:sz w:val="22"/>
          <w:szCs w:val="22"/>
        </w:rPr>
      </w:pPr>
      <w:proofErr w:type="gramStart"/>
      <w:r w:rsidRPr="001842F6">
        <w:rPr>
          <w:rFonts w:ascii="Georgia" w:hAnsi="Georgia" w:cs="Arial"/>
          <w:sz w:val="22"/>
          <w:szCs w:val="22"/>
        </w:rPr>
        <w:t>Total</w:t>
      </w:r>
      <w:proofErr w:type="gramEnd"/>
      <w:r w:rsidRPr="001842F6">
        <w:rPr>
          <w:rFonts w:ascii="Georgia" w:hAnsi="Georgia" w:cs="Arial"/>
          <w:sz w:val="22"/>
          <w:szCs w:val="22"/>
        </w:rPr>
        <w:t xml:space="preserve"> de orientaciones realizadas para que el solicitante presente su solicitud ante otra Unidad de </w:t>
      </w:r>
      <w:r w:rsidR="00FA4C3B" w:rsidRPr="001842F6">
        <w:rPr>
          <w:rFonts w:ascii="Georgia" w:hAnsi="Georgia" w:cs="Arial"/>
          <w:sz w:val="22"/>
          <w:szCs w:val="22"/>
        </w:rPr>
        <w:t>Transparencia</w:t>
      </w:r>
      <w:r w:rsidRPr="001842F6">
        <w:rPr>
          <w:rFonts w:ascii="Georgia" w:hAnsi="Georgia" w:cs="Arial"/>
          <w:sz w:val="22"/>
          <w:szCs w:val="22"/>
        </w:rPr>
        <w:t xml:space="preserve">: </w:t>
      </w:r>
      <w:r w:rsidR="000354E4" w:rsidRPr="001842F6">
        <w:rPr>
          <w:rFonts w:ascii="Georgia" w:hAnsi="Georgia" w:cs="Arial"/>
          <w:sz w:val="22"/>
          <w:szCs w:val="22"/>
        </w:rPr>
        <w:t>1</w:t>
      </w:r>
      <w:r w:rsidR="000F4208" w:rsidRPr="001842F6">
        <w:rPr>
          <w:rFonts w:ascii="Georgia" w:hAnsi="Georgia" w:cs="Arial"/>
          <w:sz w:val="22"/>
          <w:szCs w:val="22"/>
        </w:rPr>
        <w:t>59</w:t>
      </w:r>
      <w:r w:rsidRPr="001842F6">
        <w:rPr>
          <w:rFonts w:ascii="Georgia" w:hAnsi="Georgia" w:cs="Arial"/>
          <w:sz w:val="22"/>
          <w:szCs w:val="22"/>
        </w:rPr>
        <w:t>.</w:t>
      </w:r>
    </w:p>
    <w:bookmarkEnd w:id="0"/>
    <w:p w14:paraId="0260EE1A" w14:textId="77777777" w:rsidR="008068C9" w:rsidRPr="00C3121E" w:rsidRDefault="008068C9" w:rsidP="00C3121E">
      <w:pPr>
        <w:pStyle w:val="Prrafodelista"/>
        <w:tabs>
          <w:tab w:val="left" w:pos="3390"/>
        </w:tabs>
        <w:jc w:val="both"/>
        <w:rPr>
          <w:rFonts w:ascii="Georgia" w:hAnsi="Georgia" w:cs="Arial"/>
          <w:b/>
          <w:sz w:val="22"/>
          <w:szCs w:val="22"/>
        </w:rPr>
      </w:pPr>
      <w:r w:rsidRPr="00C3121E">
        <w:rPr>
          <w:rFonts w:ascii="Georgia" w:hAnsi="Georgia" w:cs="Arial"/>
          <w:b/>
          <w:sz w:val="22"/>
          <w:szCs w:val="22"/>
        </w:rPr>
        <w:tab/>
      </w:r>
    </w:p>
    <w:p w14:paraId="5B9B0C4C" w14:textId="77777777" w:rsidR="008068C9" w:rsidRPr="00C3121E" w:rsidRDefault="008068C9" w:rsidP="00C3121E">
      <w:pPr>
        <w:pStyle w:val="Prrafodelista"/>
        <w:jc w:val="both"/>
        <w:rPr>
          <w:rFonts w:ascii="Georgia" w:hAnsi="Georgia" w:cs="Arial"/>
          <w:b/>
          <w:sz w:val="22"/>
          <w:szCs w:val="22"/>
        </w:rPr>
      </w:pPr>
    </w:p>
    <w:p w14:paraId="6633A9EF" w14:textId="77777777" w:rsidR="008068C9" w:rsidRPr="00C3121E" w:rsidRDefault="008068C9" w:rsidP="00C3121E">
      <w:pPr>
        <w:pStyle w:val="Prrafodelista"/>
        <w:numPr>
          <w:ilvl w:val="0"/>
          <w:numId w:val="6"/>
        </w:numPr>
        <w:contextualSpacing w:val="0"/>
        <w:jc w:val="both"/>
        <w:rPr>
          <w:rFonts w:ascii="Georgia" w:hAnsi="Georgia" w:cs="Arial"/>
          <w:b/>
          <w:sz w:val="22"/>
          <w:szCs w:val="22"/>
        </w:rPr>
      </w:pPr>
      <w:r w:rsidRPr="00C3121E">
        <w:rPr>
          <w:rFonts w:ascii="Georgia" w:hAnsi="Georgia" w:cs="Arial"/>
          <w:b/>
          <w:sz w:val="22"/>
          <w:szCs w:val="22"/>
        </w:rPr>
        <w:t>Procedimiento Sumario.</w:t>
      </w:r>
    </w:p>
    <w:p w14:paraId="670B1D00" w14:textId="77777777" w:rsidR="008068C9" w:rsidRPr="00C3121E" w:rsidRDefault="008068C9" w:rsidP="00C3121E">
      <w:pPr>
        <w:pStyle w:val="Prrafodelista"/>
        <w:ind w:left="1134"/>
        <w:jc w:val="both"/>
        <w:rPr>
          <w:rFonts w:ascii="Georgia" w:hAnsi="Georgia" w:cs="Arial"/>
          <w:sz w:val="22"/>
          <w:szCs w:val="22"/>
        </w:rPr>
      </w:pPr>
    </w:p>
    <w:p w14:paraId="30646769" w14:textId="2F9731A9" w:rsidR="008068C9" w:rsidRPr="001842F6" w:rsidRDefault="008068C9"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Total</w:t>
      </w:r>
      <w:proofErr w:type="gramEnd"/>
      <w:r w:rsidRPr="00C3121E">
        <w:rPr>
          <w:rFonts w:ascii="Georgia" w:hAnsi="Georgia" w:cs="Arial"/>
          <w:sz w:val="22"/>
          <w:szCs w:val="22"/>
        </w:rPr>
        <w:t xml:space="preserve"> de solicitudes tramitadas </w:t>
      </w:r>
      <w:r w:rsidRPr="001842F6">
        <w:rPr>
          <w:rFonts w:ascii="Georgia" w:hAnsi="Georgia" w:cs="Arial"/>
          <w:sz w:val="22"/>
          <w:szCs w:val="22"/>
        </w:rPr>
        <w:t xml:space="preserve">mediante procedimiento sumario: </w:t>
      </w:r>
      <w:r w:rsidR="000F4208" w:rsidRPr="001842F6">
        <w:rPr>
          <w:rFonts w:ascii="Georgia" w:hAnsi="Georgia" w:cs="Arial"/>
          <w:sz w:val="22"/>
          <w:szCs w:val="22"/>
        </w:rPr>
        <w:t>1</w:t>
      </w:r>
      <w:r w:rsidR="00B10892" w:rsidRPr="001842F6">
        <w:rPr>
          <w:rFonts w:ascii="Georgia" w:hAnsi="Georgia" w:cs="Arial"/>
          <w:sz w:val="22"/>
          <w:szCs w:val="22"/>
        </w:rPr>
        <w:t>4</w:t>
      </w:r>
      <w:r w:rsidR="00FC6B8F" w:rsidRPr="001842F6">
        <w:rPr>
          <w:rFonts w:ascii="Georgia" w:hAnsi="Georgia" w:cs="Arial"/>
          <w:sz w:val="22"/>
          <w:szCs w:val="22"/>
        </w:rPr>
        <w:t>,</w:t>
      </w:r>
      <w:r w:rsidR="00B10892" w:rsidRPr="001842F6">
        <w:rPr>
          <w:rFonts w:ascii="Georgia" w:hAnsi="Georgia" w:cs="Arial"/>
          <w:sz w:val="22"/>
          <w:szCs w:val="22"/>
        </w:rPr>
        <w:t>206</w:t>
      </w:r>
      <w:r w:rsidRPr="001842F6">
        <w:rPr>
          <w:rFonts w:ascii="Georgia" w:hAnsi="Georgia" w:cs="Arial"/>
          <w:sz w:val="22"/>
          <w:szCs w:val="22"/>
        </w:rPr>
        <w:t>.</w:t>
      </w:r>
    </w:p>
    <w:p w14:paraId="16DFFBE4" w14:textId="77777777" w:rsidR="008068C9" w:rsidRPr="001842F6" w:rsidRDefault="008068C9" w:rsidP="00C3121E">
      <w:pPr>
        <w:pStyle w:val="Prrafodelista"/>
        <w:ind w:left="1134"/>
        <w:jc w:val="both"/>
        <w:rPr>
          <w:rFonts w:ascii="Georgia" w:hAnsi="Georgia" w:cs="Arial"/>
          <w:sz w:val="22"/>
          <w:szCs w:val="22"/>
        </w:rPr>
      </w:pPr>
    </w:p>
    <w:p w14:paraId="29CF1E04" w14:textId="3BCD967A" w:rsidR="008068C9" w:rsidRPr="001842F6" w:rsidRDefault="008068C9" w:rsidP="00C3121E">
      <w:pPr>
        <w:pStyle w:val="Prrafodelista"/>
        <w:numPr>
          <w:ilvl w:val="0"/>
          <w:numId w:val="8"/>
        </w:numPr>
        <w:ind w:left="1560"/>
        <w:contextualSpacing w:val="0"/>
        <w:jc w:val="both"/>
        <w:rPr>
          <w:rFonts w:ascii="Georgia" w:hAnsi="Georgia" w:cs="Arial"/>
          <w:sz w:val="22"/>
          <w:szCs w:val="22"/>
        </w:rPr>
      </w:pPr>
      <w:proofErr w:type="gramStart"/>
      <w:r w:rsidRPr="001842F6">
        <w:rPr>
          <w:rFonts w:ascii="Georgia" w:hAnsi="Georgia" w:cs="Arial"/>
          <w:sz w:val="22"/>
          <w:szCs w:val="22"/>
        </w:rPr>
        <w:t>Total</w:t>
      </w:r>
      <w:proofErr w:type="gramEnd"/>
      <w:r w:rsidRPr="001842F6">
        <w:rPr>
          <w:rFonts w:ascii="Georgia" w:hAnsi="Georgia" w:cs="Arial"/>
          <w:sz w:val="22"/>
          <w:szCs w:val="22"/>
        </w:rPr>
        <w:t xml:space="preserve"> de solicitudes tramitadas mediante procedimiento sumario a través de los Módulos de Acceso a la Información:</w:t>
      </w:r>
      <w:r w:rsidR="00D50658" w:rsidRPr="001842F6">
        <w:rPr>
          <w:rFonts w:ascii="Georgia" w:hAnsi="Georgia" w:cs="Arial"/>
          <w:sz w:val="22"/>
          <w:szCs w:val="22"/>
        </w:rPr>
        <w:t xml:space="preserve"> </w:t>
      </w:r>
      <w:r w:rsidR="000F4208" w:rsidRPr="001842F6">
        <w:rPr>
          <w:rFonts w:ascii="Georgia" w:hAnsi="Georgia" w:cs="Arial"/>
          <w:sz w:val="22"/>
          <w:szCs w:val="22"/>
        </w:rPr>
        <w:t>1</w:t>
      </w:r>
      <w:r w:rsidR="00B10892" w:rsidRPr="001842F6">
        <w:rPr>
          <w:rFonts w:ascii="Georgia" w:hAnsi="Georgia" w:cs="Arial"/>
          <w:sz w:val="22"/>
          <w:szCs w:val="22"/>
        </w:rPr>
        <w:t>3</w:t>
      </w:r>
      <w:r w:rsidR="00581CEE" w:rsidRPr="001842F6">
        <w:rPr>
          <w:rFonts w:ascii="Georgia" w:hAnsi="Georgia" w:cs="Arial"/>
          <w:sz w:val="22"/>
          <w:szCs w:val="22"/>
        </w:rPr>
        <w:t>,</w:t>
      </w:r>
      <w:r w:rsidR="00B10892" w:rsidRPr="001842F6">
        <w:rPr>
          <w:rFonts w:ascii="Georgia" w:hAnsi="Georgia" w:cs="Arial"/>
          <w:sz w:val="22"/>
          <w:szCs w:val="22"/>
        </w:rPr>
        <w:t>831</w:t>
      </w:r>
      <w:r w:rsidRPr="001842F6">
        <w:rPr>
          <w:rFonts w:ascii="Georgia" w:hAnsi="Georgia" w:cs="Arial"/>
          <w:sz w:val="22"/>
          <w:szCs w:val="22"/>
        </w:rPr>
        <w:t>.</w:t>
      </w:r>
    </w:p>
    <w:p w14:paraId="09BF3E2C" w14:textId="77777777" w:rsidR="008068C9" w:rsidRPr="001842F6" w:rsidRDefault="008068C9" w:rsidP="00C3121E">
      <w:pPr>
        <w:ind w:left="1560" w:hanging="425"/>
        <w:jc w:val="both"/>
        <w:rPr>
          <w:rFonts w:ascii="Georgia" w:hAnsi="Georgia" w:cs="Arial"/>
          <w:sz w:val="22"/>
          <w:szCs w:val="22"/>
          <w:lang w:val="es-MX"/>
        </w:rPr>
      </w:pPr>
    </w:p>
    <w:p w14:paraId="08C0D2BD" w14:textId="0AE2D0EC" w:rsidR="008068C9" w:rsidRPr="001842F6" w:rsidRDefault="008068C9" w:rsidP="00C3121E">
      <w:pPr>
        <w:pStyle w:val="Prrafodelista"/>
        <w:numPr>
          <w:ilvl w:val="0"/>
          <w:numId w:val="8"/>
        </w:numPr>
        <w:ind w:left="1560"/>
        <w:contextualSpacing w:val="0"/>
        <w:jc w:val="both"/>
        <w:rPr>
          <w:rFonts w:ascii="Georgia" w:hAnsi="Georgia" w:cs="Arial"/>
          <w:sz w:val="22"/>
          <w:szCs w:val="22"/>
        </w:rPr>
      </w:pPr>
      <w:proofErr w:type="gramStart"/>
      <w:r w:rsidRPr="001842F6">
        <w:rPr>
          <w:rFonts w:ascii="Georgia" w:hAnsi="Georgia" w:cs="Arial"/>
          <w:sz w:val="22"/>
          <w:szCs w:val="22"/>
        </w:rPr>
        <w:t>Total</w:t>
      </w:r>
      <w:proofErr w:type="gramEnd"/>
      <w:r w:rsidRPr="001842F6">
        <w:rPr>
          <w:rFonts w:ascii="Georgia" w:hAnsi="Georgia" w:cs="Arial"/>
          <w:sz w:val="22"/>
          <w:szCs w:val="22"/>
        </w:rPr>
        <w:t xml:space="preserve"> de consultas de información legislativa y bibliohemerográfica en el Distrito Federal: </w:t>
      </w:r>
      <w:r w:rsidR="00760A8A" w:rsidRPr="001842F6">
        <w:rPr>
          <w:rFonts w:ascii="Georgia" w:hAnsi="Georgia" w:cs="Arial"/>
          <w:sz w:val="22"/>
          <w:szCs w:val="22"/>
        </w:rPr>
        <w:t>375</w:t>
      </w:r>
      <w:r w:rsidRPr="001842F6">
        <w:rPr>
          <w:rFonts w:ascii="Georgia" w:hAnsi="Georgia" w:cs="Arial"/>
          <w:sz w:val="22"/>
          <w:szCs w:val="22"/>
        </w:rPr>
        <w:t>.</w:t>
      </w:r>
    </w:p>
    <w:p w14:paraId="68614B57" w14:textId="77777777" w:rsidR="008068C9" w:rsidRPr="00C3121E" w:rsidRDefault="008068C9" w:rsidP="00C3121E">
      <w:pPr>
        <w:ind w:left="1080"/>
        <w:jc w:val="both"/>
        <w:rPr>
          <w:rFonts w:ascii="Georgia" w:hAnsi="Georgia" w:cs="Arial"/>
          <w:sz w:val="22"/>
          <w:szCs w:val="22"/>
          <w:lang w:val="es-MX"/>
        </w:rPr>
      </w:pPr>
    </w:p>
    <w:p w14:paraId="779428A9" w14:textId="77777777" w:rsidR="008068C9" w:rsidRPr="00C3121E" w:rsidRDefault="008068C9" w:rsidP="00C3121E">
      <w:pPr>
        <w:ind w:left="1080"/>
        <w:jc w:val="both"/>
        <w:rPr>
          <w:rFonts w:ascii="Georgia" w:hAnsi="Georgia" w:cs="Arial"/>
          <w:sz w:val="22"/>
          <w:szCs w:val="22"/>
          <w:lang w:val="es-MX"/>
        </w:rPr>
      </w:pPr>
    </w:p>
    <w:p w14:paraId="09E8D65B" w14:textId="77777777" w:rsidR="008068C9" w:rsidRPr="00C3121E" w:rsidRDefault="008068C9" w:rsidP="00C3121E">
      <w:pPr>
        <w:pStyle w:val="Prrafodelista"/>
        <w:numPr>
          <w:ilvl w:val="0"/>
          <w:numId w:val="6"/>
        </w:numPr>
        <w:contextualSpacing w:val="0"/>
        <w:jc w:val="both"/>
        <w:rPr>
          <w:rFonts w:ascii="Georgia" w:hAnsi="Georgia" w:cs="Arial"/>
          <w:b/>
          <w:sz w:val="22"/>
          <w:szCs w:val="22"/>
        </w:rPr>
      </w:pPr>
      <w:bookmarkStart w:id="1" w:name="_Hlk80895540"/>
      <w:r w:rsidRPr="00C3121E">
        <w:rPr>
          <w:rFonts w:ascii="Georgia" w:hAnsi="Georgia" w:cs="Arial"/>
          <w:b/>
          <w:sz w:val="22"/>
          <w:szCs w:val="22"/>
        </w:rPr>
        <w:t>Procedimiento Ordinario.</w:t>
      </w:r>
    </w:p>
    <w:p w14:paraId="44741762" w14:textId="77777777" w:rsidR="008068C9" w:rsidRPr="00C3121E" w:rsidRDefault="008068C9" w:rsidP="00C3121E">
      <w:pPr>
        <w:pStyle w:val="Prrafodelista"/>
        <w:ind w:left="1080"/>
        <w:jc w:val="both"/>
        <w:rPr>
          <w:rFonts w:ascii="Georgia" w:hAnsi="Georgia" w:cs="Arial"/>
          <w:sz w:val="22"/>
          <w:szCs w:val="22"/>
        </w:rPr>
      </w:pPr>
    </w:p>
    <w:p w14:paraId="34B1D887" w14:textId="0F2A21A9" w:rsidR="008F7502" w:rsidRPr="001842F6" w:rsidRDefault="008F7502"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Total</w:t>
      </w:r>
      <w:proofErr w:type="gramEnd"/>
      <w:r w:rsidRPr="00C3121E">
        <w:rPr>
          <w:rFonts w:ascii="Georgia" w:hAnsi="Georgia" w:cs="Arial"/>
          <w:sz w:val="22"/>
          <w:szCs w:val="22"/>
        </w:rPr>
        <w:t xml:space="preserve"> de solicitudes tramitad</w:t>
      </w:r>
      <w:r w:rsidR="008F7756" w:rsidRPr="00C3121E">
        <w:rPr>
          <w:rFonts w:ascii="Georgia" w:hAnsi="Georgia" w:cs="Arial"/>
          <w:sz w:val="22"/>
          <w:szCs w:val="22"/>
        </w:rPr>
        <w:t xml:space="preserve">as ante la Unidad de </w:t>
      </w:r>
      <w:r w:rsidR="00C53740" w:rsidRPr="00C3121E">
        <w:rPr>
          <w:rFonts w:ascii="Georgia" w:hAnsi="Georgia" w:cs="Arial"/>
          <w:sz w:val="22"/>
          <w:szCs w:val="22"/>
        </w:rPr>
        <w:t>Transparencia</w:t>
      </w:r>
      <w:r w:rsidR="00C85C3E" w:rsidRPr="001842F6">
        <w:rPr>
          <w:rFonts w:ascii="Georgia" w:hAnsi="Georgia" w:cs="Arial"/>
          <w:sz w:val="22"/>
          <w:szCs w:val="22"/>
        </w:rPr>
        <w:t xml:space="preserve">: </w:t>
      </w:r>
      <w:r w:rsidR="00473AA4" w:rsidRPr="001842F6">
        <w:rPr>
          <w:rFonts w:ascii="Georgia" w:hAnsi="Georgia" w:cs="Arial"/>
          <w:sz w:val="22"/>
          <w:szCs w:val="22"/>
        </w:rPr>
        <w:t>2</w:t>
      </w:r>
      <w:r w:rsidR="00C649D1" w:rsidRPr="001842F6">
        <w:rPr>
          <w:rFonts w:ascii="Georgia" w:hAnsi="Georgia" w:cs="Arial"/>
          <w:sz w:val="22"/>
          <w:szCs w:val="22"/>
        </w:rPr>
        <w:t>96</w:t>
      </w:r>
      <w:r w:rsidRPr="001842F6">
        <w:rPr>
          <w:rFonts w:ascii="Georgia" w:hAnsi="Georgia" w:cs="Arial"/>
          <w:sz w:val="22"/>
          <w:szCs w:val="22"/>
        </w:rPr>
        <w:t>.</w:t>
      </w:r>
    </w:p>
    <w:p w14:paraId="25CC894A" w14:textId="77777777" w:rsidR="008F7502" w:rsidRPr="00C3121E" w:rsidRDefault="008F7502" w:rsidP="00C3121E">
      <w:pPr>
        <w:pStyle w:val="Prrafodelista"/>
        <w:ind w:left="1134"/>
        <w:jc w:val="both"/>
        <w:rPr>
          <w:rFonts w:ascii="Georgia" w:hAnsi="Georgia" w:cs="Arial"/>
          <w:sz w:val="22"/>
          <w:szCs w:val="22"/>
        </w:rPr>
      </w:pPr>
    </w:p>
    <w:p w14:paraId="32BB91FB" w14:textId="3DCC39C3" w:rsidR="008F7502" w:rsidRPr="00C3121E" w:rsidRDefault="008F7502"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Total</w:t>
      </w:r>
      <w:proofErr w:type="gramEnd"/>
      <w:r w:rsidRPr="00C3121E">
        <w:rPr>
          <w:rFonts w:ascii="Georgia" w:hAnsi="Georgia" w:cs="Arial"/>
          <w:sz w:val="22"/>
          <w:szCs w:val="22"/>
        </w:rPr>
        <w:t xml:space="preserve"> de solicitudes canalizadas al Consejo de la Judicatura Federal o algu</w:t>
      </w:r>
      <w:r w:rsidR="00473957" w:rsidRPr="00C3121E">
        <w:rPr>
          <w:rFonts w:ascii="Georgia" w:hAnsi="Georgia" w:cs="Arial"/>
          <w:sz w:val="22"/>
          <w:szCs w:val="22"/>
        </w:rPr>
        <w:t xml:space="preserve">na otra institución pública: </w:t>
      </w:r>
      <w:r w:rsidR="00C649D1" w:rsidRPr="00C3121E">
        <w:rPr>
          <w:rFonts w:ascii="Georgia" w:hAnsi="Georgia" w:cs="Arial"/>
          <w:sz w:val="22"/>
          <w:szCs w:val="22"/>
        </w:rPr>
        <w:t>7</w:t>
      </w:r>
      <w:r w:rsidR="00F351FD" w:rsidRPr="00C3121E">
        <w:rPr>
          <w:rFonts w:ascii="Georgia" w:hAnsi="Georgia" w:cs="Arial"/>
          <w:sz w:val="22"/>
          <w:szCs w:val="22"/>
        </w:rPr>
        <w:t>4</w:t>
      </w:r>
      <w:r w:rsidRPr="00C3121E">
        <w:rPr>
          <w:rFonts w:ascii="Georgia" w:hAnsi="Georgia" w:cs="Arial"/>
          <w:sz w:val="22"/>
          <w:szCs w:val="22"/>
        </w:rPr>
        <w:t>.</w:t>
      </w:r>
    </w:p>
    <w:p w14:paraId="60DC2991" w14:textId="77777777" w:rsidR="008F7502" w:rsidRPr="00C3121E" w:rsidRDefault="008F7502" w:rsidP="00C3121E">
      <w:pPr>
        <w:pStyle w:val="Prrafodelista"/>
        <w:ind w:left="1134"/>
        <w:jc w:val="both"/>
        <w:rPr>
          <w:rFonts w:ascii="Georgia" w:hAnsi="Georgia" w:cs="Arial"/>
          <w:sz w:val="22"/>
          <w:szCs w:val="22"/>
        </w:rPr>
      </w:pPr>
    </w:p>
    <w:p w14:paraId="79338247" w14:textId="0ABFCD6E" w:rsidR="008F7502" w:rsidRPr="00C3121E" w:rsidRDefault="008F7502" w:rsidP="00C3121E">
      <w:pPr>
        <w:pStyle w:val="Prrafodelista"/>
        <w:numPr>
          <w:ilvl w:val="0"/>
          <w:numId w:val="7"/>
        </w:numPr>
        <w:ind w:left="1134"/>
        <w:contextualSpacing w:val="0"/>
        <w:jc w:val="both"/>
        <w:rPr>
          <w:rFonts w:ascii="Georgia" w:hAnsi="Georgia" w:cs="Arial"/>
          <w:sz w:val="22"/>
          <w:szCs w:val="22"/>
        </w:rPr>
      </w:pPr>
      <w:r w:rsidRPr="00C3121E">
        <w:rPr>
          <w:rFonts w:ascii="Georgia" w:hAnsi="Georgia" w:cs="Arial"/>
          <w:sz w:val="22"/>
          <w:szCs w:val="22"/>
        </w:rPr>
        <w:t xml:space="preserve">Número de solicitudes que se ordenó su archivo por </w:t>
      </w:r>
      <w:r w:rsidR="0077753B" w:rsidRPr="00C3121E">
        <w:rPr>
          <w:rFonts w:ascii="Georgia" w:hAnsi="Georgia" w:cs="Arial"/>
          <w:sz w:val="22"/>
          <w:szCs w:val="22"/>
        </w:rPr>
        <w:t xml:space="preserve">no desahogarse la prevención: </w:t>
      </w:r>
      <w:r w:rsidR="00C649D1" w:rsidRPr="00C3121E">
        <w:rPr>
          <w:rFonts w:ascii="Georgia" w:hAnsi="Georgia" w:cs="Arial"/>
          <w:sz w:val="22"/>
          <w:szCs w:val="22"/>
        </w:rPr>
        <w:t>2</w:t>
      </w:r>
      <w:r w:rsidR="00FA1103" w:rsidRPr="00C3121E">
        <w:rPr>
          <w:rFonts w:ascii="Georgia" w:hAnsi="Georgia" w:cs="Arial"/>
          <w:sz w:val="22"/>
          <w:szCs w:val="22"/>
        </w:rPr>
        <w:t>1</w:t>
      </w:r>
      <w:r w:rsidRPr="00C3121E">
        <w:rPr>
          <w:rFonts w:ascii="Georgia" w:hAnsi="Georgia" w:cs="Arial"/>
          <w:sz w:val="22"/>
          <w:szCs w:val="22"/>
        </w:rPr>
        <w:t>.</w:t>
      </w:r>
    </w:p>
    <w:p w14:paraId="4819DF7E" w14:textId="77777777" w:rsidR="008F7502" w:rsidRPr="00C3121E" w:rsidRDefault="008F7502" w:rsidP="00C3121E">
      <w:pPr>
        <w:pStyle w:val="Prrafodelista"/>
        <w:ind w:left="1134"/>
        <w:jc w:val="both"/>
        <w:rPr>
          <w:rFonts w:ascii="Georgia" w:hAnsi="Georgia" w:cs="Arial"/>
          <w:sz w:val="22"/>
          <w:szCs w:val="22"/>
        </w:rPr>
      </w:pPr>
    </w:p>
    <w:p w14:paraId="239FCECD" w14:textId="475505DA" w:rsidR="008F7502" w:rsidRPr="00C3121E" w:rsidRDefault="008F7502" w:rsidP="00C3121E">
      <w:pPr>
        <w:pStyle w:val="Prrafodelista"/>
        <w:numPr>
          <w:ilvl w:val="0"/>
          <w:numId w:val="7"/>
        </w:numPr>
        <w:ind w:left="1134"/>
        <w:contextualSpacing w:val="0"/>
        <w:jc w:val="both"/>
        <w:rPr>
          <w:rFonts w:ascii="Georgia" w:hAnsi="Georgia" w:cs="Arial"/>
          <w:sz w:val="22"/>
          <w:szCs w:val="22"/>
        </w:rPr>
      </w:pPr>
      <w:proofErr w:type="gramStart"/>
      <w:r w:rsidRPr="00C3121E">
        <w:rPr>
          <w:rFonts w:ascii="Georgia" w:hAnsi="Georgia" w:cs="Arial"/>
          <w:sz w:val="22"/>
          <w:szCs w:val="22"/>
        </w:rPr>
        <w:t>Total</w:t>
      </w:r>
      <w:proofErr w:type="gramEnd"/>
      <w:r w:rsidRPr="00C3121E">
        <w:rPr>
          <w:rFonts w:ascii="Georgia" w:hAnsi="Georgia" w:cs="Arial"/>
          <w:sz w:val="22"/>
          <w:szCs w:val="22"/>
        </w:rPr>
        <w:t xml:space="preserve"> de solicitudes tramitadas media</w:t>
      </w:r>
      <w:r w:rsidR="00F535C7" w:rsidRPr="00C3121E">
        <w:rPr>
          <w:rFonts w:ascii="Georgia" w:hAnsi="Georgia" w:cs="Arial"/>
          <w:sz w:val="22"/>
          <w:szCs w:val="22"/>
        </w:rPr>
        <w:t>nte procedimiento ordinari</w:t>
      </w:r>
      <w:r w:rsidR="00C26301" w:rsidRPr="00C3121E">
        <w:rPr>
          <w:rFonts w:ascii="Georgia" w:hAnsi="Georgia" w:cs="Arial"/>
          <w:sz w:val="22"/>
          <w:szCs w:val="22"/>
        </w:rPr>
        <w:t xml:space="preserve">o: </w:t>
      </w:r>
      <w:r w:rsidR="00FA1103" w:rsidRPr="00C3121E">
        <w:rPr>
          <w:rFonts w:ascii="Georgia" w:hAnsi="Georgia" w:cs="Arial"/>
          <w:sz w:val="22"/>
          <w:szCs w:val="22"/>
        </w:rPr>
        <w:t>1</w:t>
      </w:r>
      <w:r w:rsidR="00C649D1" w:rsidRPr="00C3121E">
        <w:rPr>
          <w:rFonts w:ascii="Georgia" w:hAnsi="Georgia" w:cs="Arial"/>
          <w:sz w:val="22"/>
          <w:szCs w:val="22"/>
        </w:rPr>
        <w:t>7</w:t>
      </w:r>
      <w:r w:rsidR="00C158F4" w:rsidRPr="00C3121E">
        <w:rPr>
          <w:rFonts w:ascii="Georgia" w:hAnsi="Georgia" w:cs="Arial"/>
          <w:sz w:val="22"/>
          <w:szCs w:val="22"/>
        </w:rPr>
        <w:t>5</w:t>
      </w:r>
      <w:r w:rsidRPr="00C3121E">
        <w:rPr>
          <w:rFonts w:ascii="Georgia" w:hAnsi="Georgia" w:cs="Arial"/>
          <w:sz w:val="22"/>
          <w:szCs w:val="22"/>
        </w:rPr>
        <w:t>.</w:t>
      </w:r>
    </w:p>
    <w:p w14:paraId="44CD42C6" w14:textId="77777777" w:rsidR="008F7502" w:rsidRPr="00C3121E" w:rsidRDefault="008F7502" w:rsidP="00C3121E">
      <w:pPr>
        <w:ind w:left="1080"/>
        <w:jc w:val="both"/>
        <w:rPr>
          <w:rFonts w:ascii="Georgia" w:hAnsi="Georgia" w:cs="Arial"/>
          <w:sz w:val="22"/>
          <w:szCs w:val="22"/>
          <w:lang w:val="es-MX"/>
        </w:rPr>
      </w:pPr>
    </w:p>
    <w:p w14:paraId="11877788" w14:textId="5925666B" w:rsidR="008F7502" w:rsidRPr="00C3121E" w:rsidRDefault="008F7502" w:rsidP="00C3121E">
      <w:pPr>
        <w:pStyle w:val="Prrafodelista"/>
        <w:numPr>
          <w:ilvl w:val="0"/>
          <w:numId w:val="8"/>
        </w:numPr>
        <w:ind w:left="1560"/>
        <w:contextualSpacing w:val="0"/>
        <w:jc w:val="both"/>
        <w:rPr>
          <w:rFonts w:ascii="Georgia" w:hAnsi="Georgia" w:cs="Arial"/>
          <w:sz w:val="22"/>
          <w:szCs w:val="22"/>
        </w:rPr>
      </w:pPr>
      <w:r w:rsidRPr="00C3121E">
        <w:rPr>
          <w:rFonts w:ascii="Georgia" w:hAnsi="Georgia" w:cs="Arial"/>
          <w:sz w:val="22"/>
          <w:szCs w:val="22"/>
        </w:rPr>
        <w:t>Solicitudes de información tramitadas mediante el procedimiento ordinario cuya naturaleza es de carácte</w:t>
      </w:r>
      <w:r w:rsidR="00214077" w:rsidRPr="00C3121E">
        <w:rPr>
          <w:rFonts w:ascii="Georgia" w:hAnsi="Georgia" w:cs="Arial"/>
          <w:sz w:val="22"/>
          <w:szCs w:val="22"/>
        </w:rPr>
        <w:t>r administrativo</w:t>
      </w:r>
      <w:r w:rsidR="00D105FB" w:rsidRPr="00C3121E">
        <w:rPr>
          <w:rFonts w:ascii="Georgia" w:hAnsi="Georgia" w:cs="Arial"/>
          <w:sz w:val="22"/>
          <w:szCs w:val="22"/>
        </w:rPr>
        <w:t xml:space="preserve">: </w:t>
      </w:r>
      <w:r w:rsidR="00C649D1" w:rsidRPr="00C3121E">
        <w:rPr>
          <w:rFonts w:ascii="Georgia" w:hAnsi="Georgia" w:cs="Arial"/>
          <w:sz w:val="22"/>
          <w:szCs w:val="22"/>
        </w:rPr>
        <w:t>83</w:t>
      </w:r>
      <w:r w:rsidRPr="00C3121E">
        <w:rPr>
          <w:rFonts w:ascii="Georgia" w:hAnsi="Georgia" w:cs="Arial"/>
          <w:sz w:val="22"/>
          <w:szCs w:val="22"/>
        </w:rPr>
        <w:t>.</w:t>
      </w:r>
    </w:p>
    <w:p w14:paraId="15014878" w14:textId="77777777" w:rsidR="008F7502" w:rsidRPr="00C3121E" w:rsidRDefault="008F7502" w:rsidP="00C3121E">
      <w:pPr>
        <w:pStyle w:val="Prrafodelista"/>
        <w:ind w:left="1560"/>
        <w:jc w:val="both"/>
        <w:rPr>
          <w:rFonts w:ascii="Georgia" w:hAnsi="Georgia" w:cs="Arial"/>
          <w:sz w:val="22"/>
          <w:szCs w:val="22"/>
        </w:rPr>
      </w:pPr>
    </w:p>
    <w:p w14:paraId="6D45CF93" w14:textId="4303B67A" w:rsidR="008F7502" w:rsidRPr="00C3121E" w:rsidRDefault="008F7502" w:rsidP="00C3121E">
      <w:pPr>
        <w:pStyle w:val="Prrafodelista"/>
        <w:numPr>
          <w:ilvl w:val="0"/>
          <w:numId w:val="8"/>
        </w:numPr>
        <w:ind w:left="1560"/>
        <w:contextualSpacing w:val="0"/>
        <w:jc w:val="both"/>
        <w:rPr>
          <w:rFonts w:ascii="Georgia" w:hAnsi="Georgia" w:cs="Arial"/>
          <w:sz w:val="22"/>
          <w:szCs w:val="22"/>
        </w:rPr>
      </w:pPr>
      <w:r w:rsidRPr="00C3121E">
        <w:rPr>
          <w:rFonts w:ascii="Georgia" w:hAnsi="Georgia" w:cs="Arial"/>
          <w:sz w:val="22"/>
          <w:szCs w:val="22"/>
        </w:rPr>
        <w:t>Solicitudes de información tramitadas mediante el procedimiento ordinario cuya naturaleza e</w:t>
      </w:r>
      <w:r w:rsidR="00214077" w:rsidRPr="00C3121E">
        <w:rPr>
          <w:rFonts w:ascii="Georgia" w:hAnsi="Georgia" w:cs="Arial"/>
          <w:sz w:val="22"/>
          <w:szCs w:val="22"/>
        </w:rPr>
        <w:t>s de carácter jurisdiccional</w:t>
      </w:r>
      <w:r w:rsidR="008B0BA3" w:rsidRPr="00C3121E">
        <w:rPr>
          <w:rFonts w:ascii="Georgia" w:hAnsi="Georgia" w:cs="Arial"/>
          <w:sz w:val="22"/>
          <w:szCs w:val="22"/>
        </w:rPr>
        <w:t xml:space="preserve">: </w:t>
      </w:r>
      <w:r w:rsidR="00C649D1" w:rsidRPr="00C3121E">
        <w:rPr>
          <w:rFonts w:ascii="Georgia" w:hAnsi="Georgia" w:cs="Arial"/>
          <w:sz w:val="22"/>
          <w:szCs w:val="22"/>
        </w:rPr>
        <w:t>9</w:t>
      </w:r>
      <w:r w:rsidR="00473AA4" w:rsidRPr="00C3121E">
        <w:rPr>
          <w:rFonts w:ascii="Georgia" w:hAnsi="Georgia" w:cs="Arial"/>
          <w:sz w:val="22"/>
          <w:szCs w:val="22"/>
        </w:rPr>
        <w:t>2</w:t>
      </w:r>
      <w:r w:rsidRPr="00C3121E">
        <w:rPr>
          <w:rFonts w:ascii="Georgia" w:hAnsi="Georgia" w:cs="Arial"/>
          <w:sz w:val="22"/>
          <w:szCs w:val="22"/>
        </w:rPr>
        <w:t>.</w:t>
      </w:r>
    </w:p>
    <w:p w14:paraId="2A392C25" w14:textId="77777777" w:rsidR="008F7502" w:rsidRPr="00C3121E" w:rsidRDefault="008F7502" w:rsidP="00C3121E">
      <w:pPr>
        <w:jc w:val="both"/>
        <w:rPr>
          <w:rFonts w:ascii="Georgia" w:hAnsi="Georgia" w:cs="Arial"/>
          <w:sz w:val="22"/>
          <w:szCs w:val="22"/>
          <w:lang w:val="es-MX"/>
        </w:rPr>
      </w:pPr>
    </w:p>
    <w:p w14:paraId="6E5F5716" w14:textId="37381347" w:rsidR="008F7502" w:rsidRPr="00C3121E" w:rsidRDefault="008F7502" w:rsidP="00C3121E">
      <w:pPr>
        <w:pStyle w:val="Prrafodelista"/>
        <w:numPr>
          <w:ilvl w:val="0"/>
          <w:numId w:val="7"/>
        </w:numPr>
        <w:ind w:left="1134"/>
        <w:contextualSpacing w:val="0"/>
        <w:jc w:val="both"/>
        <w:rPr>
          <w:rFonts w:ascii="Georgia" w:hAnsi="Georgia" w:cs="Arial"/>
          <w:sz w:val="22"/>
          <w:szCs w:val="22"/>
        </w:rPr>
      </w:pPr>
      <w:r w:rsidRPr="00C3121E">
        <w:rPr>
          <w:rFonts w:ascii="Georgia" w:hAnsi="Georgia" w:cs="Arial"/>
          <w:sz w:val="22"/>
          <w:szCs w:val="22"/>
        </w:rPr>
        <w:t xml:space="preserve">Solicitudes de información tramitadas mediante el procedimiento ordinario, en las cuales la Unidad de </w:t>
      </w:r>
      <w:r w:rsidR="00C53740" w:rsidRPr="00C3121E">
        <w:rPr>
          <w:rFonts w:ascii="Georgia" w:hAnsi="Georgia" w:cs="Arial"/>
          <w:sz w:val="22"/>
          <w:szCs w:val="22"/>
        </w:rPr>
        <w:t>Transparencia</w:t>
      </w:r>
      <w:r w:rsidRPr="00C3121E">
        <w:rPr>
          <w:rFonts w:ascii="Georgia" w:hAnsi="Georgia" w:cs="Arial"/>
          <w:sz w:val="22"/>
          <w:szCs w:val="22"/>
        </w:rPr>
        <w:t xml:space="preserve"> declaró la inexistencia temporal del engrose de las sentencias emitidas por el Pleno y las</w:t>
      </w:r>
      <w:r w:rsidR="00A02B21" w:rsidRPr="00C3121E">
        <w:rPr>
          <w:rFonts w:ascii="Georgia" w:hAnsi="Georgia" w:cs="Arial"/>
          <w:sz w:val="22"/>
          <w:szCs w:val="22"/>
        </w:rPr>
        <w:t xml:space="preserve"> Salas de este Alto Tribunal</w:t>
      </w:r>
      <w:r w:rsidR="00845589" w:rsidRPr="00C3121E">
        <w:rPr>
          <w:rFonts w:ascii="Georgia" w:hAnsi="Georgia" w:cs="Arial"/>
          <w:sz w:val="22"/>
          <w:szCs w:val="22"/>
        </w:rPr>
        <w:t>:</w:t>
      </w:r>
      <w:r w:rsidR="00D051F4" w:rsidRPr="00C3121E">
        <w:rPr>
          <w:rFonts w:ascii="Georgia" w:hAnsi="Georgia" w:cs="Arial"/>
          <w:sz w:val="22"/>
          <w:szCs w:val="22"/>
        </w:rPr>
        <w:t xml:space="preserve"> </w:t>
      </w:r>
      <w:r w:rsidR="00C649D1" w:rsidRPr="00C3121E">
        <w:rPr>
          <w:rFonts w:ascii="Georgia" w:hAnsi="Georgia" w:cs="Arial"/>
          <w:sz w:val="22"/>
          <w:szCs w:val="22"/>
        </w:rPr>
        <w:t>2</w:t>
      </w:r>
      <w:r w:rsidRPr="00C3121E">
        <w:rPr>
          <w:rFonts w:ascii="Georgia" w:hAnsi="Georgia" w:cs="Arial"/>
          <w:sz w:val="22"/>
          <w:szCs w:val="22"/>
        </w:rPr>
        <w:t>.</w:t>
      </w:r>
    </w:p>
    <w:p w14:paraId="5A9CEA6A" w14:textId="77777777" w:rsidR="008F7502" w:rsidRPr="00C3121E" w:rsidRDefault="008F7502" w:rsidP="00C3121E">
      <w:pPr>
        <w:ind w:left="1080"/>
        <w:jc w:val="both"/>
        <w:rPr>
          <w:rFonts w:ascii="Georgia" w:hAnsi="Georgia" w:cs="Arial"/>
          <w:sz w:val="22"/>
          <w:szCs w:val="22"/>
          <w:lang w:val="es-MX"/>
        </w:rPr>
      </w:pPr>
    </w:p>
    <w:p w14:paraId="50D9D56D" w14:textId="33C99AE0" w:rsidR="009940CE" w:rsidRPr="00C3121E" w:rsidRDefault="008F7502" w:rsidP="00C3121E">
      <w:pPr>
        <w:pStyle w:val="Prrafodelista"/>
        <w:numPr>
          <w:ilvl w:val="0"/>
          <w:numId w:val="7"/>
        </w:numPr>
        <w:ind w:left="1134"/>
        <w:contextualSpacing w:val="0"/>
        <w:jc w:val="both"/>
        <w:rPr>
          <w:rFonts w:ascii="Georgia" w:hAnsi="Georgia" w:cs="Arial"/>
          <w:sz w:val="22"/>
          <w:szCs w:val="22"/>
        </w:rPr>
      </w:pPr>
      <w:r w:rsidRPr="00C3121E">
        <w:rPr>
          <w:rFonts w:ascii="Georgia" w:hAnsi="Georgia" w:cs="Arial"/>
          <w:sz w:val="22"/>
          <w:szCs w:val="22"/>
        </w:rPr>
        <w:t>Solicitudes de acceso, rectificación, cancelación u oposición a la pu</w:t>
      </w:r>
      <w:r w:rsidR="007D3306" w:rsidRPr="00C3121E">
        <w:rPr>
          <w:rFonts w:ascii="Georgia" w:hAnsi="Georgia" w:cs="Arial"/>
          <w:sz w:val="22"/>
          <w:szCs w:val="22"/>
        </w:rPr>
        <w:t>blicación de datos personales</w:t>
      </w:r>
      <w:r w:rsidR="00A816B8" w:rsidRPr="00C3121E">
        <w:rPr>
          <w:rFonts w:ascii="Georgia" w:hAnsi="Georgia" w:cs="Arial"/>
          <w:sz w:val="22"/>
          <w:szCs w:val="22"/>
        </w:rPr>
        <w:t xml:space="preserve">: </w:t>
      </w:r>
      <w:r w:rsidR="00C649D1" w:rsidRPr="00C3121E">
        <w:rPr>
          <w:rFonts w:ascii="Georgia" w:hAnsi="Georgia" w:cs="Arial"/>
          <w:sz w:val="22"/>
          <w:szCs w:val="22"/>
        </w:rPr>
        <w:t>23</w:t>
      </w:r>
      <w:r w:rsidRPr="00C3121E">
        <w:rPr>
          <w:rFonts w:ascii="Georgia" w:hAnsi="Georgia" w:cs="Arial"/>
          <w:sz w:val="22"/>
          <w:szCs w:val="22"/>
        </w:rPr>
        <w:t>.</w:t>
      </w:r>
    </w:p>
    <w:p w14:paraId="1C442916" w14:textId="19567C53" w:rsidR="00730255" w:rsidRPr="00C36EFC" w:rsidRDefault="00730255" w:rsidP="00C3121E">
      <w:pPr>
        <w:jc w:val="both"/>
        <w:rPr>
          <w:rFonts w:ascii="Georgia" w:hAnsi="Georgia" w:cs="Arial"/>
          <w:sz w:val="22"/>
          <w:szCs w:val="22"/>
          <w:lang w:val="es-MX"/>
        </w:rPr>
      </w:pPr>
    </w:p>
    <w:p w14:paraId="5FAF2C84" w14:textId="2E73F4BC" w:rsidR="00A448B2" w:rsidRPr="00C3121E" w:rsidRDefault="006F6471" w:rsidP="00C3121E">
      <w:pPr>
        <w:pStyle w:val="Prrafodelista"/>
        <w:jc w:val="both"/>
        <w:rPr>
          <w:rFonts w:ascii="Georgia" w:hAnsi="Georgia" w:cs="Arial"/>
          <w:sz w:val="22"/>
          <w:szCs w:val="22"/>
        </w:rPr>
      </w:pPr>
      <w:r w:rsidRPr="00C3121E">
        <w:rPr>
          <w:rFonts w:ascii="Georgia" w:hAnsi="Georgia" w:cs="Arial"/>
          <w:sz w:val="22"/>
          <w:szCs w:val="22"/>
        </w:rPr>
        <w:t>*A esto se suman 3 solicitudes sin clasificación ni trámite, por permanecer en plazo para desahogar la prevención.</w:t>
      </w:r>
    </w:p>
    <w:p w14:paraId="1359D933" w14:textId="77777777" w:rsidR="006F6471" w:rsidRPr="00C3121E" w:rsidRDefault="006F6471" w:rsidP="00C3121E">
      <w:pPr>
        <w:pStyle w:val="Prrafodelista"/>
        <w:jc w:val="both"/>
        <w:rPr>
          <w:rFonts w:ascii="Georgia" w:hAnsi="Georgia" w:cs="Arial"/>
          <w:sz w:val="22"/>
          <w:szCs w:val="22"/>
        </w:rPr>
      </w:pPr>
    </w:p>
    <w:bookmarkEnd w:id="1"/>
    <w:p w14:paraId="00711C15" w14:textId="77777777" w:rsidR="009940CE" w:rsidRPr="00C3121E" w:rsidRDefault="009940CE" w:rsidP="00C3121E">
      <w:pPr>
        <w:ind w:left="1080"/>
        <w:jc w:val="both"/>
        <w:rPr>
          <w:rFonts w:ascii="Georgia" w:hAnsi="Georgia" w:cs="Arial"/>
          <w:sz w:val="22"/>
          <w:szCs w:val="22"/>
          <w:lang w:val="es-MX"/>
        </w:rPr>
      </w:pPr>
    </w:p>
    <w:p w14:paraId="0E4EF9CB" w14:textId="77777777" w:rsidR="008068C9" w:rsidRPr="00C3121E" w:rsidRDefault="008068C9" w:rsidP="00C3121E">
      <w:pPr>
        <w:pStyle w:val="Prrafodelista"/>
        <w:numPr>
          <w:ilvl w:val="0"/>
          <w:numId w:val="6"/>
        </w:numPr>
        <w:contextualSpacing w:val="0"/>
        <w:jc w:val="both"/>
        <w:rPr>
          <w:rFonts w:ascii="Georgia" w:hAnsi="Georgia" w:cs="Arial"/>
          <w:b/>
          <w:sz w:val="22"/>
          <w:szCs w:val="22"/>
        </w:rPr>
      </w:pPr>
      <w:bookmarkStart w:id="2" w:name="_Hlk86076426"/>
      <w:r w:rsidRPr="00C3121E">
        <w:rPr>
          <w:rFonts w:ascii="Georgia" w:hAnsi="Georgia" w:cs="Arial"/>
          <w:b/>
          <w:sz w:val="22"/>
          <w:szCs w:val="22"/>
        </w:rPr>
        <w:t xml:space="preserve">Comité de </w:t>
      </w:r>
      <w:r w:rsidR="00417C2B" w:rsidRPr="00C3121E">
        <w:rPr>
          <w:rFonts w:ascii="Georgia" w:hAnsi="Georgia" w:cs="Arial"/>
          <w:b/>
          <w:sz w:val="22"/>
          <w:szCs w:val="22"/>
        </w:rPr>
        <w:t>Transparencia</w:t>
      </w:r>
      <w:r w:rsidRPr="00C3121E">
        <w:rPr>
          <w:rFonts w:ascii="Georgia" w:hAnsi="Georgia" w:cs="Arial"/>
          <w:b/>
          <w:sz w:val="22"/>
          <w:szCs w:val="22"/>
        </w:rPr>
        <w:t>.</w:t>
      </w:r>
    </w:p>
    <w:p w14:paraId="06D1A203" w14:textId="77777777" w:rsidR="008068C9" w:rsidRPr="00C3121E" w:rsidRDefault="008068C9" w:rsidP="00C3121E">
      <w:pPr>
        <w:ind w:left="1080"/>
        <w:jc w:val="both"/>
        <w:rPr>
          <w:rFonts w:ascii="Georgia" w:hAnsi="Georgia" w:cs="Arial"/>
          <w:b/>
          <w:sz w:val="22"/>
          <w:szCs w:val="22"/>
          <w:lang w:val="es-MX"/>
        </w:rPr>
      </w:pPr>
    </w:p>
    <w:p w14:paraId="33411416" w14:textId="30E7C2EF" w:rsidR="008068C9" w:rsidRPr="00C3121E" w:rsidRDefault="008068C9" w:rsidP="00C3121E">
      <w:pPr>
        <w:numPr>
          <w:ilvl w:val="1"/>
          <w:numId w:val="5"/>
        </w:numPr>
        <w:jc w:val="both"/>
        <w:rPr>
          <w:rFonts w:ascii="Georgia" w:hAnsi="Georgia" w:cs="Arial"/>
          <w:b/>
          <w:sz w:val="22"/>
          <w:szCs w:val="22"/>
          <w:lang w:val="es-MX"/>
        </w:rPr>
      </w:pPr>
      <w:r w:rsidRPr="00C3121E">
        <w:rPr>
          <w:rFonts w:ascii="Georgia" w:hAnsi="Georgia" w:cs="Arial"/>
          <w:sz w:val="22"/>
          <w:szCs w:val="22"/>
          <w:lang w:val="es-MX"/>
        </w:rPr>
        <w:t>Expedientes turnados</w:t>
      </w:r>
      <w:r w:rsidR="00727BA0" w:rsidRPr="00C3121E">
        <w:rPr>
          <w:rFonts w:ascii="Georgia" w:hAnsi="Georgia" w:cs="Arial"/>
          <w:sz w:val="22"/>
          <w:szCs w:val="22"/>
          <w:lang w:val="es-MX"/>
        </w:rPr>
        <w:t xml:space="preserve"> </w:t>
      </w:r>
      <w:r w:rsidR="006B2765" w:rsidRPr="00C3121E">
        <w:rPr>
          <w:rFonts w:ascii="Georgia" w:hAnsi="Georgia" w:cs="Arial"/>
          <w:sz w:val="22"/>
          <w:szCs w:val="22"/>
          <w:lang w:val="es-MX"/>
        </w:rPr>
        <w:t xml:space="preserve">al </w:t>
      </w:r>
      <w:r w:rsidR="00727BA0" w:rsidRPr="00C3121E">
        <w:rPr>
          <w:rFonts w:ascii="Georgia" w:hAnsi="Georgia" w:cs="Arial"/>
          <w:sz w:val="22"/>
          <w:szCs w:val="22"/>
          <w:lang w:val="es-MX"/>
        </w:rPr>
        <w:t>Comité</w:t>
      </w:r>
      <w:r w:rsidRPr="00C3121E">
        <w:rPr>
          <w:rFonts w:ascii="Georgia" w:hAnsi="Georgia" w:cs="Arial"/>
          <w:sz w:val="22"/>
          <w:szCs w:val="22"/>
          <w:lang w:val="es-MX"/>
        </w:rPr>
        <w:t xml:space="preserve">: </w:t>
      </w:r>
      <w:r w:rsidR="006F6471" w:rsidRPr="00C3121E">
        <w:rPr>
          <w:rFonts w:ascii="Georgia" w:hAnsi="Georgia" w:cs="Arial"/>
          <w:sz w:val="22"/>
          <w:szCs w:val="22"/>
          <w:lang w:val="es-MX"/>
        </w:rPr>
        <w:t>13</w:t>
      </w:r>
      <w:r w:rsidRPr="00C3121E">
        <w:rPr>
          <w:rFonts w:ascii="Georgia" w:hAnsi="Georgia" w:cs="Arial"/>
          <w:sz w:val="22"/>
          <w:szCs w:val="22"/>
          <w:lang w:val="es-MX"/>
        </w:rPr>
        <w:t>.</w:t>
      </w:r>
    </w:p>
    <w:p w14:paraId="62AC5AA8" w14:textId="77777777" w:rsidR="006B2765" w:rsidRPr="00C3121E" w:rsidRDefault="006B2765" w:rsidP="00C3121E">
      <w:pPr>
        <w:ind w:left="1440"/>
        <w:jc w:val="both"/>
        <w:rPr>
          <w:rFonts w:ascii="Georgia" w:hAnsi="Georgia" w:cs="Arial"/>
          <w:b/>
          <w:sz w:val="22"/>
          <w:szCs w:val="22"/>
          <w:lang w:val="es-MX"/>
        </w:rPr>
      </w:pPr>
    </w:p>
    <w:p w14:paraId="091ECC3E" w14:textId="0D0621BC" w:rsidR="008068C9" w:rsidRPr="00C3121E" w:rsidRDefault="008068C9" w:rsidP="00C3121E">
      <w:pPr>
        <w:numPr>
          <w:ilvl w:val="1"/>
          <w:numId w:val="5"/>
        </w:numPr>
        <w:jc w:val="both"/>
        <w:rPr>
          <w:rFonts w:ascii="Georgia" w:hAnsi="Georgia" w:cs="Arial"/>
          <w:sz w:val="22"/>
          <w:szCs w:val="22"/>
          <w:lang w:val="es-MX"/>
        </w:rPr>
      </w:pPr>
      <w:r w:rsidRPr="00C3121E">
        <w:rPr>
          <w:rFonts w:ascii="Georgia" w:hAnsi="Georgia" w:cs="Arial"/>
          <w:sz w:val="22"/>
          <w:szCs w:val="22"/>
          <w:lang w:val="es-MX"/>
        </w:rPr>
        <w:t>Clasificaciones de información</w:t>
      </w:r>
      <w:r w:rsidR="00640E48" w:rsidRPr="00C3121E">
        <w:rPr>
          <w:rFonts w:ascii="Georgia" w:hAnsi="Georgia" w:cs="Arial"/>
          <w:sz w:val="22"/>
          <w:szCs w:val="22"/>
          <w:lang w:val="es-MX"/>
        </w:rPr>
        <w:t xml:space="preserve"> resueltas</w:t>
      </w:r>
      <w:r w:rsidRPr="00C3121E">
        <w:rPr>
          <w:rFonts w:ascii="Georgia" w:hAnsi="Georgia" w:cs="Arial"/>
          <w:sz w:val="22"/>
          <w:szCs w:val="22"/>
          <w:lang w:val="es-MX"/>
        </w:rPr>
        <w:t>:</w:t>
      </w:r>
      <w:r w:rsidR="00350507" w:rsidRPr="00C3121E">
        <w:rPr>
          <w:rFonts w:ascii="Georgia" w:hAnsi="Georgia" w:cs="Arial"/>
          <w:sz w:val="22"/>
          <w:szCs w:val="22"/>
          <w:lang w:val="es-MX"/>
        </w:rPr>
        <w:t xml:space="preserve"> </w:t>
      </w:r>
      <w:r w:rsidR="006F6471" w:rsidRPr="00C3121E">
        <w:rPr>
          <w:rFonts w:ascii="Georgia" w:hAnsi="Georgia" w:cs="Arial"/>
          <w:sz w:val="22"/>
          <w:szCs w:val="22"/>
          <w:lang w:val="es-MX"/>
        </w:rPr>
        <w:t>11</w:t>
      </w:r>
      <w:r w:rsidRPr="00C3121E">
        <w:rPr>
          <w:rFonts w:ascii="Georgia" w:hAnsi="Georgia" w:cs="Arial"/>
          <w:sz w:val="22"/>
          <w:szCs w:val="22"/>
          <w:lang w:val="es-MX"/>
        </w:rPr>
        <w:t>.</w:t>
      </w:r>
    </w:p>
    <w:bookmarkEnd w:id="2"/>
    <w:p w14:paraId="7D8E2336" w14:textId="77777777" w:rsidR="008068C9" w:rsidRPr="00C3121E" w:rsidRDefault="008068C9" w:rsidP="00C3121E">
      <w:pPr>
        <w:pStyle w:val="Prrafodelista"/>
        <w:jc w:val="both"/>
        <w:rPr>
          <w:rFonts w:ascii="Georgia" w:hAnsi="Georgia" w:cs="Arial"/>
          <w:b/>
          <w:sz w:val="22"/>
          <w:szCs w:val="22"/>
        </w:rPr>
      </w:pPr>
    </w:p>
    <w:p w14:paraId="50E9D3C4" w14:textId="77777777" w:rsidR="008068C9" w:rsidRPr="00C3121E" w:rsidRDefault="008068C9" w:rsidP="00C3121E">
      <w:pPr>
        <w:pStyle w:val="Prrafodelista"/>
        <w:jc w:val="both"/>
        <w:rPr>
          <w:rFonts w:ascii="Georgia" w:hAnsi="Georgia" w:cs="Arial"/>
          <w:b/>
          <w:sz w:val="22"/>
          <w:szCs w:val="22"/>
        </w:rPr>
      </w:pPr>
    </w:p>
    <w:p w14:paraId="356DD780" w14:textId="77777777" w:rsidR="008068C9" w:rsidRPr="00C3121E" w:rsidRDefault="00417C2B" w:rsidP="00C3121E">
      <w:pPr>
        <w:pStyle w:val="Prrafodelista"/>
        <w:numPr>
          <w:ilvl w:val="0"/>
          <w:numId w:val="6"/>
        </w:numPr>
        <w:contextualSpacing w:val="0"/>
        <w:jc w:val="both"/>
        <w:rPr>
          <w:rFonts w:ascii="Georgia" w:hAnsi="Georgia" w:cs="Arial"/>
          <w:b/>
          <w:sz w:val="22"/>
          <w:szCs w:val="22"/>
        </w:rPr>
      </w:pPr>
      <w:r w:rsidRPr="00C3121E">
        <w:rPr>
          <w:rFonts w:ascii="Georgia" w:hAnsi="Georgia" w:cs="Arial"/>
          <w:b/>
          <w:sz w:val="22"/>
          <w:szCs w:val="22"/>
        </w:rPr>
        <w:t>Comité Especializado</w:t>
      </w:r>
      <w:r w:rsidR="008068C9" w:rsidRPr="00C3121E">
        <w:rPr>
          <w:rFonts w:ascii="Georgia" w:hAnsi="Georgia" w:cs="Arial"/>
          <w:b/>
          <w:sz w:val="22"/>
          <w:szCs w:val="22"/>
        </w:rPr>
        <w:t>.</w:t>
      </w:r>
    </w:p>
    <w:p w14:paraId="51F12669" w14:textId="77777777" w:rsidR="008068C9" w:rsidRPr="00C3121E" w:rsidRDefault="008068C9" w:rsidP="00C3121E">
      <w:pPr>
        <w:pStyle w:val="Prrafodelista"/>
        <w:rPr>
          <w:rFonts w:ascii="Georgia" w:hAnsi="Georgia" w:cs="Arial"/>
          <w:sz w:val="22"/>
          <w:szCs w:val="22"/>
        </w:rPr>
      </w:pPr>
    </w:p>
    <w:p w14:paraId="2B5B6CFA" w14:textId="00749006" w:rsidR="008068C9" w:rsidRPr="00C3121E" w:rsidRDefault="008068C9" w:rsidP="00C3121E">
      <w:pPr>
        <w:numPr>
          <w:ilvl w:val="1"/>
          <w:numId w:val="5"/>
        </w:numPr>
        <w:jc w:val="both"/>
        <w:rPr>
          <w:rFonts w:ascii="Georgia" w:hAnsi="Georgia" w:cs="Arial"/>
          <w:sz w:val="22"/>
          <w:szCs w:val="22"/>
        </w:rPr>
      </w:pPr>
      <w:r w:rsidRPr="0039359C">
        <w:rPr>
          <w:rFonts w:ascii="Georgia" w:hAnsi="Georgia" w:cs="Arial"/>
          <w:sz w:val="22"/>
          <w:szCs w:val="22"/>
          <w:lang w:val="es-MX"/>
        </w:rPr>
        <w:t xml:space="preserve">Recursos de </w:t>
      </w:r>
      <w:r w:rsidR="008956EE" w:rsidRPr="0039359C">
        <w:rPr>
          <w:rFonts w:ascii="Georgia" w:hAnsi="Georgia" w:cs="Arial"/>
          <w:sz w:val="22"/>
          <w:szCs w:val="22"/>
          <w:lang w:val="es-MX"/>
        </w:rPr>
        <w:t>r</w:t>
      </w:r>
      <w:r w:rsidRPr="0039359C">
        <w:rPr>
          <w:rFonts w:ascii="Georgia" w:hAnsi="Georgia" w:cs="Arial"/>
          <w:sz w:val="22"/>
          <w:szCs w:val="22"/>
          <w:lang w:val="es-MX"/>
        </w:rPr>
        <w:t>evisión interpuestos</w:t>
      </w:r>
      <w:r w:rsidRPr="00C3121E">
        <w:rPr>
          <w:rFonts w:ascii="Georgia" w:hAnsi="Georgia" w:cs="Arial"/>
          <w:sz w:val="22"/>
          <w:szCs w:val="22"/>
        </w:rPr>
        <w:t xml:space="preserve">: </w:t>
      </w:r>
      <w:r w:rsidR="006F6471" w:rsidRPr="00C3121E">
        <w:rPr>
          <w:rFonts w:ascii="Georgia" w:hAnsi="Georgia" w:cs="Arial"/>
          <w:sz w:val="22"/>
          <w:szCs w:val="22"/>
        </w:rPr>
        <w:t>10</w:t>
      </w:r>
      <w:r w:rsidRPr="00C3121E">
        <w:rPr>
          <w:rFonts w:ascii="Georgia" w:hAnsi="Georgia" w:cs="Arial"/>
          <w:sz w:val="22"/>
          <w:szCs w:val="22"/>
        </w:rPr>
        <w:t>.</w:t>
      </w:r>
    </w:p>
    <w:p w14:paraId="6D707CB2" w14:textId="77777777" w:rsidR="00693E25" w:rsidRPr="00C3121E" w:rsidRDefault="00693E25" w:rsidP="00C3121E">
      <w:pPr>
        <w:ind w:left="1440"/>
        <w:jc w:val="both"/>
        <w:rPr>
          <w:rFonts w:asciiTheme="majorHAnsi" w:hAnsiTheme="majorHAnsi" w:cs="Arial"/>
          <w:sz w:val="22"/>
          <w:szCs w:val="22"/>
          <w:lang w:val="es-MX"/>
        </w:rPr>
      </w:pPr>
    </w:p>
    <w:p w14:paraId="0F6CBC9E" w14:textId="4EB87729" w:rsidR="00693E25" w:rsidRPr="00C3121E" w:rsidRDefault="00693E25" w:rsidP="00C3121E">
      <w:pPr>
        <w:numPr>
          <w:ilvl w:val="1"/>
          <w:numId w:val="5"/>
        </w:numPr>
        <w:jc w:val="both"/>
        <w:rPr>
          <w:rFonts w:asciiTheme="majorHAnsi" w:hAnsiTheme="majorHAnsi" w:cs="Arial"/>
          <w:sz w:val="22"/>
          <w:szCs w:val="22"/>
          <w:lang w:val="es-MX"/>
        </w:rPr>
      </w:pPr>
      <w:r w:rsidRPr="00C3121E">
        <w:rPr>
          <w:rFonts w:asciiTheme="majorHAnsi" w:hAnsiTheme="majorHAnsi" w:cs="Arial"/>
          <w:sz w:val="22"/>
          <w:szCs w:val="22"/>
          <w:lang w:val="es-MX"/>
        </w:rPr>
        <w:t xml:space="preserve">Recursos de </w:t>
      </w:r>
      <w:r w:rsidR="008956EE" w:rsidRPr="00C3121E">
        <w:rPr>
          <w:rFonts w:asciiTheme="majorHAnsi" w:hAnsiTheme="majorHAnsi" w:cs="Arial"/>
          <w:sz w:val="22"/>
          <w:szCs w:val="22"/>
          <w:lang w:val="es-MX"/>
        </w:rPr>
        <w:t>r</w:t>
      </w:r>
      <w:r w:rsidRPr="00C3121E">
        <w:rPr>
          <w:rFonts w:asciiTheme="majorHAnsi" w:hAnsiTheme="majorHAnsi" w:cs="Arial"/>
          <w:sz w:val="22"/>
          <w:szCs w:val="22"/>
          <w:lang w:val="es-MX"/>
        </w:rPr>
        <w:t xml:space="preserve">evisión promovidos en contra de resoluciones del Comité de </w:t>
      </w:r>
      <w:r w:rsidR="00417C2B" w:rsidRPr="00C3121E">
        <w:rPr>
          <w:rFonts w:asciiTheme="majorHAnsi" w:hAnsiTheme="majorHAnsi" w:cs="Arial"/>
          <w:sz w:val="22"/>
          <w:szCs w:val="22"/>
          <w:lang w:val="es-MX"/>
        </w:rPr>
        <w:t>Transparencia</w:t>
      </w:r>
      <w:r w:rsidRPr="00C3121E">
        <w:rPr>
          <w:rFonts w:asciiTheme="majorHAnsi" w:hAnsiTheme="majorHAnsi" w:cs="Arial"/>
          <w:sz w:val="22"/>
          <w:szCs w:val="22"/>
          <w:lang w:val="es-MX"/>
        </w:rPr>
        <w:t xml:space="preserve">: </w:t>
      </w:r>
      <w:r w:rsidR="006F6471" w:rsidRPr="00C3121E">
        <w:rPr>
          <w:rFonts w:asciiTheme="majorHAnsi" w:hAnsiTheme="majorHAnsi" w:cs="Arial"/>
          <w:sz w:val="22"/>
          <w:szCs w:val="22"/>
          <w:lang w:val="es-MX"/>
        </w:rPr>
        <w:t>2</w:t>
      </w:r>
      <w:r w:rsidRPr="00C3121E">
        <w:rPr>
          <w:rFonts w:asciiTheme="majorHAnsi" w:hAnsiTheme="majorHAnsi" w:cs="Arial"/>
          <w:sz w:val="22"/>
          <w:szCs w:val="22"/>
          <w:lang w:val="es-MX"/>
        </w:rPr>
        <w:t>.</w:t>
      </w:r>
    </w:p>
    <w:p w14:paraId="598CA7ED" w14:textId="77777777" w:rsidR="003640DF" w:rsidRPr="000525D8" w:rsidRDefault="003640DF" w:rsidP="00C3121E">
      <w:pPr>
        <w:pStyle w:val="Lugaryfecha"/>
        <w:rPr>
          <w:i/>
          <w:iCs/>
        </w:rPr>
      </w:pPr>
    </w:p>
    <w:sectPr w:rsidR="003640DF" w:rsidRPr="000525D8" w:rsidSect="00F74218">
      <w:headerReference w:type="default" r:id="rId15"/>
      <w:footerReference w:type="default" r:id="rId16"/>
      <w:headerReference w:type="first" r:id="rId17"/>
      <w:footerReference w:type="first" r:id="rId18"/>
      <w:pgSz w:w="12242" w:h="15842" w:code="122"/>
      <w:pgMar w:top="2796" w:right="1327"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10AB" w14:textId="77777777" w:rsidR="00F70BD0" w:rsidRDefault="00F70BD0" w:rsidP="000B572B">
      <w:r>
        <w:separator/>
      </w:r>
    </w:p>
  </w:endnote>
  <w:endnote w:type="continuationSeparator" w:id="0">
    <w:p w14:paraId="2FF8C854" w14:textId="77777777" w:rsidR="00F70BD0" w:rsidRDefault="00F70BD0" w:rsidP="000B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1284"/>
      <w:docPartObj>
        <w:docPartGallery w:val="Page Numbers (Bottom of Page)"/>
        <w:docPartUnique/>
      </w:docPartObj>
    </w:sdtPr>
    <w:sdtEndPr>
      <w:rPr>
        <w:sz w:val="20"/>
      </w:rPr>
    </w:sdtEndPr>
    <w:sdtContent>
      <w:p w14:paraId="246AECE0" w14:textId="77777777" w:rsidR="003E4A06" w:rsidRPr="00B03E16" w:rsidRDefault="00BF3E18">
        <w:pPr>
          <w:pStyle w:val="Piedepgina"/>
          <w:jc w:val="right"/>
          <w:rPr>
            <w:sz w:val="20"/>
          </w:rPr>
        </w:pPr>
        <w:r w:rsidRPr="00B03E16">
          <w:rPr>
            <w:sz w:val="20"/>
          </w:rPr>
          <w:fldChar w:fldCharType="begin"/>
        </w:r>
        <w:r w:rsidRPr="00B03E16">
          <w:rPr>
            <w:sz w:val="20"/>
          </w:rPr>
          <w:instrText xml:space="preserve"> PAGE   \* MERGEFORMAT </w:instrText>
        </w:r>
        <w:r w:rsidRPr="00B03E16">
          <w:rPr>
            <w:sz w:val="20"/>
          </w:rPr>
          <w:fldChar w:fldCharType="separate"/>
        </w:r>
        <w:r w:rsidR="004D439A">
          <w:rPr>
            <w:noProof/>
            <w:sz w:val="20"/>
          </w:rPr>
          <w:t>10</w:t>
        </w:r>
        <w:r w:rsidRPr="00B03E16">
          <w:rPr>
            <w:noProof/>
            <w:sz w:val="20"/>
          </w:rPr>
          <w:fldChar w:fldCharType="end"/>
        </w:r>
      </w:p>
    </w:sdtContent>
  </w:sdt>
  <w:p w14:paraId="350E0E57" w14:textId="77777777" w:rsidR="003E4A06" w:rsidRDefault="003E4A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4F7" w14:textId="77777777" w:rsidR="003E4A06" w:rsidRDefault="00000000">
    <w:pPr>
      <w:pStyle w:val="Piedepgina"/>
      <w:jc w:val="right"/>
    </w:pPr>
    <w:sdt>
      <w:sdtPr>
        <w:rPr>
          <w:sz w:val="22"/>
        </w:rPr>
        <w:id w:val="15111271"/>
        <w:docPartObj>
          <w:docPartGallery w:val="Page Numbers (Bottom of Page)"/>
          <w:docPartUnique/>
        </w:docPartObj>
      </w:sdtPr>
      <w:sdtEndPr>
        <w:rPr>
          <w:sz w:val="24"/>
        </w:rPr>
      </w:sdtEndPr>
      <w:sdtContent>
        <w:r w:rsidR="00BF3E18">
          <w:fldChar w:fldCharType="begin"/>
        </w:r>
        <w:r w:rsidR="00BF3E18">
          <w:instrText xml:space="preserve"> PAGE   \* MERGEFORMAT </w:instrText>
        </w:r>
        <w:r w:rsidR="00BF3E18">
          <w:fldChar w:fldCharType="separate"/>
        </w:r>
        <w:r w:rsidR="00D712C2">
          <w:rPr>
            <w:noProof/>
          </w:rPr>
          <w:t>11</w:t>
        </w:r>
        <w:r w:rsidR="00BF3E18">
          <w:rPr>
            <w:noProof/>
          </w:rPr>
          <w:fldChar w:fldCharType="end"/>
        </w:r>
      </w:sdtContent>
    </w:sdt>
  </w:p>
  <w:p w14:paraId="084C4BE1" w14:textId="77777777" w:rsidR="0017624E" w:rsidRDefault="001762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1860" w14:textId="77777777" w:rsidR="00F70BD0" w:rsidRDefault="00F70BD0" w:rsidP="000B572B">
      <w:r>
        <w:separator/>
      </w:r>
    </w:p>
  </w:footnote>
  <w:footnote w:type="continuationSeparator" w:id="0">
    <w:p w14:paraId="65014E2F" w14:textId="77777777" w:rsidR="00F70BD0" w:rsidRDefault="00F70BD0" w:rsidP="000B572B">
      <w:r>
        <w:continuationSeparator/>
      </w:r>
    </w:p>
  </w:footnote>
  <w:footnote w:id="1">
    <w:p w14:paraId="4BBBA421" w14:textId="31FD79FA" w:rsidR="0017624E" w:rsidRPr="00C3121E" w:rsidRDefault="0017624E" w:rsidP="00875D0D">
      <w:pPr>
        <w:ind w:left="360"/>
        <w:jc w:val="both"/>
        <w:rPr>
          <w:rFonts w:ascii="Arial" w:hAnsi="Arial" w:cs="Arial"/>
          <w:sz w:val="16"/>
          <w:szCs w:val="16"/>
          <w:lang w:val="es-MX"/>
        </w:rPr>
      </w:pPr>
      <w:r w:rsidRPr="007A36D0">
        <w:rPr>
          <w:rStyle w:val="Refdenotaalpie"/>
          <w:rFonts w:ascii="Arial" w:hAnsi="Arial" w:cs="Arial"/>
          <w:sz w:val="20"/>
        </w:rPr>
        <w:footnoteRef/>
      </w:r>
      <w:r w:rsidRPr="007A36D0">
        <w:rPr>
          <w:rFonts w:ascii="Arial" w:hAnsi="Arial" w:cs="Arial"/>
          <w:sz w:val="16"/>
          <w:szCs w:val="16"/>
          <w:lang w:val="es-MX"/>
        </w:rPr>
        <w:t xml:space="preserve"> </w:t>
      </w:r>
      <w:r w:rsidRPr="007A36D0">
        <w:rPr>
          <w:rFonts w:ascii="Arial" w:hAnsi="Arial" w:cs="Arial"/>
          <w:b/>
          <w:sz w:val="16"/>
          <w:szCs w:val="16"/>
          <w:lang w:val="es-MX"/>
        </w:rPr>
        <w:t xml:space="preserve">Elementos que se utilizan: </w:t>
      </w:r>
      <w:r w:rsidRPr="007A36D0">
        <w:rPr>
          <w:rFonts w:ascii="Arial" w:hAnsi="Arial" w:cs="Arial"/>
          <w:sz w:val="16"/>
          <w:szCs w:val="16"/>
          <w:lang w:val="es-MX"/>
        </w:rPr>
        <w:t xml:space="preserve">número de solicitudes tramitadas mediante el </w:t>
      </w:r>
      <w:r w:rsidRPr="00870832">
        <w:rPr>
          <w:rFonts w:ascii="Arial" w:hAnsi="Arial" w:cs="Arial"/>
          <w:sz w:val="16"/>
          <w:szCs w:val="16"/>
          <w:lang w:val="es-MX"/>
        </w:rPr>
        <w:t xml:space="preserve">procedimiento sumario </w:t>
      </w:r>
      <w:r w:rsidR="004B3F0A" w:rsidRPr="00870832">
        <w:rPr>
          <w:rFonts w:ascii="Arial" w:hAnsi="Arial" w:cs="Arial"/>
          <w:sz w:val="16"/>
          <w:szCs w:val="16"/>
          <w:lang w:val="es-MX"/>
        </w:rPr>
        <w:t>(</w:t>
      </w:r>
      <w:r w:rsidR="00390233" w:rsidRPr="00870832">
        <w:rPr>
          <w:rFonts w:ascii="Arial" w:hAnsi="Arial" w:cs="Arial"/>
          <w:sz w:val="16"/>
          <w:szCs w:val="16"/>
          <w:lang w:val="es-MX"/>
        </w:rPr>
        <w:t>1</w:t>
      </w:r>
      <w:r w:rsidR="00B10892" w:rsidRPr="00870832">
        <w:rPr>
          <w:rFonts w:ascii="Arial" w:hAnsi="Arial" w:cs="Arial"/>
          <w:sz w:val="16"/>
          <w:szCs w:val="16"/>
          <w:lang w:val="es-MX"/>
        </w:rPr>
        <w:t>4</w:t>
      </w:r>
      <w:r w:rsidR="00966A4C" w:rsidRPr="00870832">
        <w:rPr>
          <w:rFonts w:ascii="Arial" w:hAnsi="Arial" w:cs="Arial"/>
          <w:sz w:val="16"/>
          <w:szCs w:val="16"/>
          <w:lang w:val="es-MX"/>
        </w:rPr>
        <w:t>,</w:t>
      </w:r>
      <w:r w:rsidR="00B10892" w:rsidRPr="00870832">
        <w:rPr>
          <w:rFonts w:ascii="Arial" w:hAnsi="Arial" w:cs="Arial"/>
          <w:sz w:val="16"/>
          <w:szCs w:val="16"/>
          <w:lang w:val="es-MX"/>
        </w:rPr>
        <w:t>206</w:t>
      </w:r>
      <w:r w:rsidR="001D3A45" w:rsidRPr="00870832">
        <w:rPr>
          <w:rFonts w:ascii="Arial" w:hAnsi="Arial" w:cs="Arial"/>
          <w:sz w:val="16"/>
          <w:szCs w:val="16"/>
          <w:lang w:val="es-MX"/>
        </w:rPr>
        <w:t xml:space="preserve">) de </w:t>
      </w:r>
      <w:r w:rsidR="005E5232" w:rsidRPr="00870832">
        <w:rPr>
          <w:rFonts w:ascii="Arial" w:hAnsi="Arial" w:cs="Arial"/>
          <w:sz w:val="16"/>
          <w:szCs w:val="16"/>
          <w:lang w:val="es-MX"/>
        </w:rPr>
        <w:t>Octubre</w:t>
      </w:r>
      <w:r w:rsidR="00551928" w:rsidRPr="00870832">
        <w:rPr>
          <w:rFonts w:ascii="Arial" w:hAnsi="Arial" w:cs="Arial"/>
          <w:sz w:val="16"/>
          <w:szCs w:val="16"/>
          <w:lang w:val="es-MX"/>
        </w:rPr>
        <w:t xml:space="preserve"> a </w:t>
      </w:r>
      <w:r w:rsidR="005E5232" w:rsidRPr="00870832">
        <w:rPr>
          <w:rFonts w:ascii="Arial" w:hAnsi="Arial" w:cs="Arial"/>
          <w:sz w:val="16"/>
          <w:szCs w:val="16"/>
          <w:lang w:val="es-MX"/>
        </w:rPr>
        <w:t>Dic</w:t>
      </w:r>
      <w:r w:rsidR="00E668D5" w:rsidRPr="00870832">
        <w:rPr>
          <w:rFonts w:ascii="Arial" w:hAnsi="Arial" w:cs="Arial"/>
          <w:sz w:val="16"/>
          <w:szCs w:val="16"/>
          <w:lang w:val="es-MX"/>
        </w:rPr>
        <w:t>iembre</w:t>
      </w:r>
      <w:r w:rsidR="009E3D84" w:rsidRPr="00870832">
        <w:rPr>
          <w:rFonts w:ascii="Arial" w:hAnsi="Arial" w:cs="Arial"/>
          <w:sz w:val="16"/>
          <w:szCs w:val="16"/>
          <w:lang w:val="es-MX"/>
        </w:rPr>
        <w:t xml:space="preserve"> de 20</w:t>
      </w:r>
      <w:r w:rsidR="00BD7D0D" w:rsidRPr="00870832">
        <w:rPr>
          <w:rFonts w:ascii="Arial" w:hAnsi="Arial" w:cs="Arial"/>
          <w:sz w:val="16"/>
          <w:szCs w:val="16"/>
          <w:lang w:val="es-MX"/>
        </w:rPr>
        <w:t>2</w:t>
      </w:r>
      <w:r w:rsidR="00E668D5" w:rsidRPr="00870832">
        <w:rPr>
          <w:rFonts w:ascii="Arial" w:hAnsi="Arial" w:cs="Arial"/>
          <w:sz w:val="16"/>
          <w:szCs w:val="16"/>
          <w:lang w:val="es-MX"/>
        </w:rPr>
        <w:t>5</w:t>
      </w:r>
      <w:r w:rsidRPr="00870832">
        <w:rPr>
          <w:rFonts w:ascii="Arial" w:hAnsi="Arial" w:cs="Arial"/>
          <w:sz w:val="16"/>
          <w:szCs w:val="16"/>
          <w:lang w:val="es-MX"/>
        </w:rPr>
        <w:t>,</w:t>
      </w:r>
      <w:r w:rsidRPr="00870832">
        <w:rPr>
          <w:rFonts w:ascii="Arial" w:hAnsi="Arial" w:cs="Arial"/>
          <w:b/>
          <w:sz w:val="16"/>
          <w:szCs w:val="16"/>
          <w:lang w:val="es-MX"/>
        </w:rPr>
        <w:t xml:space="preserve"> </w:t>
      </w:r>
      <w:r w:rsidRPr="00870832">
        <w:rPr>
          <w:rFonts w:ascii="Arial" w:hAnsi="Arial" w:cs="Arial"/>
          <w:sz w:val="16"/>
          <w:szCs w:val="16"/>
          <w:lang w:val="es-MX"/>
        </w:rPr>
        <w:t xml:space="preserve">número solicitudes tramitadas mediante procedimiento ordinario </w:t>
      </w:r>
      <w:r w:rsidR="004B3F0A" w:rsidRPr="00870832">
        <w:rPr>
          <w:rFonts w:ascii="Arial" w:hAnsi="Arial" w:cs="Arial"/>
          <w:sz w:val="16"/>
          <w:szCs w:val="16"/>
          <w:lang w:val="es-MX"/>
        </w:rPr>
        <w:t>(</w:t>
      </w:r>
      <w:r w:rsidR="00BB5B03" w:rsidRPr="00870832">
        <w:rPr>
          <w:rFonts w:ascii="Arial" w:hAnsi="Arial" w:cs="Arial"/>
          <w:sz w:val="16"/>
          <w:szCs w:val="16"/>
          <w:lang w:val="es-MX"/>
        </w:rPr>
        <w:t>1</w:t>
      </w:r>
      <w:r w:rsidR="00390233" w:rsidRPr="00870832">
        <w:rPr>
          <w:rFonts w:ascii="Arial" w:hAnsi="Arial" w:cs="Arial"/>
          <w:sz w:val="16"/>
          <w:szCs w:val="16"/>
          <w:lang w:val="es-MX"/>
        </w:rPr>
        <w:t>7</w:t>
      </w:r>
      <w:r w:rsidR="00BB5B03" w:rsidRPr="00870832">
        <w:rPr>
          <w:rFonts w:ascii="Arial" w:hAnsi="Arial" w:cs="Arial"/>
          <w:sz w:val="16"/>
          <w:szCs w:val="16"/>
          <w:lang w:val="es-MX"/>
        </w:rPr>
        <w:t>5</w:t>
      </w:r>
      <w:r w:rsidR="004B3F0A" w:rsidRPr="00870832">
        <w:rPr>
          <w:rFonts w:ascii="Arial" w:hAnsi="Arial" w:cs="Arial"/>
          <w:sz w:val="16"/>
          <w:szCs w:val="16"/>
          <w:lang w:val="es-MX"/>
        </w:rPr>
        <w:t xml:space="preserve">) </w:t>
      </w:r>
      <w:r w:rsidRPr="00870832">
        <w:rPr>
          <w:rFonts w:ascii="Arial" w:hAnsi="Arial" w:cs="Arial"/>
          <w:sz w:val="16"/>
          <w:szCs w:val="16"/>
          <w:lang w:val="es-MX"/>
        </w:rPr>
        <w:t>durante el</w:t>
      </w:r>
      <w:r w:rsidRPr="00C3121E">
        <w:rPr>
          <w:rFonts w:ascii="Arial" w:hAnsi="Arial" w:cs="Arial"/>
          <w:sz w:val="16"/>
          <w:szCs w:val="16"/>
          <w:lang w:val="es-MX"/>
        </w:rPr>
        <w:t xml:space="preserve"> mismo periodo. </w:t>
      </w:r>
    </w:p>
    <w:p w14:paraId="78945316" w14:textId="77777777" w:rsidR="0017624E" w:rsidRPr="00C3121E" w:rsidRDefault="0017624E" w:rsidP="00875D0D">
      <w:pPr>
        <w:ind w:left="360"/>
        <w:jc w:val="both"/>
        <w:rPr>
          <w:rFonts w:ascii="Arial" w:hAnsi="Arial" w:cs="Arial"/>
          <w:sz w:val="16"/>
          <w:szCs w:val="16"/>
          <w:lang w:val="es-MX"/>
        </w:rPr>
      </w:pPr>
    </w:p>
    <w:p w14:paraId="6D446FAC" w14:textId="77777777" w:rsidR="0017624E" w:rsidRPr="007A36D0" w:rsidRDefault="0017624E" w:rsidP="00875D0D">
      <w:pPr>
        <w:pStyle w:val="Textonotapie"/>
        <w:ind w:left="360"/>
        <w:jc w:val="both"/>
        <w:rPr>
          <w:rFonts w:ascii="Arial" w:hAnsi="Arial" w:cs="Arial"/>
          <w:sz w:val="16"/>
          <w:szCs w:val="16"/>
          <w:lang w:val="es-MX"/>
        </w:rPr>
      </w:pPr>
      <w:r w:rsidRPr="00C3121E">
        <w:rPr>
          <w:rFonts w:ascii="Arial" w:hAnsi="Arial" w:cs="Arial"/>
          <w:b/>
          <w:sz w:val="16"/>
          <w:szCs w:val="16"/>
        </w:rPr>
        <w:t>Medición:</w:t>
      </w:r>
      <w:r w:rsidRPr="00C3121E">
        <w:rPr>
          <w:rFonts w:ascii="Arial" w:hAnsi="Arial" w:cs="Arial"/>
          <w:sz w:val="16"/>
          <w:szCs w:val="16"/>
        </w:rPr>
        <w:t xml:space="preserve"> del cien por ciento de las solicitudes se extraerá el porcentaje de procedimientos sumarios y de ordinarios, considerando </w:t>
      </w:r>
      <w:r w:rsidR="00EB3B28" w:rsidRPr="00C3121E">
        <w:rPr>
          <w:rFonts w:ascii="Arial" w:hAnsi="Arial" w:cs="Arial"/>
          <w:sz w:val="16"/>
          <w:szCs w:val="16"/>
        </w:rPr>
        <w:t>que,</w:t>
      </w:r>
      <w:r w:rsidRPr="00C3121E">
        <w:rPr>
          <w:rFonts w:ascii="Arial" w:hAnsi="Arial" w:cs="Arial"/>
          <w:sz w:val="16"/>
          <w:szCs w:val="16"/>
        </w:rPr>
        <w:t xml:space="preserve"> a mayor porcentaje de sumarios, resultará mayor la disponibilidad de información en medios de acceso público.</w:t>
      </w:r>
    </w:p>
  </w:footnote>
  <w:footnote w:id="2">
    <w:p w14:paraId="757CFCE9" w14:textId="77777777" w:rsidR="0017624E" w:rsidRPr="007A36D0" w:rsidRDefault="0017624E" w:rsidP="003E4A06">
      <w:pPr>
        <w:ind w:left="357"/>
        <w:jc w:val="both"/>
        <w:rPr>
          <w:rFonts w:ascii="Arial" w:hAnsi="Arial" w:cs="Arial"/>
          <w:sz w:val="16"/>
          <w:szCs w:val="16"/>
          <w:lang w:val="es-MX"/>
        </w:rPr>
      </w:pPr>
      <w:r w:rsidRPr="007A36D0">
        <w:rPr>
          <w:rStyle w:val="Refdenotaalpie"/>
          <w:rFonts w:ascii="Arial" w:hAnsi="Arial" w:cs="Arial"/>
          <w:sz w:val="20"/>
        </w:rPr>
        <w:footnoteRef/>
      </w:r>
      <w:r w:rsidRPr="007A36D0">
        <w:rPr>
          <w:rFonts w:ascii="Arial" w:hAnsi="Arial" w:cs="Arial"/>
          <w:sz w:val="16"/>
          <w:szCs w:val="16"/>
          <w:lang w:val="es-MX"/>
        </w:rPr>
        <w:t xml:space="preserve"> </w:t>
      </w:r>
      <w:r w:rsidRPr="007A36D0">
        <w:rPr>
          <w:rFonts w:ascii="Arial" w:hAnsi="Arial" w:cs="Arial"/>
          <w:b/>
          <w:sz w:val="16"/>
          <w:szCs w:val="16"/>
          <w:lang w:val="es-MX"/>
        </w:rPr>
        <w:t xml:space="preserve">Elementos que se utilizan: </w:t>
      </w:r>
      <w:r w:rsidRPr="007A36D0">
        <w:rPr>
          <w:rFonts w:ascii="Arial" w:hAnsi="Arial" w:cs="Arial"/>
          <w:sz w:val="16"/>
          <w:szCs w:val="16"/>
          <w:lang w:val="es-MX"/>
        </w:rPr>
        <w:t xml:space="preserve">solicitudes de información a través de procedimiento sumario de cada Módulo de </w:t>
      </w:r>
      <w:r w:rsidR="00077FB5" w:rsidRPr="007A36D0">
        <w:rPr>
          <w:rFonts w:ascii="Arial" w:hAnsi="Arial" w:cs="Arial"/>
          <w:sz w:val="16"/>
          <w:szCs w:val="16"/>
          <w:lang w:val="es-MX"/>
        </w:rPr>
        <w:t>Información y Acceso a la Justicia</w:t>
      </w:r>
      <w:r w:rsidRPr="007A36D0">
        <w:rPr>
          <w:rFonts w:ascii="Arial" w:hAnsi="Arial" w:cs="Arial"/>
          <w:sz w:val="16"/>
          <w:szCs w:val="16"/>
          <w:lang w:val="es-MX"/>
        </w:rPr>
        <w:t>.</w:t>
      </w:r>
    </w:p>
    <w:p w14:paraId="56FF7858" w14:textId="77777777" w:rsidR="0017624E" w:rsidRPr="007A36D0" w:rsidRDefault="0017624E" w:rsidP="003E4A06">
      <w:pPr>
        <w:tabs>
          <w:tab w:val="left" w:pos="2280"/>
        </w:tabs>
        <w:ind w:left="357"/>
        <w:jc w:val="both"/>
        <w:rPr>
          <w:rFonts w:ascii="Arial" w:hAnsi="Arial" w:cs="Arial"/>
          <w:sz w:val="16"/>
          <w:szCs w:val="16"/>
          <w:lang w:val="es-MX"/>
        </w:rPr>
      </w:pPr>
      <w:r w:rsidRPr="007A36D0">
        <w:rPr>
          <w:rFonts w:ascii="Arial" w:hAnsi="Arial" w:cs="Arial"/>
          <w:sz w:val="16"/>
          <w:szCs w:val="16"/>
          <w:lang w:val="es-MX"/>
        </w:rPr>
        <w:tab/>
      </w:r>
    </w:p>
    <w:p w14:paraId="21B8B1FF" w14:textId="77777777" w:rsidR="0017624E" w:rsidRPr="007A36D0" w:rsidRDefault="0017624E" w:rsidP="003E4A06">
      <w:pPr>
        <w:pStyle w:val="Textonotapie"/>
        <w:ind w:left="357"/>
        <w:jc w:val="both"/>
        <w:rPr>
          <w:rFonts w:ascii="Arial" w:hAnsi="Arial" w:cs="Arial"/>
          <w:sz w:val="16"/>
          <w:szCs w:val="16"/>
        </w:rPr>
      </w:pPr>
      <w:r w:rsidRPr="007A36D0">
        <w:rPr>
          <w:rFonts w:ascii="Arial" w:hAnsi="Arial" w:cs="Arial"/>
          <w:b/>
          <w:sz w:val="16"/>
          <w:szCs w:val="16"/>
        </w:rPr>
        <w:t>Medición:</w:t>
      </w:r>
      <w:r w:rsidRPr="007A36D0">
        <w:rPr>
          <w:rFonts w:ascii="Arial" w:hAnsi="Arial" w:cs="Arial"/>
          <w:sz w:val="16"/>
          <w:szCs w:val="16"/>
        </w:rPr>
        <w:t xml:space="preserve"> el mayor porcentaje de trámites de solicitudes de información a través del procedimiento </w:t>
      </w:r>
      <w:r w:rsidR="002E4996" w:rsidRPr="007A36D0">
        <w:rPr>
          <w:rFonts w:ascii="Arial" w:hAnsi="Arial" w:cs="Arial"/>
          <w:sz w:val="16"/>
          <w:szCs w:val="16"/>
        </w:rPr>
        <w:t>sumario</w:t>
      </w:r>
      <w:r w:rsidRPr="007A36D0">
        <w:rPr>
          <w:rFonts w:ascii="Arial" w:hAnsi="Arial" w:cs="Arial"/>
          <w:sz w:val="16"/>
          <w:szCs w:val="16"/>
        </w:rPr>
        <w:t xml:space="preserve"> determinará la ciudad con mayor carga de trabajo en este rubro.</w:t>
      </w:r>
    </w:p>
    <w:p w14:paraId="459137F0" w14:textId="77777777" w:rsidR="0017624E" w:rsidRPr="007A36D0" w:rsidRDefault="0017624E" w:rsidP="003E4A06">
      <w:pPr>
        <w:pStyle w:val="Textonotapie"/>
        <w:ind w:left="357"/>
        <w:jc w:val="both"/>
        <w:rPr>
          <w:rFonts w:ascii="Arial" w:hAnsi="Arial" w:cs="Arial"/>
          <w:sz w:val="16"/>
          <w:szCs w:val="16"/>
          <w:lang w:val="es-MX"/>
        </w:rPr>
      </w:pPr>
    </w:p>
  </w:footnote>
  <w:footnote w:id="3">
    <w:p w14:paraId="1732C872" w14:textId="156F513E" w:rsidR="00966A4C" w:rsidRPr="007A36D0" w:rsidRDefault="00BE6BBF" w:rsidP="00E57C2F">
      <w:pPr>
        <w:pStyle w:val="Textonotapie"/>
        <w:rPr>
          <w:rFonts w:asciiTheme="minorHAnsi" w:hAnsiTheme="minorHAnsi" w:cstheme="minorHAnsi"/>
          <w:sz w:val="16"/>
        </w:rPr>
      </w:pPr>
      <w:r w:rsidRPr="00C3121E">
        <w:rPr>
          <w:rStyle w:val="Refdenotaalpie"/>
        </w:rPr>
        <w:footnoteRef/>
      </w:r>
      <w:r w:rsidRPr="00C3121E">
        <w:t xml:space="preserve"> </w:t>
      </w:r>
      <w:r w:rsidR="00D02137" w:rsidRPr="00C3121E">
        <w:rPr>
          <w:rFonts w:asciiTheme="minorHAnsi" w:hAnsiTheme="minorHAnsi" w:cstheme="minorHAnsi"/>
          <w:sz w:val="16"/>
        </w:rPr>
        <w:t xml:space="preserve">Esta cifra sumada a las </w:t>
      </w:r>
      <w:r w:rsidR="00390233" w:rsidRPr="00C3121E">
        <w:rPr>
          <w:rFonts w:asciiTheme="minorHAnsi" w:hAnsiTheme="minorHAnsi" w:cstheme="minorHAnsi"/>
          <w:sz w:val="16"/>
        </w:rPr>
        <w:t>37</w:t>
      </w:r>
      <w:r w:rsidR="00352822" w:rsidRPr="00C3121E">
        <w:rPr>
          <w:rFonts w:asciiTheme="minorHAnsi" w:hAnsiTheme="minorHAnsi" w:cstheme="minorHAnsi"/>
          <w:sz w:val="16"/>
        </w:rPr>
        <w:t>5</w:t>
      </w:r>
      <w:r w:rsidR="00D02137" w:rsidRPr="00C3121E">
        <w:rPr>
          <w:rFonts w:asciiTheme="minorHAnsi" w:hAnsiTheme="minorHAnsi" w:cstheme="minorHAnsi"/>
          <w:sz w:val="16"/>
        </w:rPr>
        <w:t xml:space="preserve"> consultas de información legislativa y bibliohemer</w:t>
      </w:r>
      <w:r w:rsidR="00894002" w:rsidRPr="00C3121E">
        <w:rPr>
          <w:rFonts w:asciiTheme="minorHAnsi" w:hAnsiTheme="minorHAnsi" w:cstheme="minorHAnsi"/>
          <w:sz w:val="16"/>
        </w:rPr>
        <w:t>ográfica en la Ciudad de México</w:t>
      </w:r>
      <w:r w:rsidR="004101B4" w:rsidRPr="00C3121E">
        <w:rPr>
          <w:rFonts w:asciiTheme="minorHAnsi" w:hAnsiTheme="minorHAnsi" w:cstheme="minorHAnsi"/>
          <w:sz w:val="16"/>
        </w:rPr>
        <w:t xml:space="preserve">, </w:t>
      </w:r>
      <w:r w:rsidR="00D02137" w:rsidRPr="00C3121E">
        <w:rPr>
          <w:rFonts w:asciiTheme="minorHAnsi" w:hAnsiTheme="minorHAnsi" w:cstheme="minorHAnsi"/>
          <w:sz w:val="16"/>
        </w:rPr>
        <w:t xml:space="preserve">representan los </w:t>
      </w:r>
      <w:r w:rsidR="00390233" w:rsidRPr="00870832">
        <w:rPr>
          <w:rFonts w:asciiTheme="minorHAnsi" w:hAnsiTheme="minorHAnsi" w:cstheme="minorHAnsi"/>
          <w:sz w:val="16"/>
        </w:rPr>
        <w:t>1</w:t>
      </w:r>
      <w:r w:rsidR="00B10892" w:rsidRPr="00870832">
        <w:rPr>
          <w:rFonts w:asciiTheme="minorHAnsi" w:hAnsiTheme="minorHAnsi" w:cstheme="minorHAnsi"/>
          <w:sz w:val="16"/>
        </w:rPr>
        <w:t>4</w:t>
      </w:r>
      <w:r w:rsidR="00066153" w:rsidRPr="00870832">
        <w:rPr>
          <w:rFonts w:asciiTheme="minorHAnsi" w:hAnsiTheme="minorHAnsi" w:cstheme="minorHAnsi"/>
          <w:sz w:val="16"/>
        </w:rPr>
        <w:t>,</w:t>
      </w:r>
      <w:r w:rsidR="00B10892" w:rsidRPr="00870832">
        <w:rPr>
          <w:rFonts w:asciiTheme="minorHAnsi" w:hAnsiTheme="minorHAnsi" w:cstheme="minorHAnsi"/>
          <w:sz w:val="16"/>
        </w:rPr>
        <w:t>206</w:t>
      </w:r>
      <w:r w:rsidR="00DF49FE" w:rsidRPr="00C3121E">
        <w:rPr>
          <w:rFonts w:asciiTheme="minorHAnsi" w:hAnsiTheme="minorHAnsi" w:cstheme="minorHAnsi"/>
          <w:sz w:val="16"/>
        </w:rPr>
        <w:t xml:space="preserve"> </w:t>
      </w:r>
      <w:r w:rsidR="00D02137" w:rsidRPr="00C3121E">
        <w:rPr>
          <w:rFonts w:asciiTheme="minorHAnsi" w:hAnsiTheme="minorHAnsi" w:cstheme="minorHAnsi"/>
          <w:sz w:val="16"/>
        </w:rPr>
        <w:t>procedimientos sumarios reportados.</w:t>
      </w:r>
    </w:p>
  </w:footnote>
  <w:footnote w:id="4">
    <w:p w14:paraId="18AE2D95" w14:textId="75648347" w:rsidR="001220D3" w:rsidRPr="007A36D0" w:rsidRDefault="001220D3" w:rsidP="001220D3">
      <w:pPr>
        <w:ind w:left="360"/>
        <w:jc w:val="both"/>
        <w:rPr>
          <w:rFonts w:ascii="Arial" w:hAnsi="Arial" w:cs="Arial"/>
          <w:sz w:val="16"/>
          <w:szCs w:val="16"/>
          <w:lang w:val="es-MX"/>
        </w:rPr>
      </w:pPr>
      <w:r w:rsidRPr="007A36D0">
        <w:rPr>
          <w:rStyle w:val="Refdenotaalpie"/>
          <w:rFonts w:ascii="Arial" w:hAnsi="Arial" w:cs="Arial"/>
          <w:sz w:val="20"/>
        </w:rPr>
        <w:footnoteRef/>
      </w:r>
      <w:r w:rsidRPr="007A36D0">
        <w:rPr>
          <w:lang w:val="es-MX"/>
        </w:rPr>
        <w:t xml:space="preserve"> </w:t>
      </w:r>
      <w:r w:rsidRPr="007A36D0">
        <w:rPr>
          <w:rFonts w:ascii="Arial" w:hAnsi="Arial" w:cs="Arial"/>
          <w:b/>
          <w:sz w:val="16"/>
          <w:szCs w:val="16"/>
          <w:lang w:val="es-MX"/>
        </w:rPr>
        <w:t xml:space="preserve">Elementos que se utilizan: </w:t>
      </w:r>
      <w:r w:rsidRPr="007A36D0">
        <w:rPr>
          <w:rFonts w:ascii="Arial" w:hAnsi="Arial" w:cs="Arial"/>
          <w:sz w:val="16"/>
          <w:szCs w:val="16"/>
          <w:lang w:val="es-MX"/>
        </w:rPr>
        <w:t xml:space="preserve">solicitudes de información presentadas por las personas a través de medios electrónicos y solicitudes de información presentadas por las personas de manera presencial ante los Módulos de Información y Acceso a la Justicia. En las solicitudes se incluirán las canalizadas al </w:t>
      </w:r>
      <w:r w:rsidR="00870832" w:rsidRPr="00154B22">
        <w:rPr>
          <w:rFonts w:ascii="Arial" w:hAnsi="Arial" w:cs="Arial"/>
          <w:sz w:val="16"/>
          <w:szCs w:val="16"/>
          <w:lang w:val="es-MX"/>
        </w:rPr>
        <w:t xml:space="preserve">Órgano de Administración </w:t>
      </w:r>
      <w:r w:rsidR="00154B22" w:rsidRPr="00154B22">
        <w:rPr>
          <w:rFonts w:ascii="Arial" w:hAnsi="Arial" w:cs="Arial"/>
          <w:sz w:val="16"/>
          <w:szCs w:val="16"/>
          <w:lang w:val="es-MX"/>
        </w:rPr>
        <w:t>Judicial</w:t>
      </w:r>
      <w:r w:rsidRPr="007A36D0">
        <w:rPr>
          <w:rFonts w:ascii="Arial" w:hAnsi="Arial" w:cs="Arial"/>
          <w:sz w:val="16"/>
          <w:szCs w:val="16"/>
          <w:lang w:val="es-MX"/>
        </w:rPr>
        <w:t xml:space="preserve"> por resultar de su competencia. </w:t>
      </w:r>
    </w:p>
    <w:p w14:paraId="6D17604D" w14:textId="77777777" w:rsidR="001220D3" w:rsidRPr="007A36D0" w:rsidRDefault="001220D3" w:rsidP="001220D3">
      <w:pPr>
        <w:ind w:left="360"/>
        <w:jc w:val="both"/>
        <w:rPr>
          <w:rFonts w:ascii="Arial" w:hAnsi="Arial" w:cs="Arial"/>
          <w:sz w:val="16"/>
          <w:szCs w:val="16"/>
          <w:lang w:val="es-MX"/>
        </w:rPr>
      </w:pPr>
    </w:p>
    <w:p w14:paraId="34D66C80" w14:textId="77777777" w:rsidR="001220D3" w:rsidRPr="007A36D0" w:rsidRDefault="001220D3" w:rsidP="001220D3">
      <w:pPr>
        <w:pStyle w:val="Textonotapie"/>
        <w:ind w:left="360"/>
        <w:jc w:val="both"/>
        <w:rPr>
          <w:sz w:val="16"/>
          <w:szCs w:val="16"/>
          <w:lang w:val="es-MX"/>
        </w:rPr>
      </w:pPr>
      <w:r w:rsidRPr="007A36D0">
        <w:rPr>
          <w:rFonts w:ascii="Arial" w:hAnsi="Arial" w:cs="Arial"/>
          <w:b/>
          <w:sz w:val="16"/>
          <w:szCs w:val="16"/>
        </w:rPr>
        <w:t xml:space="preserve">Medición: </w:t>
      </w:r>
      <w:r w:rsidRPr="007A36D0">
        <w:rPr>
          <w:rFonts w:ascii="Arial" w:hAnsi="Arial" w:cs="Arial"/>
          <w:sz w:val="16"/>
          <w:szCs w:val="16"/>
        </w:rPr>
        <w:t>del total de solicitudes se extraerá el número que corresponda a medios electrónicos y a presenciales, de tal manera que la forma que obtenga el mayor porcentaje reflejará la mayor preferencia de las personas para presentar sus solicitudes de información.</w:t>
      </w:r>
    </w:p>
  </w:footnote>
  <w:footnote w:id="5">
    <w:p w14:paraId="7BBE3BC6" w14:textId="65F70EFA" w:rsidR="00574F2C" w:rsidRPr="007A36D0" w:rsidRDefault="00574F2C" w:rsidP="00574F2C">
      <w:pPr>
        <w:ind w:left="360"/>
        <w:jc w:val="both"/>
        <w:rPr>
          <w:rFonts w:ascii="Arial" w:hAnsi="Arial" w:cs="Arial"/>
          <w:sz w:val="16"/>
          <w:szCs w:val="16"/>
          <w:lang w:val="es-MX"/>
        </w:rPr>
      </w:pPr>
      <w:r w:rsidRPr="007A36D0">
        <w:rPr>
          <w:rStyle w:val="Refdenotaalpie"/>
          <w:rFonts w:ascii="Arial" w:hAnsi="Arial" w:cs="Arial"/>
          <w:sz w:val="20"/>
        </w:rPr>
        <w:footnoteRef/>
      </w:r>
      <w:r w:rsidRPr="007A36D0">
        <w:rPr>
          <w:sz w:val="16"/>
          <w:szCs w:val="16"/>
          <w:lang w:val="es-MX"/>
        </w:rPr>
        <w:t xml:space="preserve"> </w:t>
      </w:r>
      <w:r w:rsidRPr="007A36D0">
        <w:rPr>
          <w:rFonts w:ascii="Arial" w:hAnsi="Arial" w:cs="Arial"/>
          <w:b/>
          <w:sz w:val="16"/>
          <w:szCs w:val="16"/>
          <w:lang w:val="es-MX"/>
        </w:rPr>
        <w:t xml:space="preserve">Elementos que se utilizan: </w:t>
      </w:r>
      <w:r w:rsidRPr="007A36D0">
        <w:rPr>
          <w:rFonts w:ascii="Arial" w:hAnsi="Arial" w:cs="Arial"/>
          <w:sz w:val="16"/>
          <w:szCs w:val="16"/>
          <w:lang w:val="es-MX"/>
        </w:rPr>
        <w:t xml:space="preserve">solicitudes de </w:t>
      </w:r>
      <w:r w:rsidRPr="00C3121E">
        <w:rPr>
          <w:rFonts w:ascii="Arial" w:hAnsi="Arial" w:cs="Arial"/>
          <w:sz w:val="16"/>
          <w:szCs w:val="16"/>
          <w:lang w:val="es-MX"/>
        </w:rPr>
        <w:t xml:space="preserve">información </w:t>
      </w:r>
      <w:r w:rsidRPr="001842F6">
        <w:rPr>
          <w:rFonts w:ascii="Arial" w:hAnsi="Arial" w:cs="Arial"/>
          <w:sz w:val="16"/>
          <w:szCs w:val="16"/>
          <w:lang w:val="es-MX"/>
        </w:rPr>
        <w:t>presentadas</w:t>
      </w:r>
      <w:r w:rsidR="00B6709D" w:rsidRPr="001842F6">
        <w:rPr>
          <w:rFonts w:ascii="Arial" w:hAnsi="Arial" w:cs="Arial"/>
          <w:sz w:val="16"/>
          <w:szCs w:val="16"/>
          <w:lang w:val="es-MX"/>
        </w:rPr>
        <w:t xml:space="preserve"> (</w:t>
      </w:r>
      <w:r w:rsidR="001220D3" w:rsidRPr="001842F6">
        <w:rPr>
          <w:rFonts w:ascii="Arial" w:hAnsi="Arial" w:cs="Arial"/>
          <w:sz w:val="16"/>
          <w:szCs w:val="16"/>
          <w:lang w:val="es-MX"/>
        </w:rPr>
        <w:t>1</w:t>
      </w:r>
      <w:r w:rsidR="00870832" w:rsidRPr="001842F6">
        <w:rPr>
          <w:rFonts w:ascii="Arial" w:hAnsi="Arial" w:cs="Arial"/>
          <w:sz w:val="16"/>
          <w:szCs w:val="16"/>
          <w:lang w:val="es-MX"/>
        </w:rPr>
        <w:t>4</w:t>
      </w:r>
      <w:r w:rsidR="007B1478" w:rsidRPr="001842F6">
        <w:rPr>
          <w:rFonts w:ascii="Arial" w:hAnsi="Arial" w:cs="Arial"/>
          <w:sz w:val="16"/>
          <w:szCs w:val="16"/>
          <w:lang w:val="es-MX"/>
        </w:rPr>
        <w:t>,</w:t>
      </w:r>
      <w:r w:rsidR="00870832" w:rsidRPr="001842F6">
        <w:rPr>
          <w:rFonts w:ascii="Arial" w:hAnsi="Arial" w:cs="Arial"/>
          <w:sz w:val="16"/>
          <w:szCs w:val="16"/>
          <w:lang w:val="es-MX"/>
        </w:rPr>
        <w:t>502</w:t>
      </w:r>
      <w:r w:rsidR="00B6709D" w:rsidRPr="001842F6">
        <w:rPr>
          <w:rFonts w:ascii="Arial" w:hAnsi="Arial" w:cs="Arial"/>
          <w:sz w:val="16"/>
          <w:szCs w:val="16"/>
          <w:lang w:val="es-MX"/>
        </w:rPr>
        <w:t>)</w:t>
      </w:r>
      <w:r w:rsidRPr="001842F6">
        <w:rPr>
          <w:rFonts w:ascii="Arial" w:hAnsi="Arial" w:cs="Arial"/>
          <w:sz w:val="16"/>
          <w:szCs w:val="16"/>
          <w:lang w:val="es-MX"/>
        </w:rPr>
        <w:t>. Canalizaciones de solicitudes al Consejo de la Judicatura Federal</w:t>
      </w:r>
      <w:r w:rsidR="003C5D50" w:rsidRPr="001842F6">
        <w:rPr>
          <w:rFonts w:ascii="Arial" w:hAnsi="Arial" w:cs="Arial"/>
          <w:sz w:val="16"/>
          <w:szCs w:val="16"/>
          <w:lang w:val="es-MX"/>
        </w:rPr>
        <w:t xml:space="preserve"> o alguna otra institución pública</w:t>
      </w:r>
      <w:r w:rsidR="00B6709D" w:rsidRPr="001842F6">
        <w:rPr>
          <w:rFonts w:ascii="Arial" w:hAnsi="Arial" w:cs="Arial"/>
          <w:sz w:val="16"/>
          <w:szCs w:val="16"/>
          <w:lang w:val="es-MX"/>
        </w:rPr>
        <w:t xml:space="preserve"> (</w:t>
      </w:r>
      <w:r w:rsidR="006F6471" w:rsidRPr="001842F6">
        <w:rPr>
          <w:rFonts w:ascii="Arial" w:hAnsi="Arial" w:cs="Arial"/>
          <w:sz w:val="16"/>
          <w:szCs w:val="16"/>
          <w:lang w:val="es-MX"/>
        </w:rPr>
        <w:t>7</w:t>
      </w:r>
      <w:r w:rsidR="00B44E17" w:rsidRPr="001842F6">
        <w:rPr>
          <w:rFonts w:ascii="Arial" w:hAnsi="Arial" w:cs="Arial"/>
          <w:sz w:val="16"/>
          <w:szCs w:val="16"/>
          <w:lang w:val="es-MX"/>
        </w:rPr>
        <w:t>4</w:t>
      </w:r>
      <w:r w:rsidR="00B6709D" w:rsidRPr="001842F6">
        <w:rPr>
          <w:rFonts w:ascii="Arial" w:hAnsi="Arial" w:cs="Arial"/>
          <w:sz w:val="16"/>
          <w:szCs w:val="16"/>
          <w:lang w:val="es-MX"/>
        </w:rPr>
        <w:t>)</w:t>
      </w:r>
      <w:r w:rsidRPr="001842F6">
        <w:rPr>
          <w:rFonts w:ascii="Arial" w:hAnsi="Arial" w:cs="Arial"/>
          <w:sz w:val="16"/>
          <w:szCs w:val="16"/>
          <w:lang w:val="es-MX"/>
        </w:rPr>
        <w:t>. Orientaciones otorgadas a las personas para que acudan a otra dependencia, entidad, órgano de gobierno, institución pública</w:t>
      </w:r>
      <w:r w:rsidR="00B6709D" w:rsidRPr="001842F6">
        <w:rPr>
          <w:rFonts w:ascii="Arial" w:hAnsi="Arial" w:cs="Arial"/>
          <w:sz w:val="16"/>
          <w:szCs w:val="16"/>
          <w:lang w:val="es-MX"/>
        </w:rPr>
        <w:t xml:space="preserve"> (</w:t>
      </w:r>
      <w:r w:rsidR="00B44E17" w:rsidRPr="001842F6">
        <w:rPr>
          <w:rFonts w:ascii="Arial" w:hAnsi="Arial" w:cs="Arial"/>
          <w:sz w:val="16"/>
          <w:szCs w:val="16"/>
          <w:lang w:val="es-MX"/>
        </w:rPr>
        <w:t>1</w:t>
      </w:r>
      <w:r w:rsidR="004D6903" w:rsidRPr="001842F6">
        <w:rPr>
          <w:rFonts w:ascii="Arial" w:hAnsi="Arial" w:cs="Arial"/>
          <w:sz w:val="16"/>
          <w:szCs w:val="16"/>
          <w:lang w:val="es-MX"/>
        </w:rPr>
        <w:t>5</w:t>
      </w:r>
      <w:r w:rsidR="001220D3" w:rsidRPr="001842F6">
        <w:rPr>
          <w:rFonts w:ascii="Arial" w:hAnsi="Arial" w:cs="Arial"/>
          <w:sz w:val="16"/>
          <w:szCs w:val="16"/>
          <w:lang w:val="es-MX"/>
        </w:rPr>
        <w:t>9</w:t>
      </w:r>
      <w:r w:rsidR="00E603EC" w:rsidRPr="001842F6">
        <w:rPr>
          <w:rFonts w:ascii="Arial" w:hAnsi="Arial" w:cs="Arial"/>
          <w:sz w:val="16"/>
          <w:szCs w:val="16"/>
          <w:lang w:val="es-MX"/>
        </w:rPr>
        <w:t>)</w:t>
      </w:r>
      <w:r w:rsidRPr="001842F6">
        <w:rPr>
          <w:rFonts w:ascii="Arial" w:hAnsi="Arial" w:cs="Arial"/>
          <w:sz w:val="16"/>
          <w:szCs w:val="16"/>
          <w:lang w:val="es-MX"/>
        </w:rPr>
        <w:t>, entre otros</w:t>
      </w:r>
      <w:r w:rsidRPr="00C3121E">
        <w:rPr>
          <w:rFonts w:ascii="Arial" w:hAnsi="Arial" w:cs="Arial"/>
          <w:sz w:val="16"/>
          <w:szCs w:val="16"/>
          <w:lang w:val="es-MX"/>
        </w:rPr>
        <w:t xml:space="preserve">, en virtud de que la información que requieren resulta de la competencia de una Unidad de </w:t>
      </w:r>
      <w:r w:rsidR="00C53740" w:rsidRPr="00C3121E">
        <w:rPr>
          <w:rFonts w:ascii="Arial" w:hAnsi="Arial" w:cs="Arial"/>
          <w:sz w:val="16"/>
          <w:szCs w:val="16"/>
          <w:lang w:val="es-MX"/>
        </w:rPr>
        <w:t>Transparencia</w:t>
      </w:r>
      <w:r w:rsidRPr="00C3121E">
        <w:rPr>
          <w:rFonts w:ascii="Arial" w:hAnsi="Arial" w:cs="Arial"/>
          <w:sz w:val="16"/>
          <w:szCs w:val="16"/>
          <w:lang w:val="es-MX"/>
        </w:rPr>
        <w:t xml:space="preserve"> distinta a la de</w:t>
      </w:r>
      <w:r w:rsidRPr="007A36D0">
        <w:rPr>
          <w:rFonts w:ascii="Arial" w:hAnsi="Arial" w:cs="Arial"/>
          <w:sz w:val="16"/>
          <w:szCs w:val="16"/>
          <w:lang w:val="es-MX"/>
        </w:rPr>
        <w:t xml:space="preserve"> la Suprema Corte.</w:t>
      </w:r>
    </w:p>
    <w:p w14:paraId="4C0813F0" w14:textId="77777777" w:rsidR="00574F2C" w:rsidRPr="007A36D0" w:rsidRDefault="00574F2C" w:rsidP="00574F2C">
      <w:pPr>
        <w:ind w:left="708"/>
        <w:jc w:val="both"/>
        <w:rPr>
          <w:rFonts w:ascii="Arial" w:hAnsi="Arial" w:cs="Arial"/>
          <w:sz w:val="16"/>
          <w:szCs w:val="16"/>
          <w:lang w:val="es-MX"/>
        </w:rPr>
      </w:pPr>
    </w:p>
    <w:p w14:paraId="6CF1C583" w14:textId="77777777" w:rsidR="00574F2C" w:rsidRPr="007A36D0" w:rsidRDefault="00574F2C" w:rsidP="00574F2C">
      <w:pPr>
        <w:pStyle w:val="Textonotapie"/>
        <w:ind w:left="348"/>
        <w:jc w:val="both"/>
        <w:rPr>
          <w:sz w:val="16"/>
          <w:szCs w:val="16"/>
          <w:lang w:val="es-MX"/>
        </w:rPr>
      </w:pPr>
      <w:r w:rsidRPr="007A36D0">
        <w:rPr>
          <w:rFonts w:ascii="Arial" w:hAnsi="Arial" w:cs="Arial"/>
          <w:b/>
          <w:sz w:val="16"/>
          <w:szCs w:val="16"/>
        </w:rPr>
        <w:t>Medición:</w:t>
      </w:r>
      <w:r w:rsidRPr="007A36D0">
        <w:rPr>
          <w:rFonts w:ascii="Arial" w:hAnsi="Arial" w:cs="Arial"/>
          <w:sz w:val="16"/>
          <w:szCs w:val="16"/>
        </w:rPr>
        <w:t xml:space="preserve"> a mayor número de canalizaciones y orientaciones, menor será el conocimiento de las personas respecto de la competencia de la Suprema Corte para el trámite de su solicitud.</w:t>
      </w:r>
    </w:p>
  </w:footnote>
  <w:footnote w:id="6">
    <w:p w14:paraId="12331EF0" w14:textId="46836625" w:rsidR="00574F2C" w:rsidRPr="007A36D0" w:rsidRDefault="00574F2C" w:rsidP="00574F2C">
      <w:pPr>
        <w:ind w:left="360"/>
        <w:jc w:val="both"/>
        <w:rPr>
          <w:rFonts w:ascii="Arial" w:hAnsi="Arial" w:cs="Arial"/>
          <w:sz w:val="16"/>
          <w:szCs w:val="16"/>
          <w:lang w:val="es-MX"/>
        </w:rPr>
      </w:pPr>
      <w:r w:rsidRPr="007A36D0">
        <w:rPr>
          <w:rStyle w:val="Refdenotaalpie"/>
          <w:rFonts w:ascii="Arial" w:hAnsi="Arial" w:cs="Arial"/>
          <w:sz w:val="20"/>
          <w:szCs w:val="20"/>
        </w:rPr>
        <w:footnoteRef/>
      </w:r>
      <w:r w:rsidRPr="007A36D0">
        <w:rPr>
          <w:rFonts w:ascii="Arial" w:hAnsi="Arial" w:cs="Arial"/>
          <w:b/>
          <w:sz w:val="16"/>
          <w:szCs w:val="16"/>
          <w:lang w:val="es-MX"/>
        </w:rPr>
        <w:t xml:space="preserve">Elementos que se utilizan: </w:t>
      </w:r>
      <w:r w:rsidRPr="007A36D0">
        <w:rPr>
          <w:rFonts w:ascii="Arial" w:hAnsi="Arial" w:cs="Arial"/>
          <w:sz w:val="16"/>
          <w:szCs w:val="16"/>
          <w:lang w:val="es-MX"/>
        </w:rPr>
        <w:t xml:space="preserve">solicitudes de información tramitadas mediante </w:t>
      </w:r>
      <w:r w:rsidRPr="00E0172A">
        <w:rPr>
          <w:rFonts w:ascii="Arial" w:hAnsi="Arial" w:cs="Arial"/>
          <w:sz w:val="16"/>
          <w:szCs w:val="16"/>
          <w:lang w:val="es-MX"/>
        </w:rPr>
        <w:t>pro</w:t>
      </w:r>
      <w:r w:rsidRPr="00C3121E">
        <w:rPr>
          <w:rFonts w:ascii="Arial" w:hAnsi="Arial" w:cs="Arial"/>
          <w:sz w:val="16"/>
          <w:szCs w:val="16"/>
          <w:lang w:val="es-MX"/>
        </w:rPr>
        <w:t>cedimiento ordinario</w:t>
      </w:r>
      <w:r w:rsidR="00B61412" w:rsidRPr="00C3121E">
        <w:rPr>
          <w:rFonts w:ascii="Arial" w:hAnsi="Arial" w:cs="Arial"/>
          <w:sz w:val="16"/>
          <w:szCs w:val="16"/>
          <w:lang w:val="es-MX"/>
        </w:rPr>
        <w:t xml:space="preserve"> (</w:t>
      </w:r>
      <w:r w:rsidR="00352822" w:rsidRPr="00C3121E">
        <w:rPr>
          <w:rFonts w:ascii="Arial" w:hAnsi="Arial" w:cs="Arial"/>
          <w:sz w:val="16"/>
          <w:szCs w:val="16"/>
          <w:lang w:val="es-MX"/>
        </w:rPr>
        <w:t>1</w:t>
      </w:r>
      <w:r w:rsidR="001220D3" w:rsidRPr="00C3121E">
        <w:rPr>
          <w:rFonts w:ascii="Arial" w:hAnsi="Arial" w:cs="Arial"/>
          <w:sz w:val="16"/>
          <w:szCs w:val="16"/>
          <w:lang w:val="es-MX"/>
        </w:rPr>
        <w:t>7</w:t>
      </w:r>
      <w:r w:rsidR="00352822" w:rsidRPr="00C3121E">
        <w:rPr>
          <w:rFonts w:ascii="Arial" w:hAnsi="Arial" w:cs="Arial"/>
          <w:sz w:val="16"/>
          <w:szCs w:val="16"/>
          <w:lang w:val="es-MX"/>
        </w:rPr>
        <w:t>5</w:t>
      </w:r>
      <w:r w:rsidR="00B61412" w:rsidRPr="00C3121E">
        <w:rPr>
          <w:rFonts w:ascii="Arial" w:hAnsi="Arial" w:cs="Arial"/>
          <w:sz w:val="16"/>
          <w:szCs w:val="16"/>
          <w:lang w:val="es-MX"/>
        </w:rPr>
        <w:t>)</w:t>
      </w:r>
      <w:r w:rsidRPr="00C3121E">
        <w:rPr>
          <w:rFonts w:ascii="Arial" w:hAnsi="Arial" w:cs="Arial"/>
          <w:sz w:val="16"/>
          <w:szCs w:val="16"/>
          <w:lang w:val="es-MX"/>
        </w:rPr>
        <w:t>.</w:t>
      </w:r>
    </w:p>
    <w:p w14:paraId="4E36A9D7" w14:textId="77777777" w:rsidR="00574F2C" w:rsidRPr="007A36D0" w:rsidRDefault="00574F2C" w:rsidP="00574F2C">
      <w:pPr>
        <w:ind w:left="360"/>
        <w:jc w:val="both"/>
        <w:rPr>
          <w:rFonts w:ascii="Arial" w:hAnsi="Arial" w:cs="Arial"/>
          <w:sz w:val="16"/>
          <w:szCs w:val="16"/>
          <w:lang w:val="es-MX"/>
        </w:rPr>
      </w:pPr>
    </w:p>
    <w:p w14:paraId="221E6FFA" w14:textId="77777777" w:rsidR="00574F2C" w:rsidRPr="007A36D0" w:rsidRDefault="00574F2C" w:rsidP="00574F2C">
      <w:pPr>
        <w:pStyle w:val="Textonotapie"/>
        <w:ind w:left="360"/>
        <w:jc w:val="both"/>
        <w:rPr>
          <w:rFonts w:ascii="Arial" w:hAnsi="Arial" w:cs="Arial"/>
          <w:sz w:val="16"/>
          <w:szCs w:val="16"/>
        </w:rPr>
      </w:pPr>
      <w:r w:rsidRPr="007A36D0">
        <w:rPr>
          <w:rFonts w:ascii="Arial" w:hAnsi="Arial" w:cs="Arial"/>
          <w:b/>
          <w:sz w:val="16"/>
          <w:szCs w:val="16"/>
        </w:rPr>
        <w:t xml:space="preserve">Medición: </w:t>
      </w:r>
      <w:r w:rsidRPr="007A36D0">
        <w:rPr>
          <w:rFonts w:ascii="Arial" w:hAnsi="Arial" w:cs="Arial"/>
          <w:sz w:val="16"/>
          <w:szCs w:val="16"/>
        </w:rPr>
        <w:t xml:space="preserve">la medición se realizará con base en porcentajes obtenidos de cada una de las categorías, resultando que el mayor de ellos mostrará la inclinación de los solicitantes para solicitar la información de determinada naturaleza. </w:t>
      </w:r>
    </w:p>
    <w:p w14:paraId="04BA9F9E" w14:textId="77777777" w:rsidR="00574F2C" w:rsidRPr="007A36D0" w:rsidRDefault="00574F2C" w:rsidP="00574F2C">
      <w:pPr>
        <w:pStyle w:val="Textonotapie"/>
        <w:jc w:val="both"/>
        <w:rPr>
          <w:rFonts w:ascii="Arial" w:hAnsi="Arial" w:cs="Arial"/>
          <w:b/>
          <w:sz w:val="16"/>
          <w:szCs w:val="16"/>
        </w:rPr>
      </w:pPr>
    </w:p>
  </w:footnote>
  <w:footnote w:id="7">
    <w:p w14:paraId="068A230E" w14:textId="77777777" w:rsidR="00574F2C" w:rsidRPr="007A36D0" w:rsidRDefault="00574F2C" w:rsidP="00574F2C">
      <w:pPr>
        <w:pStyle w:val="Textonotapie"/>
        <w:ind w:left="360"/>
        <w:jc w:val="both"/>
        <w:rPr>
          <w:rFonts w:ascii="Arial" w:hAnsi="Arial" w:cs="Arial"/>
          <w:sz w:val="16"/>
          <w:szCs w:val="16"/>
        </w:rPr>
      </w:pPr>
      <w:r w:rsidRPr="007A36D0">
        <w:rPr>
          <w:rStyle w:val="Refdenotaalpie"/>
          <w:rFonts w:ascii="Arial" w:hAnsi="Arial" w:cs="Arial"/>
        </w:rPr>
        <w:footnoteRef/>
      </w:r>
      <w:r w:rsidRPr="007A36D0">
        <w:t xml:space="preserve"> </w:t>
      </w:r>
      <w:r w:rsidRPr="007A36D0">
        <w:rPr>
          <w:rFonts w:ascii="Arial" w:hAnsi="Arial" w:cs="Arial"/>
          <w:sz w:val="16"/>
          <w:szCs w:val="16"/>
        </w:rPr>
        <w:t xml:space="preserve">A partir del primero de agosto del 2008, el Comité de Acceso a la Información y de Protección de Datos Personales </w:t>
      </w:r>
      <w:r w:rsidR="006D665C" w:rsidRPr="007A36D0">
        <w:rPr>
          <w:rFonts w:ascii="Arial" w:hAnsi="Arial" w:cs="Arial"/>
          <w:sz w:val="16"/>
          <w:szCs w:val="16"/>
        </w:rPr>
        <w:t xml:space="preserve">(ahora denominado Comité de Transparencia), </w:t>
      </w:r>
      <w:r w:rsidRPr="007A36D0">
        <w:rPr>
          <w:rFonts w:ascii="Arial" w:hAnsi="Arial" w:cs="Arial"/>
          <w:sz w:val="16"/>
          <w:szCs w:val="16"/>
        </w:rPr>
        <w:t>determinó modificar el criterio para la clasificación de expedientes de naturaleza jurisdiccional y administrativa, integrando en la categoría de asuntos de índole jurisdiccional los siguientes tipos de información: tesis jurisprudenciales, versiones taquigráficas, estenográficas o mecanográficas, así como las actas de las sesiones del Pleno y de las Salas, que versan sólo sobre asuntos jurisdiccionales</w:t>
      </w:r>
      <w:r w:rsidR="006236E4" w:rsidRPr="007A36D0">
        <w:rPr>
          <w:rFonts w:ascii="Arial" w:hAnsi="Arial" w:cs="Arial"/>
          <w:sz w:val="16"/>
          <w:szCs w:val="16"/>
        </w:rPr>
        <w:t>.</w:t>
      </w:r>
    </w:p>
    <w:p w14:paraId="7C6F7B77" w14:textId="77777777" w:rsidR="00574F2C" w:rsidRPr="007A36D0" w:rsidRDefault="00574F2C" w:rsidP="00574F2C">
      <w:pPr>
        <w:pStyle w:val="Textonotapie"/>
        <w:rPr>
          <w:lang w:val="es-MX"/>
        </w:rPr>
      </w:pPr>
    </w:p>
  </w:footnote>
  <w:footnote w:id="8">
    <w:p w14:paraId="5BE08AF3" w14:textId="640458DF" w:rsidR="006B2765" w:rsidRPr="00C3121E" w:rsidRDefault="00574F2C" w:rsidP="00574F2C">
      <w:pPr>
        <w:ind w:left="360"/>
        <w:jc w:val="both"/>
        <w:rPr>
          <w:rFonts w:ascii="Arial" w:hAnsi="Arial" w:cs="Arial"/>
          <w:sz w:val="16"/>
          <w:szCs w:val="16"/>
          <w:lang w:val="es-MX"/>
        </w:rPr>
      </w:pPr>
      <w:r w:rsidRPr="003D4058">
        <w:rPr>
          <w:rStyle w:val="Refdenotaalpie"/>
          <w:rFonts w:ascii="Arial" w:hAnsi="Arial" w:cs="Arial"/>
          <w:sz w:val="20"/>
          <w:szCs w:val="20"/>
        </w:rPr>
        <w:footnoteRef/>
      </w:r>
      <w:r w:rsidRPr="003D4058">
        <w:rPr>
          <w:lang w:val="es-MX"/>
        </w:rPr>
        <w:t xml:space="preserve"> </w:t>
      </w:r>
      <w:r w:rsidRPr="00C3121E">
        <w:rPr>
          <w:rFonts w:ascii="Arial" w:hAnsi="Arial" w:cs="Arial"/>
          <w:b/>
          <w:sz w:val="16"/>
          <w:szCs w:val="16"/>
          <w:lang w:val="es-MX"/>
        </w:rPr>
        <w:t xml:space="preserve">Elementos que se utilizan: </w:t>
      </w:r>
      <w:r w:rsidRPr="00C3121E">
        <w:rPr>
          <w:rFonts w:ascii="Arial" w:hAnsi="Arial" w:cs="Arial"/>
          <w:sz w:val="16"/>
          <w:szCs w:val="16"/>
          <w:lang w:val="es-MX"/>
        </w:rPr>
        <w:t>expedientes de solicitudes de información tramitad</w:t>
      </w:r>
      <w:r w:rsidR="006D665C" w:rsidRPr="00C3121E">
        <w:rPr>
          <w:rFonts w:ascii="Arial" w:hAnsi="Arial" w:cs="Arial"/>
          <w:sz w:val="16"/>
          <w:szCs w:val="16"/>
          <w:lang w:val="es-MX"/>
        </w:rPr>
        <w:t>a</w:t>
      </w:r>
      <w:r w:rsidRPr="00C3121E">
        <w:rPr>
          <w:rFonts w:ascii="Arial" w:hAnsi="Arial" w:cs="Arial"/>
          <w:sz w:val="16"/>
          <w:szCs w:val="16"/>
          <w:lang w:val="es-MX"/>
        </w:rPr>
        <w:t>s</w:t>
      </w:r>
      <w:r w:rsidR="00417C2B" w:rsidRPr="00C3121E">
        <w:rPr>
          <w:rFonts w:ascii="Arial" w:hAnsi="Arial" w:cs="Arial"/>
          <w:sz w:val="16"/>
          <w:szCs w:val="16"/>
          <w:lang w:val="es-MX"/>
        </w:rPr>
        <w:t>,</w:t>
      </w:r>
      <w:r w:rsidRPr="00C3121E">
        <w:rPr>
          <w:rFonts w:ascii="Arial" w:hAnsi="Arial" w:cs="Arial"/>
          <w:sz w:val="16"/>
          <w:szCs w:val="16"/>
          <w:lang w:val="es-MX"/>
        </w:rPr>
        <w:t xml:space="preserve"> mediante el procedimiento ordinario</w:t>
      </w:r>
      <w:r w:rsidR="00B61412" w:rsidRPr="00C3121E">
        <w:rPr>
          <w:rFonts w:ascii="Arial" w:hAnsi="Arial" w:cs="Arial"/>
          <w:sz w:val="16"/>
          <w:szCs w:val="16"/>
          <w:lang w:val="es-MX"/>
        </w:rPr>
        <w:t xml:space="preserve"> (</w:t>
      </w:r>
      <w:r w:rsidR="003710F6" w:rsidRPr="00C3121E">
        <w:rPr>
          <w:rFonts w:ascii="Arial" w:hAnsi="Arial" w:cs="Arial"/>
          <w:sz w:val="16"/>
          <w:szCs w:val="16"/>
          <w:lang w:val="es-MX"/>
        </w:rPr>
        <w:t>1</w:t>
      </w:r>
      <w:r w:rsidR="006F6471" w:rsidRPr="00C3121E">
        <w:rPr>
          <w:rFonts w:ascii="Arial" w:hAnsi="Arial" w:cs="Arial"/>
          <w:sz w:val="16"/>
          <w:szCs w:val="16"/>
          <w:lang w:val="es-MX"/>
        </w:rPr>
        <w:t>7</w:t>
      </w:r>
      <w:r w:rsidR="003710F6" w:rsidRPr="00C3121E">
        <w:rPr>
          <w:rFonts w:ascii="Arial" w:hAnsi="Arial" w:cs="Arial"/>
          <w:sz w:val="16"/>
          <w:szCs w:val="16"/>
          <w:lang w:val="es-MX"/>
        </w:rPr>
        <w:t>5</w:t>
      </w:r>
      <w:r w:rsidR="00B61412" w:rsidRPr="00C3121E">
        <w:rPr>
          <w:rFonts w:ascii="Arial" w:hAnsi="Arial" w:cs="Arial"/>
          <w:sz w:val="16"/>
          <w:szCs w:val="16"/>
          <w:lang w:val="es-MX"/>
        </w:rPr>
        <w:t>)</w:t>
      </w:r>
      <w:r w:rsidR="00D9128B" w:rsidRPr="00C3121E">
        <w:rPr>
          <w:rFonts w:ascii="Arial" w:hAnsi="Arial" w:cs="Arial"/>
          <w:sz w:val="16"/>
          <w:szCs w:val="16"/>
          <w:lang w:val="es-MX"/>
        </w:rPr>
        <w:t xml:space="preserve">, de los cuales </w:t>
      </w:r>
      <w:r w:rsidR="00F81D38" w:rsidRPr="00C3121E">
        <w:rPr>
          <w:rFonts w:ascii="Arial" w:hAnsi="Arial" w:cs="Arial"/>
          <w:sz w:val="16"/>
          <w:szCs w:val="16"/>
          <w:lang w:val="es-MX"/>
        </w:rPr>
        <w:t xml:space="preserve">se turnaron </w:t>
      </w:r>
      <w:r w:rsidR="001220D3" w:rsidRPr="00C3121E">
        <w:rPr>
          <w:rFonts w:ascii="Arial" w:hAnsi="Arial" w:cs="Arial"/>
          <w:sz w:val="16"/>
          <w:szCs w:val="16"/>
          <w:lang w:val="es-MX"/>
        </w:rPr>
        <w:t>13</w:t>
      </w:r>
      <w:r w:rsidR="006B2765" w:rsidRPr="00C3121E">
        <w:rPr>
          <w:rFonts w:ascii="Arial" w:hAnsi="Arial" w:cs="Arial"/>
          <w:sz w:val="16"/>
          <w:szCs w:val="16"/>
          <w:lang w:val="es-MX"/>
        </w:rPr>
        <w:t xml:space="preserve"> al Comité de Transparencia, que por distinto rasgos de conexidad ordenó la acumulación para su análisis en un expediente, por lo que finalmente el cálculo toma como bas</w:t>
      </w:r>
      <w:r w:rsidR="004E35E8" w:rsidRPr="00C3121E">
        <w:rPr>
          <w:rFonts w:ascii="Arial" w:hAnsi="Arial" w:cs="Arial"/>
          <w:sz w:val="16"/>
          <w:szCs w:val="16"/>
          <w:lang w:val="es-MX"/>
        </w:rPr>
        <w:t>e los expedientes integrados</w:t>
      </w:r>
      <w:r w:rsidR="006B2765" w:rsidRPr="00C3121E">
        <w:rPr>
          <w:rFonts w:ascii="Arial" w:hAnsi="Arial" w:cs="Arial"/>
          <w:sz w:val="16"/>
          <w:szCs w:val="16"/>
          <w:lang w:val="es-MX"/>
        </w:rPr>
        <w:t>.</w:t>
      </w:r>
    </w:p>
    <w:p w14:paraId="503F7CE5" w14:textId="77777777" w:rsidR="00574F2C" w:rsidRPr="00C3121E" w:rsidRDefault="006B2765" w:rsidP="00574F2C">
      <w:pPr>
        <w:ind w:left="360"/>
        <w:jc w:val="both"/>
        <w:rPr>
          <w:rFonts w:ascii="Arial" w:hAnsi="Arial" w:cs="Arial"/>
          <w:sz w:val="16"/>
          <w:szCs w:val="16"/>
          <w:lang w:val="es-MX"/>
        </w:rPr>
      </w:pPr>
      <w:r w:rsidRPr="00C3121E">
        <w:rPr>
          <w:rFonts w:ascii="Arial" w:hAnsi="Arial" w:cs="Arial"/>
          <w:sz w:val="16"/>
          <w:szCs w:val="16"/>
          <w:lang w:val="es-MX"/>
        </w:rPr>
        <w:t xml:space="preserve"> </w:t>
      </w:r>
    </w:p>
    <w:p w14:paraId="2EA73742" w14:textId="77777777" w:rsidR="00574F2C" w:rsidRPr="007A36D0" w:rsidRDefault="00574F2C" w:rsidP="00574F2C">
      <w:pPr>
        <w:pStyle w:val="Textonotapie"/>
        <w:ind w:left="360"/>
        <w:jc w:val="both"/>
        <w:rPr>
          <w:sz w:val="16"/>
          <w:szCs w:val="16"/>
          <w:lang w:val="es-MX"/>
        </w:rPr>
      </w:pPr>
      <w:r w:rsidRPr="00C3121E">
        <w:rPr>
          <w:rFonts w:ascii="Arial" w:hAnsi="Arial" w:cs="Arial"/>
          <w:b/>
          <w:sz w:val="16"/>
          <w:szCs w:val="16"/>
        </w:rPr>
        <w:t>Medición:</w:t>
      </w:r>
      <w:r w:rsidRPr="00C3121E">
        <w:rPr>
          <w:rFonts w:ascii="Arial" w:hAnsi="Arial" w:cs="Arial"/>
          <w:sz w:val="16"/>
          <w:szCs w:val="16"/>
        </w:rPr>
        <w:t xml:space="preserve"> a</w:t>
      </w:r>
      <w:r w:rsidR="003F64FF" w:rsidRPr="00C3121E">
        <w:rPr>
          <w:rFonts w:ascii="Arial" w:hAnsi="Arial" w:cs="Arial"/>
          <w:sz w:val="16"/>
          <w:szCs w:val="16"/>
        </w:rPr>
        <w:t xml:space="preserve"> </w:t>
      </w:r>
      <w:r w:rsidRPr="00C3121E">
        <w:rPr>
          <w:rFonts w:ascii="Arial" w:hAnsi="Arial" w:cs="Arial"/>
          <w:sz w:val="16"/>
          <w:szCs w:val="16"/>
        </w:rPr>
        <w:t>mayor número de asuntos turnados al Comité será mayor su intervención, lo cual puede advertir las cargas de trabajo de dicho órgano colegiado</w:t>
      </w:r>
      <w:r w:rsidRPr="007A36D0">
        <w:rPr>
          <w:rFonts w:ascii="Arial" w:hAnsi="Arial" w:cs="Arial"/>
          <w:sz w:val="16"/>
          <w:szCs w:val="16"/>
        </w:rPr>
        <w:t>.</w:t>
      </w:r>
    </w:p>
  </w:footnote>
  <w:footnote w:id="9">
    <w:p w14:paraId="5FFF9F30" w14:textId="77777777" w:rsidR="00574F2C" w:rsidRPr="007A36D0" w:rsidRDefault="00574F2C" w:rsidP="00574F2C">
      <w:pPr>
        <w:ind w:left="360"/>
        <w:jc w:val="both"/>
        <w:rPr>
          <w:rFonts w:ascii="Arial" w:hAnsi="Arial" w:cs="Arial"/>
          <w:sz w:val="16"/>
          <w:szCs w:val="16"/>
          <w:lang w:val="es-MX"/>
        </w:rPr>
      </w:pPr>
      <w:r w:rsidRPr="007A36D0">
        <w:rPr>
          <w:rStyle w:val="Refdenotaalpie"/>
          <w:rFonts w:ascii="Arial" w:hAnsi="Arial" w:cs="Arial"/>
          <w:sz w:val="20"/>
          <w:szCs w:val="20"/>
        </w:rPr>
        <w:footnoteRef/>
      </w:r>
      <w:r w:rsidRPr="007A36D0">
        <w:rPr>
          <w:lang w:val="es-MX"/>
        </w:rPr>
        <w:t xml:space="preserve"> </w:t>
      </w:r>
      <w:r w:rsidRPr="007A36D0">
        <w:rPr>
          <w:rFonts w:ascii="Arial" w:hAnsi="Arial" w:cs="Arial"/>
          <w:b/>
          <w:sz w:val="16"/>
          <w:szCs w:val="16"/>
          <w:lang w:val="es-MX"/>
        </w:rPr>
        <w:t>Elementos que se utilizan:</w:t>
      </w:r>
      <w:r w:rsidR="00D40C13" w:rsidRPr="007A36D0">
        <w:rPr>
          <w:rFonts w:ascii="Arial" w:hAnsi="Arial" w:cs="Arial"/>
          <w:b/>
          <w:sz w:val="16"/>
          <w:szCs w:val="16"/>
          <w:lang w:val="es-MX"/>
        </w:rPr>
        <w:t xml:space="preserve"> </w:t>
      </w:r>
      <w:r w:rsidR="00D40C13" w:rsidRPr="007A36D0">
        <w:rPr>
          <w:rFonts w:ascii="Arial" w:hAnsi="Arial" w:cs="Arial"/>
          <w:sz w:val="16"/>
          <w:szCs w:val="16"/>
          <w:lang w:val="es-MX"/>
        </w:rPr>
        <w:t xml:space="preserve">Clasificaciones de Información emitidas por </w:t>
      </w:r>
      <w:r w:rsidR="006236E4" w:rsidRPr="007A36D0">
        <w:rPr>
          <w:rFonts w:ascii="Arial" w:hAnsi="Arial" w:cs="Arial"/>
          <w:sz w:val="16"/>
          <w:szCs w:val="16"/>
          <w:lang w:val="es-MX"/>
        </w:rPr>
        <w:t xml:space="preserve">el </w:t>
      </w:r>
      <w:r w:rsidR="00D40C13" w:rsidRPr="007A36D0">
        <w:rPr>
          <w:rFonts w:ascii="Arial" w:hAnsi="Arial" w:cs="Arial"/>
          <w:sz w:val="16"/>
          <w:szCs w:val="16"/>
          <w:lang w:val="es-MX"/>
        </w:rPr>
        <w:t>Comité</w:t>
      </w:r>
      <w:r w:rsidR="006236E4" w:rsidRPr="007A36D0">
        <w:rPr>
          <w:rFonts w:ascii="Arial" w:hAnsi="Arial" w:cs="Arial"/>
          <w:sz w:val="16"/>
          <w:szCs w:val="16"/>
          <w:lang w:val="es-MX"/>
        </w:rPr>
        <w:t xml:space="preserve"> de Transparencia de solicitudes tramitadas mediante procedimiento ordinario</w:t>
      </w:r>
      <w:r w:rsidR="00D40C13" w:rsidRPr="007A36D0">
        <w:rPr>
          <w:rFonts w:ascii="Arial" w:hAnsi="Arial" w:cs="Arial"/>
          <w:sz w:val="16"/>
          <w:szCs w:val="16"/>
          <w:lang w:val="es-MX"/>
        </w:rPr>
        <w:t xml:space="preserve">. Recursos de </w:t>
      </w:r>
      <w:r w:rsidR="006236E4" w:rsidRPr="007A36D0">
        <w:rPr>
          <w:rFonts w:ascii="Arial" w:hAnsi="Arial" w:cs="Arial"/>
          <w:sz w:val="16"/>
          <w:szCs w:val="16"/>
          <w:lang w:val="es-MX"/>
        </w:rPr>
        <w:t>R</w:t>
      </w:r>
      <w:r w:rsidR="00D40C13" w:rsidRPr="007A36D0">
        <w:rPr>
          <w:rFonts w:ascii="Arial" w:hAnsi="Arial" w:cs="Arial"/>
          <w:sz w:val="16"/>
          <w:szCs w:val="16"/>
          <w:lang w:val="es-MX"/>
        </w:rPr>
        <w:t>evisión presentados ante el Comité Especializado.</w:t>
      </w:r>
    </w:p>
    <w:p w14:paraId="6C8AE7D3" w14:textId="77777777" w:rsidR="00727BA0" w:rsidRPr="007A36D0" w:rsidRDefault="00727BA0" w:rsidP="00574F2C">
      <w:pPr>
        <w:ind w:left="360"/>
        <w:jc w:val="both"/>
        <w:rPr>
          <w:rFonts w:ascii="Arial" w:hAnsi="Arial" w:cs="Arial"/>
          <w:sz w:val="16"/>
          <w:szCs w:val="16"/>
          <w:lang w:val="es-MX"/>
        </w:rPr>
      </w:pPr>
    </w:p>
    <w:p w14:paraId="27EC7F5E" w14:textId="77777777" w:rsidR="00574F2C" w:rsidRPr="002B5464" w:rsidRDefault="00574F2C" w:rsidP="00574F2C">
      <w:pPr>
        <w:pStyle w:val="Textonotapie"/>
        <w:ind w:left="360"/>
        <w:jc w:val="both"/>
        <w:rPr>
          <w:sz w:val="16"/>
          <w:szCs w:val="16"/>
          <w:lang w:val="es-MX"/>
        </w:rPr>
      </w:pPr>
      <w:r w:rsidRPr="007A36D0">
        <w:rPr>
          <w:rFonts w:ascii="Arial" w:hAnsi="Arial" w:cs="Arial"/>
          <w:b/>
          <w:sz w:val="16"/>
          <w:szCs w:val="16"/>
        </w:rPr>
        <w:t>Medición:</w:t>
      </w:r>
      <w:r w:rsidRPr="007A36D0">
        <w:rPr>
          <w:rFonts w:ascii="Arial" w:hAnsi="Arial" w:cs="Arial"/>
          <w:sz w:val="16"/>
          <w:szCs w:val="16"/>
        </w:rPr>
        <w:t xml:space="preserve"> a menor número de Recursos de Revisión promovidos en contra de las resoluciones del Comité </w:t>
      </w:r>
      <w:r w:rsidR="00417C2B" w:rsidRPr="007A36D0">
        <w:rPr>
          <w:rFonts w:ascii="Arial" w:hAnsi="Arial" w:cs="Arial"/>
          <w:sz w:val="16"/>
          <w:szCs w:val="16"/>
        </w:rPr>
        <w:t>de Transparencia</w:t>
      </w:r>
      <w:r w:rsidRPr="007A36D0">
        <w:rPr>
          <w:rFonts w:ascii="Arial" w:hAnsi="Arial" w:cs="Arial"/>
          <w:sz w:val="16"/>
          <w:szCs w:val="16"/>
        </w:rPr>
        <w:t>, será mayor el grado de aceptación de éstas por parte de los solicitantes.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9140" w14:textId="77777777" w:rsidR="0017624E" w:rsidRDefault="00297BA5">
    <w:pPr>
      <w:pStyle w:val="Encabezado"/>
    </w:pPr>
    <w:r>
      <w:rPr>
        <w:noProof/>
        <w:lang w:val="es-MX" w:eastAsia="es-MX"/>
      </w:rPr>
      <w:drawing>
        <wp:inline distT="0" distB="0" distL="0" distR="0" wp14:anchorId="3813141E" wp14:editId="4EF794B8">
          <wp:extent cx="1014719" cy="9677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entidad SCJN negra 2015-2018.jpg"/>
                  <pic:cNvPicPr/>
                </pic:nvPicPr>
                <pic:blipFill>
                  <a:blip r:embed="rId1">
                    <a:extLst>
                      <a:ext uri="{28A0092B-C50C-407E-A947-70E740481C1C}">
                        <a14:useLocalDpi xmlns:a14="http://schemas.microsoft.com/office/drawing/2010/main" val="0"/>
                      </a:ext>
                    </a:extLst>
                  </a:blip>
                  <a:stretch>
                    <a:fillRect/>
                  </a:stretch>
                </pic:blipFill>
                <pic:spPr>
                  <a:xfrm>
                    <a:off x="0" y="0"/>
                    <a:ext cx="1027152" cy="979597"/>
                  </a:xfrm>
                  <a:prstGeom prst="rect">
                    <a:avLst/>
                  </a:prstGeom>
                </pic:spPr>
              </pic:pic>
            </a:graphicData>
          </a:graphic>
        </wp:inline>
      </w:drawing>
    </w:r>
    <w:r w:rsidR="006771FE">
      <w:rPr>
        <w:noProof/>
        <w:lang w:val="es-MX" w:eastAsia="es-MX"/>
      </w:rPr>
      <mc:AlternateContent>
        <mc:Choice Requires="wps">
          <w:drawing>
            <wp:anchor distT="0" distB="0" distL="114300" distR="114300" simplePos="0" relativeHeight="251663360" behindDoc="0" locked="0" layoutInCell="1" allowOverlap="1" wp14:anchorId="0B113E2C" wp14:editId="2F8AE3F8">
              <wp:simplePos x="0" y="0"/>
              <wp:positionH relativeFrom="column">
                <wp:posOffset>-241935</wp:posOffset>
              </wp:positionH>
              <wp:positionV relativeFrom="paragraph">
                <wp:posOffset>1169035</wp:posOffset>
              </wp:positionV>
              <wp:extent cx="6229350" cy="635"/>
              <wp:effectExtent l="0" t="0" r="19050" b="3746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635"/>
                      </a:xfrm>
                      <a:prstGeom prst="straightConnector1">
                        <a:avLst/>
                      </a:prstGeom>
                      <a:noFill/>
                      <a:ln w="6350">
                        <a:solidFill>
                          <a:srgbClr val="1729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3284C" id="_x0000_t32" coordsize="21600,21600" o:spt="32" o:oned="t" path="m,l21600,21600e" filled="f">
              <v:path arrowok="t" fillok="f" o:connecttype="none"/>
              <o:lock v:ext="edit" shapetype="t"/>
            </v:shapetype>
            <v:shape id="AutoShape 16" o:spid="_x0000_s1026" type="#_x0000_t32" style="position:absolute;margin-left:-19.05pt;margin-top:92.05pt;width:490.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" strokecolor="#172934" strokeweight=".5pt"/>
          </w:pict>
        </mc:Fallback>
      </mc:AlternateContent>
    </w:r>
    <w:r w:rsidR="00FC0BC6">
      <w:rPr>
        <w:noProof/>
        <w:lang w:val="es-MX" w:eastAsia="es-MX"/>
      </w:rPr>
      <mc:AlternateContent>
        <mc:Choice Requires="wps">
          <w:drawing>
            <wp:anchor distT="0" distB="0" distL="114300" distR="114300" simplePos="0" relativeHeight="251670528" behindDoc="0" locked="0" layoutInCell="1" allowOverlap="1" wp14:anchorId="7E586D98" wp14:editId="21714B85">
              <wp:simplePos x="0" y="0"/>
              <wp:positionH relativeFrom="column">
                <wp:posOffset>1577340</wp:posOffset>
              </wp:positionH>
              <wp:positionV relativeFrom="paragraph">
                <wp:posOffset>393065</wp:posOffset>
              </wp:positionV>
              <wp:extent cx="4239260" cy="566420"/>
              <wp:effectExtent l="0" t="2540" r="3175" b="254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26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7001" w14:textId="77777777" w:rsidR="00F53901" w:rsidRDefault="00F53901" w:rsidP="00F53901">
                          <w:pPr>
                            <w:jc w:val="right"/>
                            <w:rPr>
                              <w:sz w:val="22"/>
                              <w:lang w:val="es-MX"/>
                            </w:rPr>
                          </w:pPr>
                          <w:r w:rsidRPr="00F53901">
                            <w:rPr>
                              <w:sz w:val="22"/>
                              <w:lang w:val="es-MX"/>
                            </w:rPr>
                            <w:t>INDICADORES DE GESTIÓN DE TRANSPARENCIA, ACCESO A LA</w:t>
                          </w:r>
                          <w:r w:rsidR="0015393D">
                            <w:rPr>
                              <w:sz w:val="22"/>
                              <w:lang w:val="es-MX"/>
                            </w:rPr>
                            <w:t xml:space="preserve"> </w:t>
                          </w:r>
                          <w:r w:rsidRPr="00F53901">
                            <w:rPr>
                              <w:sz w:val="22"/>
                              <w:lang w:val="es-MX"/>
                            </w:rPr>
                            <w:t>INFORMACIÓN Y PROTECCIÓN DE DATOS PERSONALES</w:t>
                          </w:r>
                        </w:p>
                        <w:p w14:paraId="6D8A9261" w14:textId="11E75D85" w:rsidR="00F53901" w:rsidRDefault="00D062B3" w:rsidP="00F53901">
                          <w:pPr>
                            <w:jc w:val="right"/>
                            <w:rPr>
                              <w:sz w:val="22"/>
                              <w:lang w:val="es-MX"/>
                            </w:rPr>
                          </w:pPr>
                          <w:r>
                            <w:rPr>
                              <w:sz w:val="22"/>
                              <w:lang w:val="es-MX"/>
                            </w:rPr>
                            <w:t>Octubre</w:t>
                          </w:r>
                          <w:r w:rsidR="00FA6A3A">
                            <w:rPr>
                              <w:sz w:val="22"/>
                              <w:lang w:val="es-MX"/>
                            </w:rPr>
                            <w:t xml:space="preserve"> </w:t>
                          </w:r>
                          <w:r w:rsidR="001236E2">
                            <w:rPr>
                              <w:sz w:val="22"/>
                              <w:lang w:val="es-MX"/>
                            </w:rPr>
                            <w:t>a</w:t>
                          </w:r>
                          <w:r w:rsidR="003B078C">
                            <w:rPr>
                              <w:sz w:val="22"/>
                              <w:lang w:val="es-MX"/>
                            </w:rPr>
                            <w:t xml:space="preserve"> </w:t>
                          </w:r>
                          <w:r>
                            <w:rPr>
                              <w:sz w:val="22"/>
                              <w:lang w:val="es-MX"/>
                            </w:rPr>
                            <w:t>Dic</w:t>
                          </w:r>
                          <w:r w:rsidR="009923F8">
                            <w:rPr>
                              <w:sz w:val="22"/>
                              <w:lang w:val="es-MX"/>
                            </w:rPr>
                            <w:t>iembre</w:t>
                          </w:r>
                          <w:r w:rsidR="008556DB">
                            <w:rPr>
                              <w:sz w:val="22"/>
                              <w:lang w:val="es-MX"/>
                            </w:rPr>
                            <w:t xml:space="preserve"> de 20</w:t>
                          </w:r>
                          <w:r w:rsidR="00C022EE">
                            <w:rPr>
                              <w:sz w:val="22"/>
                              <w:lang w:val="es-MX"/>
                            </w:rPr>
                            <w:t>2</w:t>
                          </w:r>
                          <w:r w:rsidR="00E668D5">
                            <w:rPr>
                              <w:sz w:val="22"/>
                              <w:lang w:val="es-MX"/>
                            </w:rPr>
                            <w:t>5</w:t>
                          </w:r>
                        </w:p>
                        <w:p w14:paraId="781E8008" w14:textId="77777777" w:rsidR="008556DB" w:rsidRDefault="008556DB" w:rsidP="00F53901">
                          <w:pPr>
                            <w:jc w:val="right"/>
                            <w:rPr>
                              <w:sz w:val="22"/>
                              <w:lang w:val="es-MX"/>
                            </w:rPr>
                          </w:pPr>
                        </w:p>
                        <w:p w14:paraId="4522A938" w14:textId="77777777" w:rsidR="00DB3398" w:rsidRPr="00F53901" w:rsidRDefault="00DB3398" w:rsidP="00F53901">
                          <w:pPr>
                            <w:jc w:val="right"/>
                            <w:rPr>
                              <w:sz w:val="2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86D98" id="_x0000_t202" coordsize="21600,21600" o:spt="202" path="m,l,21600r21600,l21600,xe">
              <v:stroke joinstyle="miter"/>
              <v:path gradientshapeok="t" o:connecttype="rect"/>
            </v:shapetype>
            <v:shape id="Cuadro de texto 2" o:spid="_x0000_s1026" type="#_x0000_t202" style="position:absolute;margin-left:124.2pt;margin-top:30.95pt;width:333.8pt;height:4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" filled="f" stroked="f">
              <v:textbox>
                <w:txbxContent>
                  <w:p w14:paraId="23397001" w14:textId="77777777" w:rsidR="00F53901" w:rsidRDefault="00F53901" w:rsidP="00F53901">
                    <w:pPr>
                      <w:jc w:val="right"/>
                      <w:rPr>
                        <w:sz w:val="22"/>
                        <w:lang w:val="es-MX"/>
                      </w:rPr>
                    </w:pPr>
                    <w:r w:rsidRPr="00F53901">
                      <w:rPr>
                        <w:sz w:val="22"/>
                        <w:lang w:val="es-MX"/>
                      </w:rPr>
                      <w:t>INDICADORES DE GESTIÓN DE TRANSPARENCIA, ACCESO A LA</w:t>
                    </w:r>
                    <w:r w:rsidR="0015393D">
                      <w:rPr>
                        <w:sz w:val="22"/>
                        <w:lang w:val="es-MX"/>
                      </w:rPr>
                      <w:t xml:space="preserve"> </w:t>
                    </w:r>
                    <w:r w:rsidRPr="00F53901">
                      <w:rPr>
                        <w:sz w:val="22"/>
                        <w:lang w:val="es-MX"/>
                      </w:rPr>
                      <w:t>INFORMACIÓN Y PROTECCIÓN DE DATOS PERSONALES</w:t>
                    </w:r>
                  </w:p>
                  <w:p w14:paraId="6D8A9261" w14:textId="11E75D85" w:rsidR="00F53901" w:rsidRDefault="00D062B3" w:rsidP="00F53901">
                    <w:pPr>
                      <w:jc w:val="right"/>
                      <w:rPr>
                        <w:sz w:val="22"/>
                        <w:lang w:val="es-MX"/>
                      </w:rPr>
                    </w:pPr>
                    <w:r>
                      <w:rPr>
                        <w:sz w:val="22"/>
                        <w:lang w:val="es-MX"/>
                      </w:rPr>
                      <w:t>Octubre</w:t>
                    </w:r>
                    <w:r w:rsidR="00FA6A3A">
                      <w:rPr>
                        <w:sz w:val="22"/>
                        <w:lang w:val="es-MX"/>
                      </w:rPr>
                      <w:t xml:space="preserve"> </w:t>
                    </w:r>
                    <w:r w:rsidR="001236E2">
                      <w:rPr>
                        <w:sz w:val="22"/>
                        <w:lang w:val="es-MX"/>
                      </w:rPr>
                      <w:t>a</w:t>
                    </w:r>
                    <w:r w:rsidR="003B078C">
                      <w:rPr>
                        <w:sz w:val="22"/>
                        <w:lang w:val="es-MX"/>
                      </w:rPr>
                      <w:t xml:space="preserve"> </w:t>
                    </w:r>
                    <w:proofErr w:type="gramStart"/>
                    <w:r>
                      <w:rPr>
                        <w:sz w:val="22"/>
                        <w:lang w:val="es-MX"/>
                      </w:rPr>
                      <w:t>Dic</w:t>
                    </w:r>
                    <w:r w:rsidR="009923F8">
                      <w:rPr>
                        <w:sz w:val="22"/>
                        <w:lang w:val="es-MX"/>
                      </w:rPr>
                      <w:t>iembre</w:t>
                    </w:r>
                    <w:proofErr w:type="gramEnd"/>
                    <w:r w:rsidR="008556DB">
                      <w:rPr>
                        <w:sz w:val="22"/>
                        <w:lang w:val="es-MX"/>
                      </w:rPr>
                      <w:t xml:space="preserve"> de 20</w:t>
                    </w:r>
                    <w:r w:rsidR="00C022EE">
                      <w:rPr>
                        <w:sz w:val="22"/>
                        <w:lang w:val="es-MX"/>
                      </w:rPr>
                      <w:t>2</w:t>
                    </w:r>
                    <w:r w:rsidR="00E668D5">
                      <w:rPr>
                        <w:sz w:val="22"/>
                        <w:lang w:val="es-MX"/>
                      </w:rPr>
                      <w:t>5</w:t>
                    </w:r>
                  </w:p>
                  <w:p w14:paraId="781E8008" w14:textId="77777777" w:rsidR="008556DB" w:rsidRDefault="008556DB" w:rsidP="00F53901">
                    <w:pPr>
                      <w:jc w:val="right"/>
                      <w:rPr>
                        <w:sz w:val="22"/>
                        <w:lang w:val="es-MX"/>
                      </w:rPr>
                    </w:pPr>
                  </w:p>
                  <w:p w14:paraId="4522A938" w14:textId="77777777" w:rsidR="00DB3398" w:rsidRPr="00F53901" w:rsidRDefault="00DB3398" w:rsidP="00F53901">
                    <w:pPr>
                      <w:jc w:val="right"/>
                      <w:rPr>
                        <w:sz w:val="22"/>
                        <w:lang w:val="es-MX"/>
                      </w:rPr>
                    </w:pPr>
                  </w:p>
                </w:txbxContent>
              </v:textbox>
            </v:shape>
          </w:pict>
        </mc:Fallback>
      </mc:AlternateContent>
    </w:r>
    <w:r w:rsidR="00FC0BC6">
      <w:rPr>
        <w:noProof/>
        <w:lang w:val="es-MX" w:eastAsia="es-MX"/>
      </w:rPr>
      <mc:AlternateContent>
        <mc:Choice Requires="wps">
          <w:drawing>
            <wp:anchor distT="0" distB="0" distL="114300" distR="114300" simplePos="0" relativeHeight="251664384" behindDoc="0" locked="0" layoutInCell="1" allowOverlap="1" wp14:anchorId="126AE4FE" wp14:editId="29DF962D">
              <wp:simplePos x="0" y="0"/>
              <wp:positionH relativeFrom="column">
                <wp:posOffset>-233680</wp:posOffset>
              </wp:positionH>
              <wp:positionV relativeFrom="paragraph">
                <wp:posOffset>1178560</wp:posOffset>
              </wp:positionV>
              <wp:extent cx="0" cy="7878445"/>
              <wp:effectExtent l="13970" t="6985" r="5080" b="1079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8445"/>
                      </a:xfrm>
                      <a:prstGeom prst="straightConnector1">
                        <a:avLst/>
                      </a:prstGeom>
                      <a:noFill/>
                      <a:ln w="6350">
                        <a:solidFill>
                          <a:srgbClr val="1729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F18E9" id="AutoShape 17" o:spid="_x0000_s1026" type="#_x0000_t32" style="position:absolute;margin-left:-18.4pt;margin-top:92.8pt;width:0;height:6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" strokecolor="#172934"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9E5C" w14:textId="77777777" w:rsidR="0017624E" w:rsidRDefault="00FC0BC6">
    <w:pPr>
      <w:pStyle w:val="Encabezado"/>
    </w:pPr>
    <w:r>
      <w:rPr>
        <w:noProof/>
        <w:lang w:val="es-MX" w:eastAsia="es-MX"/>
      </w:rPr>
      <mc:AlternateContent>
        <mc:Choice Requires="wps">
          <w:drawing>
            <wp:anchor distT="0" distB="0" distL="114300" distR="114300" simplePos="0" relativeHeight="251660288" behindDoc="0" locked="0" layoutInCell="1" allowOverlap="1" wp14:anchorId="01911524" wp14:editId="35E4C2EC">
              <wp:simplePos x="0" y="0"/>
              <wp:positionH relativeFrom="column">
                <wp:posOffset>2244090</wp:posOffset>
              </wp:positionH>
              <wp:positionV relativeFrom="paragraph">
                <wp:posOffset>283210</wp:posOffset>
              </wp:positionV>
              <wp:extent cx="3612515" cy="806450"/>
              <wp:effectExtent l="0" t="0" r="6985" b="12700"/>
              <wp:wrapNone/>
              <wp:docPr id="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2515" cy="80645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DE7202A" w14:textId="77777777" w:rsidR="0017624E" w:rsidRPr="000166E9" w:rsidRDefault="0017624E" w:rsidP="007039C5">
                          <w:pPr>
                            <w:pStyle w:val="reaemisora"/>
                          </w:pPr>
                        </w:p>
                        <w:p w14:paraId="76C9AA45" w14:textId="77777777" w:rsidR="0017624E" w:rsidRPr="00775B38" w:rsidRDefault="0017624E" w:rsidP="001C21C1">
                          <w:pPr>
                            <w:pStyle w:val="AREAQUEEMITE"/>
                            <w:rPr>
                              <w:b/>
                              <w:color w:val="172934"/>
                            </w:rPr>
                          </w:pPr>
                          <w:r w:rsidRPr="00775B38">
                            <w:rPr>
                              <w:b/>
                              <w:color w:val="172934"/>
                            </w:rPr>
                            <w:t>Indicadores de Gestión en materia de Transparencia, Acceso a la Información y Protección de Datos</w:t>
                          </w:r>
                        </w:p>
                        <w:p w14:paraId="3196100E" w14:textId="77777777" w:rsidR="0017624E" w:rsidRDefault="0017624E" w:rsidP="001C21C1">
                          <w:pPr>
                            <w:pStyle w:val="AREAQUEEMITE"/>
                            <w:rPr>
                              <w:color w:val="172934"/>
                            </w:rPr>
                          </w:pPr>
                        </w:p>
                        <w:p w14:paraId="64F2ADA5" w14:textId="77777777" w:rsidR="0017624E" w:rsidRPr="009F17A1" w:rsidRDefault="0017624E" w:rsidP="001C21C1">
                          <w:pPr>
                            <w:pStyle w:val="AREAQUEEMITE"/>
                            <w:rPr>
                              <w:b/>
                            </w:rPr>
                          </w:pPr>
                          <w:r>
                            <w:rPr>
                              <w:color w:val="172934"/>
                            </w:rPr>
                            <w:t xml:space="preserve">Enero a Marzo </w:t>
                          </w:r>
                          <w:proofErr w:type="gramStart"/>
                          <w:r>
                            <w:rPr>
                              <w:color w:val="172934"/>
                            </w:rPr>
                            <w:t>de  2012</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11524" id="_x0000_t202" coordsize="21600,21600" o:spt="202" path="m,l,21600r21600,l21600,xe">
              <v:stroke joinstyle="miter"/>
              <v:path gradientshapeok="t" o:connecttype="rect"/>
            </v:shapetype>
            <v:shape id="Cuadro de texto 4" o:spid="_x0000_s1027" type="#_x0000_t202" style="position:absolute;margin-left:176.7pt;margin-top:22.3pt;width:284.4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" filled="f" stroked="f">
              <v:textbox inset="0,0,0,0">
                <w:txbxContent>
                  <w:p w14:paraId="0DE7202A" w14:textId="77777777" w:rsidR="0017624E" w:rsidRPr="000166E9" w:rsidRDefault="0017624E" w:rsidP="007039C5">
                    <w:pPr>
                      <w:pStyle w:val="reaemisora"/>
                    </w:pPr>
                  </w:p>
                  <w:p w14:paraId="76C9AA45" w14:textId="77777777" w:rsidR="0017624E" w:rsidRPr="00775B38" w:rsidRDefault="0017624E" w:rsidP="001C21C1">
                    <w:pPr>
                      <w:pStyle w:val="AREAQUEEMITE"/>
                      <w:rPr>
                        <w:b/>
                        <w:color w:val="172934"/>
                      </w:rPr>
                    </w:pPr>
                    <w:r w:rsidRPr="00775B38">
                      <w:rPr>
                        <w:b/>
                        <w:color w:val="172934"/>
                      </w:rPr>
                      <w:t>Indicadores de Gestión en materia de Transparencia, Acceso a la Información y Protección de Datos</w:t>
                    </w:r>
                  </w:p>
                  <w:p w14:paraId="3196100E" w14:textId="77777777" w:rsidR="0017624E" w:rsidRDefault="0017624E" w:rsidP="001C21C1">
                    <w:pPr>
                      <w:pStyle w:val="AREAQUEEMITE"/>
                      <w:rPr>
                        <w:color w:val="172934"/>
                      </w:rPr>
                    </w:pPr>
                  </w:p>
                  <w:p w14:paraId="64F2ADA5" w14:textId="77777777" w:rsidR="0017624E" w:rsidRPr="009F17A1" w:rsidRDefault="0017624E" w:rsidP="001C21C1">
                    <w:pPr>
                      <w:pStyle w:val="AREAQUEEMITE"/>
                      <w:rPr>
                        <w:b/>
                      </w:rPr>
                    </w:pPr>
                    <w:r>
                      <w:rPr>
                        <w:color w:val="172934"/>
                      </w:rPr>
                      <w:t xml:space="preserve">Enero a </w:t>
                    </w:r>
                    <w:proofErr w:type="gramStart"/>
                    <w:r>
                      <w:rPr>
                        <w:color w:val="172934"/>
                      </w:rPr>
                      <w:t>Marzo</w:t>
                    </w:r>
                    <w:proofErr w:type="gramEnd"/>
                    <w:r>
                      <w:rPr>
                        <w:color w:val="172934"/>
                      </w:rPr>
                      <w:t xml:space="preserve"> </w:t>
                    </w:r>
                    <w:proofErr w:type="gramStart"/>
                    <w:r>
                      <w:rPr>
                        <w:color w:val="172934"/>
                      </w:rPr>
                      <w:t>de  2012</w:t>
                    </w:r>
                    <w:proofErr w:type="gramEnd"/>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24169E18" wp14:editId="12BBD32B">
              <wp:simplePos x="0" y="0"/>
              <wp:positionH relativeFrom="column">
                <wp:posOffset>-193675</wp:posOffset>
              </wp:positionH>
              <wp:positionV relativeFrom="paragraph">
                <wp:posOffset>1174115</wp:posOffset>
              </wp:positionV>
              <wp:extent cx="6050280" cy="635"/>
              <wp:effectExtent l="6350" t="12065" r="10795" b="635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0280" cy="635"/>
                      </a:xfrm>
                      <a:prstGeom prst="straightConnector1">
                        <a:avLst/>
                      </a:prstGeom>
                      <a:noFill/>
                      <a:ln w="6350">
                        <a:solidFill>
                          <a:srgbClr val="1729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719CC" id="_x0000_t32" coordsize="21600,21600" o:spt="32" o:oned="t" path="m,l21600,21600e" filled="f">
              <v:path arrowok="t" fillok="f" o:connecttype="none"/>
              <o:lock v:ext="edit" shapetype="t"/>
            </v:shapetype>
            <v:shape id="AutoShape 14" o:spid="_x0000_s1026" type="#_x0000_t32" style="position:absolute;margin-left:-15.25pt;margin-top:92.45pt;width:476.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" strokecolor="#172934" strokeweight=".5pt"/>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4AA0C0EF" wp14:editId="14166007">
              <wp:simplePos x="0" y="0"/>
              <wp:positionH relativeFrom="column">
                <wp:posOffset>-193675</wp:posOffset>
              </wp:positionH>
              <wp:positionV relativeFrom="paragraph">
                <wp:posOffset>1178560</wp:posOffset>
              </wp:positionV>
              <wp:extent cx="0" cy="7878445"/>
              <wp:effectExtent l="6350" t="6985" r="12700" b="1079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8445"/>
                      </a:xfrm>
                      <a:prstGeom prst="straightConnector1">
                        <a:avLst/>
                      </a:prstGeom>
                      <a:noFill/>
                      <a:ln w="6350">
                        <a:solidFill>
                          <a:srgbClr val="1729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74FC2" id="AutoShape 15" o:spid="_x0000_s1026" type="#_x0000_t32" style="position:absolute;margin-left:-15.25pt;margin-top:92.8pt;width:0;height:6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" strokecolor="#172934" strokeweight=".5pt"/>
          </w:pict>
        </mc:Fallback>
      </mc:AlternateContent>
    </w:r>
    <w:r w:rsidR="0017624E">
      <w:rPr>
        <w:noProof/>
        <w:lang w:val="es-MX" w:eastAsia="es-MX"/>
      </w:rPr>
      <w:drawing>
        <wp:anchor distT="0" distB="0" distL="114300" distR="114300" simplePos="0" relativeHeight="251659264" behindDoc="1" locked="0" layoutInCell="1" allowOverlap="1" wp14:anchorId="396E9FCB" wp14:editId="63F511E0">
          <wp:simplePos x="0" y="0"/>
          <wp:positionH relativeFrom="page">
            <wp:posOffset>-209550</wp:posOffset>
          </wp:positionH>
          <wp:positionV relativeFrom="page">
            <wp:posOffset>-180975</wp:posOffset>
          </wp:positionV>
          <wp:extent cx="7768590" cy="1619250"/>
          <wp:effectExtent l="19050" t="0" r="3810" b="0"/>
          <wp:wrapNone/>
          <wp:docPr id="4" name="2 Imagen" descr="SCJN_Comunicad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SCJN_Comunicado_1.1.png"/>
                  <pic:cNvPicPr>
                    <a:picLocks noChangeAspect="1" noChangeArrowheads="1"/>
                  </pic:cNvPicPr>
                </pic:nvPicPr>
                <pic:blipFill>
                  <a:blip r:embed="rId1"/>
                  <a:srcRect/>
                  <a:stretch>
                    <a:fillRect/>
                  </a:stretch>
                </pic:blipFill>
                <pic:spPr bwMode="auto">
                  <a:xfrm>
                    <a:off x="0" y="0"/>
                    <a:ext cx="7768590" cy="1619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6A"/>
      </v:shape>
    </w:pict>
  </w:numPicBullet>
  <w:abstractNum w:abstractNumId="0" w15:restartNumberingAfterBreak="0">
    <w:nsid w:val="047068FB"/>
    <w:multiLevelType w:val="hybridMultilevel"/>
    <w:tmpl w:val="F71A3902"/>
    <w:lvl w:ilvl="0" w:tplc="0C0A000F">
      <w:start w:val="1"/>
      <w:numFmt w:val="decimal"/>
      <w:lvlText w:val="%1."/>
      <w:lvlJc w:val="left"/>
      <w:pPr>
        <w:tabs>
          <w:tab w:val="num" w:pos="720"/>
        </w:tabs>
        <w:ind w:left="720" w:hanging="360"/>
      </w:pPr>
      <w:rPr>
        <w:rFonts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6E1179"/>
    <w:multiLevelType w:val="hybridMultilevel"/>
    <w:tmpl w:val="EFDA1AC2"/>
    <w:lvl w:ilvl="0" w:tplc="CA5A7F76">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43CFC"/>
    <w:multiLevelType w:val="hybridMultilevel"/>
    <w:tmpl w:val="CA8044D6"/>
    <w:lvl w:ilvl="0" w:tplc="0C0A000F">
      <w:start w:val="1"/>
      <w:numFmt w:val="decimal"/>
      <w:lvlText w:val="%1."/>
      <w:lvlJc w:val="left"/>
      <w:pPr>
        <w:tabs>
          <w:tab w:val="num" w:pos="720"/>
        </w:tabs>
        <w:ind w:left="720" w:hanging="360"/>
      </w:pPr>
      <w:rPr>
        <w:rFonts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AC600D"/>
    <w:multiLevelType w:val="hybridMultilevel"/>
    <w:tmpl w:val="52EA46B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4631DC"/>
    <w:multiLevelType w:val="hybridMultilevel"/>
    <w:tmpl w:val="1DC09F16"/>
    <w:lvl w:ilvl="0" w:tplc="6BC85D5C">
      <w:start w:val="1"/>
      <w:numFmt w:val="bullet"/>
      <w:lvlText w:val=""/>
      <w:lvlJc w:val="left"/>
      <w:pPr>
        <w:ind w:left="720" w:hanging="360"/>
      </w:pPr>
      <w:rPr>
        <w:rFonts w:ascii="Symbol" w:eastAsia="Times New Roman" w:hAnsi="Symbol" w:cstheme="minorHAnsi"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E63E0B"/>
    <w:multiLevelType w:val="hybridMultilevel"/>
    <w:tmpl w:val="98928CB8"/>
    <w:lvl w:ilvl="0" w:tplc="080A0005">
      <w:start w:val="1"/>
      <w:numFmt w:val="bullet"/>
      <w:pStyle w:val="IntroduccinComunicado"/>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4875B63"/>
    <w:multiLevelType w:val="hybridMultilevel"/>
    <w:tmpl w:val="3BC2F9A2"/>
    <w:lvl w:ilvl="0" w:tplc="080A0003">
      <w:start w:val="1"/>
      <w:numFmt w:val="bullet"/>
      <w:lvlText w:val="o"/>
      <w:lvlJc w:val="left"/>
      <w:pPr>
        <w:ind w:left="720" w:hanging="360"/>
      </w:pPr>
      <w:rPr>
        <w:rFonts w:ascii="Courier New" w:hAnsi="Courier New" w:cs="Courier New"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113836"/>
    <w:multiLevelType w:val="hybridMultilevel"/>
    <w:tmpl w:val="B8CC0AA6"/>
    <w:lvl w:ilvl="0" w:tplc="0C0A000F">
      <w:start w:val="1"/>
      <w:numFmt w:val="decimal"/>
      <w:lvlText w:val="%1."/>
      <w:lvlJc w:val="left"/>
      <w:pPr>
        <w:tabs>
          <w:tab w:val="num" w:pos="720"/>
        </w:tabs>
        <w:ind w:left="720" w:hanging="360"/>
      </w:pPr>
      <w:rPr>
        <w:rFonts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E6D5692"/>
    <w:multiLevelType w:val="hybridMultilevel"/>
    <w:tmpl w:val="B4AE0B40"/>
    <w:lvl w:ilvl="0" w:tplc="080A000F">
      <w:start w:val="1"/>
      <w:numFmt w:val="decimal"/>
      <w:lvlText w:val="%1."/>
      <w:lvlJc w:val="left"/>
      <w:pPr>
        <w:tabs>
          <w:tab w:val="num" w:pos="720"/>
        </w:tabs>
        <w:ind w:left="720" w:hanging="360"/>
      </w:pPr>
      <w:rPr>
        <w:rFonts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6DD71D8"/>
    <w:multiLevelType w:val="hybridMultilevel"/>
    <w:tmpl w:val="C5304E56"/>
    <w:lvl w:ilvl="0" w:tplc="2D8E125C">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9355F27"/>
    <w:multiLevelType w:val="hybridMultilevel"/>
    <w:tmpl w:val="BA060E36"/>
    <w:lvl w:ilvl="0" w:tplc="FDEE18DA">
      <w:numFmt w:val="bullet"/>
      <w:lvlText w:val=""/>
      <w:lvlJc w:val="left"/>
      <w:pPr>
        <w:ind w:left="720" w:hanging="360"/>
      </w:pPr>
      <w:rPr>
        <w:rFonts w:ascii="Symbol" w:eastAsia="Times New Roman" w:hAnsi="Symbol" w:cstheme="minorHAnsi"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2E207D"/>
    <w:multiLevelType w:val="hybridMultilevel"/>
    <w:tmpl w:val="BD503926"/>
    <w:lvl w:ilvl="0" w:tplc="0A5234BE">
      <w:start w:val="1"/>
      <w:numFmt w:val="bullet"/>
      <w:lvlText w:val=""/>
      <w:lvlJc w:val="left"/>
      <w:pPr>
        <w:ind w:left="720" w:hanging="360"/>
      </w:pPr>
      <w:rPr>
        <w:rFonts w:ascii="Symbol" w:eastAsia="Times New Roman" w:hAnsi="Symbol" w:cstheme="minorHAnsi"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0825330">
    <w:abstractNumId w:val="5"/>
  </w:num>
  <w:num w:numId="2" w16cid:durableId="500127385">
    <w:abstractNumId w:val="0"/>
  </w:num>
  <w:num w:numId="3" w16cid:durableId="291057424">
    <w:abstractNumId w:val="2"/>
  </w:num>
  <w:num w:numId="4" w16cid:durableId="478420539">
    <w:abstractNumId w:val="7"/>
  </w:num>
  <w:num w:numId="5" w16cid:durableId="997223816">
    <w:abstractNumId w:val="3"/>
  </w:num>
  <w:num w:numId="6" w16cid:durableId="1502355312">
    <w:abstractNumId w:val="9"/>
  </w:num>
  <w:num w:numId="7" w16cid:durableId="1717117829">
    <w:abstractNumId w:val="1"/>
  </w:num>
  <w:num w:numId="8" w16cid:durableId="939408643">
    <w:abstractNumId w:val="6"/>
  </w:num>
  <w:num w:numId="9" w16cid:durableId="290717890">
    <w:abstractNumId w:val="8"/>
  </w:num>
  <w:num w:numId="10" w16cid:durableId="223761247">
    <w:abstractNumId w:val="4"/>
  </w:num>
  <w:num w:numId="11" w16cid:durableId="796529533">
    <w:abstractNumId w:val="11"/>
  </w:num>
  <w:num w:numId="12" w16cid:durableId="1843661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CE"/>
    <w:rsid w:val="00001A3F"/>
    <w:rsid w:val="00001D9B"/>
    <w:rsid w:val="00003090"/>
    <w:rsid w:val="00003D66"/>
    <w:rsid w:val="00005DDD"/>
    <w:rsid w:val="00012299"/>
    <w:rsid w:val="00012B7B"/>
    <w:rsid w:val="00012E8D"/>
    <w:rsid w:val="0001314E"/>
    <w:rsid w:val="00013805"/>
    <w:rsid w:val="00015517"/>
    <w:rsid w:val="00015627"/>
    <w:rsid w:val="000202FB"/>
    <w:rsid w:val="00023E7D"/>
    <w:rsid w:val="00024D3C"/>
    <w:rsid w:val="0002634B"/>
    <w:rsid w:val="00032337"/>
    <w:rsid w:val="0003298F"/>
    <w:rsid w:val="00033787"/>
    <w:rsid w:val="000343B4"/>
    <w:rsid w:val="00034817"/>
    <w:rsid w:val="000354E4"/>
    <w:rsid w:val="00035EA7"/>
    <w:rsid w:val="00036847"/>
    <w:rsid w:val="00037D42"/>
    <w:rsid w:val="00040EDA"/>
    <w:rsid w:val="00040F1F"/>
    <w:rsid w:val="000444B0"/>
    <w:rsid w:val="00044B52"/>
    <w:rsid w:val="00047E74"/>
    <w:rsid w:val="000524AB"/>
    <w:rsid w:val="000525D8"/>
    <w:rsid w:val="00053856"/>
    <w:rsid w:val="0005446E"/>
    <w:rsid w:val="00055504"/>
    <w:rsid w:val="000557BA"/>
    <w:rsid w:val="00056C08"/>
    <w:rsid w:val="000613AF"/>
    <w:rsid w:val="00062098"/>
    <w:rsid w:val="0006388B"/>
    <w:rsid w:val="00064AFC"/>
    <w:rsid w:val="00066153"/>
    <w:rsid w:val="00066602"/>
    <w:rsid w:val="000667DE"/>
    <w:rsid w:val="00070C29"/>
    <w:rsid w:val="00070FE0"/>
    <w:rsid w:val="000713EE"/>
    <w:rsid w:val="0007154F"/>
    <w:rsid w:val="00071D40"/>
    <w:rsid w:val="000735DA"/>
    <w:rsid w:val="00073A25"/>
    <w:rsid w:val="00073BD5"/>
    <w:rsid w:val="00074248"/>
    <w:rsid w:val="00074291"/>
    <w:rsid w:val="00075289"/>
    <w:rsid w:val="00077FB5"/>
    <w:rsid w:val="00080158"/>
    <w:rsid w:val="0008241B"/>
    <w:rsid w:val="00086FAD"/>
    <w:rsid w:val="000872DB"/>
    <w:rsid w:val="00087F00"/>
    <w:rsid w:val="00091065"/>
    <w:rsid w:val="0009248F"/>
    <w:rsid w:val="00093235"/>
    <w:rsid w:val="000952AA"/>
    <w:rsid w:val="00095ABA"/>
    <w:rsid w:val="000A00E4"/>
    <w:rsid w:val="000A0284"/>
    <w:rsid w:val="000A099A"/>
    <w:rsid w:val="000A0C86"/>
    <w:rsid w:val="000A31B2"/>
    <w:rsid w:val="000A34D2"/>
    <w:rsid w:val="000A4A7D"/>
    <w:rsid w:val="000A59D0"/>
    <w:rsid w:val="000A61B3"/>
    <w:rsid w:val="000A671E"/>
    <w:rsid w:val="000A687C"/>
    <w:rsid w:val="000A747C"/>
    <w:rsid w:val="000B0385"/>
    <w:rsid w:val="000B15E5"/>
    <w:rsid w:val="000B1867"/>
    <w:rsid w:val="000B572B"/>
    <w:rsid w:val="000B57DE"/>
    <w:rsid w:val="000B5F2F"/>
    <w:rsid w:val="000B613F"/>
    <w:rsid w:val="000C13BF"/>
    <w:rsid w:val="000C3A57"/>
    <w:rsid w:val="000C549A"/>
    <w:rsid w:val="000C55DA"/>
    <w:rsid w:val="000D14F3"/>
    <w:rsid w:val="000D1E8A"/>
    <w:rsid w:val="000D2B7A"/>
    <w:rsid w:val="000D39A7"/>
    <w:rsid w:val="000D49F8"/>
    <w:rsid w:val="000D4C2A"/>
    <w:rsid w:val="000D5F4A"/>
    <w:rsid w:val="000E0475"/>
    <w:rsid w:val="000E21E8"/>
    <w:rsid w:val="000E4966"/>
    <w:rsid w:val="000E7500"/>
    <w:rsid w:val="000E7941"/>
    <w:rsid w:val="000F0002"/>
    <w:rsid w:val="000F3BCD"/>
    <w:rsid w:val="000F4208"/>
    <w:rsid w:val="000F4586"/>
    <w:rsid w:val="000F7601"/>
    <w:rsid w:val="000F767F"/>
    <w:rsid w:val="000F797D"/>
    <w:rsid w:val="0010142D"/>
    <w:rsid w:val="00101CC6"/>
    <w:rsid w:val="00102BD7"/>
    <w:rsid w:val="0010582E"/>
    <w:rsid w:val="00111CC5"/>
    <w:rsid w:val="00111D4D"/>
    <w:rsid w:val="00112589"/>
    <w:rsid w:val="00113DC9"/>
    <w:rsid w:val="00117494"/>
    <w:rsid w:val="001176CB"/>
    <w:rsid w:val="00120294"/>
    <w:rsid w:val="001220D3"/>
    <w:rsid w:val="001236E2"/>
    <w:rsid w:val="00123A2B"/>
    <w:rsid w:val="0012469A"/>
    <w:rsid w:val="00127378"/>
    <w:rsid w:val="0013056C"/>
    <w:rsid w:val="0013285E"/>
    <w:rsid w:val="00132FA2"/>
    <w:rsid w:val="0013455D"/>
    <w:rsid w:val="001345A4"/>
    <w:rsid w:val="00135E73"/>
    <w:rsid w:val="0013645A"/>
    <w:rsid w:val="00137181"/>
    <w:rsid w:val="001416A2"/>
    <w:rsid w:val="00142818"/>
    <w:rsid w:val="00145B6F"/>
    <w:rsid w:val="0014747D"/>
    <w:rsid w:val="00147C5C"/>
    <w:rsid w:val="00147F6C"/>
    <w:rsid w:val="0015021B"/>
    <w:rsid w:val="00150AAB"/>
    <w:rsid w:val="00150E64"/>
    <w:rsid w:val="0015130E"/>
    <w:rsid w:val="00151FA1"/>
    <w:rsid w:val="00153779"/>
    <w:rsid w:val="0015393D"/>
    <w:rsid w:val="00154234"/>
    <w:rsid w:val="00154B22"/>
    <w:rsid w:val="00156BDB"/>
    <w:rsid w:val="0015730B"/>
    <w:rsid w:val="00157755"/>
    <w:rsid w:val="00161FDC"/>
    <w:rsid w:val="00163563"/>
    <w:rsid w:val="00165365"/>
    <w:rsid w:val="00165504"/>
    <w:rsid w:val="00166961"/>
    <w:rsid w:val="00167FB2"/>
    <w:rsid w:val="001703BD"/>
    <w:rsid w:val="00171D3A"/>
    <w:rsid w:val="0017475C"/>
    <w:rsid w:val="0017624E"/>
    <w:rsid w:val="00180598"/>
    <w:rsid w:val="00181FD1"/>
    <w:rsid w:val="00182CED"/>
    <w:rsid w:val="00182D01"/>
    <w:rsid w:val="001842F6"/>
    <w:rsid w:val="001855E3"/>
    <w:rsid w:val="001863CE"/>
    <w:rsid w:val="0019097C"/>
    <w:rsid w:val="0019704D"/>
    <w:rsid w:val="001A1697"/>
    <w:rsid w:val="001A1BD7"/>
    <w:rsid w:val="001A1F0E"/>
    <w:rsid w:val="001A2980"/>
    <w:rsid w:val="001A3B4C"/>
    <w:rsid w:val="001A52FD"/>
    <w:rsid w:val="001A58CA"/>
    <w:rsid w:val="001A7265"/>
    <w:rsid w:val="001A7894"/>
    <w:rsid w:val="001B2535"/>
    <w:rsid w:val="001B25F4"/>
    <w:rsid w:val="001C14BA"/>
    <w:rsid w:val="001C21C1"/>
    <w:rsid w:val="001C262C"/>
    <w:rsid w:val="001C2655"/>
    <w:rsid w:val="001C3897"/>
    <w:rsid w:val="001C4193"/>
    <w:rsid w:val="001D15EF"/>
    <w:rsid w:val="001D16FC"/>
    <w:rsid w:val="001D3A45"/>
    <w:rsid w:val="001D66E1"/>
    <w:rsid w:val="001E092B"/>
    <w:rsid w:val="001E30E6"/>
    <w:rsid w:val="001E31A6"/>
    <w:rsid w:val="001E55D7"/>
    <w:rsid w:val="001E5DA2"/>
    <w:rsid w:val="001E61B4"/>
    <w:rsid w:val="001E6ED3"/>
    <w:rsid w:val="001E7E03"/>
    <w:rsid w:val="001F0EB7"/>
    <w:rsid w:val="001F0FB4"/>
    <w:rsid w:val="001F3119"/>
    <w:rsid w:val="001F41D0"/>
    <w:rsid w:val="001F497C"/>
    <w:rsid w:val="001F4C01"/>
    <w:rsid w:val="001F4CB2"/>
    <w:rsid w:val="001F72A0"/>
    <w:rsid w:val="001F7DF3"/>
    <w:rsid w:val="0020117F"/>
    <w:rsid w:val="002011D8"/>
    <w:rsid w:val="00201AEC"/>
    <w:rsid w:val="00206A77"/>
    <w:rsid w:val="00207569"/>
    <w:rsid w:val="00207DD9"/>
    <w:rsid w:val="00211700"/>
    <w:rsid w:val="002121E4"/>
    <w:rsid w:val="00214077"/>
    <w:rsid w:val="0021411F"/>
    <w:rsid w:val="002154A5"/>
    <w:rsid w:val="002155BE"/>
    <w:rsid w:val="0021590F"/>
    <w:rsid w:val="00216077"/>
    <w:rsid w:val="00220E6B"/>
    <w:rsid w:val="00221244"/>
    <w:rsid w:val="00221792"/>
    <w:rsid w:val="0022279A"/>
    <w:rsid w:val="0022371E"/>
    <w:rsid w:val="00227629"/>
    <w:rsid w:val="00231933"/>
    <w:rsid w:val="0023232B"/>
    <w:rsid w:val="00233D83"/>
    <w:rsid w:val="00233FCC"/>
    <w:rsid w:val="002342E6"/>
    <w:rsid w:val="00236C09"/>
    <w:rsid w:val="0024077E"/>
    <w:rsid w:val="00240AC8"/>
    <w:rsid w:val="002453BB"/>
    <w:rsid w:val="0024619A"/>
    <w:rsid w:val="00247C8B"/>
    <w:rsid w:val="002505AA"/>
    <w:rsid w:val="00250D73"/>
    <w:rsid w:val="00250E7A"/>
    <w:rsid w:val="00255AE8"/>
    <w:rsid w:val="002561A9"/>
    <w:rsid w:val="00256B43"/>
    <w:rsid w:val="0025797E"/>
    <w:rsid w:val="00261C80"/>
    <w:rsid w:val="00263E0D"/>
    <w:rsid w:val="0026477E"/>
    <w:rsid w:val="002715D0"/>
    <w:rsid w:val="0027171A"/>
    <w:rsid w:val="002750CB"/>
    <w:rsid w:val="00276BA3"/>
    <w:rsid w:val="002816FC"/>
    <w:rsid w:val="00281E04"/>
    <w:rsid w:val="0028774D"/>
    <w:rsid w:val="00287F19"/>
    <w:rsid w:val="00292B77"/>
    <w:rsid w:val="00293F50"/>
    <w:rsid w:val="002951BE"/>
    <w:rsid w:val="00297BA5"/>
    <w:rsid w:val="002A12E5"/>
    <w:rsid w:val="002A1ECD"/>
    <w:rsid w:val="002A1F42"/>
    <w:rsid w:val="002A28A8"/>
    <w:rsid w:val="002A4A22"/>
    <w:rsid w:val="002A553F"/>
    <w:rsid w:val="002A5A83"/>
    <w:rsid w:val="002B228E"/>
    <w:rsid w:val="002B2FB8"/>
    <w:rsid w:val="002B3EAC"/>
    <w:rsid w:val="002B418E"/>
    <w:rsid w:val="002B536F"/>
    <w:rsid w:val="002B603D"/>
    <w:rsid w:val="002B6F2B"/>
    <w:rsid w:val="002C0440"/>
    <w:rsid w:val="002C0BCD"/>
    <w:rsid w:val="002C23D4"/>
    <w:rsid w:val="002C2B89"/>
    <w:rsid w:val="002C4DBB"/>
    <w:rsid w:val="002C5146"/>
    <w:rsid w:val="002C5DA7"/>
    <w:rsid w:val="002C75CD"/>
    <w:rsid w:val="002C7E7E"/>
    <w:rsid w:val="002C7FC4"/>
    <w:rsid w:val="002D099A"/>
    <w:rsid w:val="002D0E84"/>
    <w:rsid w:val="002D0F05"/>
    <w:rsid w:val="002D255A"/>
    <w:rsid w:val="002D2D1E"/>
    <w:rsid w:val="002D3E08"/>
    <w:rsid w:val="002D454B"/>
    <w:rsid w:val="002D5A6E"/>
    <w:rsid w:val="002D6F72"/>
    <w:rsid w:val="002D7E88"/>
    <w:rsid w:val="002E1735"/>
    <w:rsid w:val="002E278E"/>
    <w:rsid w:val="002E316D"/>
    <w:rsid w:val="002E484B"/>
    <w:rsid w:val="002E4996"/>
    <w:rsid w:val="002E5296"/>
    <w:rsid w:val="002E5E33"/>
    <w:rsid w:val="002E6E6E"/>
    <w:rsid w:val="002E73AE"/>
    <w:rsid w:val="002F08CC"/>
    <w:rsid w:val="002F1FC1"/>
    <w:rsid w:val="002F5383"/>
    <w:rsid w:val="002F6B7C"/>
    <w:rsid w:val="002F715D"/>
    <w:rsid w:val="003001D0"/>
    <w:rsid w:val="00300885"/>
    <w:rsid w:val="00301880"/>
    <w:rsid w:val="00302354"/>
    <w:rsid w:val="003024AE"/>
    <w:rsid w:val="00302731"/>
    <w:rsid w:val="00302F16"/>
    <w:rsid w:val="003031F4"/>
    <w:rsid w:val="00303ED8"/>
    <w:rsid w:val="00304F30"/>
    <w:rsid w:val="00305C8C"/>
    <w:rsid w:val="00310B11"/>
    <w:rsid w:val="003129F5"/>
    <w:rsid w:val="00313543"/>
    <w:rsid w:val="003142A0"/>
    <w:rsid w:val="00314F44"/>
    <w:rsid w:val="0031518C"/>
    <w:rsid w:val="003152AC"/>
    <w:rsid w:val="00315580"/>
    <w:rsid w:val="00316816"/>
    <w:rsid w:val="00321AC9"/>
    <w:rsid w:val="00321C9D"/>
    <w:rsid w:val="003254AC"/>
    <w:rsid w:val="003255D9"/>
    <w:rsid w:val="003266AC"/>
    <w:rsid w:val="00326CAB"/>
    <w:rsid w:val="003274DC"/>
    <w:rsid w:val="00330DB6"/>
    <w:rsid w:val="0033187A"/>
    <w:rsid w:val="00331DA4"/>
    <w:rsid w:val="00333754"/>
    <w:rsid w:val="003341B5"/>
    <w:rsid w:val="00337285"/>
    <w:rsid w:val="00343AB8"/>
    <w:rsid w:val="0034480F"/>
    <w:rsid w:val="00344AF2"/>
    <w:rsid w:val="00350507"/>
    <w:rsid w:val="00352822"/>
    <w:rsid w:val="003532A8"/>
    <w:rsid w:val="003536FD"/>
    <w:rsid w:val="00353AFD"/>
    <w:rsid w:val="00354375"/>
    <w:rsid w:val="0035562A"/>
    <w:rsid w:val="00357693"/>
    <w:rsid w:val="0036119F"/>
    <w:rsid w:val="00364033"/>
    <w:rsid w:val="003640DF"/>
    <w:rsid w:val="00366439"/>
    <w:rsid w:val="00367B94"/>
    <w:rsid w:val="0037036E"/>
    <w:rsid w:val="003710F6"/>
    <w:rsid w:val="003717A9"/>
    <w:rsid w:val="00371E1E"/>
    <w:rsid w:val="00372836"/>
    <w:rsid w:val="00373552"/>
    <w:rsid w:val="00375121"/>
    <w:rsid w:val="003763EB"/>
    <w:rsid w:val="00380487"/>
    <w:rsid w:val="0038085F"/>
    <w:rsid w:val="003819ED"/>
    <w:rsid w:val="00383B39"/>
    <w:rsid w:val="0038473D"/>
    <w:rsid w:val="00384F28"/>
    <w:rsid w:val="00385837"/>
    <w:rsid w:val="00385B52"/>
    <w:rsid w:val="00390233"/>
    <w:rsid w:val="0039057A"/>
    <w:rsid w:val="0039283D"/>
    <w:rsid w:val="00392B06"/>
    <w:rsid w:val="00392F86"/>
    <w:rsid w:val="0039359C"/>
    <w:rsid w:val="00394F7E"/>
    <w:rsid w:val="003A1F57"/>
    <w:rsid w:val="003A24EA"/>
    <w:rsid w:val="003A2CEB"/>
    <w:rsid w:val="003A32C0"/>
    <w:rsid w:val="003A3BFC"/>
    <w:rsid w:val="003B078C"/>
    <w:rsid w:val="003B1D0B"/>
    <w:rsid w:val="003B5E4C"/>
    <w:rsid w:val="003B6450"/>
    <w:rsid w:val="003C0A50"/>
    <w:rsid w:val="003C22E4"/>
    <w:rsid w:val="003C3A13"/>
    <w:rsid w:val="003C3AA6"/>
    <w:rsid w:val="003C3DD5"/>
    <w:rsid w:val="003C5A76"/>
    <w:rsid w:val="003C5A86"/>
    <w:rsid w:val="003C5D50"/>
    <w:rsid w:val="003C66D6"/>
    <w:rsid w:val="003C6D01"/>
    <w:rsid w:val="003C7194"/>
    <w:rsid w:val="003C7616"/>
    <w:rsid w:val="003C7F24"/>
    <w:rsid w:val="003D1E0F"/>
    <w:rsid w:val="003D20A4"/>
    <w:rsid w:val="003D4058"/>
    <w:rsid w:val="003D61DE"/>
    <w:rsid w:val="003E0504"/>
    <w:rsid w:val="003E1103"/>
    <w:rsid w:val="003E1486"/>
    <w:rsid w:val="003E206E"/>
    <w:rsid w:val="003E220B"/>
    <w:rsid w:val="003E3021"/>
    <w:rsid w:val="003E4A06"/>
    <w:rsid w:val="003E503A"/>
    <w:rsid w:val="003E5752"/>
    <w:rsid w:val="003E64E5"/>
    <w:rsid w:val="003E7793"/>
    <w:rsid w:val="003E79A5"/>
    <w:rsid w:val="003F047D"/>
    <w:rsid w:val="003F55A7"/>
    <w:rsid w:val="003F64FF"/>
    <w:rsid w:val="003F66FF"/>
    <w:rsid w:val="003F6884"/>
    <w:rsid w:val="003F688C"/>
    <w:rsid w:val="003F7D9C"/>
    <w:rsid w:val="004013B9"/>
    <w:rsid w:val="00401C1E"/>
    <w:rsid w:val="00402C70"/>
    <w:rsid w:val="004040B6"/>
    <w:rsid w:val="004041DB"/>
    <w:rsid w:val="00406900"/>
    <w:rsid w:val="004074D5"/>
    <w:rsid w:val="00407F39"/>
    <w:rsid w:val="004101B4"/>
    <w:rsid w:val="00410382"/>
    <w:rsid w:val="00413372"/>
    <w:rsid w:val="0041351D"/>
    <w:rsid w:val="004141BB"/>
    <w:rsid w:val="004159E0"/>
    <w:rsid w:val="00417C2B"/>
    <w:rsid w:val="004213C8"/>
    <w:rsid w:val="00421927"/>
    <w:rsid w:val="00423B9E"/>
    <w:rsid w:val="00424407"/>
    <w:rsid w:val="0042510E"/>
    <w:rsid w:val="004259D0"/>
    <w:rsid w:val="0042618E"/>
    <w:rsid w:val="004275B1"/>
    <w:rsid w:val="004279C2"/>
    <w:rsid w:val="00430423"/>
    <w:rsid w:val="00430751"/>
    <w:rsid w:val="00430FFF"/>
    <w:rsid w:val="00431D76"/>
    <w:rsid w:val="004336A7"/>
    <w:rsid w:val="00434B78"/>
    <w:rsid w:val="00434E98"/>
    <w:rsid w:val="00437299"/>
    <w:rsid w:val="00437B73"/>
    <w:rsid w:val="00440CF1"/>
    <w:rsid w:val="004447F3"/>
    <w:rsid w:val="00453FCE"/>
    <w:rsid w:val="00455C19"/>
    <w:rsid w:val="00455D71"/>
    <w:rsid w:val="00457211"/>
    <w:rsid w:val="0045727B"/>
    <w:rsid w:val="00457D52"/>
    <w:rsid w:val="00460EFB"/>
    <w:rsid w:val="00461096"/>
    <w:rsid w:val="004612FC"/>
    <w:rsid w:val="004633BA"/>
    <w:rsid w:val="004657FA"/>
    <w:rsid w:val="00465D46"/>
    <w:rsid w:val="00467505"/>
    <w:rsid w:val="0046796E"/>
    <w:rsid w:val="00471361"/>
    <w:rsid w:val="00472A1E"/>
    <w:rsid w:val="00473957"/>
    <w:rsid w:val="00473AA4"/>
    <w:rsid w:val="00475152"/>
    <w:rsid w:val="00476595"/>
    <w:rsid w:val="00476B80"/>
    <w:rsid w:val="00481484"/>
    <w:rsid w:val="00481F68"/>
    <w:rsid w:val="004822C1"/>
    <w:rsid w:val="00484AAE"/>
    <w:rsid w:val="00487056"/>
    <w:rsid w:val="0049105D"/>
    <w:rsid w:val="00491A42"/>
    <w:rsid w:val="00491FCC"/>
    <w:rsid w:val="00492121"/>
    <w:rsid w:val="00492DE7"/>
    <w:rsid w:val="00494034"/>
    <w:rsid w:val="004963E0"/>
    <w:rsid w:val="00496436"/>
    <w:rsid w:val="00497829"/>
    <w:rsid w:val="004A0E76"/>
    <w:rsid w:val="004A2DE4"/>
    <w:rsid w:val="004A3A02"/>
    <w:rsid w:val="004A44A3"/>
    <w:rsid w:val="004A641F"/>
    <w:rsid w:val="004A6A99"/>
    <w:rsid w:val="004A7CD9"/>
    <w:rsid w:val="004B0360"/>
    <w:rsid w:val="004B3F0A"/>
    <w:rsid w:val="004B4141"/>
    <w:rsid w:val="004B66D0"/>
    <w:rsid w:val="004B707D"/>
    <w:rsid w:val="004B7FCE"/>
    <w:rsid w:val="004C0B4B"/>
    <w:rsid w:val="004C0F22"/>
    <w:rsid w:val="004C1906"/>
    <w:rsid w:val="004C1917"/>
    <w:rsid w:val="004C1EA1"/>
    <w:rsid w:val="004C20AB"/>
    <w:rsid w:val="004C271C"/>
    <w:rsid w:val="004C3C63"/>
    <w:rsid w:val="004C4262"/>
    <w:rsid w:val="004C4320"/>
    <w:rsid w:val="004C4F9A"/>
    <w:rsid w:val="004C5C24"/>
    <w:rsid w:val="004C785A"/>
    <w:rsid w:val="004D186A"/>
    <w:rsid w:val="004D3194"/>
    <w:rsid w:val="004D3CF9"/>
    <w:rsid w:val="004D40C0"/>
    <w:rsid w:val="004D439A"/>
    <w:rsid w:val="004D4C3D"/>
    <w:rsid w:val="004D5A23"/>
    <w:rsid w:val="004D5C4F"/>
    <w:rsid w:val="004D6903"/>
    <w:rsid w:val="004D6D90"/>
    <w:rsid w:val="004E15D2"/>
    <w:rsid w:val="004E1E63"/>
    <w:rsid w:val="004E241E"/>
    <w:rsid w:val="004E35E8"/>
    <w:rsid w:val="004E4FAE"/>
    <w:rsid w:val="004E62F7"/>
    <w:rsid w:val="004F6199"/>
    <w:rsid w:val="004F63FD"/>
    <w:rsid w:val="004F76AA"/>
    <w:rsid w:val="00500076"/>
    <w:rsid w:val="00500EA1"/>
    <w:rsid w:val="005014DE"/>
    <w:rsid w:val="005033BF"/>
    <w:rsid w:val="00503C74"/>
    <w:rsid w:val="00505467"/>
    <w:rsid w:val="00505E33"/>
    <w:rsid w:val="00506C1B"/>
    <w:rsid w:val="00507A79"/>
    <w:rsid w:val="005103E2"/>
    <w:rsid w:val="00510C47"/>
    <w:rsid w:val="00511112"/>
    <w:rsid w:val="0051153A"/>
    <w:rsid w:val="00512258"/>
    <w:rsid w:val="00512271"/>
    <w:rsid w:val="00513142"/>
    <w:rsid w:val="00513431"/>
    <w:rsid w:val="005137E7"/>
    <w:rsid w:val="00517C1C"/>
    <w:rsid w:val="00520ACE"/>
    <w:rsid w:val="00520F81"/>
    <w:rsid w:val="0052277D"/>
    <w:rsid w:val="00524895"/>
    <w:rsid w:val="00526926"/>
    <w:rsid w:val="00530A8F"/>
    <w:rsid w:val="0053219C"/>
    <w:rsid w:val="005328CC"/>
    <w:rsid w:val="00532EFA"/>
    <w:rsid w:val="00534948"/>
    <w:rsid w:val="00534D7D"/>
    <w:rsid w:val="00537198"/>
    <w:rsid w:val="005408B3"/>
    <w:rsid w:val="00542AF8"/>
    <w:rsid w:val="00542D12"/>
    <w:rsid w:val="00542F4C"/>
    <w:rsid w:val="0054545C"/>
    <w:rsid w:val="005454A1"/>
    <w:rsid w:val="00546878"/>
    <w:rsid w:val="00546B9F"/>
    <w:rsid w:val="00547593"/>
    <w:rsid w:val="00550432"/>
    <w:rsid w:val="005507DD"/>
    <w:rsid w:val="00550980"/>
    <w:rsid w:val="00551928"/>
    <w:rsid w:val="0055217E"/>
    <w:rsid w:val="00552B00"/>
    <w:rsid w:val="00553BB6"/>
    <w:rsid w:val="00553F4B"/>
    <w:rsid w:val="005541A0"/>
    <w:rsid w:val="005550A8"/>
    <w:rsid w:val="005559FC"/>
    <w:rsid w:val="00555DE1"/>
    <w:rsid w:val="00556852"/>
    <w:rsid w:val="00564CF8"/>
    <w:rsid w:val="00565CE8"/>
    <w:rsid w:val="00566A25"/>
    <w:rsid w:val="00567035"/>
    <w:rsid w:val="005677A2"/>
    <w:rsid w:val="00567D2F"/>
    <w:rsid w:val="00571943"/>
    <w:rsid w:val="00574F2C"/>
    <w:rsid w:val="00575833"/>
    <w:rsid w:val="00575F95"/>
    <w:rsid w:val="005761C7"/>
    <w:rsid w:val="0057763E"/>
    <w:rsid w:val="00577FA5"/>
    <w:rsid w:val="00580E28"/>
    <w:rsid w:val="00581CEE"/>
    <w:rsid w:val="005826B1"/>
    <w:rsid w:val="00585FF1"/>
    <w:rsid w:val="00587469"/>
    <w:rsid w:val="00587A86"/>
    <w:rsid w:val="00591595"/>
    <w:rsid w:val="0059319B"/>
    <w:rsid w:val="0059399D"/>
    <w:rsid w:val="005945CE"/>
    <w:rsid w:val="00594F52"/>
    <w:rsid w:val="00595168"/>
    <w:rsid w:val="00595936"/>
    <w:rsid w:val="005967EA"/>
    <w:rsid w:val="005A0668"/>
    <w:rsid w:val="005A0B1B"/>
    <w:rsid w:val="005A261D"/>
    <w:rsid w:val="005A328B"/>
    <w:rsid w:val="005A4480"/>
    <w:rsid w:val="005A5648"/>
    <w:rsid w:val="005B1669"/>
    <w:rsid w:val="005B1966"/>
    <w:rsid w:val="005B2330"/>
    <w:rsid w:val="005B35B0"/>
    <w:rsid w:val="005B5367"/>
    <w:rsid w:val="005B585E"/>
    <w:rsid w:val="005B59DE"/>
    <w:rsid w:val="005B6707"/>
    <w:rsid w:val="005B709B"/>
    <w:rsid w:val="005C0079"/>
    <w:rsid w:val="005C2C7A"/>
    <w:rsid w:val="005C46F7"/>
    <w:rsid w:val="005C5727"/>
    <w:rsid w:val="005C66CC"/>
    <w:rsid w:val="005C71B4"/>
    <w:rsid w:val="005C7762"/>
    <w:rsid w:val="005C7B6D"/>
    <w:rsid w:val="005D05BC"/>
    <w:rsid w:val="005D0E93"/>
    <w:rsid w:val="005D24D6"/>
    <w:rsid w:val="005D2E1D"/>
    <w:rsid w:val="005D3B93"/>
    <w:rsid w:val="005D7630"/>
    <w:rsid w:val="005D79E0"/>
    <w:rsid w:val="005E0F5E"/>
    <w:rsid w:val="005E3AD5"/>
    <w:rsid w:val="005E4D51"/>
    <w:rsid w:val="005E5232"/>
    <w:rsid w:val="005E5F07"/>
    <w:rsid w:val="005E642F"/>
    <w:rsid w:val="005E6BE7"/>
    <w:rsid w:val="005F04F9"/>
    <w:rsid w:val="005F1357"/>
    <w:rsid w:val="005F263F"/>
    <w:rsid w:val="005F4AA8"/>
    <w:rsid w:val="005F4ADB"/>
    <w:rsid w:val="005F5C61"/>
    <w:rsid w:val="005F7584"/>
    <w:rsid w:val="00600D3C"/>
    <w:rsid w:val="00603F15"/>
    <w:rsid w:val="0060533E"/>
    <w:rsid w:val="006062F9"/>
    <w:rsid w:val="00606F19"/>
    <w:rsid w:val="00610887"/>
    <w:rsid w:val="00611810"/>
    <w:rsid w:val="00611834"/>
    <w:rsid w:val="00611990"/>
    <w:rsid w:val="00611D78"/>
    <w:rsid w:val="0061466C"/>
    <w:rsid w:val="00617FF1"/>
    <w:rsid w:val="00621BDE"/>
    <w:rsid w:val="00622351"/>
    <w:rsid w:val="00622385"/>
    <w:rsid w:val="00622AF0"/>
    <w:rsid w:val="006236E4"/>
    <w:rsid w:val="0062670A"/>
    <w:rsid w:val="006270FB"/>
    <w:rsid w:val="0062784E"/>
    <w:rsid w:val="00631643"/>
    <w:rsid w:val="006332A4"/>
    <w:rsid w:val="006336F7"/>
    <w:rsid w:val="00633D44"/>
    <w:rsid w:val="00635D6D"/>
    <w:rsid w:val="006372D2"/>
    <w:rsid w:val="00640E48"/>
    <w:rsid w:val="0064147C"/>
    <w:rsid w:val="0064197F"/>
    <w:rsid w:val="00642E46"/>
    <w:rsid w:val="0064370E"/>
    <w:rsid w:val="006444C2"/>
    <w:rsid w:val="0064452A"/>
    <w:rsid w:val="00644D51"/>
    <w:rsid w:val="00645D94"/>
    <w:rsid w:val="00647C1F"/>
    <w:rsid w:val="00647D7E"/>
    <w:rsid w:val="006502FB"/>
    <w:rsid w:val="006521D2"/>
    <w:rsid w:val="006522A9"/>
    <w:rsid w:val="00653017"/>
    <w:rsid w:val="006531DB"/>
    <w:rsid w:val="00654D99"/>
    <w:rsid w:val="006550E2"/>
    <w:rsid w:val="00660253"/>
    <w:rsid w:val="0066152C"/>
    <w:rsid w:val="00662203"/>
    <w:rsid w:val="00662B0D"/>
    <w:rsid w:val="0066444C"/>
    <w:rsid w:val="00665DF2"/>
    <w:rsid w:val="00665E04"/>
    <w:rsid w:val="00666D97"/>
    <w:rsid w:val="0067026B"/>
    <w:rsid w:val="006716FC"/>
    <w:rsid w:val="0067279D"/>
    <w:rsid w:val="006751B7"/>
    <w:rsid w:val="00675CA7"/>
    <w:rsid w:val="006771FE"/>
    <w:rsid w:val="00681F82"/>
    <w:rsid w:val="00683FA5"/>
    <w:rsid w:val="00687109"/>
    <w:rsid w:val="00691E19"/>
    <w:rsid w:val="0069342B"/>
    <w:rsid w:val="00693E25"/>
    <w:rsid w:val="0069637E"/>
    <w:rsid w:val="00696BBF"/>
    <w:rsid w:val="006A1365"/>
    <w:rsid w:val="006A2A1E"/>
    <w:rsid w:val="006A2C58"/>
    <w:rsid w:val="006A456B"/>
    <w:rsid w:val="006A4C16"/>
    <w:rsid w:val="006A58CC"/>
    <w:rsid w:val="006A6529"/>
    <w:rsid w:val="006A7E1F"/>
    <w:rsid w:val="006B2765"/>
    <w:rsid w:val="006B2A12"/>
    <w:rsid w:val="006B5A06"/>
    <w:rsid w:val="006B5ECB"/>
    <w:rsid w:val="006C1B55"/>
    <w:rsid w:val="006C42AB"/>
    <w:rsid w:val="006C464E"/>
    <w:rsid w:val="006C492A"/>
    <w:rsid w:val="006C7021"/>
    <w:rsid w:val="006C75B7"/>
    <w:rsid w:val="006D665C"/>
    <w:rsid w:val="006D783E"/>
    <w:rsid w:val="006E1509"/>
    <w:rsid w:val="006E1943"/>
    <w:rsid w:val="006E2C2F"/>
    <w:rsid w:val="006E4EE4"/>
    <w:rsid w:val="006E75DC"/>
    <w:rsid w:val="006E7BB1"/>
    <w:rsid w:val="006F1607"/>
    <w:rsid w:val="006F213A"/>
    <w:rsid w:val="006F2A73"/>
    <w:rsid w:val="006F3E0D"/>
    <w:rsid w:val="006F4158"/>
    <w:rsid w:val="006F41E6"/>
    <w:rsid w:val="006F474C"/>
    <w:rsid w:val="006F4AC9"/>
    <w:rsid w:val="006F6471"/>
    <w:rsid w:val="006F7D56"/>
    <w:rsid w:val="00701023"/>
    <w:rsid w:val="0070250F"/>
    <w:rsid w:val="00702B94"/>
    <w:rsid w:val="007039C5"/>
    <w:rsid w:val="007044BF"/>
    <w:rsid w:val="00704997"/>
    <w:rsid w:val="00704ED5"/>
    <w:rsid w:val="00705090"/>
    <w:rsid w:val="00706CFC"/>
    <w:rsid w:val="00712B01"/>
    <w:rsid w:val="00715A99"/>
    <w:rsid w:val="00717041"/>
    <w:rsid w:val="00717872"/>
    <w:rsid w:val="00717B7B"/>
    <w:rsid w:val="00720BCD"/>
    <w:rsid w:val="00721AEA"/>
    <w:rsid w:val="00722832"/>
    <w:rsid w:val="007243DB"/>
    <w:rsid w:val="00724713"/>
    <w:rsid w:val="00724E67"/>
    <w:rsid w:val="00725662"/>
    <w:rsid w:val="00725941"/>
    <w:rsid w:val="00727013"/>
    <w:rsid w:val="0072763E"/>
    <w:rsid w:val="00727BA0"/>
    <w:rsid w:val="00730255"/>
    <w:rsid w:val="0073035A"/>
    <w:rsid w:val="007308C3"/>
    <w:rsid w:val="0073135E"/>
    <w:rsid w:val="007316AB"/>
    <w:rsid w:val="00733C39"/>
    <w:rsid w:val="00734D63"/>
    <w:rsid w:val="00736239"/>
    <w:rsid w:val="00736978"/>
    <w:rsid w:val="00741D6F"/>
    <w:rsid w:val="00744011"/>
    <w:rsid w:val="00744A32"/>
    <w:rsid w:val="00746766"/>
    <w:rsid w:val="0074742C"/>
    <w:rsid w:val="00751AFF"/>
    <w:rsid w:val="00751ED4"/>
    <w:rsid w:val="00752E7A"/>
    <w:rsid w:val="0075411E"/>
    <w:rsid w:val="00754394"/>
    <w:rsid w:val="00754594"/>
    <w:rsid w:val="00756556"/>
    <w:rsid w:val="007579A8"/>
    <w:rsid w:val="00760761"/>
    <w:rsid w:val="00760A8A"/>
    <w:rsid w:val="0076149D"/>
    <w:rsid w:val="00761DA7"/>
    <w:rsid w:val="007623D8"/>
    <w:rsid w:val="00763936"/>
    <w:rsid w:val="007652BC"/>
    <w:rsid w:val="00767E47"/>
    <w:rsid w:val="00767EC1"/>
    <w:rsid w:val="00771816"/>
    <w:rsid w:val="00771E30"/>
    <w:rsid w:val="00773FFB"/>
    <w:rsid w:val="00774133"/>
    <w:rsid w:val="00774BA8"/>
    <w:rsid w:val="00775A57"/>
    <w:rsid w:val="00775B11"/>
    <w:rsid w:val="00775B38"/>
    <w:rsid w:val="00776F9E"/>
    <w:rsid w:val="0077753B"/>
    <w:rsid w:val="0077794B"/>
    <w:rsid w:val="00780DCC"/>
    <w:rsid w:val="00781118"/>
    <w:rsid w:val="00783347"/>
    <w:rsid w:val="00784766"/>
    <w:rsid w:val="00787F4A"/>
    <w:rsid w:val="00792780"/>
    <w:rsid w:val="00793AFB"/>
    <w:rsid w:val="0079444E"/>
    <w:rsid w:val="007950D3"/>
    <w:rsid w:val="00795ED9"/>
    <w:rsid w:val="00796E14"/>
    <w:rsid w:val="00797B8F"/>
    <w:rsid w:val="007A0825"/>
    <w:rsid w:val="007A0ABC"/>
    <w:rsid w:val="007A287A"/>
    <w:rsid w:val="007A36D0"/>
    <w:rsid w:val="007A63F8"/>
    <w:rsid w:val="007B055B"/>
    <w:rsid w:val="007B0CBD"/>
    <w:rsid w:val="007B1478"/>
    <w:rsid w:val="007B2A25"/>
    <w:rsid w:val="007B42BC"/>
    <w:rsid w:val="007B4466"/>
    <w:rsid w:val="007B472D"/>
    <w:rsid w:val="007B4B66"/>
    <w:rsid w:val="007B4D56"/>
    <w:rsid w:val="007C1AAB"/>
    <w:rsid w:val="007C1BB1"/>
    <w:rsid w:val="007C2188"/>
    <w:rsid w:val="007C56AF"/>
    <w:rsid w:val="007C582F"/>
    <w:rsid w:val="007C5AE6"/>
    <w:rsid w:val="007C62BD"/>
    <w:rsid w:val="007C6B41"/>
    <w:rsid w:val="007D0908"/>
    <w:rsid w:val="007D3306"/>
    <w:rsid w:val="007D5C54"/>
    <w:rsid w:val="007D6611"/>
    <w:rsid w:val="007D67DD"/>
    <w:rsid w:val="007D69B1"/>
    <w:rsid w:val="007D7629"/>
    <w:rsid w:val="007D7BBB"/>
    <w:rsid w:val="007E31F9"/>
    <w:rsid w:val="007E3ACF"/>
    <w:rsid w:val="007E5086"/>
    <w:rsid w:val="007E6D1F"/>
    <w:rsid w:val="007E7DC9"/>
    <w:rsid w:val="007E7E3D"/>
    <w:rsid w:val="007F0914"/>
    <w:rsid w:val="007F1173"/>
    <w:rsid w:val="007F425D"/>
    <w:rsid w:val="007F6CE8"/>
    <w:rsid w:val="007F7D85"/>
    <w:rsid w:val="00802D7E"/>
    <w:rsid w:val="00803244"/>
    <w:rsid w:val="00803E21"/>
    <w:rsid w:val="00804C42"/>
    <w:rsid w:val="0080665E"/>
    <w:rsid w:val="008068C9"/>
    <w:rsid w:val="00810D81"/>
    <w:rsid w:val="008110FA"/>
    <w:rsid w:val="00812F2C"/>
    <w:rsid w:val="00813F32"/>
    <w:rsid w:val="00814770"/>
    <w:rsid w:val="00815C9C"/>
    <w:rsid w:val="00815E15"/>
    <w:rsid w:val="008162FF"/>
    <w:rsid w:val="00816679"/>
    <w:rsid w:val="008166B2"/>
    <w:rsid w:val="008168EF"/>
    <w:rsid w:val="00817051"/>
    <w:rsid w:val="00817F1F"/>
    <w:rsid w:val="0082176C"/>
    <w:rsid w:val="00821AF3"/>
    <w:rsid w:val="00821CA6"/>
    <w:rsid w:val="00821F3F"/>
    <w:rsid w:val="00824442"/>
    <w:rsid w:val="008244AC"/>
    <w:rsid w:val="00824743"/>
    <w:rsid w:val="008275B7"/>
    <w:rsid w:val="00827EF5"/>
    <w:rsid w:val="00830A4C"/>
    <w:rsid w:val="0083275C"/>
    <w:rsid w:val="008330A8"/>
    <w:rsid w:val="008338AD"/>
    <w:rsid w:val="008344F6"/>
    <w:rsid w:val="00835B90"/>
    <w:rsid w:val="0083726A"/>
    <w:rsid w:val="00840760"/>
    <w:rsid w:val="00841B3B"/>
    <w:rsid w:val="00842B15"/>
    <w:rsid w:val="008430B5"/>
    <w:rsid w:val="0084356E"/>
    <w:rsid w:val="0084359E"/>
    <w:rsid w:val="0084393D"/>
    <w:rsid w:val="008451EC"/>
    <w:rsid w:val="0084548D"/>
    <w:rsid w:val="00845589"/>
    <w:rsid w:val="00847508"/>
    <w:rsid w:val="00847F5C"/>
    <w:rsid w:val="008511E7"/>
    <w:rsid w:val="00853281"/>
    <w:rsid w:val="00854354"/>
    <w:rsid w:val="008556DB"/>
    <w:rsid w:val="00855A2E"/>
    <w:rsid w:val="008567D5"/>
    <w:rsid w:val="00857B42"/>
    <w:rsid w:val="00860513"/>
    <w:rsid w:val="00860B2B"/>
    <w:rsid w:val="008618EF"/>
    <w:rsid w:val="0086283D"/>
    <w:rsid w:val="00862AE7"/>
    <w:rsid w:val="00870832"/>
    <w:rsid w:val="00871403"/>
    <w:rsid w:val="00872A19"/>
    <w:rsid w:val="00874673"/>
    <w:rsid w:val="00875D0D"/>
    <w:rsid w:val="008770CC"/>
    <w:rsid w:val="00877413"/>
    <w:rsid w:val="00880F35"/>
    <w:rsid w:val="00882076"/>
    <w:rsid w:val="0088224F"/>
    <w:rsid w:val="00883BF1"/>
    <w:rsid w:val="008875DF"/>
    <w:rsid w:val="00887625"/>
    <w:rsid w:val="008877FF"/>
    <w:rsid w:val="00887A87"/>
    <w:rsid w:val="00887D38"/>
    <w:rsid w:val="00887DA0"/>
    <w:rsid w:val="00891A59"/>
    <w:rsid w:val="00891F2E"/>
    <w:rsid w:val="00892578"/>
    <w:rsid w:val="008925EE"/>
    <w:rsid w:val="00892A4E"/>
    <w:rsid w:val="00893C1E"/>
    <w:rsid w:val="00893E37"/>
    <w:rsid w:val="00894002"/>
    <w:rsid w:val="00895695"/>
    <w:rsid w:val="008956EE"/>
    <w:rsid w:val="00896A9B"/>
    <w:rsid w:val="008A54B2"/>
    <w:rsid w:val="008A5BCD"/>
    <w:rsid w:val="008A5D85"/>
    <w:rsid w:val="008B0BA3"/>
    <w:rsid w:val="008B1089"/>
    <w:rsid w:val="008B1C3B"/>
    <w:rsid w:val="008B1D1A"/>
    <w:rsid w:val="008B1EE1"/>
    <w:rsid w:val="008B24C7"/>
    <w:rsid w:val="008B2A46"/>
    <w:rsid w:val="008B6AE7"/>
    <w:rsid w:val="008C0F63"/>
    <w:rsid w:val="008C27C9"/>
    <w:rsid w:val="008C78F2"/>
    <w:rsid w:val="008D06A4"/>
    <w:rsid w:val="008D0F8F"/>
    <w:rsid w:val="008D1078"/>
    <w:rsid w:val="008D1B53"/>
    <w:rsid w:val="008D395F"/>
    <w:rsid w:val="008D420C"/>
    <w:rsid w:val="008D482C"/>
    <w:rsid w:val="008E04E2"/>
    <w:rsid w:val="008E1E83"/>
    <w:rsid w:val="008E2AC5"/>
    <w:rsid w:val="008E3268"/>
    <w:rsid w:val="008E400B"/>
    <w:rsid w:val="008F1962"/>
    <w:rsid w:val="008F3424"/>
    <w:rsid w:val="008F4F78"/>
    <w:rsid w:val="008F5C63"/>
    <w:rsid w:val="008F60E7"/>
    <w:rsid w:val="008F7502"/>
    <w:rsid w:val="008F7756"/>
    <w:rsid w:val="00901080"/>
    <w:rsid w:val="00901C5C"/>
    <w:rsid w:val="00902294"/>
    <w:rsid w:val="00902B96"/>
    <w:rsid w:val="00904B46"/>
    <w:rsid w:val="00912CA7"/>
    <w:rsid w:val="009167DC"/>
    <w:rsid w:val="00917EA6"/>
    <w:rsid w:val="00920F33"/>
    <w:rsid w:val="00922D43"/>
    <w:rsid w:val="0092446D"/>
    <w:rsid w:val="009247BA"/>
    <w:rsid w:val="009255E8"/>
    <w:rsid w:val="009267BE"/>
    <w:rsid w:val="00930A1E"/>
    <w:rsid w:val="00933528"/>
    <w:rsid w:val="00934AD2"/>
    <w:rsid w:val="00937830"/>
    <w:rsid w:val="00937EA5"/>
    <w:rsid w:val="009416DA"/>
    <w:rsid w:val="00941A63"/>
    <w:rsid w:val="00946F23"/>
    <w:rsid w:val="00953B89"/>
    <w:rsid w:val="0096378C"/>
    <w:rsid w:val="00965E3C"/>
    <w:rsid w:val="00966A4C"/>
    <w:rsid w:val="00967D5E"/>
    <w:rsid w:val="00970C3F"/>
    <w:rsid w:val="00972F9F"/>
    <w:rsid w:val="009745CB"/>
    <w:rsid w:val="00974617"/>
    <w:rsid w:val="00974E0C"/>
    <w:rsid w:val="00976870"/>
    <w:rsid w:val="00977123"/>
    <w:rsid w:val="00980DD8"/>
    <w:rsid w:val="0098128B"/>
    <w:rsid w:val="009828E5"/>
    <w:rsid w:val="0098594E"/>
    <w:rsid w:val="00991389"/>
    <w:rsid w:val="00991A9E"/>
    <w:rsid w:val="009923F8"/>
    <w:rsid w:val="009927AB"/>
    <w:rsid w:val="00993C6D"/>
    <w:rsid w:val="009940CE"/>
    <w:rsid w:val="00995BB4"/>
    <w:rsid w:val="009A0AF2"/>
    <w:rsid w:val="009A3471"/>
    <w:rsid w:val="009A424C"/>
    <w:rsid w:val="009A4744"/>
    <w:rsid w:val="009A7567"/>
    <w:rsid w:val="009B4FCD"/>
    <w:rsid w:val="009B6697"/>
    <w:rsid w:val="009B79DF"/>
    <w:rsid w:val="009B7D9A"/>
    <w:rsid w:val="009C15D9"/>
    <w:rsid w:val="009C19F7"/>
    <w:rsid w:val="009C59EF"/>
    <w:rsid w:val="009C6FCD"/>
    <w:rsid w:val="009C7151"/>
    <w:rsid w:val="009C7C75"/>
    <w:rsid w:val="009D0211"/>
    <w:rsid w:val="009D029E"/>
    <w:rsid w:val="009D0585"/>
    <w:rsid w:val="009D15AA"/>
    <w:rsid w:val="009D1B8D"/>
    <w:rsid w:val="009D2422"/>
    <w:rsid w:val="009D2B47"/>
    <w:rsid w:val="009D5B5B"/>
    <w:rsid w:val="009D6049"/>
    <w:rsid w:val="009D606B"/>
    <w:rsid w:val="009D63FE"/>
    <w:rsid w:val="009D69FE"/>
    <w:rsid w:val="009E1774"/>
    <w:rsid w:val="009E31E9"/>
    <w:rsid w:val="009E339D"/>
    <w:rsid w:val="009E3D84"/>
    <w:rsid w:val="009E4996"/>
    <w:rsid w:val="009E5C52"/>
    <w:rsid w:val="009E5FC9"/>
    <w:rsid w:val="009E6258"/>
    <w:rsid w:val="009F384D"/>
    <w:rsid w:val="009F5D71"/>
    <w:rsid w:val="00A01A04"/>
    <w:rsid w:val="00A02954"/>
    <w:rsid w:val="00A02B21"/>
    <w:rsid w:val="00A04164"/>
    <w:rsid w:val="00A05E23"/>
    <w:rsid w:val="00A06999"/>
    <w:rsid w:val="00A10978"/>
    <w:rsid w:val="00A113C1"/>
    <w:rsid w:val="00A128BD"/>
    <w:rsid w:val="00A13482"/>
    <w:rsid w:val="00A1401E"/>
    <w:rsid w:val="00A140D8"/>
    <w:rsid w:val="00A158F4"/>
    <w:rsid w:val="00A16870"/>
    <w:rsid w:val="00A16BD1"/>
    <w:rsid w:val="00A16BD8"/>
    <w:rsid w:val="00A1726A"/>
    <w:rsid w:val="00A224B8"/>
    <w:rsid w:val="00A23946"/>
    <w:rsid w:val="00A241ED"/>
    <w:rsid w:val="00A269BE"/>
    <w:rsid w:val="00A27B70"/>
    <w:rsid w:val="00A3454E"/>
    <w:rsid w:val="00A3716F"/>
    <w:rsid w:val="00A373A9"/>
    <w:rsid w:val="00A40F7A"/>
    <w:rsid w:val="00A4208E"/>
    <w:rsid w:val="00A423E7"/>
    <w:rsid w:val="00A42408"/>
    <w:rsid w:val="00A42B63"/>
    <w:rsid w:val="00A43327"/>
    <w:rsid w:val="00A448B2"/>
    <w:rsid w:val="00A45034"/>
    <w:rsid w:val="00A50523"/>
    <w:rsid w:val="00A50BAC"/>
    <w:rsid w:val="00A5223D"/>
    <w:rsid w:val="00A52729"/>
    <w:rsid w:val="00A536E1"/>
    <w:rsid w:val="00A53EB4"/>
    <w:rsid w:val="00A5402A"/>
    <w:rsid w:val="00A544E2"/>
    <w:rsid w:val="00A56BD6"/>
    <w:rsid w:val="00A56FED"/>
    <w:rsid w:val="00A5717A"/>
    <w:rsid w:val="00A601A8"/>
    <w:rsid w:val="00A626C1"/>
    <w:rsid w:val="00A646BD"/>
    <w:rsid w:val="00A64D9C"/>
    <w:rsid w:val="00A656DF"/>
    <w:rsid w:val="00A66227"/>
    <w:rsid w:val="00A67EDD"/>
    <w:rsid w:val="00A71C46"/>
    <w:rsid w:val="00A72172"/>
    <w:rsid w:val="00A7560F"/>
    <w:rsid w:val="00A76946"/>
    <w:rsid w:val="00A80826"/>
    <w:rsid w:val="00A816B8"/>
    <w:rsid w:val="00A82612"/>
    <w:rsid w:val="00A83E36"/>
    <w:rsid w:val="00A93E8F"/>
    <w:rsid w:val="00A9571C"/>
    <w:rsid w:val="00A958DF"/>
    <w:rsid w:val="00A976F8"/>
    <w:rsid w:val="00A97BC3"/>
    <w:rsid w:val="00AA150E"/>
    <w:rsid w:val="00AA1B75"/>
    <w:rsid w:val="00AA265D"/>
    <w:rsid w:val="00AA3881"/>
    <w:rsid w:val="00AA3DE0"/>
    <w:rsid w:val="00AA569C"/>
    <w:rsid w:val="00AA77C9"/>
    <w:rsid w:val="00AB4985"/>
    <w:rsid w:val="00AB4EC6"/>
    <w:rsid w:val="00AB56E2"/>
    <w:rsid w:val="00AB7C49"/>
    <w:rsid w:val="00AC0D56"/>
    <w:rsid w:val="00AC2C06"/>
    <w:rsid w:val="00AC4CC3"/>
    <w:rsid w:val="00AD0C13"/>
    <w:rsid w:val="00AD15D1"/>
    <w:rsid w:val="00AD16D9"/>
    <w:rsid w:val="00AD1792"/>
    <w:rsid w:val="00AD21CA"/>
    <w:rsid w:val="00AD3056"/>
    <w:rsid w:val="00AD4AC6"/>
    <w:rsid w:val="00AD4C63"/>
    <w:rsid w:val="00AD59EB"/>
    <w:rsid w:val="00AD64CC"/>
    <w:rsid w:val="00AD6BE6"/>
    <w:rsid w:val="00AD74BA"/>
    <w:rsid w:val="00AE14E9"/>
    <w:rsid w:val="00AE1B2D"/>
    <w:rsid w:val="00AE509F"/>
    <w:rsid w:val="00AE522C"/>
    <w:rsid w:val="00AE6808"/>
    <w:rsid w:val="00AF038D"/>
    <w:rsid w:val="00AF3CF1"/>
    <w:rsid w:val="00AF619A"/>
    <w:rsid w:val="00AF666C"/>
    <w:rsid w:val="00AF6984"/>
    <w:rsid w:val="00B0068F"/>
    <w:rsid w:val="00B019C0"/>
    <w:rsid w:val="00B036FE"/>
    <w:rsid w:val="00B03E16"/>
    <w:rsid w:val="00B04BE1"/>
    <w:rsid w:val="00B06D10"/>
    <w:rsid w:val="00B07518"/>
    <w:rsid w:val="00B07896"/>
    <w:rsid w:val="00B10892"/>
    <w:rsid w:val="00B11EF1"/>
    <w:rsid w:val="00B123F3"/>
    <w:rsid w:val="00B13831"/>
    <w:rsid w:val="00B13DEF"/>
    <w:rsid w:val="00B159B4"/>
    <w:rsid w:val="00B16C42"/>
    <w:rsid w:val="00B16D14"/>
    <w:rsid w:val="00B24002"/>
    <w:rsid w:val="00B245AC"/>
    <w:rsid w:val="00B2529E"/>
    <w:rsid w:val="00B25B0F"/>
    <w:rsid w:val="00B27B89"/>
    <w:rsid w:val="00B34B30"/>
    <w:rsid w:val="00B351E5"/>
    <w:rsid w:val="00B363BB"/>
    <w:rsid w:val="00B41C69"/>
    <w:rsid w:val="00B4364C"/>
    <w:rsid w:val="00B44E17"/>
    <w:rsid w:val="00B460A8"/>
    <w:rsid w:val="00B46DB2"/>
    <w:rsid w:val="00B47D95"/>
    <w:rsid w:val="00B51D9D"/>
    <w:rsid w:val="00B53FCF"/>
    <w:rsid w:val="00B5490A"/>
    <w:rsid w:val="00B555BE"/>
    <w:rsid w:val="00B566B0"/>
    <w:rsid w:val="00B56719"/>
    <w:rsid w:val="00B56FDB"/>
    <w:rsid w:val="00B5704B"/>
    <w:rsid w:val="00B57155"/>
    <w:rsid w:val="00B576BC"/>
    <w:rsid w:val="00B6114A"/>
    <w:rsid w:val="00B61412"/>
    <w:rsid w:val="00B61FCC"/>
    <w:rsid w:val="00B62C54"/>
    <w:rsid w:val="00B63CB3"/>
    <w:rsid w:val="00B645C9"/>
    <w:rsid w:val="00B6709D"/>
    <w:rsid w:val="00B67342"/>
    <w:rsid w:val="00B67863"/>
    <w:rsid w:val="00B71FC7"/>
    <w:rsid w:val="00B74395"/>
    <w:rsid w:val="00B760A1"/>
    <w:rsid w:val="00B76221"/>
    <w:rsid w:val="00B77969"/>
    <w:rsid w:val="00B80FED"/>
    <w:rsid w:val="00B83C59"/>
    <w:rsid w:val="00B86B61"/>
    <w:rsid w:val="00B878EA"/>
    <w:rsid w:val="00B95C18"/>
    <w:rsid w:val="00BA1497"/>
    <w:rsid w:val="00BA1B71"/>
    <w:rsid w:val="00BA2D92"/>
    <w:rsid w:val="00BA3A9A"/>
    <w:rsid w:val="00BA4F6A"/>
    <w:rsid w:val="00BA5B1F"/>
    <w:rsid w:val="00BA5F54"/>
    <w:rsid w:val="00BA6373"/>
    <w:rsid w:val="00BA7ADD"/>
    <w:rsid w:val="00BB1850"/>
    <w:rsid w:val="00BB18E6"/>
    <w:rsid w:val="00BB2173"/>
    <w:rsid w:val="00BB37F7"/>
    <w:rsid w:val="00BB411B"/>
    <w:rsid w:val="00BB4AEE"/>
    <w:rsid w:val="00BB4F5A"/>
    <w:rsid w:val="00BB5B03"/>
    <w:rsid w:val="00BB7992"/>
    <w:rsid w:val="00BB7A86"/>
    <w:rsid w:val="00BB7B97"/>
    <w:rsid w:val="00BB7EB2"/>
    <w:rsid w:val="00BC028F"/>
    <w:rsid w:val="00BC1124"/>
    <w:rsid w:val="00BC14D3"/>
    <w:rsid w:val="00BC1A6C"/>
    <w:rsid w:val="00BC2515"/>
    <w:rsid w:val="00BC558E"/>
    <w:rsid w:val="00BC5A4E"/>
    <w:rsid w:val="00BC6220"/>
    <w:rsid w:val="00BC79EB"/>
    <w:rsid w:val="00BC7AC0"/>
    <w:rsid w:val="00BD3B71"/>
    <w:rsid w:val="00BD5A00"/>
    <w:rsid w:val="00BD62F0"/>
    <w:rsid w:val="00BD7D0D"/>
    <w:rsid w:val="00BE00B3"/>
    <w:rsid w:val="00BE093C"/>
    <w:rsid w:val="00BE13F2"/>
    <w:rsid w:val="00BE1C8B"/>
    <w:rsid w:val="00BE4D66"/>
    <w:rsid w:val="00BE5496"/>
    <w:rsid w:val="00BE555D"/>
    <w:rsid w:val="00BE5E9E"/>
    <w:rsid w:val="00BE6BBF"/>
    <w:rsid w:val="00BE7FAF"/>
    <w:rsid w:val="00BF16BE"/>
    <w:rsid w:val="00BF2507"/>
    <w:rsid w:val="00BF3E18"/>
    <w:rsid w:val="00BF40D9"/>
    <w:rsid w:val="00BF4C2A"/>
    <w:rsid w:val="00BF5125"/>
    <w:rsid w:val="00BF5B04"/>
    <w:rsid w:val="00BF6732"/>
    <w:rsid w:val="00BF7E31"/>
    <w:rsid w:val="00C00B35"/>
    <w:rsid w:val="00C012A3"/>
    <w:rsid w:val="00C022EE"/>
    <w:rsid w:val="00C023C8"/>
    <w:rsid w:val="00C0350F"/>
    <w:rsid w:val="00C04927"/>
    <w:rsid w:val="00C05A72"/>
    <w:rsid w:val="00C108E5"/>
    <w:rsid w:val="00C10AF7"/>
    <w:rsid w:val="00C10BEE"/>
    <w:rsid w:val="00C12520"/>
    <w:rsid w:val="00C13645"/>
    <w:rsid w:val="00C13809"/>
    <w:rsid w:val="00C157E7"/>
    <w:rsid w:val="00C158F4"/>
    <w:rsid w:val="00C1636E"/>
    <w:rsid w:val="00C1652D"/>
    <w:rsid w:val="00C1702A"/>
    <w:rsid w:val="00C173D9"/>
    <w:rsid w:val="00C201BE"/>
    <w:rsid w:val="00C210A3"/>
    <w:rsid w:val="00C21F44"/>
    <w:rsid w:val="00C23D23"/>
    <w:rsid w:val="00C23F85"/>
    <w:rsid w:val="00C24C6A"/>
    <w:rsid w:val="00C262DB"/>
    <w:rsid w:val="00C26301"/>
    <w:rsid w:val="00C26AF0"/>
    <w:rsid w:val="00C27353"/>
    <w:rsid w:val="00C276CD"/>
    <w:rsid w:val="00C311FD"/>
    <w:rsid w:val="00C3121E"/>
    <w:rsid w:val="00C312CD"/>
    <w:rsid w:val="00C328CD"/>
    <w:rsid w:val="00C328D5"/>
    <w:rsid w:val="00C33824"/>
    <w:rsid w:val="00C33FB3"/>
    <w:rsid w:val="00C340BC"/>
    <w:rsid w:val="00C34509"/>
    <w:rsid w:val="00C35094"/>
    <w:rsid w:val="00C36EFC"/>
    <w:rsid w:val="00C379D7"/>
    <w:rsid w:val="00C41FC1"/>
    <w:rsid w:val="00C4377E"/>
    <w:rsid w:val="00C43F86"/>
    <w:rsid w:val="00C44455"/>
    <w:rsid w:val="00C44973"/>
    <w:rsid w:val="00C479BC"/>
    <w:rsid w:val="00C52C47"/>
    <w:rsid w:val="00C53740"/>
    <w:rsid w:val="00C54F02"/>
    <w:rsid w:val="00C5521F"/>
    <w:rsid w:val="00C55FE5"/>
    <w:rsid w:val="00C57C8E"/>
    <w:rsid w:val="00C601E2"/>
    <w:rsid w:val="00C6076F"/>
    <w:rsid w:val="00C63674"/>
    <w:rsid w:val="00C64743"/>
    <w:rsid w:val="00C649D1"/>
    <w:rsid w:val="00C66679"/>
    <w:rsid w:val="00C704F7"/>
    <w:rsid w:val="00C74170"/>
    <w:rsid w:val="00C754AD"/>
    <w:rsid w:val="00C75CAC"/>
    <w:rsid w:val="00C7662C"/>
    <w:rsid w:val="00C779BF"/>
    <w:rsid w:val="00C84674"/>
    <w:rsid w:val="00C84CE8"/>
    <w:rsid w:val="00C84E87"/>
    <w:rsid w:val="00C85C3E"/>
    <w:rsid w:val="00C85EE0"/>
    <w:rsid w:val="00C86B07"/>
    <w:rsid w:val="00C874A3"/>
    <w:rsid w:val="00C87915"/>
    <w:rsid w:val="00C90BE8"/>
    <w:rsid w:val="00C912BE"/>
    <w:rsid w:val="00C935D0"/>
    <w:rsid w:val="00C937D8"/>
    <w:rsid w:val="00C94871"/>
    <w:rsid w:val="00C95D74"/>
    <w:rsid w:val="00C963B4"/>
    <w:rsid w:val="00C971F1"/>
    <w:rsid w:val="00CA23A8"/>
    <w:rsid w:val="00CA23FD"/>
    <w:rsid w:val="00CA26EC"/>
    <w:rsid w:val="00CA2A5E"/>
    <w:rsid w:val="00CA6B38"/>
    <w:rsid w:val="00CB0DB1"/>
    <w:rsid w:val="00CB19BD"/>
    <w:rsid w:val="00CB20FB"/>
    <w:rsid w:val="00CB2463"/>
    <w:rsid w:val="00CB2D3A"/>
    <w:rsid w:val="00CB44B0"/>
    <w:rsid w:val="00CB5D30"/>
    <w:rsid w:val="00CB7A6B"/>
    <w:rsid w:val="00CB7E20"/>
    <w:rsid w:val="00CC1A8E"/>
    <w:rsid w:val="00CC28C4"/>
    <w:rsid w:val="00CC322A"/>
    <w:rsid w:val="00CC32E2"/>
    <w:rsid w:val="00CC3375"/>
    <w:rsid w:val="00CC3DB0"/>
    <w:rsid w:val="00CC3E6E"/>
    <w:rsid w:val="00CC57A1"/>
    <w:rsid w:val="00CD05AB"/>
    <w:rsid w:val="00CD0810"/>
    <w:rsid w:val="00CD20C6"/>
    <w:rsid w:val="00CD2B89"/>
    <w:rsid w:val="00CD2DE0"/>
    <w:rsid w:val="00CD48AC"/>
    <w:rsid w:val="00CD5DF0"/>
    <w:rsid w:val="00CD691D"/>
    <w:rsid w:val="00CD709A"/>
    <w:rsid w:val="00CD73B5"/>
    <w:rsid w:val="00CD73F5"/>
    <w:rsid w:val="00CE15A6"/>
    <w:rsid w:val="00CE1C80"/>
    <w:rsid w:val="00CE48C4"/>
    <w:rsid w:val="00CE677D"/>
    <w:rsid w:val="00CE6A2F"/>
    <w:rsid w:val="00CF30E6"/>
    <w:rsid w:val="00CF33CA"/>
    <w:rsid w:val="00CF4C20"/>
    <w:rsid w:val="00CF4F66"/>
    <w:rsid w:val="00CF59D5"/>
    <w:rsid w:val="00CF5AC6"/>
    <w:rsid w:val="00CF7BC5"/>
    <w:rsid w:val="00D00381"/>
    <w:rsid w:val="00D02137"/>
    <w:rsid w:val="00D033EE"/>
    <w:rsid w:val="00D03C32"/>
    <w:rsid w:val="00D0454F"/>
    <w:rsid w:val="00D051F4"/>
    <w:rsid w:val="00D05277"/>
    <w:rsid w:val="00D05340"/>
    <w:rsid w:val="00D062B3"/>
    <w:rsid w:val="00D105FB"/>
    <w:rsid w:val="00D10CD3"/>
    <w:rsid w:val="00D11C5B"/>
    <w:rsid w:val="00D11E7A"/>
    <w:rsid w:val="00D12F65"/>
    <w:rsid w:val="00D135EA"/>
    <w:rsid w:val="00D13944"/>
    <w:rsid w:val="00D2038F"/>
    <w:rsid w:val="00D22AF8"/>
    <w:rsid w:val="00D22E31"/>
    <w:rsid w:val="00D24E26"/>
    <w:rsid w:val="00D268AA"/>
    <w:rsid w:val="00D32CF5"/>
    <w:rsid w:val="00D360D5"/>
    <w:rsid w:val="00D37542"/>
    <w:rsid w:val="00D40C13"/>
    <w:rsid w:val="00D420B5"/>
    <w:rsid w:val="00D46824"/>
    <w:rsid w:val="00D50658"/>
    <w:rsid w:val="00D516B0"/>
    <w:rsid w:val="00D521E2"/>
    <w:rsid w:val="00D52D3C"/>
    <w:rsid w:val="00D53A9E"/>
    <w:rsid w:val="00D54F0B"/>
    <w:rsid w:val="00D55723"/>
    <w:rsid w:val="00D55E9D"/>
    <w:rsid w:val="00D610FE"/>
    <w:rsid w:val="00D63D06"/>
    <w:rsid w:val="00D64966"/>
    <w:rsid w:val="00D65325"/>
    <w:rsid w:val="00D66534"/>
    <w:rsid w:val="00D677DC"/>
    <w:rsid w:val="00D67F5C"/>
    <w:rsid w:val="00D71073"/>
    <w:rsid w:val="00D712C2"/>
    <w:rsid w:val="00D71529"/>
    <w:rsid w:val="00D71A07"/>
    <w:rsid w:val="00D75561"/>
    <w:rsid w:val="00D75B31"/>
    <w:rsid w:val="00D76493"/>
    <w:rsid w:val="00D76C90"/>
    <w:rsid w:val="00D76D79"/>
    <w:rsid w:val="00D80FF0"/>
    <w:rsid w:val="00D836C5"/>
    <w:rsid w:val="00D83892"/>
    <w:rsid w:val="00D84572"/>
    <w:rsid w:val="00D84AC0"/>
    <w:rsid w:val="00D857E5"/>
    <w:rsid w:val="00D863B9"/>
    <w:rsid w:val="00D90919"/>
    <w:rsid w:val="00D9128B"/>
    <w:rsid w:val="00D9332A"/>
    <w:rsid w:val="00D93721"/>
    <w:rsid w:val="00D96944"/>
    <w:rsid w:val="00DA0FFB"/>
    <w:rsid w:val="00DA2D49"/>
    <w:rsid w:val="00DA38A0"/>
    <w:rsid w:val="00DA6AAB"/>
    <w:rsid w:val="00DA6E46"/>
    <w:rsid w:val="00DA7657"/>
    <w:rsid w:val="00DB05DD"/>
    <w:rsid w:val="00DB0CD0"/>
    <w:rsid w:val="00DB16B4"/>
    <w:rsid w:val="00DB2934"/>
    <w:rsid w:val="00DB3398"/>
    <w:rsid w:val="00DB3855"/>
    <w:rsid w:val="00DB3AB9"/>
    <w:rsid w:val="00DB3FFD"/>
    <w:rsid w:val="00DB6DC1"/>
    <w:rsid w:val="00DB6EF3"/>
    <w:rsid w:val="00DC0537"/>
    <w:rsid w:val="00DC0826"/>
    <w:rsid w:val="00DC0D6F"/>
    <w:rsid w:val="00DC1CA2"/>
    <w:rsid w:val="00DC3573"/>
    <w:rsid w:val="00DC3A52"/>
    <w:rsid w:val="00DC50C0"/>
    <w:rsid w:val="00DC64CE"/>
    <w:rsid w:val="00DD0165"/>
    <w:rsid w:val="00DD02E2"/>
    <w:rsid w:val="00DD5D4F"/>
    <w:rsid w:val="00DE0486"/>
    <w:rsid w:val="00DE0AF0"/>
    <w:rsid w:val="00DE4950"/>
    <w:rsid w:val="00DE4A85"/>
    <w:rsid w:val="00DE6F6A"/>
    <w:rsid w:val="00DE7A6A"/>
    <w:rsid w:val="00DF16B0"/>
    <w:rsid w:val="00DF3015"/>
    <w:rsid w:val="00DF376F"/>
    <w:rsid w:val="00DF431A"/>
    <w:rsid w:val="00DF49FE"/>
    <w:rsid w:val="00DF60CD"/>
    <w:rsid w:val="00DF64DB"/>
    <w:rsid w:val="00DF7568"/>
    <w:rsid w:val="00E0026A"/>
    <w:rsid w:val="00E0172A"/>
    <w:rsid w:val="00E02519"/>
    <w:rsid w:val="00E03DFE"/>
    <w:rsid w:val="00E04D82"/>
    <w:rsid w:val="00E05E49"/>
    <w:rsid w:val="00E06280"/>
    <w:rsid w:val="00E069A9"/>
    <w:rsid w:val="00E06C72"/>
    <w:rsid w:val="00E07AEC"/>
    <w:rsid w:val="00E07D36"/>
    <w:rsid w:val="00E11A8C"/>
    <w:rsid w:val="00E11F76"/>
    <w:rsid w:val="00E15A7A"/>
    <w:rsid w:val="00E15E70"/>
    <w:rsid w:val="00E16213"/>
    <w:rsid w:val="00E1708E"/>
    <w:rsid w:val="00E177E6"/>
    <w:rsid w:val="00E201D8"/>
    <w:rsid w:val="00E2091F"/>
    <w:rsid w:val="00E20B73"/>
    <w:rsid w:val="00E20E51"/>
    <w:rsid w:val="00E21687"/>
    <w:rsid w:val="00E219B2"/>
    <w:rsid w:val="00E22432"/>
    <w:rsid w:val="00E2428A"/>
    <w:rsid w:val="00E24A3A"/>
    <w:rsid w:val="00E25B36"/>
    <w:rsid w:val="00E3200E"/>
    <w:rsid w:val="00E34F46"/>
    <w:rsid w:val="00E41918"/>
    <w:rsid w:val="00E41B20"/>
    <w:rsid w:val="00E4350F"/>
    <w:rsid w:val="00E43C54"/>
    <w:rsid w:val="00E451AC"/>
    <w:rsid w:val="00E46D93"/>
    <w:rsid w:val="00E4712F"/>
    <w:rsid w:val="00E50368"/>
    <w:rsid w:val="00E51A5A"/>
    <w:rsid w:val="00E52101"/>
    <w:rsid w:val="00E5354A"/>
    <w:rsid w:val="00E535AB"/>
    <w:rsid w:val="00E53972"/>
    <w:rsid w:val="00E56BA8"/>
    <w:rsid w:val="00E57C2F"/>
    <w:rsid w:val="00E603EC"/>
    <w:rsid w:val="00E6092A"/>
    <w:rsid w:val="00E6456D"/>
    <w:rsid w:val="00E65537"/>
    <w:rsid w:val="00E668D5"/>
    <w:rsid w:val="00E66B1C"/>
    <w:rsid w:val="00E6753F"/>
    <w:rsid w:val="00E70E00"/>
    <w:rsid w:val="00E7140F"/>
    <w:rsid w:val="00E71D52"/>
    <w:rsid w:val="00E7254D"/>
    <w:rsid w:val="00E75DD4"/>
    <w:rsid w:val="00E77F47"/>
    <w:rsid w:val="00E80318"/>
    <w:rsid w:val="00E80FF2"/>
    <w:rsid w:val="00E820EC"/>
    <w:rsid w:val="00E856DC"/>
    <w:rsid w:val="00E87B65"/>
    <w:rsid w:val="00E87BB7"/>
    <w:rsid w:val="00E903E4"/>
    <w:rsid w:val="00E96654"/>
    <w:rsid w:val="00E975AD"/>
    <w:rsid w:val="00EA0A43"/>
    <w:rsid w:val="00EA13FD"/>
    <w:rsid w:val="00EA297B"/>
    <w:rsid w:val="00EA3578"/>
    <w:rsid w:val="00EA741A"/>
    <w:rsid w:val="00EA7690"/>
    <w:rsid w:val="00EB000F"/>
    <w:rsid w:val="00EB2EB0"/>
    <w:rsid w:val="00EB3B28"/>
    <w:rsid w:val="00EB4789"/>
    <w:rsid w:val="00EB4C87"/>
    <w:rsid w:val="00EB5A96"/>
    <w:rsid w:val="00EB70C7"/>
    <w:rsid w:val="00EB7C22"/>
    <w:rsid w:val="00EC146C"/>
    <w:rsid w:val="00EC158D"/>
    <w:rsid w:val="00EC1675"/>
    <w:rsid w:val="00EC44B0"/>
    <w:rsid w:val="00EC5D8B"/>
    <w:rsid w:val="00ED0ED4"/>
    <w:rsid w:val="00ED261A"/>
    <w:rsid w:val="00ED56DC"/>
    <w:rsid w:val="00ED78F7"/>
    <w:rsid w:val="00EE04DD"/>
    <w:rsid w:val="00EE08CC"/>
    <w:rsid w:val="00EE0D13"/>
    <w:rsid w:val="00EE46E1"/>
    <w:rsid w:val="00EE4C7F"/>
    <w:rsid w:val="00EE5DCC"/>
    <w:rsid w:val="00EE74CA"/>
    <w:rsid w:val="00EE7CD0"/>
    <w:rsid w:val="00EF2B2C"/>
    <w:rsid w:val="00EF4842"/>
    <w:rsid w:val="00EF571C"/>
    <w:rsid w:val="00EF6F3B"/>
    <w:rsid w:val="00F02C52"/>
    <w:rsid w:val="00F04549"/>
    <w:rsid w:val="00F06904"/>
    <w:rsid w:val="00F074CB"/>
    <w:rsid w:val="00F12BC1"/>
    <w:rsid w:val="00F134C2"/>
    <w:rsid w:val="00F15157"/>
    <w:rsid w:val="00F16425"/>
    <w:rsid w:val="00F16BDD"/>
    <w:rsid w:val="00F16F50"/>
    <w:rsid w:val="00F20611"/>
    <w:rsid w:val="00F206AE"/>
    <w:rsid w:val="00F21ABD"/>
    <w:rsid w:val="00F21B30"/>
    <w:rsid w:val="00F22324"/>
    <w:rsid w:val="00F22AF0"/>
    <w:rsid w:val="00F24113"/>
    <w:rsid w:val="00F303BA"/>
    <w:rsid w:val="00F30EE9"/>
    <w:rsid w:val="00F3243A"/>
    <w:rsid w:val="00F33B7E"/>
    <w:rsid w:val="00F351FD"/>
    <w:rsid w:val="00F3624C"/>
    <w:rsid w:val="00F36D63"/>
    <w:rsid w:val="00F36E18"/>
    <w:rsid w:val="00F372D1"/>
    <w:rsid w:val="00F40818"/>
    <w:rsid w:val="00F42BAE"/>
    <w:rsid w:val="00F43EDC"/>
    <w:rsid w:val="00F45F5B"/>
    <w:rsid w:val="00F463D7"/>
    <w:rsid w:val="00F467C1"/>
    <w:rsid w:val="00F5037C"/>
    <w:rsid w:val="00F50740"/>
    <w:rsid w:val="00F51BCC"/>
    <w:rsid w:val="00F52776"/>
    <w:rsid w:val="00F530F4"/>
    <w:rsid w:val="00F535C7"/>
    <w:rsid w:val="00F53901"/>
    <w:rsid w:val="00F54616"/>
    <w:rsid w:val="00F5614F"/>
    <w:rsid w:val="00F563D6"/>
    <w:rsid w:val="00F578C7"/>
    <w:rsid w:val="00F64D03"/>
    <w:rsid w:val="00F70BD0"/>
    <w:rsid w:val="00F71800"/>
    <w:rsid w:val="00F72BB6"/>
    <w:rsid w:val="00F74218"/>
    <w:rsid w:val="00F761AB"/>
    <w:rsid w:val="00F8014E"/>
    <w:rsid w:val="00F81D38"/>
    <w:rsid w:val="00F832C4"/>
    <w:rsid w:val="00F838F5"/>
    <w:rsid w:val="00F83EC0"/>
    <w:rsid w:val="00F85F58"/>
    <w:rsid w:val="00F87545"/>
    <w:rsid w:val="00F87B1C"/>
    <w:rsid w:val="00F91547"/>
    <w:rsid w:val="00F91F4B"/>
    <w:rsid w:val="00F95059"/>
    <w:rsid w:val="00FA1103"/>
    <w:rsid w:val="00FA456B"/>
    <w:rsid w:val="00FA4C3B"/>
    <w:rsid w:val="00FA5A6A"/>
    <w:rsid w:val="00FA6A3A"/>
    <w:rsid w:val="00FB04FC"/>
    <w:rsid w:val="00FB221C"/>
    <w:rsid w:val="00FB2C39"/>
    <w:rsid w:val="00FB369D"/>
    <w:rsid w:val="00FB3BCC"/>
    <w:rsid w:val="00FB4E32"/>
    <w:rsid w:val="00FB685B"/>
    <w:rsid w:val="00FC043C"/>
    <w:rsid w:val="00FC0BC6"/>
    <w:rsid w:val="00FC21BF"/>
    <w:rsid w:val="00FC3370"/>
    <w:rsid w:val="00FC3A45"/>
    <w:rsid w:val="00FC5CDB"/>
    <w:rsid w:val="00FC6B8F"/>
    <w:rsid w:val="00FD25D6"/>
    <w:rsid w:val="00FD454E"/>
    <w:rsid w:val="00FD4B4C"/>
    <w:rsid w:val="00FD4E17"/>
    <w:rsid w:val="00FD5E7D"/>
    <w:rsid w:val="00FD6C24"/>
    <w:rsid w:val="00FE158B"/>
    <w:rsid w:val="00FE23D2"/>
    <w:rsid w:val="00FE2A6A"/>
    <w:rsid w:val="00FE3DFC"/>
    <w:rsid w:val="00FE40C1"/>
    <w:rsid w:val="00FF0628"/>
    <w:rsid w:val="00FF0B65"/>
    <w:rsid w:val="00FF284A"/>
    <w:rsid w:val="00FF3434"/>
    <w:rsid w:val="00FF4DE3"/>
    <w:rsid w:val="00FF7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E1B8"/>
  <w15:docId w15:val="{6D2EC68D-6373-4B41-9921-3C17A51C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A3881"/>
    <w:pPr>
      <w:spacing w:after="0" w:line="240" w:lineRule="auto"/>
    </w:pPr>
    <w:rPr>
      <w:rFonts w:ascii="Cambria" w:eastAsia="MS Mincho" w:hAnsi="Cambria" w:cs="Times New Roman"/>
      <w:sz w:val="24"/>
      <w:szCs w:val="24"/>
      <w:lang w:val="en-US" w:eastAsia="ja-JP"/>
    </w:rPr>
  </w:style>
  <w:style w:type="paragraph" w:styleId="Ttulo2">
    <w:name w:val="heading 2"/>
    <w:basedOn w:val="Normal"/>
    <w:next w:val="Normal"/>
    <w:link w:val="Ttulo2Car"/>
    <w:rsid w:val="00AA3881"/>
    <w:pPr>
      <w:keepNext/>
      <w:ind w:firstLine="708"/>
      <w:jc w:val="center"/>
      <w:outlineLvl w:val="1"/>
    </w:pPr>
    <w:rPr>
      <w:rFonts w:ascii="Arial" w:eastAsia="Times New Roman" w:hAnsi="Arial"/>
      <w:b/>
      <w:sz w:val="32"/>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72B"/>
    <w:pPr>
      <w:tabs>
        <w:tab w:val="center" w:pos="4252"/>
        <w:tab w:val="right" w:pos="8504"/>
      </w:tabs>
    </w:pPr>
  </w:style>
  <w:style w:type="character" w:customStyle="1" w:styleId="EncabezadoCar">
    <w:name w:val="Encabezado Car"/>
    <w:basedOn w:val="Fuentedeprrafopredeter"/>
    <w:link w:val="Encabezado"/>
    <w:uiPriority w:val="99"/>
    <w:rsid w:val="000B572B"/>
  </w:style>
  <w:style w:type="paragraph" w:styleId="Piedepgina">
    <w:name w:val="footer"/>
    <w:basedOn w:val="Normal"/>
    <w:link w:val="PiedepginaCar"/>
    <w:uiPriority w:val="99"/>
    <w:unhideWhenUsed/>
    <w:rsid w:val="000B572B"/>
    <w:pPr>
      <w:tabs>
        <w:tab w:val="center" w:pos="4252"/>
        <w:tab w:val="right" w:pos="8504"/>
      </w:tabs>
    </w:pPr>
  </w:style>
  <w:style w:type="character" w:customStyle="1" w:styleId="PiedepginaCar">
    <w:name w:val="Pie de página Car"/>
    <w:basedOn w:val="Fuentedeprrafopredeter"/>
    <w:link w:val="Piedepgina"/>
    <w:uiPriority w:val="99"/>
    <w:rsid w:val="000B572B"/>
  </w:style>
  <w:style w:type="paragraph" w:customStyle="1" w:styleId="Denominacindeldocumento">
    <w:name w:val="Denominación del documento"/>
    <w:basedOn w:val="Normal"/>
    <w:link w:val="DenominacindeldocumentoCar"/>
    <w:autoRedefine/>
    <w:rsid w:val="00343AB8"/>
    <w:pPr>
      <w:jc w:val="right"/>
    </w:pPr>
    <w:rPr>
      <w:rFonts w:ascii="Georgia" w:hAnsi="Georgia"/>
      <w:color w:val="BFB6AD"/>
      <w:sz w:val="20"/>
      <w:szCs w:val="20"/>
    </w:rPr>
  </w:style>
  <w:style w:type="paragraph" w:customStyle="1" w:styleId="Direccinemisora">
    <w:name w:val="Dirección emisora"/>
    <w:basedOn w:val="Denominacindeldocumento"/>
    <w:link w:val="DireccinemisoraCar"/>
    <w:rsid w:val="000B572B"/>
    <w:pPr>
      <w:spacing w:line="180" w:lineRule="exact"/>
    </w:pPr>
    <w:rPr>
      <w:sz w:val="16"/>
      <w:szCs w:val="16"/>
    </w:rPr>
  </w:style>
  <w:style w:type="paragraph" w:styleId="Textodeglobo">
    <w:name w:val="Balloon Text"/>
    <w:basedOn w:val="Normal"/>
    <w:link w:val="TextodegloboCar"/>
    <w:uiPriority w:val="99"/>
    <w:semiHidden/>
    <w:unhideWhenUsed/>
    <w:rsid w:val="003E1486"/>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486"/>
    <w:rPr>
      <w:rFonts w:ascii="Tahoma" w:hAnsi="Tahoma" w:cs="Tahoma"/>
      <w:sz w:val="16"/>
      <w:szCs w:val="16"/>
    </w:rPr>
  </w:style>
  <w:style w:type="character" w:customStyle="1" w:styleId="Ttulo2Car">
    <w:name w:val="Título 2 Car"/>
    <w:basedOn w:val="Fuentedeprrafopredeter"/>
    <w:link w:val="Ttulo2"/>
    <w:rsid w:val="00AA3881"/>
    <w:rPr>
      <w:rFonts w:ascii="Arial" w:eastAsia="Times New Roman" w:hAnsi="Arial" w:cs="Times New Roman"/>
      <w:b/>
      <w:sz w:val="32"/>
      <w:szCs w:val="20"/>
      <w:lang w:eastAsia="es-MX"/>
    </w:rPr>
  </w:style>
  <w:style w:type="paragraph" w:customStyle="1" w:styleId="TextoComunicadoSCJN">
    <w:name w:val="Texto Comunicado SCJN"/>
    <w:basedOn w:val="Normal"/>
    <w:autoRedefine/>
    <w:rsid w:val="00AA3881"/>
    <w:pPr>
      <w:spacing w:line="280" w:lineRule="exact"/>
      <w:contextualSpacing/>
    </w:pPr>
    <w:rPr>
      <w:rFonts w:ascii="Georgia" w:hAnsi="Georgia"/>
      <w:color w:val="172934"/>
      <w:sz w:val="28"/>
      <w:szCs w:val="28"/>
      <w:vertAlign w:val="subscript"/>
    </w:rPr>
  </w:style>
  <w:style w:type="paragraph" w:customStyle="1" w:styleId="Lugaryfecha">
    <w:name w:val="Lugar y fecha"/>
    <w:link w:val="LugaryfechaCar"/>
    <w:autoRedefine/>
    <w:qFormat/>
    <w:rsid w:val="00E7254D"/>
    <w:pPr>
      <w:ind w:left="284"/>
      <w:jc w:val="both"/>
    </w:pPr>
    <w:rPr>
      <w:rFonts w:eastAsia="Times New Roman" w:cs="Times New Roman"/>
      <w:sz w:val="18"/>
      <w:szCs w:val="18"/>
      <w:lang w:eastAsia="es-MX"/>
    </w:rPr>
  </w:style>
  <w:style w:type="paragraph" w:customStyle="1" w:styleId="Ttulodocumento">
    <w:name w:val="Título documento"/>
    <w:basedOn w:val="Normal"/>
    <w:link w:val="TtulodocumentoCar"/>
    <w:qFormat/>
    <w:rsid w:val="005E6BE7"/>
    <w:pPr>
      <w:jc w:val="both"/>
    </w:pPr>
    <w:rPr>
      <w:rFonts w:asciiTheme="majorHAnsi" w:eastAsia="Times New Roman" w:hAnsiTheme="majorHAnsi" w:cs="Arial"/>
      <w:b/>
      <w:w w:val="80"/>
      <w:sz w:val="28"/>
      <w:lang w:val="es-ES" w:eastAsia="es-MX"/>
    </w:rPr>
  </w:style>
  <w:style w:type="character" w:customStyle="1" w:styleId="LugaryfechaCar">
    <w:name w:val="Lugar y fecha Car"/>
    <w:basedOn w:val="Ttulo2Car"/>
    <w:link w:val="Lugaryfecha"/>
    <w:rsid w:val="00E7254D"/>
    <w:rPr>
      <w:rFonts w:ascii="Arial" w:eastAsia="Times New Roman" w:hAnsi="Arial" w:cs="Times New Roman"/>
      <w:b w:val="0"/>
      <w:sz w:val="18"/>
      <w:szCs w:val="18"/>
      <w:lang w:eastAsia="es-MX"/>
    </w:rPr>
  </w:style>
  <w:style w:type="paragraph" w:customStyle="1" w:styleId="IntroduccinComunicado">
    <w:name w:val="Introducción Comunicado"/>
    <w:basedOn w:val="Normal"/>
    <w:link w:val="IntroduccinComunicadoCar"/>
    <w:rsid w:val="00AA3881"/>
    <w:pPr>
      <w:keepLines/>
      <w:numPr>
        <w:numId w:val="1"/>
      </w:numPr>
      <w:tabs>
        <w:tab w:val="left" w:pos="0"/>
        <w:tab w:val="left" w:pos="284"/>
        <w:tab w:val="left" w:pos="426"/>
        <w:tab w:val="left" w:pos="567"/>
      </w:tabs>
      <w:spacing w:after="120"/>
      <w:jc w:val="both"/>
    </w:pPr>
    <w:rPr>
      <w:rFonts w:ascii="Arial" w:hAnsi="Arial" w:cs="Arial"/>
      <w:i/>
      <w:sz w:val="22"/>
      <w:szCs w:val="22"/>
      <w:lang w:val="es-MX"/>
    </w:rPr>
  </w:style>
  <w:style w:type="character" w:customStyle="1" w:styleId="TtulodocumentoCar">
    <w:name w:val="Título documento Car"/>
    <w:basedOn w:val="Fuentedeprrafopredeter"/>
    <w:link w:val="Ttulodocumento"/>
    <w:rsid w:val="005E6BE7"/>
    <w:rPr>
      <w:rFonts w:asciiTheme="majorHAnsi" w:eastAsia="Times New Roman" w:hAnsiTheme="majorHAnsi" w:cs="Arial"/>
      <w:b/>
      <w:w w:val="80"/>
      <w:sz w:val="28"/>
      <w:szCs w:val="24"/>
      <w:lang w:eastAsia="es-MX"/>
    </w:rPr>
  </w:style>
  <w:style w:type="paragraph" w:customStyle="1" w:styleId="TextoPrimerprrafo">
    <w:name w:val="Texto Primer párrafo"/>
    <w:basedOn w:val="Normal"/>
    <w:link w:val="TextoPrimerprrafoCar"/>
    <w:rsid w:val="00AA3881"/>
    <w:pPr>
      <w:ind w:firstLine="708"/>
      <w:jc w:val="both"/>
    </w:pPr>
    <w:rPr>
      <w:rFonts w:ascii="Arial" w:hAnsi="Arial" w:cs="Arial"/>
      <w:lang w:val="es-MX"/>
    </w:rPr>
  </w:style>
  <w:style w:type="character" w:customStyle="1" w:styleId="IntroduccinComunicadoCar">
    <w:name w:val="Introducción Comunicado Car"/>
    <w:basedOn w:val="Fuentedeprrafopredeter"/>
    <w:link w:val="IntroduccinComunicado"/>
    <w:rsid w:val="00AA3881"/>
    <w:rPr>
      <w:rFonts w:ascii="Arial" w:eastAsia="MS Mincho" w:hAnsi="Arial" w:cs="Arial"/>
      <w:i/>
      <w:lang w:val="es-MX" w:eastAsia="ja-JP"/>
    </w:rPr>
  </w:style>
  <w:style w:type="paragraph" w:customStyle="1" w:styleId="Textonormal">
    <w:name w:val="Texto normal"/>
    <w:basedOn w:val="Normal"/>
    <w:link w:val="TextonormalCar"/>
    <w:qFormat/>
    <w:rsid w:val="00AA3881"/>
    <w:pPr>
      <w:jc w:val="both"/>
    </w:pPr>
    <w:rPr>
      <w:rFonts w:ascii="Arial" w:hAnsi="Arial" w:cs="Arial"/>
      <w:lang w:val="es-MX"/>
    </w:rPr>
  </w:style>
  <w:style w:type="character" w:customStyle="1" w:styleId="TextoPrimerprrafoCar">
    <w:name w:val="Texto Primer párrafo Car"/>
    <w:basedOn w:val="Fuentedeprrafopredeter"/>
    <w:link w:val="TextoPrimerprrafo"/>
    <w:rsid w:val="00AA3881"/>
    <w:rPr>
      <w:rFonts w:ascii="Arial" w:eastAsia="MS Mincho" w:hAnsi="Arial" w:cs="Arial"/>
      <w:sz w:val="24"/>
      <w:szCs w:val="24"/>
      <w:lang w:val="es-MX" w:eastAsia="ja-JP"/>
    </w:rPr>
  </w:style>
  <w:style w:type="paragraph" w:customStyle="1" w:styleId="Ttulodeldocumento">
    <w:name w:val="Título del documento"/>
    <w:basedOn w:val="Normal"/>
    <w:rsid w:val="00B5490A"/>
    <w:pPr>
      <w:spacing w:line="160" w:lineRule="exact"/>
      <w:jc w:val="right"/>
    </w:pPr>
    <w:rPr>
      <w:rFonts w:ascii="Georgia" w:hAnsi="Georgia"/>
      <w:color w:val="BFB6AD"/>
      <w:sz w:val="20"/>
      <w:szCs w:val="20"/>
    </w:rPr>
  </w:style>
  <w:style w:type="character" w:customStyle="1" w:styleId="TextonormalCar">
    <w:name w:val="Texto normal Car"/>
    <w:basedOn w:val="Fuentedeprrafopredeter"/>
    <w:link w:val="Textonormal"/>
    <w:rsid w:val="00AA3881"/>
    <w:rPr>
      <w:rFonts w:ascii="Arial" w:eastAsia="MS Mincho" w:hAnsi="Arial" w:cs="Arial"/>
      <w:sz w:val="24"/>
      <w:szCs w:val="24"/>
      <w:lang w:val="es-MX" w:eastAsia="ja-JP"/>
    </w:rPr>
  </w:style>
  <w:style w:type="paragraph" w:customStyle="1" w:styleId="NOMBREDELAREAEMISORA">
    <w:name w:val="NOMBRE DEL AREA EMISORA"/>
    <w:basedOn w:val="Direccinemisora"/>
    <w:link w:val="NOMBREDELAREAEMISORACar"/>
    <w:rsid w:val="00512258"/>
    <w:pPr>
      <w:spacing w:line="240" w:lineRule="exact"/>
    </w:pPr>
    <w:rPr>
      <w:color w:val="auto"/>
      <w:sz w:val="20"/>
      <w:lang w:val="es-MX"/>
    </w:rPr>
  </w:style>
  <w:style w:type="character" w:customStyle="1" w:styleId="DenominacindeldocumentoCar">
    <w:name w:val="Denominación del documento Car"/>
    <w:basedOn w:val="Fuentedeprrafopredeter"/>
    <w:link w:val="Denominacindeldocumento"/>
    <w:rsid w:val="00512258"/>
    <w:rPr>
      <w:rFonts w:ascii="Georgia" w:eastAsia="MS Mincho" w:hAnsi="Georgia" w:cs="Times New Roman"/>
      <w:color w:val="BFB6AD"/>
      <w:sz w:val="20"/>
      <w:szCs w:val="20"/>
      <w:lang w:val="en-US" w:eastAsia="ja-JP"/>
    </w:rPr>
  </w:style>
  <w:style w:type="character" w:customStyle="1" w:styleId="DireccinemisoraCar">
    <w:name w:val="Dirección emisora Car"/>
    <w:basedOn w:val="DenominacindeldocumentoCar"/>
    <w:link w:val="Direccinemisora"/>
    <w:rsid w:val="00512258"/>
    <w:rPr>
      <w:rFonts w:ascii="Georgia" w:eastAsia="MS Mincho" w:hAnsi="Georgia" w:cs="Times New Roman"/>
      <w:color w:val="BFB6AD"/>
      <w:sz w:val="16"/>
      <w:szCs w:val="16"/>
      <w:lang w:val="en-US" w:eastAsia="ja-JP"/>
    </w:rPr>
  </w:style>
  <w:style w:type="character" w:customStyle="1" w:styleId="NOMBREDELAREAEMISORACar">
    <w:name w:val="NOMBRE DEL AREA EMISORA Car"/>
    <w:basedOn w:val="DireccinemisoraCar"/>
    <w:link w:val="NOMBREDELAREAEMISORA"/>
    <w:rsid w:val="00512258"/>
    <w:rPr>
      <w:rFonts w:ascii="Georgia" w:eastAsia="MS Mincho" w:hAnsi="Georgia" w:cs="Times New Roman"/>
      <w:color w:val="BFB6AD"/>
      <w:sz w:val="20"/>
      <w:szCs w:val="16"/>
      <w:lang w:val="es-MX" w:eastAsia="ja-JP"/>
    </w:rPr>
  </w:style>
  <w:style w:type="paragraph" w:customStyle="1" w:styleId="AREAEMISORA">
    <w:name w:val="AREA EMISORA"/>
    <w:basedOn w:val="NOMBREDELAREAEMISORA"/>
    <w:link w:val="AREAEMISORACar"/>
    <w:qFormat/>
    <w:rsid w:val="005B709B"/>
  </w:style>
  <w:style w:type="character" w:customStyle="1" w:styleId="AREAEMISORACar">
    <w:name w:val="AREA EMISORA Car"/>
    <w:basedOn w:val="NOMBREDELAREAEMISORACar"/>
    <w:link w:val="AREAEMISORA"/>
    <w:rsid w:val="005B709B"/>
    <w:rPr>
      <w:rFonts w:ascii="Georgia" w:eastAsia="MS Mincho" w:hAnsi="Georgia" w:cs="Times New Roman"/>
      <w:color w:val="BFB6AD"/>
      <w:sz w:val="20"/>
      <w:szCs w:val="16"/>
      <w:lang w:val="es-MX" w:eastAsia="ja-JP"/>
    </w:rPr>
  </w:style>
  <w:style w:type="paragraph" w:customStyle="1" w:styleId="reaemisora">
    <w:name w:val="Área emisora"/>
    <w:basedOn w:val="Normal"/>
    <w:link w:val="reaemisoraCar"/>
    <w:rsid w:val="007039C5"/>
    <w:pPr>
      <w:spacing w:line="180" w:lineRule="exact"/>
      <w:jc w:val="right"/>
    </w:pPr>
    <w:rPr>
      <w:rFonts w:ascii="Arial" w:hAnsi="Arial" w:cs="Arial"/>
      <w:b/>
      <w:sz w:val="16"/>
      <w:szCs w:val="16"/>
      <w:lang w:val="es-MX"/>
    </w:rPr>
  </w:style>
  <w:style w:type="paragraph" w:customStyle="1" w:styleId="AREAQUEEMITE">
    <w:name w:val="AREA QUE EMITE"/>
    <w:basedOn w:val="reaemisora"/>
    <w:link w:val="AREAQUEEMITECar"/>
    <w:rsid w:val="001C21C1"/>
    <w:pPr>
      <w:spacing w:line="240" w:lineRule="exact"/>
    </w:pPr>
    <w:rPr>
      <w:rFonts w:ascii="Georgia" w:hAnsi="Georgia"/>
      <w:b w:val="0"/>
      <w:sz w:val="20"/>
      <w:szCs w:val="20"/>
    </w:rPr>
  </w:style>
  <w:style w:type="character" w:customStyle="1" w:styleId="reaemisoraCar">
    <w:name w:val="Área emisora Car"/>
    <w:basedOn w:val="Fuentedeprrafopredeter"/>
    <w:link w:val="reaemisora"/>
    <w:rsid w:val="001C21C1"/>
    <w:rPr>
      <w:rFonts w:ascii="Arial" w:eastAsia="MS Mincho" w:hAnsi="Arial" w:cs="Arial"/>
      <w:b/>
      <w:sz w:val="16"/>
      <w:szCs w:val="16"/>
      <w:lang w:val="es-MX" w:eastAsia="ja-JP"/>
    </w:rPr>
  </w:style>
  <w:style w:type="character" w:customStyle="1" w:styleId="AREAQUEEMITECar">
    <w:name w:val="AREA QUE EMITE Car"/>
    <w:basedOn w:val="reaemisoraCar"/>
    <w:link w:val="AREAQUEEMITE"/>
    <w:rsid w:val="001C21C1"/>
    <w:rPr>
      <w:rFonts w:ascii="Arial" w:eastAsia="MS Mincho" w:hAnsi="Arial" w:cs="Arial"/>
      <w:b/>
      <w:sz w:val="16"/>
      <w:szCs w:val="16"/>
      <w:lang w:val="es-MX" w:eastAsia="ja-JP"/>
    </w:rPr>
  </w:style>
  <w:style w:type="paragraph" w:styleId="Textonotapie">
    <w:name w:val="footnote text"/>
    <w:basedOn w:val="Normal"/>
    <w:link w:val="TextonotapieCar"/>
    <w:rsid w:val="00875D0D"/>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875D0D"/>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875D0D"/>
    <w:rPr>
      <w:vertAlign w:val="superscript"/>
    </w:rPr>
  </w:style>
  <w:style w:type="paragraph" w:styleId="Prrafodelista">
    <w:name w:val="List Paragraph"/>
    <w:basedOn w:val="Normal"/>
    <w:uiPriority w:val="34"/>
    <w:qFormat/>
    <w:rsid w:val="008068C9"/>
    <w:pPr>
      <w:ind w:left="720"/>
      <w:contextualSpacing/>
    </w:pPr>
    <w:rPr>
      <w:rFonts w:ascii="Times New Roman" w:eastAsia="Times New Roman" w:hAnsi="Times New Roman"/>
      <w:lang w:val="es-MX" w:eastAsia="es-MX"/>
    </w:rPr>
  </w:style>
  <w:style w:type="paragraph" w:styleId="Textonotaalfinal">
    <w:name w:val="endnote text"/>
    <w:basedOn w:val="Normal"/>
    <w:link w:val="TextonotaalfinalCar"/>
    <w:semiHidden/>
    <w:unhideWhenUsed/>
    <w:rsid w:val="00BF40D9"/>
    <w:rPr>
      <w:sz w:val="20"/>
      <w:szCs w:val="20"/>
    </w:rPr>
  </w:style>
  <w:style w:type="character" w:customStyle="1" w:styleId="TextonotaalfinalCar">
    <w:name w:val="Texto nota al final Car"/>
    <w:basedOn w:val="Fuentedeprrafopredeter"/>
    <w:link w:val="Textonotaalfinal"/>
    <w:semiHidden/>
    <w:rsid w:val="00BF40D9"/>
    <w:rPr>
      <w:rFonts w:ascii="Cambria" w:eastAsia="MS Mincho" w:hAnsi="Cambria" w:cs="Times New Roman"/>
      <w:sz w:val="20"/>
      <w:szCs w:val="20"/>
      <w:lang w:val="en-US" w:eastAsia="ja-JP"/>
    </w:rPr>
  </w:style>
  <w:style w:type="character" w:styleId="Refdenotaalfinal">
    <w:name w:val="endnote reference"/>
    <w:basedOn w:val="Fuentedeprrafopredeter"/>
    <w:semiHidden/>
    <w:unhideWhenUsed/>
    <w:rsid w:val="00BF40D9"/>
    <w:rPr>
      <w:vertAlign w:val="superscript"/>
    </w:rPr>
  </w:style>
  <w:style w:type="character" w:styleId="Refdecomentario">
    <w:name w:val="annotation reference"/>
    <w:basedOn w:val="Fuentedeprrafopredeter"/>
    <w:semiHidden/>
    <w:unhideWhenUsed/>
    <w:rsid w:val="009D6049"/>
    <w:rPr>
      <w:sz w:val="16"/>
      <w:szCs w:val="16"/>
    </w:rPr>
  </w:style>
  <w:style w:type="paragraph" w:styleId="Textocomentario">
    <w:name w:val="annotation text"/>
    <w:basedOn w:val="Normal"/>
    <w:link w:val="TextocomentarioCar"/>
    <w:semiHidden/>
    <w:unhideWhenUsed/>
    <w:rsid w:val="009D6049"/>
    <w:rPr>
      <w:sz w:val="20"/>
      <w:szCs w:val="20"/>
    </w:rPr>
  </w:style>
  <w:style w:type="character" w:customStyle="1" w:styleId="TextocomentarioCar">
    <w:name w:val="Texto comentario Car"/>
    <w:basedOn w:val="Fuentedeprrafopredeter"/>
    <w:link w:val="Textocomentario"/>
    <w:semiHidden/>
    <w:rsid w:val="009D6049"/>
    <w:rPr>
      <w:rFonts w:ascii="Cambria" w:eastAsia="MS Mincho" w:hAnsi="Cambria" w:cs="Times New Roman"/>
      <w:sz w:val="20"/>
      <w:szCs w:val="20"/>
      <w:lang w:val="en-US" w:eastAsia="ja-JP"/>
    </w:rPr>
  </w:style>
  <w:style w:type="paragraph" w:styleId="Asuntodelcomentario">
    <w:name w:val="annotation subject"/>
    <w:basedOn w:val="Textocomentario"/>
    <w:next w:val="Textocomentario"/>
    <w:link w:val="AsuntodelcomentarioCar"/>
    <w:semiHidden/>
    <w:unhideWhenUsed/>
    <w:rsid w:val="009D6049"/>
    <w:rPr>
      <w:b/>
      <w:bCs/>
    </w:rPr>
  </w:style>
  <w:style w:type="character" w:customStyle="1" w:styleId="AsuntodelcomentarioCar">
    <w:name w:val="Asunto del comentario Car"/>
    <w:basedOn w:val="TextocomentarioCar"/>
    <w:link w:val="Asuntodelcomentario"/>
    <w:semiHidden/>
    <w:rsid w:val="009D6049"/>
    <w:rPr>
      <w:rFonts w:ascii="Cambria" w:eastAsia="MS Mincho" w:hAnsi="Cambria" w:cs="Times New Roman"/>
      <w:b/>
      <w:bCs/>
      <w:sz w:val="20"/>
      <w:szCs w:val="20"/>
      <w:lang w:val="en-US" w:eastAsia="ja-JP"/>
    </w:rPr>
  </w:style>
  <w:style w:type="paragraph" w:styleId="Revisin">
    <w:name w:val="Revision"/>
    <w:hidden/>
    <w:semiHidden/>
    <w:rsid w:val="00C53740"/>
    <w:pPr>
      <w:spacing w:after="0" w:line="240" w:lineRule="auto"/>
    </w:pPr>
    <w:rPr>
      <w:rFonts w:ascii="Cambria" w:eastAsia="MS Mincho" w:hAnsi="Cambria"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4287">
      <w:bodyDiv w:val="1"/>
      <w:marLeft w:val="0"/>
      <w:marRight w:val="0"/>
      <w:marTop w:val="0"/>
      <w:marBottom w:val="0"/>
      <w:divBdr>
        <w:top w:val="none" w:sz="0" w:space="0" w:color="auto"/>
        <w:left w:val="none" w:sz="0" w:space="0" w:color="auto"/>
        <w:bottom w:val="none" w:sz="0" w:space="0" w:color="auto"/>
        <w:right w:val="none" w:sz="0" w:space="0" w:color="auto"/>
      </w:divBdr>
    </w:div>
    <w:div w:id="995451575">
      <w:bodyDiv w:val="1"/>
      <w:marLeft w:val="0"/>
      <w:marRight w:val="0"/>
      <w:marTop w:val="0"/>
      <w:marBottom w:val="0"/>
      <w:divBdr>
        <w:top w:val="none" w:sz="0" w:space="0" w:color="auto"/>
        <w:left w:val="none" w:sz="0" w:space="0" w:color="auto"/>
        <w:bottom w:val="none" w:sz="0" w:space="0" w:color="auto"/>
        <w:right w:val="none" w:sz="0" w:space="0" w:color="auto"/>
      </w:divBdr>
    </w:div>
    <w:div w:id="1126123476">
      <w:bodyDiv w:val="1"/>
      <w:marLeft w:val="0"/>
      <w:marRight w:val="0"/>
      <w:marTop w:val="0"/>
      <w:marBottom w:val="0"/>
      <w:divBdr>
        <w:top w:val="none" w:sz="0" w:space="0" w:color="auto"/>
        <w:left w:val="none" w:sz="0" w:space="0" w:color="auto"/>
        <w:bottom w:val="none" w:sz="0" w:space="0" w:color="auto"/>
        <w:right w:val="none" w:sz="0" w:space="0" w:color="auto"/>
      </w:divBdr>
    </w:div>
    <w:div w:id="1168793337">
      <w:bodyDiv w:val="1"/>
      <w:marLeft w:val="0"/>
      <w:marRight w:val="0"/>
      <w:marTop w:val="0"/>
      <w:marBottom w:val="0"/>
      <w:divBdr>
        <w:top w:val="none" w:sz="0" w:space="0" w:color="auto"/>
        <w:left w:val="none" w:sz="0" w:space="0" w:color="auto"/>
        <w:bottom w:val="none" w:sz="0" w:space="0" w:color="auto"/>
        <w:right w:val="none" w:sz="0" w:space="0" w:color="auto"/>
      </w:divBdr>
    </w:div>
    <w:div w:id="1317301821">
      <w:bodyDiv w:val="1"/>
      <w:marLeft w:val="0"/>
      <w:marRight w:val="0"/>
      <w:marTop w:val="0"/>
      <w:marBottom w:val="0"/>
      <w:divBdr>
        <w:top w:val="none" w:sz="0" w:space="0" w:color="auto"/>
        <w:left w:val="none" w:sz="0" w:space="0" w:color="auto"/>
        <w:bottom w:val="none" w:sz="0" w:space="0" w:color="auto"/>
        <w:right w:val="none" w:sz="0" w:space="0" w:color="auto"/>
      </w:divBdr>
    </w:div>
    <w:div w:id="1329745879">
      <w:bodyDiv w:val="1"/>
      <w:marLeft w:val="0"/>
      <w:marRight w:val="0"/>
      <w:marTop w:val="0"/>
      <w:marBottom w:val="0"/>
      <w:divBdr>
        <w:top w:val="none" w:sz="0" w:space="0" w:color="auto"/>
        <w:left w:val="none" w:sz="0" w:space="0" w:color="auto"/>
        <w:bottom w:val="none" w:sz="0" w:space="0" w:color="auto"/>
        <w:right w:val="none" w:sz="0" w:space="0" w:color="auto"/>
      </w:divBdr>
    </w:div>
    <w:div w:id="1598175899">
      <w:bodyDiv w:val="1"/>
      <w:marLeft w:val="0"/>
      <w:marRight w:val="0"/>
      <w:marTop w:val="0"/>
      <w:marBottom w:val="0"/>
      <w:divBdr>
        <w:top w:val="none" w:sz="0" w:space="0" w:color="auto"/>
        <w:left w:val="none" w:sz="0" w:space="0" w:color="auto"/>
        <w:bottom w:val="none" w:sz="0" w:space="0" w:color="auto"/>
        <w:right w:val="none" w:sz="0" w:space="0" w:color="auto"/>
      </w:divBdr>
    </w:div>
    <w:div w:id="16960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Usuarios\CAlvaradoA\AppData\Local\Microsoft\Windows\INetCache\Content.Outlook\GI9UTR25\Tercer%20trimestre%20202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suarios\CAlvaradoA\AppData\Local\Microsoft\Windows\INetCache\Content.Outlook\GI9UTR25\Tercer%20trimestre%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uarios\CAlvaradoA\AppData\Local\Microsoft\Windows\INetCache\Content.Outlook\GI9UTR25\Tercer%20trimestre%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uarios\CAlvaradoA\AppData\Local\Microsoft\Windows\INetCache\Content.Outlook\GI9UTR25\Tercer%20trimestre%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uarios\CAlvaradoA\OneDrive%20-%20Suprema%20Corte%20de%20Justicia%20de%20la%20Nacion\Escritorio\GESTIONES%20VARIAS\ESTADISTICAS\INDICADORES%20DE%20GESTION\3T%202025\Tercer%20trimestre%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uarios\CAlvaradoA\OneDrive%20-%20Suprema%20Corte%20de%20Justicia%20de%20la%20Nacion\Escritorio\GESTIONES%20VARIAS\ESTADISTICAS\INDICADORES%20DE%20GESTION\3T%202025\Tercer%20trimestre%20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uarios\CAlvaradoA\OneDrive%20-%20Suprema%20Corte%20de%20Justicia%20de%20la%20Nacion\Escritorio\GESTIONES%20VARIAS\ESTADISTICAS\INDICADORES%20DE%20GESTION\3T%202025\Tercer%20trimestr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0.11402165743395665"/>
          <c:y val="0.12968964900892765"/>
          <c:w val="0.80071970202492038"/>
          <c:h val="0.70587267989350799"/>
        </c:manualLayout>
      </c:layout>
      <c:barChart>
        <c:barDir val="col"/>
        <c:grouping val="clustered"/>
        <c:varyColors val="0"/>
        <c:ser>
          <c:idx val="0"/>
          <c:order val="0"/>
          <c:invertIfNegative val="0"/>
          <c:dPt>
            <c:idx val="0"/>
            <c:invertIfNegative val="0"/>
            <c:bubble3D val="0"/>
            <c:spPr>
              <a:solidFill>
                <a:srgbClr val="73AFB6"/>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1-1FE8-45B5-83C8-B19C50193E39}"/>
              </c:ext>
            </c:extLst>
          </c:dPt>
          <c:dPt>
            <c:idx val="1"/>
            <c:invertIfNegative val="0"/>
            <c:bubble3D val="0"/>
            <c:spPr>
              <a:solidFill>
                <a:srgbClr val="D31245"/>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3-1FE8-45B5-83C8-B19C50193E39}"/>
              </c:ext>
            </c:extLst>
          </c:dPt>
          <c:dLbls>
            <c:dLbl>
              <c:idx val="0"/>
              <c:layout>
                <c:manualLayout>
                  <c:x val="2.4787006042194712E-17"/>
                  <c:y val="0"/>
                </c:manualLayout>
              </c:layout>
              <c:spPr/>
              <c:txPr>
                <a:bodyPr/>
                <a:lstStyle/>
                <a:p>
                  <a:pPr>
                    <a:defRPr sz="800" b="1">
                      <a:latin typeface="Georgia"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E8-45B5-83C8-B19C50193E39}"/>
                </c:ext>
              </c:extLst>
            </c:dLbl>
            <c:dLbl>
              <c:idx val="1"/>
              <c:layout>
                <c:manualLayout>
                  <c:x val="-8.1122047801539272E-3"/>
                  <c:y val="0"/>
                </c:manualLayout>
              </c:layout>
              <c:spPr/>
              <c:txPr>
                <a:bodyPr/>
                <a:lstStyle/>
                <a:p>
                  <a:pPr>
                    <a:defRPr sz="800" b="1">
                      <a:latin typeface="Georgia"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E8-45B5-83C8-B19C50193E39}"/>
                </c:ext>
              </c:extLst>
            </c:dLbl>
            <c:spPr>
              <a:noFill/>
              <a:ln>
                <a:noFill/>
              </a:ln>
              <a:effectLst/>
            </c:spPr>
            <c:txPr>
              <a:bodyPr/>
              <a:lstStyle/>
              <a:p>
                <a:pPr>
                  <a:defRPr sz="800">
                    <a:latin typeface="Georgia" pitchFamily="18" charset="0"/>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'Tercer Trim 2021'!$A$5:$A$6</c:f>
              <c:strCache>
                <c:ptCount val="2"/>
                <c:pt idx="0">
                  <c:v>Procedimientos Sumarios</c:v>
                </c:pt>
                <c:pt idx="1">
                  <c:v>Procedimientos Ordinarios</c:v>
                </c:pt>
              </c:strCache>
            </c:strRef>
          </c:cat>
          <c:val>
            <c:numRef>
              <c:f>'Tercer Trim 2021'!$C$5:$C$6</c:f>
              <c:numCache>
                <c:formatCode>0.00%</c:formatCode>
                <c:ptCount val="2"/>
                <c:pt idx="0">
                  <c:v>0.98783116612196653</c:v>
                </c:pt>
                <c:pt idx="1">
                  <c:v>1.2168833878033516E-2</c:v>
                </c:pt>
              </c:numCache>
            </c:numRef>
          </c:val>
          <c:extLst>
            <c:ext xmlns:c16="http://schemas.microsoft.com/office/drawing/2014/chart" uri="{C3380CC4-5D6E-409C-BE32-E72D297353CC}">
              <c16:uniqueId val="{00000004-1FE8-45B5-83C8-B19C50193E39}"/>
            </c:ext>
          </c:extLst>
        </c:ser>
        <c:dLbls>
          <c:showLegendKey val="0"/>
          <c:showVal val="0"/>
          <c:showCatName val="1"/>
          <c:showSerName val="0"/>
          <c:showPercent val="0"/>
          <c:showBubbleSize val="0"/>
        </c:dLbls>
        <c:gapWidth val="76"/>
        <c:axId val="-2119618656"/>
        <c:axId val="-2119621376"/>
      </c:barChart>
      <c:catAx>
        <c:axId val="-2119618656"/>
        <c:scaling>
          <c:orientation val="minMax"/>
        </c:scaling>
        <c:delete val="1"/>
        <c:axPos val="b"/>
        <c:numFmt formatCode="General" sourceLinked="0"/>
        <c:majorTickMark val="out"/>
        <c:minorTickMark val="none"/>
        <c:tickLblPos val="none"/>
        <c:crossAx val="-2119621376"/>
        <c:crosses val="autoZero"/>
        <c:auto val="1"/>
        <c:lblAlgn val="ctr"/>
        <c:lblOffset val="100"/>
        <c:noMultiLvlLbl val="0"/>
      </c:catAx>
      <c:valAx>
        <c:axId val="-2119621376"/>
        <c:scaling>
          <c:orientation val="minMax"/>
          <c:max val="1"/>
        </c:scaling>
        <c:delete val="0"/>
        <c:axPos val="l"/>
        <c:numFmt formatCode="0%" sourceLinked="0"/>
        <c:majorTickMark val="out"/>
        <c:minorTickMark val="none"/>
        <c:tickLblPos val="nextTo"/>
        <c:txPr>
          <a:bodyPr rot="0" vert="horz"/>
          <a:lstStyle/>
          <a:p>
            <a:pPr>
              <a:defRPr sz="900">
                <a:latin typeface="Arial" pitchFamily="34" charset="0"/>
                <a:cs typeface="Arial" pitchFamily="34" charset="0"/>
              </a:defRPr>
            </a:pPr>
            <a:endParaRPr lang="es-MX"/>
          </a:p>
        </c:txPr>
        <c:crossAx val="-2119618656"/>
        <c:crosses val="autoZero"/>
        <c:crossBetween val="between"/>
        <c:majorUnit val="0.1"/>
      </c:valAx>
      <c:spPr>
        <a:noFill/>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manualLayout>
          <c:layoutTarget val="inner"/>
          <c:xMode val="edge"/>
          <c:yMode val="edge"/>
          <c:x val="0.2505363746025206"/>
          <c:y val="0.11472015793631314"/>
          <c:w val="0.72391676145671136"/>
          <c:h val="0.8088135486181306"/>
        </c:manualLayout>
      </c:layout>
      <c:barChart>
        <c:barDir val="bar"/>
        <c:grouping val="clustered"/>
        <c:varyColors val="0"/>
        <c:ser>
          <c:idx val="0"/>
          <c:order val="0"/>
          <c:tx>
            <c:strRef>
              <c:f>'Tercer Trim 2021'!$B$12</c:f>
              <c:strCache>
                <c:ptCount val="1"/>
                <c:pt idx="0">
                  <c:v>Tramitados</c:v>
                </c:pt>
              </c:strCache>
            </c:strRef>
          </c:tx>
          <c:spPr>
            <a:solidFill>
              <a:srgbClr val="73AFB6"/>
            </a:solidFill>
            <a:ln>
              <a:noFill/>
            </a:ln>
            <a:effectLst/>
          </c:spPr>
          <c:invertIfNegative val="0"/>
          <c:dLbls>
            <c:spPr>
              <a:noFill/>
              <a:ln>
                <a:noFill/>
              </a:ln>
              <a:effectLst/>
            </c:spPr>
            <c:txPr>
              <a:bodyPr rot="0" vert="horz"/>
              <a:lstStyle/>
              <a:p>
                <a:pPr>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'Tercer Trim 2021'!$A$13:$A$49</c:f>
              <c:strCache>
                <c:ptCount val="37"/>
                <c:pt idx="0">
                  <c:v>Lerma, Edo. de Mex.</c:v>
                </c:pt>
                <c:pt idx="1">
                  <c:v>Xalapa, Ver.</c:v>
                </c:pt>
                <c:pt idx="2">
                  <c:v>Culiacán, Sin.</c:v>
                </c:pt>
                <c:pt idx="3">
                  <c:v>Chetumal, Q.Roo</c:v>
                </c:pt>
                <c:pt idx="4">
                  <c:v>Monterrey, N.L.</c:v>
                </c:pt>
                <c:pt idx="5">
                  <c:v>Hermosillo, Son.</c:v>
                </c:pt>
                <c:pt idx="6">
                  <c:v>Acapulco, Gro. </c:v>
                </c:pt>
                <c:pt idx="7">
                  <c:v>Ciudad Victoria, Tamps.</c:v>
                </c:pt>
                <c:pt idx="8">
                  <c:v>León, Gto.</c:v>
                </c:pt>
                <c:pt idx="9">
                  <c:v>Tijuana, B.C.</c:v>
                </c:pt>
                <c:pt idx="10">
                  <c:v>Mérida, Yuc.</c:v>
                </c:pt>
                <c:pt idx="11">
                  <c:v>Oaxaca, Oax</c:v>
                </c:pt>
                <c:pt idx="12">
                  <c:v>Cuernavaca, Mor.</c:v>
                </c:pt>
                <c:pt idx="13">
                  <c:v>Veracruz, Ver.</c:v>
                </c:pt>
                <c:pt idx="14">
                  <c:v>Durango, Dgo.</c:v>
                </c:pt>
                <c:pt idx="15">
                  <c:v>Torreón, Coah.</c:v>
                </c:pt>
                <c:pt idx="16">
                  <c:v>San Luis Potosí, S.L.P.</c:v>
                </c:pt>
                <c:pt idx="17">
                  <c:v>Villahermosa, Tab.</c:v>
                </c:pt>
                <c:pt idx="18">
                  <c:v>Ciudad Juárez, Chih.</c:v>
                </c:pt>
                <c:pt idx="19">
                  <c:v>Puebla, Pue.</c:v>
                </c:pt>
                <c:pt idx="20">
                  <c:v>Querétaro, Qro.</c:v>
                </c:pt>
                <c:pt idx="21">
                  <c:v>Colima, Col.</c:v>
                </c:pt>
                <c:pt idx="22">
                  <c:v>Guadalajara, Jal.</c:v>
                </c:pt>
                <c:pt idx="23">
                  <c:v>Saltillo, Coah.</c:v>
                </c:pt>
                <c:pt idx="24">
                  <c:v>Tuxtla Gutiérrez, Chis.</c:v>
                </c:pt>
                <c:pt idx="25">
                  <c:v>Pachuca, Hgo. </c:v>
                </c:pt>
                <c:pt idx="26">
                  <c:v>Mazatlán, Sin.</c:v>
                </c:pt>
                <c:pt idx="27">
                  <c:v>Tepic, Nay. </c:v>
                </c:pt>
                <c:pt idx="28">
                  <c:v>La Paz, B.C.S.</c:v>
                </c:pt>
                <c:pt idx="29">
                  <c:v>Morelia, Mich.</c:v>
                </c:pt>
                <c:pt idx="30">
                  <c:v>Campeche, Camp.</c:v>
                </c:pt>
                <c:pt idx="31">
                  <c:v>Toluca, Edo. de Mex.</c:v>
                </c:pt>
                <c:pt idx="32">
                  <c:v>Aguascalientes, Ags</c:v>
                </c:pt>
                <c:pt idx="33">
                  <c:v>Zacatecas, Zac.</c:v>
                </c:pt>
                <c:pt idx="34">
                  <c:v>Cancún, Q. Roo</c:v>
                </c:pt>
                <c:pt idx="35">
                  <c:v>Tlaxcala, Tlax.</c:v>
                </c:pt>
                <c:pt idx="36">
                  <c:v>Ciudad de México</c:v>
                </c:pt>
              </c:strCache>
            </c:strRef>
          </c:cat>
          <c:val>
            <c:numRef>
              <c:f>'Tercer Trim 2021'!$B$13:$B$49</c:f>
              <c:numCache>
                <c:formatCode>#,##0</c:formatCode>
                <c:ptCount val="37"/>
                <c:pt idx="0">
                  <c:v>0</c:v>
                </c:pt>
                <c:pt idx="1">
                  <c:v>5</c:v>
                </c:pt>
                <c:pt idx="2">
                  <c:v>9</c:v>
                </c:pt>
                <c:pt idx="3">
                  <c:v>14</c:v>
                </c:pt>
                <c:pt idx="4">
                  <c:v>18</c:v>
                </c:pt>
                <c:pt idx="5">
                  <c:v>24</c:v>
                </c:pt>
                <c:pt idx="6">
                  <c:v>25</c:v>
                </c:pt>
                <c:pt idx="7">
                  <c:v>26</c:v>
                </c:pt>
                <c:pt idx="8">
                  <c:v>31</c:v>
                </c:pt>
                <c:pt idx="9">
                  <c:v>32</c:v>
                </c:pt>
                <c:pt idx="10">
                  <c:v>33</c:v>
                </c:pt>
                <c:pt idx="11">
                  <c:v>38</c:v>
                </c:pt>
                <c:pt idx="12">
                  <c:v>41</c:v>
                </c:pt>
                <c:pt idx="13">
                  <c:v>42</c:v>
                </c:pt>
                <c:pt idx="14">
                  <c:v>42</c:v>
                </c:pt>
                <c:pt idx="15">
                  <c:v>44</c:v>
                </c:pt>
                <c:pt idx="16">
                  <c:v>46</c:v>
                </c:pt>
                <c:pt idx="17">
                  <c:v>46</c:v>
                </c:pt>
                <c:pt idx="18">
                  <c:v>50</c:v>
                </c:pt>
                <c:pt idx="19">
                  <c:v>52</c:v>
                </c:pt>
                <c:pt idx="20">
                  <c:v>58</c:v>
                </c:pt>
                <c:pt idx="21">
                  <c:v>62</c:v>
                </c:pt>
                <c:pt idx="22">
                  <c:v>82</c:v>
                </c:pt>
                <c:pt idx="23">
                  <c:v>94</c:v>
                </c:pt>
                <c:pt idx="24">
                  <c:v>96</c:v>
                </c:pt>
                <c:pt idx="25">
                  <c:v>119</c:v>
                </c:pt>
                <c:pt idx="26">
                  <c:v>132</c:v>
                </c:pt>
                <c:pt idx="27">
                  <c:v>147</c:v>
                </c:pt>
                <c:pt idx="28">
                  <c:v>150</c:v>
                </c:pt>
                <c:pt idx="29">
                  <c:v>186</c:v>
                </c:pt>
                <c:pt idx="30">
                  <c:v>206</c:v>
                </c:pt>
                <c:pt idx="31">
                  <c:v>215</c:v>
                </c:pt>
                <c:pt idx="32">
                  <c:v>222</c:v>
                </c:pt>
                <c:pt idx="33">
                  <c:v>261</c:v>
                </c:pt>
                <c:pt idx="34">
                  <c:v>290</c:v>
                </c:pt>
                <c:pt idx="35">
                  <c:v>348</c:v>
                </c:pt>
                <c:pt idx="36">
                  <c:v>10545</c:v>
                </c:pt>
              </c:numCache>
            </c:numRef>
          </c:val>
          <c:extLst>
            <c:ext xmlns:c16="http://schemas.microsoft.com/office/drawing/2014/chart" uri="{C3380CC4-5D6E-409C-BE32-E72D297353CC}">
              <c16:uniqueId val="{00000000-24BE-437E-A6D8-BB7742C95319}"/>
            </c:ext>
          </c:extLst>
        </c:ser>
        <c:dLbls>
          <c:showLegendKey val="0"/>
          <c:showVal val="1"/>
          <c:showCatName val="0"/>
          <c:showSerName val="0"/>
          <c:showPercent val="0"/>
          <c:showBubbleSize val="0"/>
        </c:dLbls>
        <c:gapWidth val="150"/>
        <c:axId val="-2119620288"/>
        <c:axId val="-2119626272"/>
      </c:barChart>
      <c:catAx>
        <c:axId val="-2119620288"/>
        <c:scaling>
          <c:orientation val="minMax"/>
        </c:scaling>
        <c:delete val="0"/>
        <c:axPos val="l"/>
        <c:numFmt formatCode="General" sourceLinked="1"/>
        <c:majorTickMark val="out"/>
        <c:minorTickMark val="none"/>
        <c:tickLblPos val="nextTo"/>
        <c:txPr>
          <a:bodyPr rot="0" vert="horz"/>
          <a:lstStyle/>
          <a:p>
            <a:pPr>
              <a:defRPr sz="800" b="1"/>
            </a:pPr>
            <a:endParaRPr lang="es-MX"/>
          </a:p>
        </c:txPr>
        <c:crossAx val="-2119626272"/>
        <c:crosses val="autoZero"/>
        <c:auto val="0"/>
        <c:lblAlgn val="ctr"/>
        <c:lblOffset val="100"/>
        <c:tickLblSkip val="1"/>
        <c:tickMarkSkip val="1"/>
        <c:noMultiLvlLbl val="0"/>
      </c:catAx>
      <c:valAx>
        <c:axId val="-2119626272"/>
        <c:scaling>
          <c:orientation val="minMax"/>
          <c:max val="5000"/>
        </c:scaling>
        <c:delete val="0"/>
        <c:axPos val="b"/>
        <c:majorGridlines>
          <c:spPr>
            <a:ln>
              <a:solidFill>
                <a:schemeClr val="bg1">
                  <a:lumMod val="75000"/>
                </a:schemeClr>
              </a:solidFill>
            </a:ln>
          </c:spPr>
        </c:majorGridlines>
        <c:numFmt formatCode="#,##0" sourceLinked="1"/>
        <c:majorTickMark val="out"/>
        <c:minorTickMark val="none"/>
        <c:tickLblPos val="high"/>
        <c:spPr>
          <a:ln>
            <a:solidFill>
              <a:schemeClr val="tx1"/>
            </a:solidFill>
          </a:ln>
        </c:spPr>
        <c:txPr>
          <a:bodyPr rot="5400000" vert="horz"/>
          <a:lstStyle/>
          <a:p>
            <a:pPr>
              <a:defRPr/>
            </a:pPr>
            <a:endParaRPr lang="es-MX"/>
          </a:p>
        </c:txPr>
        <c:crossAx val="-2119620288"/>
        <c:crosses val="autoZero"/>
        <c:crossBetween val="between"/>
        <c:majorUnit val="500"/>
      </c:valAx>
      <c:spPr>
        <a:noFill/>
        <a:ln>
          <a:solidFill>
            <a:schemeClr val="tx1">
              <a:lumMod val="50000"/>
              <a:lumOff val="50000"/>
            </a:schemeClr>
          </a:solidFill>
        </a:ln>
      </c:spPr>
    </c:plotArea>
    <c:plotVisOnly val="1"/>
    <c:dispBlanksAs val="gap"/>
    <c:showDLblsOverMax val="0"/>
  </c:chart>
  <c:spPr>
    <a:noFill/>
  </c:spPr>
  <c:txPr>
    <a:bodyPr/>
    <a:lstStyle/>
    <a:p>
      <a:pPr>
        <a:defRPr>
          <a:latin typeface="Georgia" pitchFamily="18" charset="0"/>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6196942510558474"/>
          <c:y val="4.5041955237437058E-2"/>
          <c:w val="0.56168998508992218"/>
          <c:h val="0.88949158506842352"/>
        </c:manualLayout>
      </c:layout>
      <c:pieChart>
        <c:varyColors val="1"/>
        <c:ser>
          <c:idx val="0"/>
          <c:order val="0"/>
          <c:spPr>
            <a:solidFill>
              <a:srgbClr val="38939B"/>
            </a:solidFill>
            <a:ln>
              <a:noFill/>
            </a:ln>
            <a:effectLst/>
            <a:scene3d>
              <a:camera prst="orthographicFront"/>
              <a:lightRig rig="threePt" dir="t">
                <a:rot lat="0" lon="0" rev="1200000"/>
              </a:lightRig>
            </a:scene3d>
            <a:sp3d/>
          </c:spPr>
          <c:explosion val="25"/>
          <c:dPt>
            <c:idx val="0"/>
            <c:bubble3D val="0"/>
            <c:spPr>
              <a:solidFill>
                <a:srgbClr val="73AFB6"/>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1-E588-48EA-823D-5186EA8CCC2C}"/>
              </c:ext>
            </c:extLst>
          </c:dPt>
          <c:dPt>
            <c:idx val="1"/>
            <c:bubble3D val="0"/>
            <c:explosion val="0"/>
            <c:spPr>
              <a:solidFill>
                <a:srgbClr val="D31245"/>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3-E588-48EA-823D-5186EA8CCC2C}"/>
              </c:ext>
            </c:extLst>
          </c:dPt>
          <c:dLbls>
            <c:dLbl>
              <c:idx val="0"/>
              <c:layout>
                <c:manualLayout>
                  <c:x val="0.30944819756603958"/>
                  <c:y val="4.645761515801907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88-48EA-823D-5186EA8CCC2C}"/>
                </c:ext>
              </c:extLst>
            </c:dLbl>
            <c:dLbl>
              <c:idx val="1"/>
              <c:layout>
                <c:manualLayout>
                  <c:x val="-0.37937766750069141"/>
                  <c:y val="-0.1393728454740572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88-48EA-823D-5186EA8CCC2C}"/>
                </c:ext>
              </c:extLst>
            </c:dLbl>
            <c:spPr>
              <a:noFill/>
              <a:ln>
                <a:noFill/>
              </a:ln>
              <a:effectLst/>
            </c:spPr>
            <c:txPr>
              <a:bodyPr/>
              <a:lstStyle/>
              <a:p>
                <a:pPr>
                  <a:defRPr b="1"/>
                </a:pPr>
                <a:endParaRPr lang="es-MX"/>
              </a:p>
            </c:txPr>
            <c:dLblPos val="bestFit"/>
            <c:showLegendKey val="0"/>
            <c:showVal val="1"/>
            <c:showCatName val="1"/>
            <c:showSerName val="0"/>
            <c:showPercent val="0"/>
            <c:showBubbleSize val="0"/>
            <c:showLeaderLines val="0"/>
            <c:extLst>
              <c:ext xmlns:c15="http://schemas.microsoft.com/office/drawing/2012/chart" uri="{CE6537A1-D6FC-4f65-9D91-7224C49458BB}"/>
            </c:extLst>
          </c:dLbls>
          <c:cat>
            <c:strRef>
              <c:f>'Tercer Trim 2021'!$A$59:$A$60</c:f>
              <c:strCache>
                <c:ptCount val="2"/>
                <c:pt idx="0">
                  <c:v>Solicitudes recibidas de manera presencial</c:v>
                </c:pt>
                <c:pt idx="1">
                  <c:v>Solicitudes recibidas por medios electrónicos</c:v>
                </c:pt>
              </c:strCache>
            </c:strRef>
          </c:cat>
          <c:val>
            <c:numRef>
              <c:f>'Tercer Trim 2021'!$C$59:$C$60</c:f>
              <c:numCache>
                <c:formatCode>0.00%</c:formatCode>
                <c:ptCount val="2"/>
                <c:pt idx="0">
                  <c:v>0.18514687629292512</c:v>
                </c:pt>
                <c:pt idx="1">
                  <c:v>0.81485312370707486</c:v>
                </c:pt>
              </c:numCache>
            </c:numRef>
          </c:val>
          <c:extLst>
            <c:ext xmlns:c16="http://schemas.microsoft.com/office/drawing/2014/chart" uri="{C3380CC4-5D6E-409C-BE32-E72D297353CC}">
              <c16:uniqueId val="{00000004-E588-48EA-823D-5186EA8CCC2C}"/>
            </c:ext>
          </c:extLst>
        </c:ser>
        <c:dLbls>
          <c:showLegendKey val="0"/>
          <c:showVal val="1"/>
          <c:showCatName val="1"/>
          <c:showSerName val="0"/>
          <c:showPercent val="0"/>
          <c:showBubbleSize val="0"/>
          <c:showLeaderLines val="0"/>
        </c:dLbls>
        <c:firstSliceAng val="0"/>
      </c:pieChart>
      <c:spPr>
        <a:noFill/>
        <a:ln w="25400">
          <a:noFill/>
        </a:ln>
      </c:spPr>
    </c:plotArea>
    <c:plotVisOnly val="1"/>
    <c:dispBlanksAs val="zero"/>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manualLayout>
          <c:layoutTarget val="inner"/>
          <c:xMode val="edge"/>
          <c:yMode val="edge"/>
          <c:x val="0.17390269530668689"/>
          <c:y val="0.18794326241134757"/>
          <c:w val="0.77057342787510941"/>
          <c:h val="0.61231808789858722"/>
        </c:manualLayout>
      </c:layout>
      <c:barChart>
        <c:barDir val="bar"/>
        <c:grouping val="clustered"/>
        <c:varyColors val="0"/>
        <c:ser>
          <c:idx val="1"/>
          <c:order val="0"/>
          <c:spPr>
            <a:solidFill>
              <a:srgbClr val="C00000"/>
            </a:solidFill>
            <a:effectLst>
              <a:outerShdw blurRad="50800" dist="38100" algn="l" rotWithShape="0">
                <a:prstClr val="black">
                  <a:alpha val="40000"/>
                </a:prstClr>
              </a:outerShdw>
            </a:effectLst>
          </c:spPr>
          <c:invertIfNegative val="0"/>
          <c:dPt>
            <c:idx val="0"/>
            <c:invertIfNegative val="0"/>
            <c:bubble3D val="0"/>
            <c:spPr>
              <a:solidFill>
                <a:srgbClr val="D31245"/>
              </a:solidFill>
              <a:ln>
                <a:noFill/>
              </a:ln>
              <a:effectLst/>
            </c:spPr>
            <c:extLst>
              <c:ext xmlns:c16="http://schemas.microsoft.com/office/drawing/2014/chart" uri="{C3380CC4-5D6E-409C-BE32-E72D297353CC}">
                <c16:uniqueId val="{00000001-34EB-4573-A548-AFAC460CCD2C}"/>
              </c:ext>
            </c:extLst>
          </c:dPt>
          <c:dPt>
            <c:idx val="1"/>
            <c:invertIfNegative val="0"/>
            <c:bubble3D val="0"/>
            <c:spPr>
              <a:solidFill>
                <a:srgbClr val="D59F0F"/>
              </a:solidFill>
              <a:ln>
                <a:noFill/>
              </a:ln>
              <a:effectLst/>
            </c:spPr>
            <c:extLst>
              <c:ext xmlns:c16="http://schemas.microsoft.com/office/drawing/2014/chart" uri="{C3380CC4-5D6E-409C-BE32-E72D297353CC}">
                <c16:uniqueId val="{00000003-34EB-4573-A548-AFAC460CCD2C}"/>
              </c:ext>
            </c:extLst>
          </c:dPt>
          <c:dPt>
            <c:idx val="2"/>
            <c:invertIfNegative val="0"/>
            <c:bubble3D val="0"/>
            <c:spPr>
              <a:solidFill>
                <a:srgbClr val="73AFB6"/>
              </a:solidFill>
              <a:ln>
                <a:noFill/>
              </a:ln>
              <a:effectLst/>
            </c:spPr>
            <c:extLst>
              <c:ext xmlns:c16="http://schemas.microsoft.com/office/drawing/2014/chart" uri="{C3380CC4-5D6E-409C-BE32-E72D297353CC}">
                <c16:uniqueId val="{00000005-34EB-4573-A548-AFAC460CCD2C}"/>
              </c:ext>
            </c:extLst>
          </c:dPt>
          <c:dLbls>
            <c:dLbl>
              <c:idx val="0"/>
              <c:spPr/>
              <c:txPr>
                <a:bodyPr/>
                <a:lstStyle/>
                <a:p>
                  <a:pPr>
                    <a:defRPr sz="900" b="1">
                      <a:solidFill>
                        <a:sysClr val="windowText" lastClr="000000"/>
                      </a:solidFill>
                      <a:latin typeface="+mj-lt"/>
                      <a:cs typeface="Arial"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34EB-4573-A548-AFAC460CCD2C}"/>
                </c:ext>
              </c:extLst>
            </c:dLbl>
            <c:dLbl>
              <c:idx val="1"/>
              <c:layout>
                <c:manualLayout>
                  <c:x val="1.0260194552510321E-2"/>
                  <c:y val="7.23327305605786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EB-4573-A548-AFAC460CCD2C}"/>
                </c:ext>
              </c:extLst>
            </c:dLbl>
            <c:spPr>
              <a:noFill/>
              <a:ln>
                <a:noFill/>
              </a:ln>
              <a:effectLst/>
            </c:spPr>
            <c:txPr>
              <a:bodyPr/>
              <a:lstStyle/>
              <a:p>
                <a:pPr>
                  <a:defRPr sz="900" b="1">
                    <a:latin typeface="+mj-lt"/>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'Tercer Trim 2021'!$A$67:$A$69</c:f>
              <c:strCache>
                <c:ptCount val="3"/>
                <c:pt idx="0">
                  <c:v>Orientaciones</c:v>
                </c:pt>
                <c:pt idx="1">
                  <c:v>Canalizaciones</c:v>
                </c:pt>
                <c:pt idx="2">
                  <c:v>Solicitudes</c:v>
                </c:pt>
              </c:strCache>
            </c:strRef>
          </c:cat>
          <c:val>
            <c:numRef>
              <c:f>'Tercer Trim 2021'!$B$67:$B$69</c:f>
              <c:numCache>
                <c:formatCode>General</c:formatCode>
                <c:ptCount val="3"/>
                <c:pt idx="0" formatCode="#,##0">
                  <c:v>159</c:v>
                </c:pt>
                <c:pt idx="1">
                  <c:v>74</c:v>
                </c:pt>
                <c:pt idx="2" formatCode="#,##0">
                  <c:v>14502</c:v>
                </c:pt>
              </c:numCache>
            </c:numRef>
          </c:val>
          <c:extLst>
            <c:ext xmlns:c16="http://schemas.microsoft.com/office/drawing/2014/chart" uri="{C3380CC4-5D6E-409C-BE32-E72D297353CC}">
              <c16:uniqueId val="{00000006-34EB-4573-A548-AFAC460CCD2C}"/>
            </c:ext>
          </c:extLst>
        </c:ser>
        <c:dLbls>
          <c:showLegendKey val="0"/>
          <c:showVal val="1"/>
          <c:showCatName val="0"/>
          <c:showSerName val="0"/>
          <c:showPercent val="0"/>
          <c:showBubbleSize val="0"/>
        </c:dLbls>
        <c:gapWidth val="75"/>
        <c:axId val="-2119625728"/>
        <c:axId val="-2119623552"/>
      </c:barChart>
      <c:catAx>
        <c:axId val="-2119625728"/>
        <c:scaling>
          <c:orientation val="minMax"/>
        </c:scaling>
        <c:delete val="0"/>
        <c:axPos val="l"/>
        <c:numFmt formatCode="General" sourceLinked="1"/>
        <c:majorTickMark val="none"/>
        <c:minorTickMark val="none"/>
        <c:tickLblPos val="low"/>
        <c:txPr>
          <a:bodyPr rot="0" vert="horz"/>
          <a:lstStyle/>
          <a:p>
            <a:pPr>
              <a:defRPr sz="800" b="1">
                <a:latin typeface="Arial" pitchFamily="34" charset="0"/>
                <a:cs typeface="Arial" pitchFamily="34" charset="0"/>
              </a:defRPr>
            </a:pPr>
            <a:endParaRPr lang="es-MX"/>
          </a:p>
        </c:txPr>
        <c:crossAx val="-2119623552"/>
        <c:crosses val="autoZero"/>
        <c:auto val="1"/>
        <c:lblAlgn val="ctr"/>
        <c:lblOffset val="100"/>
        <c:tickLblSkip val="1"/>
        <c:tickMarkSkip val="1"/>
        <c:noMultiLvlLbl val="0"/>
      </c:catAx>
      <c:valAx>
        <c:axId val="-2119623552"/>
        <c:scaling>
          <c:orientation val="minMax"/>
          <c:max val="18000"/>
          <c:min val="0"/>
        </c:scaling>
        <c:delete val="0"/>
        <c:axPos val="b"/>
        <c:numFmt formatCode="#,##0" sourceLinked="1"/>
        <c:majorTickMark val="none"/>
        <c:minorTickMark val="none"/>
        <c:tickLblPos val="nextTo"/>
        <c:txPr>
          <a:bodyPr rot="0" vert="horz"/>
          <a:lstStyle/>
          <a:p>
            <a:pPr>
              <a:defRPr sz="900">
                <a:latin typeface="Arial" pitchFamily="34" charset="0"/>
                <a:cs typeface="Arial" pitchFamily="34" charset="0"/>
              </a:defRPr>
            </a:pPr>
            <a:endParaRPr lang="es-MX"/>
          </a:p>
        </c:txPr>
        <c:crossAx val="-2119625728"/>
        <c:crosses val="autoZero"/>
        <c:crossBetween val="between"/>
        <c:majorUnit val="2000"/>
      </c:valAx>
      <c:spPr>
        <a:noFill/>
      </c:spPr>
    </c:plotArea>
    <c:legend>
      <c:legendPos val="b"/>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0.15000022194635121"/>
          <c:y val="0.12250014953631606"/>
          <c:w val="0.78030418487242748"/>
          <c:h val="0.70000085449323446"/>
        </c:manualLayout>
      </c:layout>
      <c:barChart>
        <c:barDir val="col"/>
        <c:grouping val="clustered"/>
        <c:varyColors val="0"/>
        <c:ser>
          <c:idx val="0"/>
          <c:order val="0"/>
          <c:invertIfNegative val="0"/>
          <c:dPt>
            <c:idx val="0"/>
            <c:invertIfNegative val="1"/>
            <c:bubble3D val="0"/>
            <c:spPr>
              <a:solidFill>
                <a:srgbClr val="D31245"/>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1-DF0D-4EE4-92FC-46BDB995CA8D}"/>
              </c:ext>
            </c:extLst>
          </c:dPt>
          <c:dPt>
            <c:idx val="1"/>
            <c:invertIfNegative val="0"/>
            <c:bubble3D val="0"/>
            <c:spPr>
              <a:solidFill>
                <a:srgbClr val="73ACB6"/>
              </a:solidFill>
              <a:effectLst/>
              <a:scene3d>
                <a:camera prst="orthographicFront"/>
                <a:lightRig rig="threePt" dir="t">
                  <a:rot lat="0" lon="0" rev="1200000"/>
                </a:lightRig>
              </a:scene3d>
              <a:sp3d/>
            </c:spPr>
            <c:extLst>
              <c:ext xmlns:c16="http://schemas.microsoft.com/office/drawing/2014/chart" uri="{C3380CC4-5D6E-409C-BE32-E72D297353CC}">
                <c16:uniqueId val="{00000003-DF0D-4EE4-92FC-46BDB995CA8D}"/>
              </c:ext>
            </c:extLst>
          </c:dPt>
          <c:dLbls>
            <c:dLbl>
              <c:idx val="0"/>
              <c:layout>
                <c:manualLayout>
                  <c:x val="-4.6642912292990644E-17"/>
                  <c:y val="-1.7040988730110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0D-4EE4-92FC-46BDB995CA8D}"/>
                </c:ext>
              </c:extLst>
            </c:dLbl>
            <c:dLbl>
              <c:idx val="1"/>
              <c:layout>
                <c:manualLayout>
                  <c:x val="-2.6579755593658279E-3"/>
                  <c:y val="-2.3250120854418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0D-4EE4-92FC-46BDB995CA8D}"/>
                </c:ext>
              </c:extLst>
            </c:dLbl>
            <c:spPr>
              <a:noFill/>
              <a:ln>
                <a:noFill/>
              </a:ln>
              <a:effectLst/>
            </c:spPr>
            <c:txPr>
              <a:bodyPr/>
              <a:lstStyle/>
              <a:p>
                <a:pPr>
                  <a:defRPr sz="900" b="1">
                    <a:latin typeface="+mj-lt"/>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'Tercer Trim 2021'!$A$74:$A$75</c:f>
              <c:strCache>
                <c:ptCount val="2"/>
                <c:pt idx="0">
                  <c:v>Administrativa</c:v>
                </c:pt>
                <c:pt idx="1">
                  <c:v>Jurisdiccional</c:v>
                </c:pt>
              </c:strCache>
            </c:strRef>
          </c:cat>
          <c:val>
            <c:numRef>
              <c:f>'Tercer Trim 2021'!$C$74:$C$75</c:f>
              <c:numCache>
                <c:formatCode>0.00%</c:formatCode>
                <c:ptCount val="2"/>
                <c:pt idx="0">
                  <c:v>0.47428571428571431</c:v>
                </c:pt>
                <c:pt idx="1">
                  <c:v>0.52571428571428569</c:v>
                </c:pt>
              </c:numCache>
            </c:numRef>
          </c:val>
          <c:extLst>
            <c:ext xmlns:c16="http://schemas.microsoft.com/office/drawing/2014/chart" uri="{C3380CC4-5D6E-409C-BE32-E72D297353CC}">
              <c16:uniqueId val="{00000004-DF0D-4EE4-92FC-46BDB995CA8D}"/>
            </c:ext>
          </c:extLst>
        </c:ser>
        <c:dLbls>
          <c:showLegendKey val="0"/>
          <c:showVal val="1"/>
          <c:showCatName val="0"/>
          <c:showSerName val="0"/>
          <c:showPercent val="0"/>
          <c:showBubbleSize val="0"/>
        </c:dLbls>
        <c:gapWidth val="103"/>
        <c:overlap val="88"/>
        <c:axId val="-2119627904"/>
        <c:axId val="-2119627360"/>
      </c:barChart>
      <c:catAx>
        <c:axId val="-2119627904"/>
        <c:scaling>
          <c:orientation val="minMax"/>
        </c:scaling>
        <c:delete val="0"/>
        <c:axPos val="b"/>
        <c:numFmt formatCode="General" sourceLinked="1"/>
        <c:majorTickMark val="out"/>
        <c:minorTickMark val="none"/>
        <c:tickLblPos val="nextTo"/>
        <c:txPr>
          <a:bodyPr rot="0" vert="horz"/>
          <a:lstStyle/>
          <a:p>
            <a:pPr>
              <a:defRPr sz="1100">
                <a:latin typeface="+mj-lt"/>
                <a:cs typeface="Arial" pitchFamily="34" charset="0"/>
              </a:defRPr>
            </a:pPr>
            <a:endParaRPr lang="es-MX"/>
          </a:p>
        </c:txPr>
        <c:crossAx val="-2119627360"/>
        <c:crosses val="autoZero"/>
        <c:auto val="1"/>
        <c:lblAlgn val="ctr"/>
        <c:lblOffset val="100"/>
        <c:tickLblSkip val="1"/>
        <c:tickMarkSkip val="1"/>
        <c:noMultiLvlLbl val="0"/>
      </c:catAx>
      <c:valAx>
        <c:axId val="-2119627360"/>
        <c:scaling>
          <c:orientation val="minMax"/>
          <c:max val="1"/>
        </c:scaling>
        <c:delete val="0"/>
        <c:axPos val="l"/>
        <c:majorGridlines/>
        <c:numFmt formatCode="0%" sourceLinked="0"/>
        <c:majorTickMark val="out"/>
        <c:minorTickMark val="none"/>
        <c:tickLblPos val="nextTo"/>
        <c:txPr>
          <a:bodyPr rot="0" vert="horz"/>
          <a:lstStyle/>
          <a:p>
            <a:pPr>
              <a:defRPr sz="1000">
                <a:latin typeface="Arial" pitchFamily="34" charset="0"/>
                <a:cs typeface="Arial" pitchFamily="34" charset="0"/>
              </a:defRPr>
            </a:pPr>
            <a:endParaRPr lang="es-MX"/>
          </a:p>
        </c:txPr>
        <c:crossAx val="-2119627904"/>
        <c:crosses val="autoZero"/>
        <c:crossBetween val="between"/>
        <c:majorUnit val="0.2"/>
      </c:valAx>
      <c:spPr>
        <a:noFill/>
      </c:spPr>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pieChart>
        <c:varyColors val="1"/>
        <c:ser>
          <c:idx val="0"/>
          <c:order val="0"/>
          <c:spPr>
            <a:solidFill>
              <a:srgbClr val="80A1B6"/>
            </a:solidFill>
          </c:spPr>
          <c:explosion val="14"/>
          <c:dPt>
            <c:idx val="0"/>
            <c:bubble3D val="0"/>
            <c:spPr>
              <a:solidFill>
                <a:srgbClr val="73ACB6"/>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1-F971-4B78-A726-784127844CEE}"/>
              </c:ext>
            </c:extLst>
          </c:dPt>
          <c:dPt>
            <c:idx val="1"/>
            <c:bubble3D val="0"/>
            <c:spPr>
              <a:solidFill>
                <a:srgbClr val="D31245"/>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3-F971-4B78-A726-784127844CEE}"/>
              </c:ext>
            </c:extLst>
          </c:dPt>
          <c:dLbls>
            <c:dLbl>
              <c:idx val="0"/>
              <c:layout>
                <c:manualLayout>
                  <c:x val="0.26050173462475273"/>
                  <c:y val="-0.1108658338704122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71-4B78-A726-784127844CEE}"/>
                </c:ext>
              </c:extLst>
            </c:dLbl>
            <c:dLbl>
              <c:idx val="1"/>
              <c:layout>
                <c:manualLayout>
                  <c:x val="-0.13598086068257609"/>
                  <c:y val="5.9577916204957386E-2"/>
                </c:manualLayout>
              </c:layout>
              <c:numFmt formatCode="0.00%" sourceLinked="0"/>
              <c:spPr/>
              <c:txPr>
                <a:bodyPr/>
                <a:lstStyle/>
                <a:p>
                  <a:pPr>
                    <a:defRPr sz="1000" b="1">
                      <a:solidFill>
                        <a:sysClr val="windowText" lastClr="000000"/>
                      </a:solidFill>
                      <a:latin typeface="+mn-lt"/>
                      <a:cs typeface="Calibri" pitchFamily="34" charset="0"/>
                    </a:defRPr>
                  </a:pPr>
                  <a:endParaRPr lang="es-MX"/>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71-4B78-A726-784127844CEE}"/>
                </c:ext>
              </c:extLst>
            </c:dLbl>
            <c:numFmt formatCode="0.00%" sourceLinked="0"/>
            <c:spPr>
              <a:noFill/>
              <a:ln>
                <a:noFill/>
              </a:ln>
              <a:effectLst/>
            </c:spPr>
            <c:txPr>
              <a:bodyPr/>
              <a:lstStyle/>
              <a:p>
                <a:pPr>
                  <a:defRPr sz="1000" b="1">
                    <a:latin typeface="+mn-lt"/>
                    <a:cs typeface="Calibri" pitchFamily="34" charset="0"/>
                  </a:defRPr>
                </a:pPr>
                <a:endParaRPr lang="es-MX"/>
              </a:p>
            </c:txPr>
            <c:showLegendKey val="0"/>
            <c:showVal val="1"/>
            <c:showCatName val="1"/>
            <c:showSerName val="0"/>
            <c:showPercent val="0"/>
            <c:showBubbleSize val="0"/>
            <c:showLeaderLines val="0"/>
            <c:extLst>
              <c:ext xmlns:c15="http://schemas.microsoft.com/office/drawing/2012/chart" uri="{CE6537A1-D6FC-4f65-9D91-7224C49458BB}"/>
            </c:extLst>
          </c:dLbls>
          <c:cat>
            <c:strRef>
              <c:f>'Tercer Trim 2021'!$A$82:$A$83</c:f>
              <c:strCache>
                <c:ptCount val="2"/>
                <c:pt idx="0">
                  <c:v>Tramitados sin intervención del Comité</c:v>
                </c:pt>
                <c:pt idx="1">
                  <c:v>Turnos al Comité</c:v>
                </c:pt>
              </c:strCache>
            </c:strRef>
          </c:cat>
          <c:val>
            <c:numRef>
              <c:f>'Tercer Trim 2021'!$B$82:$B$83</c:f>
              <c:numCache>
                <c:formatCode>0.00%</c:formatCode>
                <c:ptCount val="2"/>
                <c:pt idx="0">
                  <c:v>0.92571428571428571</c:v>
                </c:pt>
                <c:pt idx="1">
                  <c:v>7.4285714285714288E-2</c:v>
                </c:pt>
              </c:numCache>
            </c:numRef>
          </c:val>
          <c:extLst>
            <c:ext xmlns:c16="http://schemas.microsoft.com/office/drawing/2014/chart" uri="{C3380CC4-5D6E-409C-BE32-E72D297353CC}">
              <c16:uniqueId val="{00000004-F971-4B78-A726-784127844CEE}"/>
            </c:ext>
          </c:extLst>
        </c:ser>
        <c:dLbls>
          <c:showLegendKey val="0"/>
          <c:showVal val="1"/>
          <c:showCatName val="1"/>
          <c:showSerName val="0"/>
          <c:showPercent val="0"/>
          <c:showBubbleSize val="0"/>
          <c:showLeaderLines val="0"/>
        </c:dLbls>
        <c:firstSliceAng val="0"/>
      </c:pieChart>
    </c:plotArea>
    <c:plotVisOnly val="1"/>
    <c:dispBlanksAs val="zero"/>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8.1683989501312337E-2"/>
          <c:y val="9.0037778064627164E-2"/>
          <c:w val="0.87301710325507265"/>
          <c:h val="0.85111765653794869"/>
        </c:manualLayout>
      </c:layout>
      <c:barChart>
        <c:barDir val="col"/>
        <c:grouping val="clustered"/>
        <c:varyColors val="0"/>
        <c:ser>
          <c:idx val="0"/>
          <c:order val="0"/>
          <c:spPr>
            <a:solidFill>
              <a:srgbClr val="C00000"/>
            </a:solidFill>
          </c:spPr>
          <c:invertIfNegative val="0"/>
          <c:dPt>
            <c:idx val="0"/>
            <c:invertIfNegative val="0"/>
            <c:bubble3D val="0"/>
            <c:spPr>
              <a:solidFill>
                <a:srgbClr val="73AFB6"/>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1-D691-48DA-8FE0-D65B1EB1D0C6}"/>
              </c:ext>
            </c:extLst>
          </c:dPt>
          <c:dPt>
            <c:idx val="1"/>
            <c:invertIfNegative val="0"/>
            <c:bubble3D val="0"/>
            <c:spPr>
              <a:solidFill>
                <a:srgbClr val="D31245"/>
              </a:solidFill>
              <a:ln>
                <a:noFill/>
              </a:ln>
              <a:effectLst/>
              <a:scene3d>
                <a:camera prst="orthographicFront"/>
                <a:lightRig rig="threePt" dir="t">
                  <a:rot lat="0" lon="0" rev="1200000"/>
                </a:lightRig>
              </a:scene3d>
              <a:sp3d/>
            </c:spPr>
            <c:extLst>
              <c:ext xmlns:c16="http://schemas.microsoft.com/office/drawing/2014/chart" uri="{C3380CC4-5D6E-409C-BE32-E72D297353CC}">
                <c16:uniqueId val="{00000003-D691-48DA-8FE0-D65B1EB1D0C6}"/>
              </c:ext>
            </c:extLst>
          </c:dPt>
          <c:dLbls>
            <c:dLbl>
              <c:idx val="0"/>
              <c:layout>
                <c:manualLayout>
                  <c:x val="-1.9240019240019288E-3"/>
                  <c:y val="-4.819277108433744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91-48DA-8FE0-D65B1EB1D0C6}"/>
                </c:ext>
              </c:extLst>
            </c:dLbl>
            <c:dLbl>
              <c:idx val="1"/>
              <c:layout>
                <c:manualLayout>
                  <c:x val="0"/>
                  <c:y val="-1.6064257028112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91-48DA-8FE0-D65B1EB1D0C6}"/>
                </c:ext>
              </c:extLst>
            </c:dLbl>
            <c:spPr>
              <a:noFill/>
              <a:ln>
                <a:noFill/>
              </a:ln>
              <a:effectLst/>
            </c:spPr>
            <c:txPr>
              <a:bodyPr/>
              <a:lstStyle/>
              <a:p>
                <a:pPr>
                  <a:defRPr sz="900" b="1">
                    <a:latin typeface="Georgia" pitchFamily="18" charset="0"/>
                    <a:cs typeface="Arial" pitchFamily="34" charset="0"/>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'Tercer Trim 2021'!$A$86:$A$87</c:f>
              <c:strCache>
                <c:ptCount val="2"/>
                <c:pt idx="0">
                  <c:v>Clasificaciones emitidas por el Comité</c:v>
                </c:pt>
                <c:pt idx="1">
                  <c:v>Recursos de Revisión promovidos</c:v>
                </c:pt>
              </c:strCache>
            </c:strRef>
          </c:cat>
          <c:val>
            <c:numRef>
              <c:f>'Tercer Trim 2021'!$B$86:$B$87</c:f>
              <c:numCache>
                <c:formatCode>General</c:formatCode>
                <c:ptCount val="2"/>
                <c:pt idx="0">
                  <c:v>11</c:v>
                </c:pt>
                <c:pt idx="1">
                  <c:v>10</c:v>
                </c:pt>
              </c:numCache>
            </c:numRef>
          </c:val>
          <c:extLst>
            <c:ext xmlns:c16="http://schemas.microsoft.com/office/drawing/2014/chart" uri="{C3380CC4-5D6E-409C-BE32-E72D297353CC}">
              <c16:uniqueId val="{00000004-D691-48DA-8FE0-D65B1EB1D0C6}"/>
            </c:ext>
          </c:extLst>
        </c:ser>
        <c:dLbls>
          <c:showLegendKey val="0"/>
          <c:showVal val="1"/>
          <c:showCatName val="1"/>
          <c:showSerName val="0"/>
          <c:showPercent val="0"/>
          <c:showBubbleSize val="0"/>
        </c:dLbls>
        <c:gapWidth val="150"/>
        <c:axId val="-2119620832"/>
        <c:axId val="-2119628992"/>
      </c:barChart>
      <c:catAx>
        <c:axId val="-2119620832"/>
        <c:scaling>
          <c:orientation val="minMax"/>
        </c:scaling>
        <c:delete val="1"/>
        <c:axPos val="b"/>
        <c:numFmt formatCode="General" sourceLinked="0"/>
        <c:majorTickMark val="out"/>
        <c:minorTickMark val="none"/>
        <c:tickLblPos val="none"/>
        <c:crossAx val="-2119628992"/>
        <c:crosses val="autoZero"/>
        <c:auto val="1"/>
        <c:lblAlgn val="ctr"/>
        <c:lblOffset val="100"/>
        <c:noMultiLvlLbl val="0"/>
      </c:catAx>
      <c:valAx>
        <c:axId val="-2119628992"/>
        <c:scaling>
          <c:orientation val="minMax"/>
          <c:max val="100"/>
          <c:min val="0"/>
        </c:scaling>
        <c:delete val="0"/>
        <c:axPos val="l"/>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es-MX"/>
          </a:p>
        </c:txPr>
        <c:crossAx val="-2119620832"/>
        <c:crosses val="autoZero"/>
        <c:crossBetween val="between"/>
        <c:majorUnit val="20"/>
      </c:valAx>
      <c:spPr>
        <a:noFill/>
      </c:spPr>
    </c:plotArea>
    <c:plotVisOnly val="1"/>
    <c:dispBlanksAs val="gap"/>
    <c:showDLblsOverMax val="0"/>
  </c:chart>
  <c:spPr>
    <a:no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0.24684</cdr:x>
      <cdr:y>0.01437</cdr:y>
    </cdr:from>
    <cdr:to>
      <cdr:x>0.9972</cdr:x>
      <cdr:y>0.03997</cdr:y>
    </cdr:to>
    <cdr:sp macro="" textlink="">
      <cdr:nvSpPr>
        <cdr:cNvPr id="2" name="2 CuadroTexto"/>
        <cdr:cNvSpPr txBox="1"/>
      </cdr:nvSpPr>
      <cdr:spPr>
        <a:xfrm xmlns:a="http://schemas.openxmlformats.org/drawingml/2006/main">
          <a:off x="1676371" y="142896"/>
          <a:ext cx="5095939" cy="25456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s-MX" sz="900" b="1">
              <a:latin typeface="Arial" pitchFamily="34" charset="0"/>
              <a:cs typeface="Arial" pitchFamily="34" charset="0"/>
            </a:rPr>
            <a:t>Sumarios Tramitados</a:t>
          </a:r>
        </a:p>
      </cdr:txBody>
    </cdr:sp>
  </cdr:relSizeAnchor>
</c:userShapes>
</file>

<file path=word/theme/theme1.xml><?xml version="1.0" encoding="utf-8"?>
<a:theme xmlns:a="http://schemas.openxmlformats.org/drawingml/2006/main" name="Tema de Office">
  <a:themeElements>
    <a:clrScheme name="Colores SCJN">
      <a:dk1>
        <a:srgbClr val="172934"/>
      </a:dk1>
      <a:lt1>
        <a:srgbClr val="BFB6AD"/>
      </a:lt1>
      <a:dk2>
        <a:srgbClr val="4B3900"/>
      </a:dk2>
      <a:lt2>
        <a:srgbClr val="FFFFFF"/>
      </a:lt2>
      <a:accent1>
        <a:srgbClr val="860038"/>
      </a:accent1>
      <a:accent2>
        <a:srgbClr val="916D00"/>
      </a:accent2>
      <a:accent3>
        <a:srgbClr val="847A18"/>
      </a:accent3>
      <a:accent4>
        <a:srgbClr val="33460E"/>
      </a:accent4>
      <a:accent5>
        <a:srgbClr val="5C2946"/>
      </a:accent5>
      <a:accent6>
        <a:srgbClr val="6E8778"/>
      </a:accent6>
      <a:hlink>
        <a:srgbClr val="3B6E8F"/>
      </a:hlink>
      <a:folHlink>
        <a:srgbClr val="006A71"/>
      </a:folHlink>
    </a:clrScheme>
    <a:fontScheme name="Fuentes SCJN">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388F-4F29-48D5-9F11-CC6BFE35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Ruiz</dc:creator>
  <cp:lastModifiedBy>MARTHA ISABEL PAZ PARRA</cp:lastModifiedBy>
  <cp:revision>5</cp:revision>
  <cp:lastPrinted>2026-04-20T17:59:00Z</cp:lastPrinted>
  <dcterms:created xsi:type="dcterms:W3CDTF">2026-04-20T19:11:00Z</dcterms:created>
  <dcterms:modified xsi:type="dcterms:W3CDTF">2026-04-20T19:23:00Z</dcterms:modified>
</cp:coreProperties>
</file>