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11" w:rsidRPr="003D254C" w:rsidRDefault="00DD2E11" w:rsidP="00DD2E11">
      <w:pPr>
        <w:pStyle w:val="Estilo"/>
        <w:jc w:val="center"/>
        <w:rPr>
          <w:rFonts w:ascii="Georgia" w:hAnsi="Georgia" w:cs="Arial"/>
          <w:b/>
          <w:sz w:val="22"/>
        </w:rPr>
      </w:pPr>
      <w:r w:rsidRPr="003D254C">
        <w:rPr>
          <w:rFonts w:ascii="Georgia" w:hAnsi="Georgia" w:cs="Arial"/>
          <w:b/>
          <w:sz w:val="22"/>
        </w:rPr>
        <w:t>CONVENCION AMERICANA SOBRE DERECHOS HUMANOS</w:t>
      </w:r>
    </w:p>
    <w:p w:rsidR="00DD2E11" w:rsidRPr="003D254C" w:rsidRDefault="00DD2E11" w:rsidP="00DD2E11">
      <w:pPr>
        <w:pStyle w:val="Estilo"/>
        <w:jc w:val="center"/>
        <w:rPr>
          <w:rFonts w:ascii="Georgia" w:hAnsi="Georgia" w:cs="Arial"/>
          <w:b/>
          <w:sz w:val="22"/>
        </w:rPr>
      </w:pPr>
      <w:r w:rsidRPr="003D254C">
        <w:rPr>
          <w:rFonts w:ascii="Georgia" w:hAnsi="Georgia" w:cs="Arial"/>
          <w:b/>
          <w:sz w:val="22"/>
        </w:rPr>
        <w:t>“PACTO DE SAN JOSÉ DE COSTA RICA”</w:t>
      </w:r>
    </w:p>
    <w:p w:rsidR="00DD2E11" w:rsidRPr="003D254C" w:rsidRDefault="00DD2E11" w:rsidP="00DD2E11">
      <w:pPr>
        <w:pStyle w:val="Estilo"/>
        <w:jc w:val="center"/>
        <w:rPr>
          <w:rFonts w:cs="Arial"/>
          <w:b/>
          <w:sz w:val="22"/>
        </w:rPr>
      </w:pPr>
    </w:p>
    <w:p w:rsidR="00DD2E11" w:rsidRPr="003D254C" w:rsidRDefault="00DD2E11" w:rsidP="00DD2E11">
      <w:pPr>
        <w:pStyle w:val="Estilo"/>
        <w:rPr>
          <w:rFonts w:cs="Arial"/>
          <w:sz w:val="22"/>
        </w:rPr>
      </w:pPr>
    </w:p>
    <w:p w:rsidR="00DD2E11" w:rsidRPr="003D254C" w:rsidRDefault="00DD2E11" w:rsidP="00DD2E11">
      <w:pPr>
        <w:pStyle w:val="Estilo"/>
        <w:jc w:val="right"/>
        <w:rPr>
          <w:rFonts w:cs="Arial"/>
          <w:i/>
          <w:sz w:val="22"/>
        </w:rPr>
      </w:pPr>
      <w:r w:rsidRPr="003D254C">
        <w:rPr>
          <w:rFonts w:cs="Arial"/>
          <w:i/>
          <w:sz w:val="22"/>
        </w:rPr>
        <w:t>Depositario:</w:t>
      </w:r>
    </w:p>
    <w:p w:rsidR="00DD2E11" w:rsidRPr="003D254C" w:rsidRDefault="00DD2E11" w:rsidP="00DD2E11">
      <w:pPr>
        <w:pStyle w:val="Estilo"/>
        <w:jc w:val="right"/>
        <w:rPr>
          <w:rFonts w:cs="Arial"/>
          <w:i/>
          <w:sz w:val="22"/>
        </w:rPr>
      </w:pPr>
      <w:r w:rsidRPr="003D254C">
        <w:rPr>
          <w:rFonts w:cs="Arial"/>
          <w:i/>
          <w:sz w:val="22"/>
        </w:rPr>
        <w:t>OEA</w:t>
      </w:r>
    </w:p>
    <w:p w:rsidR="00DD2E11" w:rsidRPr="003D254C" w:rsidRDefault="00DD2E11" w:rsidP="00DD2E11">
      <w:pPr>
        <w:pStyle w:val="Estilo"/>
        <w:jc w:val="right"/>
        <w:rPr>
          <w:rFonts w:cs="Arial"/>
          <w:i/>
          <w:sz w:val="22"/>
        </w:rPr>
      </w:pPr>
    </w:p>
    <w:p w:rsidR="00DD2E11" w:rsidRPr="003D254C" w:rsidRDefault="00DD2E11" w:rsidP="00DD2E11">
      <w:pPr>
        <w:pStyle w:val="Estilo"/>
        <w:jc w:val="right"/>
        <w:rPr>
          <w:rFonts w:cs="Arial"/>
          <w:i/>
          <w:sz w:val="22"/>
        </w:rPr>
      </w:pPr>
      <w:r w:rsidRPr="003D254C">
        <w:rPr>
          <w:rFonts w:cs="Arial"/>
          <w:i/>
          <w:sz w:val="22"/>
        </w:rPr>
        <w:t>Lugar de adopción:</w:t>
      </w:r>
    </w:p>
    <w:p w:rsidR="00DD2E11" w:rsidRPr="003D254C" w:rsidRDefault="00DD2E11" w:rsidP="00DD2E11">
      <w:pPr>
        <w:pStyle w:val="Estilo"/>
        <w:jc w:val="right"/>
        <w:rPr>
          <w:rFonts w:cs="Arial"/>
          <w:i/>
          <w:sz w:val="22"/>
        </w:rPr>
      </w:pPr>
      <w:r w:rsidRPr="003D254C">
        <w:rPr>
          <w:rFonts w:cs="Arial"/>
          <w:i/>
          <w:sz w:val="22"/>
        </w:rPr>
        <w:t>San José de Costa Rica.</w:t>
      </w:r>
    </w:p>
    <w:p w:rsidR="00DD2E11" w:rsidRPr="003D254C" w:rsidRDefault="00DD2E11" w:rsidP="00DD2E11">
      <w:pPr>
        <w:pStyle w:val="Estilo"/>
        <w:jc w:val="right"/>
        <w:rPr>
          <w:rFonts w:cs="Arial"/>
          <w:i/>
          <w:sz w:val="22"/>
        </w:rPr>
      </w:pPr>
    </w:p>
    <w:p w:rsidR="00DD2E11" w:rsidRPr="003D254C" w:rsidRDefault="00DD2E11" w:rsidP="00DD2E11">
      <w:pPr>
        <w:pStyle w:val="Estilo"/>
        <w:jc w:val="right"/>
        <w:rPr>
          <w:rFonts w:cs="Arial"/>
          <w:i/>
          <w:sz w:val="22"/>
        </w:rPr>
      </w:pPr>
      <w:r w:rsidRPr="003D254C">
        <w:rPr>
          <w:rFonts w:cs="Arial"/>
          <w:i/>
          <w:sz w:val="22"/>
        </w:rPr>
        <w:t>Fecha de adopción:</w:t>
      </w:r>
    </w:p>
    <w:p w:rsidR="00DD2E11" w:rsidRPr="003D254C" w:rsidRDefault="00DD2E11" w:rsidP="00DD2E11">
      <w:pPr>
        <w:pStyle w:val="Estilo"/>
        <w:jc w:val="right"/>
        <w:rPr>
          <w:rFonts w:cs="Arial"/>
          <w:i/>
          <w:sz w:val="22"/>
        </w:rPr>
      </w:pPr>
      <w:r w:rsidRPr="003D254C">
        <w:rPr>
          <w:rFonts w:cs="Arial"/>
          <w:i/>
          <w:sz w:val="22"/>
        </w:rPr>
        <w:t>22 de noviembre de 1969.</w:t>
      </w:r>
    </w:p>
    <w:p w:rsidR="00DD2E11" w:rsidRPr="003D254C" w:rsidRDefault="00DD2E11" w:rsidP="00DD2E11">
      <w:pPr>
        <w:pStyle w:val="Estilo"/>
        <w:jc w:val="right"/>
        <w:rPr>
          <w:rFonts w:cs="Arial"/>
          <w:i/>
          <w:sz w:val="22"/>
        </w:rPr>
      </w:pPr>
    </w:p>
    <w:p w:rsidR="00DD2E11" w:rsidRPr="003D254C" w:rsidRDefault="00DD2E11" w:rsidP="00DD2E11">
      <w:pPr>
        <w:pStyle w:val="Estilo"/>
        <w:jc w:val="right"/>
        <w:rPr>
          <w:rFonts w:cs="Arial"/>
          <w:i/>
          <w:sz w:val="22"/>
        </w:rPr>
      </w:pPr>
      <w:r w:rsidRPr="003D254C">
        <w:rPr>
          <w:rFonts w:cs="Arial"/>
          <w:i/>
          <w:sz w:val="22"/>
        </w:rPr>
        <w:t>Aprobación del Senado:</w:t>
      </w:r>
    </w:p>
    <w:p w:rsidR="00DD2E11" w:rsidRPr="003D254C" w:rsidRDefault="00DD2E11" w:rsidP="00DD2E11">
      <w:pPr>
        <w:pStyle w:val="Estilo"/>
        <w:jc w:val="right"/>
        <w:rPr>
          <w:rFonts w:cs="Arial"/>
          <w:i/>
          <w:sz w:val="22"/>
        </w:rPr>
      </w:pPr>
      <w:r w:rsidRPr="003D254C">
        <w:rPr>
          <w:rFonts w:cs="Arial"/>
          <w:i/>
          <w:sz w:val="22"/>
        </w:rPr>
        <w:t>18 de diciembre de 1980, según decreto publicado en el</w:t>
      </w:r>
    </w:p>
    <w:p w:rsidR="00DD2E11" w:rsidRPr="003D254C" w:rsidRDefault="00DD2E11" w:rsidP="00DD2E11">
      <w:pPr>
        <w:pStyle w:val="Estilo"/>
        <w:jc w:val="right"/>
        <w:rPr>
          <w:rFonts w:cs="Arial"/>
          <w:i/>
          <w:sz w:val="22"/>
        </w:rPr>
      </w:pPr>
      <w:r w:rsidRPr="003D254C">
        <w:rPr>
          <w:rFonts w:cs="Arial"/>
          <w:i/>
          <w:sz w:val="22"/>
        </w:rPr>
        <w:t>Diario Oficial de la Federación, el viernes 9 de enero de 1981.</w:t>
      </w:r>
    </w:p>
    <w:p w:rsidR="00DD2E11" w:rsidRPr="003D254C" w:rsidRDefault="00DD2E11" w:rsidP="00DD2E11">
      <w:pPr>
        <w:pStyle w:val="Estilo"/>
        <w:jc w:val="right"/>
        <w:rPr>
          <w:rFonts w:cs="Arial"/>
          <w:i/>
          <w:sz w:val="22"/>
        </w:rPr>
      </w:pPr>
    </w:p>
    <w:p w:rsidR="00DD2E11" w:rsidRPr="003D254C" w:rsidRDefault="00DD2E11" w:rsidP="00DD2E11">
      <w:pPr>
        <w:pStyle w:val="Estilo"/>
        <w:jc w:val="right"/>
        <w:rPr>
          <w:rFonts w:cs="Arial"/>
          <w:i/>
          <w:sz w:val="22"/>
        </w:rPr>
      </w:pPr>
      <w:r w:rsidRPr="003D254C">
        <w:rPr>
          <w:rFonts w:cs="Arial"/>
          <w:i/>
          <w:sz w:val="22"/>
        </w:rPr>
        <w:t>Vinculación de México:</w:t>
      </w:r>
    </w:p>
    <w:p w:rsidR="00DD2E11" w:rsidRPr="003D254C" w:rsidRDefault="00DD2E11" w:rsidP="00DD2E11">
      <w:pPr>
        <w:pStyle w:val="Estilo"/>
        <w:jc w:val="right"/>
        <w:rPr>
          <w:rFonts w:cs="Arial"/>
          <w:i/>
          <w:sz w:val="22"/>
        </w:rPr>
      </w:pPr>
      <w:r w:rsidRPr="003D254C">
        <w:rPr>
          <w:rFonts w:cs="Arial"/>
          <w:i/>
          <w:sz w:val="22"/>
        </w:rPr>
        <w:t>24 de marzo de 1981. Adhesión.</w:t>
      </w:r>
    </w:p>
    <w:p w:rsidR="00DD2E11" w:rsidRPr="003D254C" w:rsidRDefault="00DD2E11" w:rsidP="00DD2E11">
      <w:pPr>
        <w:pStyle w:val="Estilo"/>
        <w:jc w:val="right"/>
        <w:rPr>
          <w:rFonts w:cs="Arial"/>
          <w:i/>
          <w:sz w:val="22"/>
        </w:rPr>
      </w:pPr>
    </w:p>
    <w:p w:rsidR="00DD2E11" w:rsidRPr="003D254C" w:rsidRDefault="00DD2E11" w:rsidP="00DD2E11">
      <w:pPr>
        <w:pStyle w:val="Estilo"/>
        <w:jc w:val="right"/>
        <w:rPr>
          <w:rFonts w:cs="Arial"/>
          <w:i/>
          <w:sz w:val="22"/>
        </w:rPr>
      </w:pPr>
      <w:r w:rsidRPr="003D254C">
        <w:rPr>
          <w:rFonts w:cs="Arial"/>
          <w:i/>
          <w:sz w:val="22"/>
        </w:rPr>
        <w:t>Entrada en vigor:</w:t>
      </w:r>
    </w:p>
    <w:p w:rsidR="00DD2E11" w:rsidRPr="003D254C" w:rsidRDefault="00DD2E11" w:rsidP="00DD2E11">
      <w:pPr>
        <w:pStyle w:val="Estilo"/>
        <w:jc w:val="right"/>
        <w:rPr>
          <w:rFonts w:cs="Arial"/>
          <w:i/>
          <w:sz w:val="22"/>
        </w:rPr>
      </w:pPr>
      <w:r w:rsidRPr="003D254C">
        <w:rPr>
          <w:rFonts w:cs="Arial"/>
          <w:i/>
          <w:sz w:val="22"/>
        </w:rPr>
        <w:t>18 de julio de 1978, en general y</w:t>
      </w:r>
    </w:p>
    <w:p w:rsidR="00DD2E11" w:rsidRPr="003D254C" w:rsidRDefault="00DD2E11" w:rsidP="00DD2E11">
      <w:pPr>
        <w:pStyle w:val="Estilo"/>
        <w:jc w:val="right"/>
        <w:rPr>
          <w:rFonts w:cs="Arial"/>
          <w:i/>
          <w:sz w:val="22"/>
        </w:rPr>
      </w:pPr>
      <w:r w:rsidRPr="003D254C">
        <w:rPr>
          <w:rFonts w:cs="Arial"/>
          <w:i/>
          <w:sz w:val="22"/>
        </w:rPr>
        <w:t xml:space="preserve">24 de marzo de 1981 para México. </w:t>
      </w:r>
    </w:p>
    <w:p w:rsidR="00DD2E11" w:rsidRPr="003D254C" w:rsidRDefault="00DD2E11" w:rsidP="00DD2E11">
      <w:pPr>
        <w:pStyle w:val="Estilo"/>
        <w:jc w:val="right"/>
        <w:rPr>
          <w:rFonts w:cs="Arial"/>
          <w:i/>
          <w:sz w:val="22"/>
        </w:rPr>
      </w:pPr>
    </w:p>
    <w:p w:rsidR="00DD2E11" w:rsidRPr="003D254C" w:rsidRDefault="00DD2E11" w:rsidP="00DD2E11">
      <w:pPr>
        <w:pStyle w:val="Estilo"/>
        <w:rPr>
          <w:rFonts w:cs="Arial"/>
          <w:sz w:val="22"/>
        </w:rPr>
      </w:pPr>
    </w:p>
    <w:p w:rsidR="00DD2E11" w:rsidRPr="003D254C" w:rsidRDefault="00DD2E11" w:rsidP="00DD2E11">
      <w:pPr>
        <w:pStyle w:val="Estilo"/>
        <w:jc w:val="right"/>
        <w:rPr>
          <w:rFonts w:cs="Arial"/>
          <w:i/>
          <w:sz w:val="22"/>
        </w:rPr>
      </w:pPr>
      <w:r w:rsidRPr="003D254C">
        <w:rPr>
          <w:rFonts w:cs="Arial"/>
          <w:i/>
          <w:sz w:val="22"/>
        </w:rPr>
        <w:t xml:space="preserve">Convención publicada en Única Sección del Diario Oficial de </w:t>
      </w:r>
    </w:p>
    <w:p w:rsidR="00DD2E11" w:rsidRPr="003D254C" w:rsidRDefault="00DD2E11" w:rsidP="00DD2E11">
      <w:pPr>
        <w:pStyle w:val="Estilo"/>
        <w:jc w:val="right"/>
        <w:rPr>
          <w:rFonts w:cs="Arial"/>
          <w:i/>
          <w:sz w:val="22"/>
        </w:rPr>
      </w:pPr>
      <w:r w:rsidRPr="003D254C">
        <w:rPr>
          <w:rFonts w:cs="Arial"/>
          <w:i/>
          <w:sz w:val="22"/>
        </w:rPr>
        <w:t>la Federación, el jueves 7 de mayo de 1981.</w:t>
      </w:r>
    </w:p>
    <w:p w:rsidR="00DD2E11" w:rsidRPr="003D254C" w:rsidRDefault="00DD2E11" w:rsidP="00DD2E11">
      <w:pPr>
        <w:pStyle w:val="Estilo"/>
        <w:jc w:val="right"/>
        <w:rPr>
          <w:rFonts w:cs="Arial"/>
          <w:i/>
          <w:sz w:val="22"/>
        </w:rPr>
      </w:pPr>
    </w:p>
    <w:p w:rsidR="00DD2E11" w:rsidRPr="003D254C" w:rsidRDefault="00DD2E11" w:rsidP="00DD2E11">
      <w:pPr>
        <w:pStyle w:val="Estilo"/>
        <w:jc w:val="right"/>
        <w:rPr>
          <w:rFonts w:cs="Arial"/>
          <w:i/>
          <w:sz w:val="22"/>
        </w:rPr>
      </w:pPr>
      <w:r w:rsidRPr="003D254C">
        <w:rPr>
          <w:rFonts w:cs="Arial"/>
          <w:i/>
          <w:sz w:val="22"/>
        </w:rPr>
        <w:t>Reforma publicada en la Primera Sección del Diario Oficial</w:t>
      </w:r>
    </w:p>
    <w:p w:rsidR="00DD2E11" w:rsidRPr="003D254C" w:rsidRDefault="00DD2E11" w:rsidP="00DD2E11">
      <w:pPr>
        <w:pStyle w:val="Estilo"/>
        <w:jc w:val="right"/>
        <w:rPr>
          <w:rFonts w:cs="Arial"/>
          <w:i/>
          <w:sz w:val="22"/>
        </w:rPr>
      </w:pPr>
      <w:r w:rsidRPr="003D254C">
        <w:rPr>
          <w:rFonts w:cs="Arial"/>
          <w:i/>
          <w:sz w:val="22"/>
        </w:rPr>
        <w:t>de la Federación, el jueves 17 de enero de 2002.</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CONVENCION AMERICANA SOBRE DERECHOS HUMANOS, ADOPTADA EN SAN JOSE DE COSTA RICA Y ABIERTA A FIRMA EL DIA 22 DE NOVIEMBRE DE 1969, CON LAS DECLARACIONES INTERPRETATIVAS AL PARRAFO 1 DEL ARTICULO 4 Y AL ARTICULO 12 Y LA RESERVA AL ARTICULO 23, PARRAFO 2, QUE FORMULARA EL EJECUTIVO DE LA UNION AL PROCEDER A SU ADHESION</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Al margen un sello con el Escudo Nacional, que dice: Estados Unidos Mexicanos.- Presidencia de la República.</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JOSE LOPEZ PORTILLO, Presidente de los Estados Unidos Mexicanos, a sus habitantes, sabed:</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lastRenderedPageBreak/>
        <w:t>El día veintidós del mes de noviembre del año mil novecientos sesenta y nueve, se adoptó, en la ciudad de San José de Costa Rica, la Convención Americana sobre Derechos Humanos, cuyo texto y forma en español constan en la copia certificada adjunta.</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La citada Convención fue aprobada por la H. Cámara de Senadores del Congreso de la Unión, el día dieciocho del mes de diciembre del año de mil novecientos ochenta, según Decreto publicado en el "Diario Oficial" de la Federación del día nueve del mes de enero del año de mil novecientos ochenta y uno, con las siguientes Declaraciones Interpretativas y Reserva:</w:t>
      </w: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p>
    <w:p w:rsidR="00DD2E11" w:rsidRPr="003D254C" w:rsidRDefault="00DD2E11" w:rsidP="00DD2E11">
      <w:pPr>
        <w:pStyle w:val="Estilo"/>
        <w:jc w:val="center"/>
        <w:rPr>
          <w:rFonts w:cs="Arial"/>
          <w:b/>
          <w:sz w:val="22"/>
        </w:rPr>
      </w:pPr>
      <w:r w:rsidRPr="003D254C">
        <w:rPr>
          <w:rFonts w:cs="Arial"/>
          <w:b/>
          <w:sz w:val="22"/>
        </w:rPr>
        <w:t>DECLARACIONES INTERPRETATIVAS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Con respecto al párrafo 1 del Artículo 4 considera que la expresión "en general", usada en el citado párrafo no constituye obligación de adoptar o mantener en vigor legislación que proteja la vida "a partir del momento de la concepción", ya que esta materia pertenece al dominio reservado de los Estados.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Por otra parte, en concepto del Gobierno de México la limitación que establece la Constitución Política de los Estados Unidos Mexicanos, en el sentido de que todo acto público de culto religioso deberá celebrarse precisamente dentro de los templos, es de las comprendidas en el párrafo 3 del Artículo 12.</w:t>
      </w: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p>
    <w:p w:rsidR="00DD2E11" w:rsidRPr="003D254C" w:rsidRDefault="00DD2E11" w:rsidP="00DD2E11">
      <w:pPr>
        <w:pStyle w:val="Estilo"/>
        <w:jc w:val="center"/>
        <w:rPr>
          <w:rFonts w:cs="Arial"/>
          <w:b/>
          <w:sz w:val="22"/>
        </w:rPr>
      </w:pPr>
      <w:r w:rsidRPr="003D254C">
        <w:rPr>
          <w:rFonts w:cs="Arial"/>
          <w:b/>
          <w:sz w:val="22"/>
        </w:rPr>
        <w:t>RESERVA</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El Gobierno de México hace Reserva expresa en cuanto al párrafo 2 del Artículo 23, ya que la Constitución Política de los Estados Unidos Mexicanos, en su Artículo 130, dispone que los Ministros de los cultos no tendrán voto activo, ni pasivo, ni derecho para asociarse con fines políticos.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El Instrumento de Adhesión, firmado por mí el día dos del mes de marzo del año de mil novecientos ochenta y uno fue depositado, ante la Secretaría General de la Organización de los Estados Americanos, el día veinticuatro del mes de marzo del propio año, con las Declaraciones Interpretativas y Reserva antes insertas.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Por lo tanto, para su debida observancia, en cumplimiento de lo dispuesto en la Fracción Primera del artículo Ochenta y Nueve de la Constitución Política de los Estados Unidos Mexicanos, promulgo el presente Decreto, en la residencia del Poder Ejecutivo Federal a los treinta días del mes de marzo del año de mil novecientos ochenta y uno.- José López Portillo.- Rúbrica.- El Secretario de Relaciones Exteriores, Jorge Castañeda.- Rúbrica.</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La C. Aída González Martínez, Oficial Mayor de la Secretaría de Relaciones Exteriores, certifica:</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Que en los archivos de esta Secretaría obra copia certificada de la Convención Americana sobre Derechos Humanos "Pacto de San José de Costa Rica", firmada en la ciudad de San José, Costa Rica, el día veintidós del mes de noviembre del año de mil novecientos sesenta y nueve, cuyo texto y forma en español son los siguientes:</w:t>
      </w:r>
    </w:p>
    <w:p w:rsidR="00DD2E11" w:rsidRPr="003D254C" w:rsidRDefault="00DD2E11" w:rsidP="00DD2E11">
      <w:pPr>
        <w:pStyle w:val="Estilo"/>
        <w:jc w:val="center"/>
        <w:rPr>
          <w:rFonts w:cs="Arial"/>
          <w:b/>
          <w:sz w:val="22"/>
        </w:rPr>
      </w:pPr>
      <w:r w:rsidRPr="003D254C">
        <w:rPr>
          <w:rFonts w:cs="Arial"/>
          <w:b/>
          <w:sz w:val="22"/>
        </w:rPr>
        <w:lastRenderedPageBreak/>
        <w:t>CONVENCION AMERICANA SOBRE DERECHOS HUMANOS</w:t>
      </w:r>
    </w:p>
    <w:p w:rsidR="00DD2E11" w:rsidRPr="003D254C" w:rsidRDefault="00DD2E11" w:rsidP="00DD2E11">
      <w:pPr>
        <w:pStyle w:val="Estilo"/>
        <w:jc w:val="center"/>
        <w:rPr>
          <w:rFonts w:cs="Arial"/>
          <w:b/>
          <w:sz w:val="22"/>
        </w:rPr>
      </w:pPr>
    </w:p>
    <w:p w:rsidR="00DD2E11" w:rsidRPr="003D254C" w:rsidRDefault="00DD2E11" w:rsidP="00DD2E11">
      <w:pPr>
        <w:pStyle w:val="Estilo"/>
        <w:jc w:val="center"/>
        <w:rPr>
          <w:rFonts w:cs="Arial"/>
          <w:b/>
          <w:sz w:val="22"/>
        </w:rPr>
      </w:pPr>
      <w:r w:rsidRPr="003D254C">
        <w:rPr>
          <w:rFonts w:cs="Arial"/>
          <w:b/>
          <w:sz w:val="22"/>
        </w:rPr>
        <w:t>PREAMBULO</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Los Estados Americanos signatarios de la presente Convención,</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Reafirmando su propósito de consolidar en este Continente, dentro del cuadro de las instituciones democráticas, un régimen de libertad personal y de justicia social, fundado en el respeto de los derechos esenciales del hombre;</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Considerando que estos principios han sido consagrados en la Carta de la Organización de los Estados Americanos, en la Declaración Americana de los Derechos y Deberes del Hombre y en la Declaración Universal de los Derechos Humanos que han sido reafirmados y desarrollados en otros instrumentos internacionales, tanto de ámbito universal como regional;</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Reiterando que, con arreglo a la Declaración Universal de los Derechos Humanos, sólo puede realizarse el ideal del ser humano libre, exento del temor y de la miseria, si se crean condiciones que permitan a cada persona gozar de sus derechos económicos, sociales y culturales, tanto como de sus derechos civiles y políticos, y</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Considerando que la Tercera Conferencia Interamericana Extraordinaria (Buenos Aires, 1967) aprobó la incorporación a la propia Carta de la Organización de normas más amplias sobre derechos económicos, sociales y educacionales, y resolvió que una convención interamericana sobre derechos humanos determinará la estructura, competencia y procedimiento de los órganos encargados de esa materia,</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Han convenido en lo siguiente:</w:t>
      </w:r>
    </w:p>
    <w:p w:rsidR="00DD2E11" w:rsidRPr="003D254C" w:rsidRDefault="00DD2E11" w:rsidP="00DD2E11">
      <w:pPr>
        <w:pStyle w:val="Estilo"/>
        <w:rPr>
          <w:rFonts w:cs="Arial"/>
          <w:b/>
          <w:sz w:val="22"/>
        </w:rPr>
      </w:pPr>
    </w:p>
    <w:p w:rsidR="00DD2E11" w:rsidRPr="003D254C" w:rsidRDefault="00DD2E11" w:rsidP="00DD2E11">
      <w:pPr>
        <w:pStyle w:val="Estilo"/>
        <w:jc w:val="center"/>
        <w:rPr>
          <w:rFonts w:cs="Arial"/>
          <w:b/>
          <w:sz w:val="22"/>
        </w:rPr>
      </w:pPr>
    </w:p>
    <w:p w:rsidR="00DD2E11" w:rsidRPr="003D254C" w:rsidRDefault="00DD2E11" w:rsidP="00DD2E11">
      <w:pPr>
        <w:pStyle w:val="Estilo"/>
        <w:jc w:val="center"/>
        <w:rPr>
          <w:rFonts w:cs="Arial"/>
          <w:b/>
          <w:sz w:val="22"/>
        </w:rPr>
      </w:pPr>
      <w:r w:rsidRPr="003D254C">
        <w:rPr>
          <w:rFonts w:cs="Arial"/>
          <w:b/>
          <w:sz w:val="22"/>
        </w:rPr>
        <w:t>PARTE I - DEBERES DE LOS ESTADOS Y DERECHOS PROTEGIDOS</w:t>
      </w: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CAPITULO I - ENUMERACION DE DEBERES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1.</w:t>
      </w:r>
      <w:r w:rsidRPr="003D254C">
        <w:rPr>
          <w:rFonts w:cs="Arial"/>
          <w:sz w:val="22"/>
        </w:rPr>
        <w:t xml:space="preserve"> Obligación de Respetar los Derechos</w:t>
      </w:r>
    </w:p>
    <w:p w:rsidR="00DD2E11" w:rsidRPr="003D254C" w:rsidRDefault="00DD2E11" w:rsidP="00DD2E11">
      <w:pPr>
        <w:pStyle w:val="Estilo"/>
        <w:rPr>
          <w:rFonts w:cs="Arial"/>
          <w:sz w:val="22"/>
        </w:rPr>
      </w:pPr>
    </w:p>
    <w:p w:rsidR="00DD2E11" w:rsidRPr="003D254C" w:rsidRDefault="00DD2E11" w:rsidP="00804750">
      <w:pPr>
        <w:pStyle w:val="Estilo"/>
        <w:numPr>
          <w:ilvl w:val="0"/>
          <w:numId w:val="1"/>
        </w:numPr>
        <w:rPr>
          <w:rFonts w:cs="Arial"/>
          <w:sz w:val="22"/>
        </w:rPr>
      </w:pPr>
      <w:r w:rsidRPr="003D254C">
        <w:rPr>
          <w:rFonts w:cs="Arial"/>
          <w:sz w:val="22"/>
        </w:rPr>
        <w:t xml:space="preserve">Los Estados Partes en esta Convención se comprometen a respetar los derechos y libertades reconocidos en ella y a garantizar su libre y pleno ejercicio a toda persona que esté sujeta a su jurisdicción, sin discriminación alguna por motivos de raza, color, sexo, idioma, religión, </w:t>
      </w:r>
      <w:r w:rsidRPr="003D254C">
        <w:rPr>
          <w:rFonts w:cs="Arial"/>
          <w:sz w:val="22"/>
        </w:rPr>
        <w:lastRenderedPageBreak/>
        <w:t>opiniones políticas o de cualquier otra índole, origen nacional o social, posición económica, nacimiento o cualquier otra condición social.</w:t>
      </w:r>
    </w:p>
    <w:p w:rsidR="00DD2E11" w:rsidRPr="003D254C" w:rsidRDefault="00DD2E11" w:rsidP="00DD2E11">
      <w:pPr>
        <w:pStyle w:val="Estilo"/>
        <w:rPr>
          <w:rFonts w:cs="Arial"/>
          <w:sz w:val="22"/>
        </w:rPr>
      </w:pPr>
    </w:p>
    <w:p w:rsidR="00DD2E11" w:rsidRPr="003D254C" w:rsidRDefault="00DD2E11" w:rsidP="00804750">
      <w:pPr>
        <w:pStyle w:val="Estilo"/>
        <w:numPr>
          <w:ilvl w:val="0"/>
          <w:numId w:val="1"/>
        </w:numPr>
        <w:rPr>
          <w:rFonts w:cs="Arial"/>
          <w:sz w:val="22"/>
        </w:rPr>
      </w:pPr>
      <w:r w:rsidRPr="003D254C">
        <w:rPr>
          <w:rFonts w:cs="Arial"/>
          <w:sz w:val="22"/>
        </w:rPr>
        <w:t>Para los efectos de esta Convención, persona es todo ser humano.</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2.</w:t>
      </w:r>
      <w:r w:rsidRPr="003D254C">
        <w:rPr>
          <w:rFonts w:cs="Arial"/>
          <w:sz w:val="22"/>
        </w:rPr>
        <w:t xml:space="preserve"> Deber de Adoptar Disposiciones de Derecho Interno</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r w:rsidRPr="003D254C">
        <w:rPr>
          <w:rFonts w:cs="Arial"/>
          <w:sz w:val="22"/>
        </w:rPr>
        <w:tab/>
      </w: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CAPITULO II - DERECHOS CIVILES Y POLITICOS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3.</w:t>
      </w:r>
      <w:r w:rsidRPr="003D254C">
        <w:rPr>
          <w:rFonts w:cs="Arial"/>
          <w:sz w:val="22"/>
        </w:rPr>
        <w:t xml:space="preserve"> Derecho al Reconocimiento de la Personalidad Jurídica</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Toda persona tiene derecho al reconocimiento de su personalidad jurídica.</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4.</w:t>
      </w:r>
      <w:r w:rsidRPr="003D254C">
        <w:rPr>
          <w:rFonts w:cs="Arial"/>
          <w:sz w:val="22"/>
        </w:rPr>
        <w:t xml:space="preserve"> Derecho a la Vida</w:t>
      </w:r>
    </w:p>
    <w:p w:rsidR="00DD2E11" w:rsidRPr="003D254C" w:rsidRDefault="00DD2E11" w:rsidP="00DD2E11">
      <w:pPr>
        <w:pStyle w:val="Estilo"/>
        <w:rPr>
          <w:rFonts w:cs="Arial"/>
          <w:sz w:val="22"/>
        </w:rPr>
      </w:pPr>
    </w:p>
    <w:p w:rsidR="00DD2E11" w:rsidRPr="003D254C" w:rsidRDefault="00DD2E11" w:rsidP="00804750">
      <w:pPr>
        <w:pStyle w:val="Estilo"/>
        <w:numPr>
          <w:ilvl w:val="0"/>
          <w:numId w:val="2"/>
        </w:numPr>
        <w:ind w:hanging="720"/>
        <w:rPr>
          <w:rFonts w:cs="Arial"/>
          <w:sz w:val="22"/>
        </w:rPr>
      </w:pPr>
      <w:r w:rsidRPr="003D254C">
        <w:rPr>
          <w:rFonts w:cs="Arial"/>
          <w:sz w:val="22"/>
        </w:rPr>
        <w:t>Toda persona tiene derecho a que se respete su vida. Este derecho estará protegido por la ley y, en general, a partir del momento de la concepción. Nadie puede ser privado de la vida arbitrariamente.</w:t>
      </w:r>
    </w:p>
    <w:p w:rsidR="00DD2E11" w:rsidRPr="003D254C" w:rsidRDefault="00DD2E11" w:rsidP="00DD2E11">
      <w:pPr>
        <w:pStyle w:val="Estilo"/>
        <w:rPr>
          <w:rFonts w:cs="Arial"/>
          <w:sz w:val="22"/>
        </w:rPr>
      </w:pPr>
    </w:p>
    <w:p w:rsidR="00DD2E11" w:rsidRPr="003D254C" w:rsidRDefault="00DD2E11" w:rsidP="00804750">
      <w:pPr>
        <w:pStyle w:val="Estilo"/>
        <w:numPr>
          <w:ilvl w:val="0"/>
          <w:numId w:val="2"/>
        </w:numPr>
        <w:ind w:hanging="720"/>
        <w:rPr>
          <w:rFonts w:cs="Arial"/>
          <w:sz w:val="22"/>
        </w:rPr>
      </w:pPr>
      <w:r w:rsidRPr="003D254C">
        <w:rPr>
          <w:rFonts w:cs="Arial"/>
          <w:sz w:val="22"/>
        </w:rPr>
        <w:t>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w:t>
      </w:r>
    </w:p>
    <w:p w:rsidR="00DD2E11" w:rsidRPr="003D254C" w:rsidRDefault="00DD2E11" w:rsidP="00DD2E11">
      <w:pPr>
        <w:pStyle w:val="Estilo"/>
        <w:rPr>
          <w:rFonts w:cs="Arial"/>
          <w:sz w:val="22"/>
        </w:rPr>
      </w:pPr>
    </w:p>
    <w:p w:rsidR="00DD2E11" w:rsidRPr="003D254C" w:rsidRDefault="00DD2E11" w:rsidP="00804750">
      <w:pPr>
        <w:pStyle w:val="Estilo"/>
        <w:numPr>
          <w:ilvl w:val="0"/>
          <w:numId w:val="2"/>
        </w:numPr>
        <w:ind w:hanging="720"/>
        <w:rPr>
          <w:rFonts w:cs="Arial"/>
          <w:sz w:val="22"/>
        </w:rPr>
      </w:pPr>
      <w:r w:rsidRPr="003D254C">
        <w:rPr>
          <w:rFonts w:cs="Arial"/>
          <w:sz w:val="22"/>
        </w:rPr>
        <w:t>No se restablecerá la pena de muerte en los Estados que la han abolido.</w:t>
      </w:r>
    </w:p>
    <w:p w:rsidR="00DD2E11" w:rsidRPr="003D254C" w:rsidRDefault="00DD2E11" w:rsidP="00DD2E11">
      <w:pPr>
        <w:pStyle w:val="Estilo"/>
        <w:rPr>
          <w:rFonts w:cs="Arial"/>
          <w:sz w:val="22"/>
        </w:rPr>
      </w:pPr>
    </w:p>
    <w:p w:rsidR="00DD2E11" w:rsidRPr="003D254C" w:rsidRDefault="00DD2E11" w:rsidP="00804750">
      <w:pPr>
        <w:pStyle w:val="Estilo"/>
        <w:numPr>
          <w:ilvl w:val="0"/>
          <w:numId w:val="2"/>
        </w:numPr>
        <w:ind w:hanging="720"/>
        <w:rPr>
          <w:rFonts w:cs="Arial"/>
          <w:sz w:val="22"/>
        </w:rPr>
      </w:pPr>
      <w:r w:rsidRPr="003D254C">
        <w:rPr>
          <w:rFonts w:cs="Arial"/>
          <w:sz w:val="22"/>
        </w:rPr>
        <w:t>En ningún caso se puede aplicar la pena de muerte por delitos políticos ni comunes conexos con los políticos.</w:t>
      </w:r>
    </w:p>
    <w:p w:rsidR="00DD2E11" w:rsidRPr="003D254C" w:rsidRDefault="00DD2E11" w:rsidP="00DD2E11">
      <w:pPr>
        <w:pStyle w:val="Estilo"/>
        <w:rPr>
          <w:rFonts w:cs="Arial"/>
          <w:sz w:val="22"/>
        </w:rPr>
      </w:pPr>
    </w:p>
    <w:p w:rsidR="00DD2E11" w:rsidRPr="003D254C" w:rsidRDefault="00DD2E11" w:rsidP="00804750">
      <w:pPr>
        <w:pStyle w:val="Estilo"/>
        <w:numPr>
          <w:ilvl w:val="0"/>
          <w:numId w:val="2"/>
        </w:numPr>
        <w:ind w:hanging="720"/>
        <w:rPr>
          <w:rFonts w:cs="Arial"/>
          <w:sz w:val="22"/>
        </w:rPr>
      </w:pPr>
      <w:r w:rsidRPr="003D254C">
        <w:rPr>
          <w:rFonts w:cs="Arial"/>
          <w:sz w:val="22"/>
        </w:rPr>
        <w:t>No se impondrá la pena de muerte a personas que, en el momento de la comisión del delito, tuvieren menos de dieciocho años de edad o más de setenta, ni se le aplicará a las mujeres en estado de gravidez.</w:t>
      </w:r>
    </w:p>
    <w:p w:rsidR="00DD2E11" w:rsidRPr="003D254C" w:rsidRDefault="00DD2E11" w:rsidP="00DD2E11">
      <w:pPr>
        <w:pStyle w:val="Estilo"/>
        <w:rPr>
          <w:rFonts w:cs="Arial"/>
          <w:sz w:val="22"/>
        </w:rPr>
      </w:pPr>
    </w:p>
    <w:p w:rsidR="00DD2E11" w:rsidRPr="003D254C" w:rsidRDefault="00DD2E11" w:rsidP="00804750">
      <w:pPr>
        <w:pStyle w:val="Estilo"/>
        <w:numPr>
          <w:ilvl w:val="0"/>
          <w:numId w:val="2"/>
        </w:numPr>
        <w:ind w:hanging="720"/>
        <w:rPr>
          <w:rFonts w:cs="Arial"/>
          <w:sz w:val="22"/>
        </w:rPr>
      </w:pPr>
      <w:r w:rsidRPr="003D254C">
        <w:rPr>
          <w:rFonts w:cs="Arial"/>
          <w:sz w:val="22"/>
        </w:rPr>
        <w:t>Toda persona condenada a muerte tiene derecho a solicitar la amnistía, el indulto o la conmutación de la pena, los cuales podrán ser concedidos en todos los casos. No se puede aplicar la pena de muerte mientras la solicitud este pendiente de decisión ante autoridad competente.</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lastRenderedPageBreak/>
        <w:t>Artículo 5.</w:t>
      </w:r>
      <w:r w:rsidRPr="003D254C">
        <w:rPr>
          <w:rFonts w:cs="Arial"/>
          <w:sz w:val="22"/>
        </w:rPr>
        <w:t xml:space="preserve"> Derecho a la Integridad Personal</w:t>
      </w:r>
    </w:p>
    <w:p w:rsidR="00DD2E11" w:rsidRPr="003D254C" w:rsidRDefault="00DD2E11" w:rsidP="00DD2E11">
      <w:pPr>
        <w:pStyle w:val="Estilo"/>
        <w:rPr>
          <w:rFonts w:cs="Arial"/>
          <w:sz w:val="22"/>
        </w:rPr>
      </w:pPr>
    </w:p>
    <w:p w:rsidR="00DD2E11" w:rsidRPr="003D254C" w:rsidRDefault="00DD2E11" w:rsidP="00804750">
      <w:pPr>
        <w:pStyle w:val="Estilo"/>
        <w:numPr>
          <w:ilvl w:val="0"/>
          <w:numId w:val="3"/>
        </w:numPr>
        <w:ind w:hanging="720"/>
        <w:rPr>
          <w:rFonts w:cs="Arial"/>
          <w:sz w:val="22"/>
        </w:rPr>
      </w:pPr>
      <w:r w:rsidRPr="003D254C">
        <w:rPr>
          <w:rFonts w:cs="Arial"/>
          <w:sz w:val="22"/>
        </w:rPr>
        <w:t>Toda persona tiene derecho a que se respete su integridad física, psíquica y moral.</w:t>
      </w:r>
    </w:p>
    <w:p w:rsidR="00DD2E11" w:rsidRPr="003D254C" w:rsidRDefault="00DD2E11" w:rsidP="00DD2E11">
      <w:pPr>
        <w:pStyle w:val="Estilo"/>
        <w:rPr>
          <w:rFonts w:cs="Arial"/>
          <w:sz w:val="22"/>
        </w:rPr>
      </w:pPr>
    </w:p>
    <w:p w:rsidR="00DD2E11" w:rsidRPr="003D254C" w:rsidRDefault="00DD2E11" w:rsidP="00804750">
      <w:pPr>
        <w:pStyle w:val="Estilo"/>
        <w:numPr>
          <w:ilvl w:val="0"/>
          <w:numId w:val="3"/>
        </w:numPr>
        <w:ind w:hanging="720"/>
        <w:rPr>
          <w:rFonts w:cs="Arial"/>
          <w:sz w:val="22"/>
        </w:rPr>
      </w:pPr>
      <w:r w:rsidRPr="003D254C">
        <w:rPr>
          <w:rFonts w:cs="Arial"/>
          <w:sz w:val="22"/>
        </w:rPr>
        <w:t>Nadie debe ser sometido a torturas ni a penas o tratos crueles, inhumanos o degradantes. Toda persona privada de libertad será tratada con el respeto debido a la dignidad inherente al ser humano.</w:t>
      </w:r>
    </w:p>
    <w:p w:rsidR="00DD2E11" w:rsidRPr="003D254C" w:rsidRDefault="00DD2E11" w:rsidP="00DD2E11">
      <w:pPr>
        <w:pStyle w:val="Estilo"/>
        <w:rPr>
          <w:rFonts w:cs="Arial"/>
          <w:sz w:val="22"/>
        </w:rPr>
      </w:pPr>
    </w:p>
    <w:p w:rsidR="00DD2E11" w:rsidRPr="003D254C" w:rsidRDefault="00DD2E11" w:rsidP="00804750">
      <w:pPr>
        <w:pStyle w:val="Estilo"/>
        <w:numPr>
          <w:ilvl w:val="0"/>
          <w:numId w:val="3"/>
        </w:numPr>
        <w:ind w:hanging="720"/>
        <w:rPr>
          <w:rFonts w:cs="Arial"/>
          <w:sz w:val="22"/>
        </w:rPr>
      </w:pPr>
      <w:r w:rsidRPr="003D254C">
        <w:rPr>
          <w:rFonts w:cs="Arial"/>
          <w:sz w:val="22"/>
        </w:rPr>
        <w:t>La pena no puede trascender de la persona del delincuente.</w:t>
      </w:r>
    </w:p>
    <w:p w:rsidR="00DD2E11" w:rsidRPr="003D254C" w:rsidRDefault="00DD2E11" w:rsidP="00DD2E11">
      <w:pPr>
        <w:pStyle w:val="Estilo"/>
        <w:rPr>
          <w:rFonts w:cs="Arial"/>
          <w:sz w:val="22"/>
        </w:rPr>
      </w:pPr>
    </w:p>
    <w:p w:rsidR="00DD2E11" w:rsidRPr="003D254C" w:rsidRDefault="00DD2E11" w:rsidP="00804750">
      <w:pPr>
        <w:pStyle w:val="Estilo"/>
        <w:numPr>
          <w:ilvl w:val="0"/>
          <w:numId w:val="3"/>
        </w:numPr>
        <w:ind w:hanging="720"/>
        <w:rPr>
          <w:rFonts w:cs="Arial"/>
          <w:sz w:val="22"/>
        </w:rPr>
      </w:pPr>
      <w:r w:rsidRPr="003D254C">
        <w:rPr>
          <w:rFonts w:cs="Arial"/>
          <w:sz w:val="22"/>
        </w:rPr>
        <w:t>Los procesados deben estar separados de los condenados, salvo en circunstancias excepcionales, y serán sometidos a un tratamiento adecuado a su condición de personas no condenadas.</w:t>
      </w:r>
    </w:p>
    <w:p w:rsidR="00DD2E11" w:rsidRPr="003D254C" w:rsidRDefault="00DD2E11" w:rsidP="00DD2E11">
      <w:pPr>
        <w:pStyle w:val="Estilo"/>
        <w:rPr>
          <w:rFonts w:cs="Arial"/>
          <w:sz w:val="22"/>
        </w:rPr>
      </w:pPr>
    </w:p>
    <w:p w:rsidR="00DD2E11" w:rsidRPr="003D254C" w:rsidRDefault="00DD2E11" w:rsidP="00804750">
      <w:pPr>
        <w:pStyle w:val="Estilo"/>
        <w:numPr>
          <w:ilvl w:val="0"/>
          <w:numId w:val="3"/>
        </w:numPr>
        <w:ind w:hanging="720"/>
        <w:rPr>
          <w:rFonts w:cs="Arial"/>
          <w:sz w:val="22"/>
        </w:rPr>
      </w:pPr>
      <w:r w:rsidRPr="003D254C">
        <w:rPr>
          <w:rFonts w:cs="Arial"/>
          <w:sz w:val="22"/>
        </w:rPr>
        <w:t>Cuando los menores puedan ser procesados, deben ser separados de los adultos y llevados ante tribunales especializados, con la mayor celeridad posible, para su tratamiento.</w:t>
      </w:r>
    </w:p>
    <w:p w:rsidR="00DD2E11" w:rsidRPr="003D254C" w:rsidRDefault="00DD2E11" w:rsidP="00DD2E11">
      <w:pPr>
        <w:pStyle w:val="Estilo"/>
        <w:rPr>
          <w:rFonts w:cs="Arial"/>
          <w:sz w:val="22"/>
        </w:rPr>
      </w:pPr>
    </w:p>
    <w:p w:rsidR="00DD2E11" w:rsidRPr="003D254C" w:rsidRDefault="00DD2E11" w:rsidP="00804750">
      <w:pPr>
        <w:pStyle w:val="Estilo"/>
        <w:numPr>
          <w:ilvl w:val="0"/>
          <w:numId w:val="3"/>
        </w:numPr>
        <w:ind w:hanging="720"/>
        <w:rPr>
          <w:rFonts w:cs="Arial"/>
          <w:sz w:val="22"/>
        </w:rPr>
      </w:pPr>
      <w:r w:rsidRPr="003D254C">
        <w:rPr>
          <w:rFonts w:cs="Arial"/>
          <w:sz w:val="22"/>
        </w:rPr>
        <w:t>Las penas privativas de la libertad tendrán como finalidad esencial la reforma y la readaptación social de los condenados.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6.</w:t>
      </w:r>
      <w:r w:rsidRPr="003D254C">
        <w:rPr>
          <w:rFonts w:cs="Arial"/>
          <w:sz w:val="22"/>
        </w:rPr>
        <w:t xml:space="preserve"> Prohibición de la Esclavitud y Servidumbre</w:t>
      </w:r>
    </w:p>
    <w:p w:rsidR="00DD2E11" w:rsidRPr="003D254C" w:rsidRDefault="00DD2E11" w:rsidP="00DD2E11">
      <w:pPr>
        <w:pStyle w:val="Estilo"/>
        <w:rPr>
          <w:rFonts w:cs="Arial"/>
          <w:sz w:val="22"/>
        </w:rPr>
      </w:pPr>
    </w:p>
    <w:p w:rsidR="00DD2E11" w:rsidRPr="003D254C" w:rsidRDefault="00DD2E11" w:rsidP="00804750">
      <w:pPr>
        <w:pStyle w:val="Estilo"/>
        <w:numPr>
          <w:ilvl w:val="0"/>
          <w:numId w:val="4"/>
        </w:numPr>
        <w:ind w:hanging="720"/>
        <w:rPr>
          <w:rFonts w:cs="Arial"/>
          <w:sz w:val="22"/>
        </w:rPr>
      </w:pPr>
      <w:r w:rsidRPr="003D254C">
        <w:rPr>
          <w:rFonts w:cs="Arial"/>
          <w:sz w:val="22"/>
        </w:rPr>
        <w:t>Nadie puede ser sometido a esclavitud o servidumbre y tanto estas, como la trata de esclavos y la trata de mujeres están prohibidas en todas sus formas.</w:t>
      </w:r>
    </w:p>
    <w:p w:rsidR="00DD2E11" w:rsidRPr="003D254C" w:rsidRDefault="00DD2E11" w:rsidP="00DD2E11">
      <w:pPr>
        <w:pStyle w:val="Estilo"/>
        <w:rPr>
          <w:rFonts w:cs="Arial"/>
          <w:sz w:val="22"/>
        </w:rPr>
      </w:pPr>
    </w:p>
    <w:p w:rsidR="00DD2E11" w:rsidRPr="003D254C" w:rsidRDefault="00DD2E11" w:rsidP="00804750">
      <w:pPr>
        <w:pStyle w:val="Estilo"/>
        <w:numPr>
          <w:ilvl w:val="0"/>
          <w:numId w:val="4"/>
        </w:numPr>
        <w:ind w:hanging="720"/>
        <w:rPr>
          <w:rFonts w:cs="Arial"/>
          <w:sz w:val="22"/>
        </w:rPr>
      </w:pPr>
      <w:r w:rsidRPr="003D254C">
        <w:rPr>
          <w:rFonts w:cs="Arial"/>
          <w:sz w:val="22"/>
        </w:rPr>
        <w:t>Nadie debe ser constreñido a ejecutar un trabajo forzoso u obligatorio. En los países donde ciertos delitos tengan señalada la pena privativa de la libertad acompañada de trabajos forzosos, esta disposición no podrá ser interpretada en el sentido de que prohibe el cumplimiento de dicha pena impuesta por juez o tribunal competente. El trabajo forzoso no debe afectar a la dignidad ni a la capacidad física e intelectual del recluido.</w:t>
      </w:r>
    </w:p>
    <w:p w:rsidR="00DD2E11" w:rsidRPr="003D254C" w:rsidRDefault="00DD2E11" w:rsidP="00DD2E11">
      <w:pPr>
        <w:pStyle w:val="Estilo"/>
        <w:rPr>
          <w:rFonts w:cs="Arial"/>
          <w:sz w:val="22"/>
        </w:rPr>
      </w:pPr>
    </w:p>
    <w:p w:rsidR="00DD2E11" w:rsidRPr="003D254C" w:rsidRDefault="00DD2E11" w:rsidP="00804750">
      <w:pPr>
        <w:pStyle w:val="Estilo"/>
        <w:numPr>
          <w:ilvl w:val="0"/>
          <w:numId w:val="4"/>
        </w:numPr>
        <w:ind w:hanging="720"/>
        <w:rPr>
          <w:rFonts w:cs="Arial"/>
          <w:sz w:val="22"/>
        </w:rPr>
      </w:pPr>
      <w:r w:rsidRPr="003D254C">
        <w:rPr>
          <w:rFonts w:cs="Arial"/>
          <w:sz w:val="22"/>
        </w:rPr>
        <w:t>No constituyen trabajo forzoso u obligatorio, para los efectos de este artículo:</w:t>
      </w:r>
    </w:p>
    <w:p w:rsidR="00DD2E11" w:rsidRPr="003D254C" w:rsidRDefault="00DD2E11" w:rsidP="00DD2E11">
      <w:pPr>
        <w:pStyle w:val="Estilo"/>
        <w:rPr>
          <w:rFonts w:cs="Arial"/>
          <w:sz w:val="22"/>
        </w:rPr>
      </w:pPr>
    </w:p>
    <w:p w:rsidR="00DD2E11" w:rsidRPr="003D254C" w:rsidRDefault="00DD2E11" w:rsidP="00804750">
      <w:pPr>
        <w:pStyle w:val="Estilo"/>
        <w:numPr>
          <w:ilvl w:val="0"/>
          <w:numId w:val="5"/>
        </w:numPr>
        <w:rPr>
          <w:rFonts w:cs="Arial"/>
          <w:sz w:val="22"/>
        </w:rPr>
      </w:pPr>
      <w:r w:rsidRPr="003D254C">
        <w:rPr>
          <w:rFonts w:cs="Arial"/>
          <w:sz w:val="22"/>
        </w:rPr>
        <w:t>los trabajos o servicios que se exijan normalmente de una persona recluida en cumplimiento de una sentencia o resolución formal dictada por la autoridad judicial competente. Tales trabajos o servicios deberán realizarse bajo la vigilancia y control de las autoridades públicas, y los individuos que los efectúen serán puestos a disposición de particulares, compañías o personas jurídicas de carácter privado;</w:t>
      </w:r>
    </w:p>
    <w:p w:rsidR="00DD2E11" w:rsidRPr="003D254C" w:rsidRDefault="00DD2E11" w:rsidP="00DD2E11">
      <w:pPr>
        <w:pStyle w:val="Estilo"/>
        <w:rPr>
          <w:rFonts w:cs="Arial"/>
          <w:sz w:val="22"/>
        </w:rPr>
      </w:pPr>
    </w:p>
    <w:p w:rsidR="00DD2E11" w:rsidRPr="003D254C" w:rsidRDefault="00DD2E11" w:rsidP="00804750">
      <w:pPr>
        <w:pStyle w:val="Estilo"/>
        <w:numPr>
          <w:ilvl w:val="0"/>
          <w:numId w:val="5"/>
        </w:numPr>
        <w:rPr>
          <w:rFonts w:cs="Arial"/>
          <w:sz w:val="22"/>
        </w:rPr>
      </w:pPr>
      <w:r w:rsidRPr="003D254C">
        <w:rPr>
          <w:rFonts w:cs="Arial"/>
          <w:sz w:val="22"/>
        </w:rPr>
        <w:t>el servicio militar y, en los países en donde se admite exención por razones de conciencia, el servicio nacional que la ley establezca en lugar de aquél;</w:t>
      </w:r>
    </w:p>
    <w:p w:rsidR="00DD2E11" w:rsidRPr="003D254C" w:rsidRDefault="00DD2E11" w:rsidP="00DD2E11">
      <w:pPr>
        <w:pStyle w:val="Estilo"/>
        <w:rPr>
          <w:rFonts w:cs="Arial"/>
          <w:sz w:val="22"/>
        </w:rPr>
      </w:pPr>
    </w:p>
    <w:p w:rsidR="00DD2E11" w:rsidRPr="003D254C" w:rsidRDefault="00DD2E11" w:rsidP="00804750">
      <w:pPr>
        <w:pStyle w:val="Estilo"/>
        <w:numPr>
          <w:ilvl w:val="0"/>
          <w:numId w:val="5"/>
        </w:numPr>
        <w:rPr>
          <w:rFonts w:cs="Arial"/>
          <w:sz w:val="22"/>
        </w:rPr>
      </w:pPr>
      <w:r w:rsidRPr="003D254C">
        <w:rPr>
          <w:rFonts w:cs="Arial"/>
          <w:sz w:val="22"/>
        </w:rPr>
        <w:t>el servicio impuesto en casos de peligro o calamidad que amenace la existencia o el bienestar de la comunidad, y</w:t>
      </w:r>
    </w:p>
    <w:p w:rsidR="00DD2E11" w:rsidRPr="003D254C" w:rsidRDefault="00DD2E11" w:rsidP="00DD2E11">
      <w:pPr>
        <w:pStyle w:val="Estilo"/>
        <w:rPr>
          <w:rFonts w:cs="Arial"/>
          <w:sz w:val="22"/>
        </w:rPr>
      </w:pPr>
    </w:p>
    <w:p w:rsidR="00DD2E11" w:rsidRPr="003D254C" w:rsidRDefault="00DD2E11" w:rsidP="00804750">
      <w:pPr>
        <w:pStyle w:val="Estilo"/>
        <w:numPr>
          <w:ilvl w:val="0"/>
          <w:numId w:val="5"/>
        </w:numPr>
        <w:rPr>
          <w:rFonts w:cs="Arial"/>
          <w:sz w:val="22"/>
        </w:rPr>
      </w:pPr>
      <w:r w:rsidRPr="003D254C">
        <w:rPr>
          <w:rFonts w:cs="Arial"/>
          <w:sz w:val="22"/>
        </w:rPr>
        <w:t>el trabajo o servicio que forme parte de las obligaciones cívicas normales.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7.</w:t>
      </w:r>
      <w:r w:rsidRPr="003D254C">
        <w:rPr>
          <w:rFonts w:cs="Arial"/>
          <w:sz w:val="22"/>
        </w:rPr>
        <w:t xml:space="preserve"> Derecho a la Libertad Personal</w:t>
      </w:r>
    </w:p>
    <w:p w:rsidR="00DD2E11" w:rsidRPr="003D254C" w:rsidRDefault="00DD2E11" w:rsidP="00DD2E11">
      <w:pPr>
        <w:pStyle w:val="Estilo"/>
        <w:rPr>
          <w:rFonts w:cs="Arial"/>
          <w:sz w:val="22"/>
        </w:rPr>
      </w:pPr>
    </w:p>
    <w:p w:rsidR="00DD2E11" w:rsidRPr="003D254C" w:rsidRDefault="00DD2E11" w:rsidP="00804750">
      <w:pPr>
        <w:pStyle w:val="Estilo"/>
        <w:numPr>
          <w:ilvl w:val="0"/>
          <w:numId w:val="6"/>
        </w:numPr>
        <w:ind w:hanging="720"/>
        <w:rPr>
          <w:rFonts w:cs="Arial"/>
          <w:sz w:val="22"/>
        </w:rPr>
      </w:pPr>
      <w:r w:rsidRPr="003D254C">
        <w:rPr>
          <w:rFonts w:cs="Arial"/>
          <w:sz w:val="22"/>
        </w:rPr>
        <w:t>Toda persona tiene derecho a la libertad y a la seguridad personales.</w:t>
      </w:r>
    </w:p>
    <w:p w:rsidR="00DD2E11" w:rsidRPr="003D254C" w:rsidRDefault="00DD2E11" w:rsidP="00DD2E11">
      <w:pPr>
        <w:pStyle w:val="Estilo"/>
        <w:rPr>
          <w:rFonts w:cs="Arial"/>
          <w:sz w:val="22"/>
        </w:rPr>
      </w:pPr>
    </w:p>
    <w:p w:rsidR="00DD2E11" w:rsidRPr="003D254C" w:rsidRDefault="00DD2E11" w:rsidP="00804750">
      <w:pPr>
        <w:pStyle w:val="Estilo"/>
        <w:numPr>
          <w:ilvl w:val="0"/>
          <w:numId w:val="6"/>
        </w:numPr>
        <w:ind w:hanging="720"/>
        <w:rPr>
          <w:rFonts w:cs="Arial"/>
          <w:sz w:val="22"/>
        </w:rPr>
      </w:pPr>
      <w:r w:rsidRPr="003D254C">
        <w:rPr>
          <w:rFonts w:cs="Arial"/>
          <w:sz w:val="22"/>
        </w:rPr>
        <w:t>Nadie puede ser privado de su libertad física, salvo por las causas y en las condiciones fijadas de antemano por las Constituciones Políticas de los Estados Partes o por las leyes dictadas conforme a ellas.</w:t>
      </w:r>
    </w:p>
    <w:p w:rsidR="00DD2E11" w:rsidRPr="003D254C" w:rsidRDefault="00DD2E11" w:rsidP="00DD2E11">
      <w:pPr>
        <w:pStyle w:val="Estilo"/>
        <w:rPr>
          <w:rFonts w:cs="Arial"/>
          <w:sz w:val="22"/>
        </w:rPr>
      </w:pPr>
    </w:p>
    <w:p w:rsidR="00DD2E11" w:rsidRPr="003D254C" w:rsidRDefault="00DD2E11" w:rsidP="00804750">
      <w:pPr>
        <w:pStyle w:val="Estilo"/>
        <w:numPr>
          <w:ilvl w:val="0"/>
          <w:numId w:val="6"/>
        </w:numPr>
        <w:ind w:hanging="720"/>
        <w:rPr>
          <w:rFonts w:cs="Arial"/>
          <w:sz w:val="22"/>
        </w:rPr>
      </w:pPr>
      <w:r w:rsidRPr="003D254C">
        <w:rPr>
          <w:rFonts w:cs="Arial"/>
          <w:sz w:val="22"/>
        </w:rPr>
        <w:t>Nadie puede ser sometido a detención o encarcelamiento arbitrarios.</w:t>
      </w:r>
    </w:p>
    <w:p w:rsidR="00DD2E11" w:rsidRPr="003D254C" w:rsidRDefault="00DD2E11" w:rsidP="00DD2E11">
      <w:pPr>
        <w:pStyle w:val="Estilo"/>
        <w:rPr>
          <w:rFonts w:cs="Arial"/>
          <w:sz w:val="22"/>
        </w:rPr>
      </w:pPr>
    </w:p>
    <w:p w:rsidR="00DD2E11" w:rsidRPr="003D254C" w:rsidRDefault="00DD2E11" w:rsidP="00804750">
      <w:pPr>
        <w:pStyle w:val="Estilo"/>
        <w:numPr>
          <w:ilvl w:val="0"/>
          <w:numId w:val="6"/>
        </w:numPr>
        <w:ind w:hanging="720"/>
        <w:rPr>
          <w:rFonts w:cs="Arial"/>
          <w:sz w:val="22"/>
        </w:rPr>
      </w:pPr>
      <w:r w:rsidRPr="003D254C">
        <w:rPr>
          <w:rFonts w:cs="Arial"/>
          <w:sz w:val="22"/>
        </w:rPr>
        <w:t>Toda persona detenida o retenida debe ser informada de las razones de su detención y notificada, sin demora, del cargo o cargos formulados contra ella.</w:t>
      </w:r>
    </w:p>
    <w:p w:rsidR="00DD2E11" w:rsidRPr="003D254C" w:rsidRDefault="00DD2E11" w:rsidP="00DD2E11">
      <w:pPr>
        <w:pStyle w:val="Estilo"/>
        <w:rPr>
          <w:rFonts w:cs="Arial"/>
          <w:sz w:val="22"/>
        </w:rPr>
      </w:pPr>
    </w:p>
    <w:p w:rsidR="00DD2E11" w:rsidRPr="003D254C" w:rsidRDefault="00DD2E11" w:rsidP="00804750">
      <w:pPr>
        <w:pStyle w:val="Estilo"/>
        <w:numPr>
          <w:ilvl w:val="0"/>
          <w:numId w:val="6"/>
        </w:numPr>
        <w:ind w:hanging="720"/>
        <w:rPr>
          <w:rFonts w:cs="Arial"/>
          <w:sz w:val="22"/>
        </w:rPr>
      </w:pPr>
      <w:r w:rsidRPr="003D254C">
        <w:rPr>
          <w:rFonts w:cs="Arial"/>
          <w:sz w:val="22"/>
        </w:rPr>
        <w:t>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rsidR="00DD2E11" w:rsidRPr="003D254C" w:rsidRDefault="00DD2E11" w:rsidP="00DD2E11">
      <w:pPr>
        <w:pStyle w:val="Estilo"/>
        <w:rPr>
          <w:rFonts w:cs="Arial"/>
          <w:sz w:val="22"/>
        </w:rPr>
      </w:pPr>
    </w:p>
    <w:p w:rsidR="00DD2E11" w:rsidRPr="003D254C" w:rsidRDefault="00DD2E11" w:rsidP="00804750">
      <w:pPr>
        <w:pStyle w:val="Estilo"/>
        <w:numPr>
          <w:ilvl w:val="0"/>
          <w:numId w:val="6"/>
        </w:numPr>
        <w:ind w:hanging="720"/>
        <w:rPr>
          <w:rFonts w:cs="Arial"/>
          <w:sz w:val="22"/>
        </w:rPr>
      </w:pPr>
      <w:r w:rsidRPr="003D254C">
        <w:rPr>
          <w:rFonts w:cs="Arial"/>
          <w:sz w:val="22"/>
        </w:rPr>
        <w:t>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rsidR="00DD2E11" w:rsidRPr="003D254C" w:rsidRDefault="00DD2E11" w:rsidP="00DD2E11">
      <w:pPr>
        <w:pStyle w:val="Estilo"/>
        <w:rPr>
          <w:rFonts w:cs="Arial"/>
          <w:sz w:val="22"/>
        </w:rPr>
      </w:pPr>
    </w:p>
    <w:p w:rsidR="00DD2E11" w:rsidRPr="003D254C" w:rsidRDefault="00DD2E11" w:rsidP="00804750">
      <w:pPr>
        <w:pStyle w:val="Estilo"/>
        <w:numPr>
          <w:ilvl w:val="0"/>
          <w:numId w:val="6"/>
        </w:numPr>
        <w:ind w:hanging="720"/>
        <w:rPr>
          <w:rFonts w:cs="Arial"/>
          <w:sz w:val="22"/>
        </w:rPr>
      </w:pPr>
      <w:r w:rsidRPr="003D254C">
        <w:rPr>
          <w:rFonts w:cs="Arial"/>
          <w:sz w:val="22"/>
        </w:rPr>
        <w:t>Nadie será detenido por deudas. Este principio no limita los mandatos de autoridad judicial competente dictados por incumplimientos de deberes alimentarios.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8.</w:t>
      </w:r>
      <w:r w:rsidRPr="003D254C">
        <w:rPr>
          <w:rFonts w:cs="Arial"/>
          <w:sz w:val="22"/>
        </w:rPr>
        <w:t xml:space="preserve"> Garantías Judiciales</w:t>
      </w:r>
    </w:p>
    <w:p w:rsidR="00DD2E11" w:rsidRPr="003D254C" w:rsidRDefault="00DD2E11" w:rsidP="00DD2E11">
      <w:pPr>
        <w:pStyle w:val="Estilo"/>
        <w:rPr>
          <w:rFonts w:cs="Arial"/>
          <w:sz w:val="22"/>
        </w:rPr>
      </w:pPr>
    </w:p>
    <w:p w:rsidR="00DD2E11" w:rsidRPr="003D254C" w:rsidRDefault="00DD2E11" w:rsidP="00804750">
      <w:pPr>
        <w:pStyle w:val="Estilo"/>
        <w:numPr>
          <w:ilvl w:val="0"/>
          <w:numId w:val="7"/>
        </w:numPr>
        <w:ind w:hanging="720"/>
        <w:rPr>
          <w:rFonts w:cs="Arial"/>
          <w:sz w:val="22"/>
        </w:rPr>
      </w:pPr>
      <w:r w:rsidRPr="003D254C">
        <w:rPr>
          <w:rFonts w:cs="Arial"/>
          <w:sz w:val="22"/>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DD2E11" w:rsidRPr="003D254C" w:rsidRDefault="00DD2E11" w:rsidP="00DD2E11">
      <w:pPr>
        <w:pStyle w:val="Estilo"/>
        <w:rPr>
          <w:rFonts w:cs="Arial"/>
          <w:sz w:val="22"/>
        </w:rPr>
      </w:pPr>
    </w:p>
    <w:p w:rsidR="00DD2E11" w:rsidRPr="003D254C" w:rsidRDefault="00DD2E11" w:rsidP="00804750">
      <w:pPr>
        <w:pStyle w:val="Estilo"/>
        <w:numPr>
          <w:ilvl w:val="0"/>
          <w:numId w:val="7"/>
        </w:numPr>
        <w:ind w:hanging="720"/>
        <w:rPr>
          <w:rFonts w:cs="Arial"/>
          <w:sz w:val="22"/>
        </w:rPr>
      </w:pPr>
      <w:r w:rsidRPr="003D254C">
        <w:rPr>
          <w:rFonts w:cs="Arial"/>
          <w:sz w:val="22"/>
        </w:rPr>
        <w:t>Toda persona inculpada de delito tiene derecho a que se presuma su inocencia mientras no se establezca legalmente su culpabilidad. Durante el proceso, toda persona tiene derecho, en plena igualdad, a las siguientes garantías mínimas:</w:t>
      </w:r>
    </w:p>
    <w:p w:rsidR="00DD2E11" w:rsidRPr="003D254C" w:rsidRDefault="00DD2E11" w:rsidP="00DD2E11">
      <w:pPr>
        <w:pStyle w:val="Estilo"/>
        <w:rPr>
          <w:rFonts w:cs="Arial"/>
          <w:sz w:val="22"/>
        </w:rPr>
      </w:pPr>
    </w:p>
    <w:p w:rsidR="00DD2E11" w:rsidRPr="003D254C" w:rsidRDefault="00DD2E11" w:rsidP="00804750">
      <w:pPr>
        <w:pStyle w:val="Estilo"/>
        <w:numPr>
          <w:ilvl w:val="0"/>
          <w:numId w:val="8"/>
        </w:numPr>
        <w:rPr>
          <w:rFonts w:cs="Arial"/>
          <w:sz w:val="22"/>
        </w:rPr>
      </w:pPr>
      <w:r w:rsidRPr="003D254C">
        <w:rPr>
          <w:rFonts w:cs="Arial"/>
          <w:sz w:val="22"/>
        </w:rPr>
        <w:lastRenderedPageBreak/>
        <w:t>derecho del inculpado de ser asistido gratuitamente por el traductor o intérprete, si no comprende o no habla el idioma del juzgado o tribunal;</w:t>
      </w:r>
    </w:p>
    <w:p w:rsidR="00DD2E11" w:rsidRPr="003D254C" w:rsidRDefault="00DD2E11" w:rsidP="00DD2E11">
      <w:pPr>
        <w:pStyle w:val="Estilo"/>
        <w:rPr>
          <w:rFonts w:cs="Arial"/>
          <w:sz w:val="22"/>
        </w:rPr>
      </w:pPr>
    </w:p>
    <w:p w:rsidR="00DD2E11" w:rsidRPr="003D254C" w:rsidRDefault="00DD2E11" w:rsidP="00804750">
      <w:pPr>
        <w:pStyle w:val="Estilo"/>
        <w:numPr>
          <w:ilvl w:val="0"/>
          <w:numId w:val="8"/>
        </w:numPr>
        <w:rPr>
          <w:rFonts w:cs="Arial"/>
          <w:sz w:val="22"/>
        </w:rPr>
      </w:pPr>
      <w:r w:rsidRPr="003D254C">
        <w:rPr>
          <w:rFonts w:cs="Arial"/>
          <w:sz w:val="22"/>
        </w:rPr>
        <w:t>comunicación previa y detallada al inculpado de la acusación formulada;</w:t>
      </w:r>
    </w:p>
    <w:p w:rsidR="00DD2E11" w:rsidRPr="003D254C" w:rsidRDefault="00DD2E11" w:rsidP="00DD2E11">
      <w:pPr>
        <w:pStyle w:val="Estilo"/>
        <w:rPr>
          <w:rFonts w:cs="Arial"/>
          <w:sz w:val="22"/>
        </w:rPr>
      </w:pPr>
    </w:p>
    <w:p w:rsidR="00DD2E11" w:rsidRPr="003D254C" w:rsidRDefault="00DD2E11" w:rsidP="00804750">
      <w:pPr>
        <w:pStyle w:val="Estilo"/>
        <w:numPr>
          <w:ilvl w:val="0"/>
          <w:numId w:val="8"/>
        </w:numPr>
        <w:rPr>
          <w:rFonts w:cs="Arial"/>
          <w:sz w:val="22"/>
        </w:rPr>
      </w:pPr>
      <w:r w:rsidRPr="003D254C">
        <w:rPr>
          <w:rFonts w:cs="Arial"/>
          <w:sz w:val="22"/>
        </w:rPr>
        <w:t>concesión al inculpado del tiempo y de los medios adecuados para la preparación de su defensa;</w:t>
      </w:r>
    </w:p>
    <w:p w:rsidR="00DD2E11" w:rsidRPr="003D254C" w:rsidRDefault="00DD2E11" w:rsidP="00DD2E11">
      <w:pPr>
        <w:pStyle w:val="Estilo"/>
        <w:rPr>
          <w:rFonts w:cs="Arial"/>
          <w:sz w:val="22"/>
        </w:rPr>
      </w:pPr>
    </w:p>
    <w:p w:rsidR="00DD2E11" w:rsidRPr="003D254C" w:rsidRDefault="00DD2E11" w:rsidP="00804750">
      <w:pPr>
        <w:pStyle w:val="Estilo"/>
        <w:numPr>
          <w:ilvl w:val="0"/>
          <w:numId w:val="8"/>
        </w:numPr>
        <w:rPr>
          <w:rFonts w:cs="Arial"/>
          <w:sz w:val="22"/>
        </w:rPr>
      </w:pPr>
      <w:r w:rsidRPr="003D254C">
        <w:rPr>
          <w:rFonts w:cs="Arial"/>
          <w:sz w:val="22"/>
        </w:rPr>
        <w:t>derecho del inculpado de defenderse personalmente o de ser asistido por un defensor de su elección o de comunicarse libre y privadamente con su defensor;</w:t>
      </w:r>
    </w:p>
    <w:p w:rsidR="00DD2E11" w:rsidRPr="003D254C" w:rsidRDefault="00DD2E11" w:rsidP="00DD2E11">
      <w:pPr>
        <w:pStyle w:val="Estilo"/>
        <w:rPr>
          <w:rFonts w:cs="Arial"/>
          <w:sz w:val="22"/>
        </w:rPr>
      </w:pPr>
    </w:p>
    <w:p w:rsidR="00DD2E11" w:rsidRPr="003D254C" w:rsidRDefault="00DD2E11" w:rsidP="00804750">
      <w:pPr>
        <w:pStyle w:val="Estilo"/>
        <w:numPr>
          <w:ilvl w:val="0"/>
          <w:numId w:val="8"/>
        </w:numPr>
        <w:rPr>
          <w:rFonts w:cs="Arial"/>
          <w:sz w:val="22"/>
        </w:rPr>
      </w:pPr>
      <w:r w:rsidRPr="003D254C">
        <w:rPr>
          <w:rFonts w:cs="Arial"/>
          <w:sz w:val="22"/>
        </w:rPr>
        <w:t>derecho irrenunciable de ser asistido por un defensor proporcionado por el Estado, remunerado o no según la legislación interna, si el inculpado no se defendiere por sí mismo ni nombrare defensor dentro del plazo establecido por la ley;</w:t>
      </w:r>
    </w:p>
    <w:p w:rsidR="00DD2E11" w:rsidRPr="003D254C" w:rsidRDefault="00DD2E11" w:rsidP="00DD2E11">
      <w:pPr>
        <w:pStyle w:val="Estilo"/>
        <w:rPr>
          <w:rFonts w:cs="Arial"/>
          <w:sz w:val="22"/>
        </w:rPr>
      </w:pPr>
    </w:p>
    <w:p w:rsidR="00DD2E11" w:rsidRPr="003D254C" w:rsidRDefault="00DD2E11" w:rsidP="00804750">
      <w:pPr>
        <w:pStyle w:val="Estilo"/>
        <w:numPr>
          <w:ilvl w:val="0"/>
          <w:numId w:val="8"/>
        </w:numPr>
        <w:rPr>
          <w:rFonts w:cs="Arial"/>
          <w:sz w:val="22"/>
        </w:rPr>
      </w:pPr>
      <w:r w:rsidRPr="003D254C">
        <w:rPr>
          <w:rFonts w:cs="Arial"/>
          <w:sz w:val="22"/>
        </w:rPr>
        <w:t>derecho de la defensa de interrogar a los testigos presentes en el tribunal y de obtener la comparecencia, como testigos o peritos, de otras personas que puedan arrojar luz sobre los hechos;</w:t>
      </w:r>
    </w:p>
    <w:p w:rsidR="00DD2E11" w:rsidRPr="003D254C" w:rsidRDefault="00DD2E11" w:rsidP="00DD2E11">
      <w:pPr>
        <w:pStyle w:val="Estilo"/>
        <w:rPr>
          <w:rFonts w:cs="Arial"/>
          <w:sz w:val="22"/>
        </w:rPr>
      </w:pPr>
    </w:p>
    <w:p w:rsidR="00DD2E11" w:rsidRPr="003D254C" w:rsidRDefault="00DD2E11" w:rsidP="00804750">
      <w:pPr>
        <w:pStyle w:val="Estilo"/>
        <w:numPr>
          <w:ilvl w:val="0"/>
          <w:numId w:val="8"/>
        </w:numPr>
        <w:rPr>
          <w:rFonts w:cs="Arial"/>
          <w:sz w:val="22"/>
        </w:rPr>
      </w:pPr>
      <w:r w:rsidRPr="003D254C">
        <w:rPr>
          <w:rFonts w:cs="Arial"/>
          <w:sz w:val="22"/>
        </w:rPr>
        <w:t>derecho a no ser obligado a declarar contra sí mismo ni a declararse culpable, y</w:t>
      </w:r>
    </w:p>
    <w:p w:rsidR="00DD2E11" w:rsidRPr="003D254C" w:rsidRDefault="00DD2E11" w:rsidP="00DD2E11">
      <w:pPr>
        <w:pStyle w:val="Estilo"/>
        <w:rPr>
          <w:rFonts w:cs="Arial"/>
          <w:sz w:val="22"/>
        </w:rPr>
      </w:pPr>
    </w:p>
    <w:p w:rsidR="00DD2E11" w:rsidRPr="003D254C" w:rsidRDefault="00DD2E11" w:rsidP="00804750">
      <w:pPr>
        <w:pStyle w:val="Estilo"/>
        <w:numPr>
          <w:ilvl w:val="0"/>
          <w:numId w:val="8"/>
        </w:numPr>
        <w:rPr>
          <w:rFonts w:cs="Arial"/>
          <w:sz w:val="22"/>
        </w:rPr>
      </w:pPr>
      <w:r w:rsidRPr="003D254C">
        <w:rPr>
          <w:rFonts w:cs="Arial"/>
          <w:sz w:val="22"/>
        </w:rPr>
        <w:t>derecho de recurrir del fallo ante juez o tribunal superior.</w:t>
      </w:r>
    </w:p>
    <w:p w:rsidR="00DD2E11" w:rsidRPr="003D254C" w:rsidRDefault="00DD2E11" w:rsidP="00DD2E11">
      <w:pPr>
        <w:pStyle w:val="Estilo"/>
        <w:rPr>
          <w:rFonts w:cs="Arial"/>
          <w:sz w:val="22"/>
        </w:rPr>
      </w:pPr>
    </w:p>
    <w:p w:rsidR="00DD2E11" w:rsidRPr="003D254C" w:rsidRDefault="00DD2E11" w:rsidP="00804750">
      <w:pPr>
        <w:pStyle w:val="Estilo"/>
        <w:numPr>
          <w:ilvl w:val="0"/>
          <w:numId w:val="7"/>
        </w:numPr>
        <w:ind w:hanging="720"/>
        <w:rPr>
          <w:rFonts w:cs="Arial"/>
          <w:sz w:val="22"/>
        </w:rPr>
      </w:pPr>
      <w:r w:rsidRPr="003D254C">
        <w:rPr>
          <w:rFonts w:cs="Arial"/>
          <w:sz w:val="22"/>
        </w:rPr>
        <w:t>La confesión del inculpado solamente es válida si es hecha sin coacción de ninguna naturaleza.</w:t>
      </w:r>
    </w:p>
    <w:p w:rsidR="00DD2E11" w:rsidRPr="003D254C" w:rsidRDefault="00DD2E11" w:rsidP="00DD2E11">
      <w:pPr>
        <w:pStyle w:val="Estilo"/>
        <w:rPr>
          <w:rFonts w:cs="Arial"/>
          <w:sz w:val="22"/>
        </w:rPr>
      </w:pPr>
    </w:p>
    <w:p w:rsidR="00DD2E11" w:rsidRPr="003D254C" w:rsidRDefault="00DD2E11" w:rsidP="00804750">
      <w:pPr>
        <w:pStyle w:val="Estilo"/>
        <w:numPr>
          <w:ilvl w:val="0"/>
          <w:numId w:val="7"/>
        </w:numPr>
        <w:ind w:hanging="720"/>
        <w:rPr>
          <w:rFonts w:cs="Arial"/>
          <w:sz w:val="22"/>
        </w:rPr>
      </w:pPr>
      <w:r w:rsidRPr="003D254C">
        <w:rPr>
          <w:rFonts w:cs="Arial"/>
          <w:sz w:val="22"/>
        </w:rPr>
        <w:t>El inculpado absuelto por una sentencia firme no podrá ser sometido a nuevo juicio por los mismos hechos.</w:t>
      </w:r>
    </w:p>
    <w:p w:rsidR="00DD2E11" w:rsidRPr="003D254C" w:rsidRDefault="00DD2E11" w:rsidP="00DD2E11">
      <w:pPr>
        <w:pStyle w:val="Estilo"/>
        <w:rPr>
          <w:rFonts w:cs="Arial"/>
          <w:sz w:val="22"/>
        </w:rPr>
      </w:pPr>
    </w:p>
    <w:p w:rsidR="00DD2E11" w:rsidRPr="003D254C" w:rsidRDefault="00DD2E11" w:rsidP="00804750">
      <w:pPr>
        <w:pStyle w:val="Estilo"/>
        <w:numPr>
          <w:ilvl w:val="0"/>
          <w:numId w:val="7"/>
        </w:numPr>
        <w:ind w:hanging="720"/>
        <w:rPr>
          <w:rFonts w:cs="Arial"/>
          <w:sz w:val="22"/>
        </w:rPr>
      </w:pPr>
      <w:r w:rsidRPr="003D254C">
        <w:rPr>
          <w:rFonts w:cs="Arial"/>
          <w:sz w:val="22"/>
        </w:rPr>
        <w:t>El proceso penal debe ser público, salvo en lo que sea necesario para preservar los intereses de la justicia.</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9.</w:t>
      </w:r>
      <w:r w:rsidRPr="003D254C">
        <w:rPr>
          <w:rFonts w:cs="Arial"/>
          <w:sz w:val="22"/>
        </w:rPr>
        <w:t xml:space="preserve"> Principio de Legalidad y de Retroactividad</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10.</w:t>
      </w:r>
      <w:r w:rsidRPr="003D254C">
        <w:rPr>
          <w:rFonts w:cs="Arial"/>
          <w:sz w:val="22"/>
        </w:rPr>
        <w:t xml:space="preserve"> Derecho a Indemnización</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Toda persona tiene derecho a ser indemnizada conforme a la ley en caso de haber sido condenada en sentencia firme por error judicial.</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lastRenderedPageBreak/>
        <w:t>Artículo 11.</w:t>
      </w:r>
      <w:r w:rsidRPr="003D254C">
        <w:rPr>
          <w:rFonts w:cs="Arial"/>
          <w:sz w:val="22"/>
        </w:rPr>
        <w:t xml:space="preserve"> Protección de la Honra y de la Dignidad</w:t>
      </w:r>
    </w:p>
    <w:p w:rsidR="00DD2E11" w:rsidRPr="003D254C" w:rsidRDefault="00DD2E11" w:rsidP="00DD2E11">
      <w:pPr>
        <w:pStyle w:val="Estilo"/>
        <w:rPr>
          <w:rFonts w:cs="Arial"/>
          <w:sz w:val="22"/>
        </w:rPr>
      </w:pPr>
    </w:p>
    <w:p w:rsidR="00DD2E11" w:rsidRPr="003D254C" w:rsidRDefault="00DD2E11" w:rsidP="00804750">
      <w:pPr>
        <w:pStyle w:val="Estilo"/>
        <w:numPr>
          <w:ilvl w:val="0"/>
          <w:numId w:val="9"/>
        </w:numPr>
        <w:ind w:hanging="720"/>
        <w:rPr>
          <w:rFonts w:cs="Arial"/>
          <w:sz w:val="22"/>
        </w:rPr>
      </w:pPr>
      <w:r w:rsidRPr="003D254C">
        <w:rPr>
          <w:rFonts w:cs="Arial"/>
          <w:sz w:val="22"/>
        </w:rPr>
        <w:t>Toda persona tiene derecho al respeto de su honra y al reconocimiento de su dignidad.</w:t>
      </w:r>
    </w:p>
    <w:p w:rsidR="00DD2E11" w:rsidRPr="003D254C" w:rsidRDefault="00DD2E11" w:rsidP="00DD2E11">
      <w:pPr>
        <w:pStyle w:val="Estilo"/>
        <w:rPr>
          <w:rFonts w:cs="Arial"/>
          <w:sz w:val="22"/>
        </w:rPr>
      </w:pPr>
    </w:p>
    <w:p w:rsidR="00DD2E11" w:rsidRPr="003D254C" w:rsidRDefault="00DD2E11" w:rsidP="00804750">
      <w:pPr>
        <w:pStyle w:val="Estilo"/>
        <w:numPr>
          <w:ilvl w:val="0"/>
          <w:numId w:val="9"/>
        </w:numPr>
        <w:ind w:hanging="720"/>
        <w:rPr>
          <w:rFonts w:cs="Arial"/>
          <w:sz w:val="22"/>
        </w:rPr>
      </w:pPr>
      <w:r w:rsidRPr="003D254C">
        <w:rPr>
          <w:rFonts w:cs="Arial"/>
          <w:sz w:val="22"/>
        </w:rPr>
        <w:t>Nadie puede ser objeto de ingerencias (sic) arbitrarias o abusivas en su vida privada, en la de su familia, en su domicilio o en su correspondencia, ni de ataques ilegales a su honra o reputación.</w:t>
      </w:r>
    </w:p>
    <w:p w:rsidR="00DD2E11" w:rsidRPr="003D254C" w:rsidRDefault="00DD2E11" w:rsidP="00DD2E11">
      <w:pPr>
        <w:pStyle w:val="Estilo"/>
        <w:rPr>
          <w:rFonts w:cs="Arial"/>
          <w:sz w:val="22"/>
        </w:rPr>
      </w:pPr>
    </w:p>
    <w:p w:rsidR="00DD2E11" w:rsidRPr="003D254C" w:rsidRDefault="00DD2E11" w:rsidP="00804750">
      <w:pPr>
        <w:pStyle w:val="Estilo"/>
        <w:numPr>
          <w:ilvl w:val="0"/>
          <w:numId w:val="9"/>
        </w:numPr>
        <w:ind w:hanging="720"/>
        <w:rPr>
          <w:rFonts w:cs="Arial"/>
          <w:sz w:val="22"/>
        </w:rPr>
      </w:pPr>
      <w:r w:rsidRPr="003D254C">
        <w:rPr>
          <w:rFonts w:cs="Arial"/>
          <w:sz w:val="22"/>
        </w:rPr>
        <w:t>Toda persona tiene derecho a la protección de la ley contra esas ingerencias (sic) o esos ataques.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12.</w:t>
      </w:r>
      <w:r w:rsidRPr="003D254C">
        <w:rPr>
          <w:rFonts w:cs="Arial"/>
          <w:sz w:val="22"/>
        </w:rPr>
        <w:t xml:space="preserve"> Libertad de Conciencia y de Religión</w:t>
      </w:r>
    </w:p>
    <w:p w:rsidR="00DD2E11" w:rsidRPr="003D254C" w:rsidRDefault="00DD2E11" w:rsidP="00DD2E11">
      <w:pPr>
        <w:pStyle w:val="Estilo"/>
        <w:rPr>
          <w:rFonts w:cs="Arial"/>
          <w:sz w:val="22"/>
        </w:rPr>
      </w:pPr>
    </w:p>
    <w:p w:rsidR="00DD2E11" w:rsidRPr="003D254C" w:rsidRDefault="00DD2E11" w:rsidP="00804750">
      <w:pPr>
        <w:pStyle w:val="Estilo"/>
        <w:numPr>
          <w:ilvl w:val="0"/>
          <w:numId w:val="10"/>
        </w:numPr>
        <w:ind w:hanging="720"/>
        <w:rPr>
          <w:rFonts w:cs="Arial"/>
          <w:sz w:val="22"/>
        </w:rPr>
      </w:pPr>
      <w:r w:rsidRPr="003D254C">
        <w:rPr>
          <w:rFonts w:cs="Arial"/>
          <w:sz w:val="22"/>
        </w:rPr>
        <w:t>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p>
    <w:p w:rsidR="00DD2E11" w:rsidRPr="003D254C" w:rsidRDefault="00DD2E11" w:rsidP="00DD2E11">
      <w:pPr>
        <w:pStyle w:val="Estilo"/>
        <w:rPr>
          <w:rFonts w:cs="Arial"/>
          <w:sz w:val="22"/>
        </w:rPr>
      </w:pPr>
    </w:p>
    <w:p w:rsidR="00DD2E11" w:rsidRPr="003D254C" w:rsidRDefault="00DD2E11" w:rsidP="00804750">
      <w:pPr>
        <w:pStyle w:val="Estilo"/>
        <w:numPr>
          <w:ilvl w:val="0"/>
          <w:numId w:val="10"/>
        </w:numPr>
        <w:ind w:hanging="720"/>
        <w:rPr>
          <w:rFonts w:cs="Arial"/>
          <w:sz w:val="22"/>
        </w:rPr>
      </w:pPr>
      <w:r w:rsidRPr="003D254C">
        <w:rPr>
          <w:rFonts w:cs="Arial"/>
          <w:sz w:val="22"/>
        </w:rPr>
        <w:t>Nadie puede ser objeto de medidas restrictivas que puedan menoscabar la libertad de conservar su religión o sus creencias o de cambiar de religión o de creencias.</w:t>
      </w:r>
    </w:p>
    <w:p w:rsidR="00DD2E11" w:rsidRPr="003D254C" w:rsidRDefault="00DD2E11" w:rsidP="00DD2E11">
      <w:pPr>
        <w:pStyle w:val="Estilo"/>
        <w:rPr>
          <w:rFonts w:cs="Arial"/>
          <w:sz w:val="22"/>
        </w:rPr>
      </w:pPr>
    </w:p>
    <w:p w:rsidR="00DD2E11" w:rsidRPr="003D254C" w:rsidRDefault="00DD2E11" w:rsidP="00804750">
      <w:pPr>
        <w:pStyle w:val="Estilo"/>
        <w:numPr>
          <w:ilvl w:val="0"/>
          <w:numId w:val="10"/>
        </w:numPr>
        <w:ind w:hanging="720"/>
        <w:rPr>
          <w:rFonts w:cs="Arial"/>
          <w:sz w:val="22"/>
        </w:rPr>
      </w:pPr>
      <w:r w:rsidRPr="003D254C">
        <w:rPr>
          <w:rFonts w:cs="Arial"/>
          <w:sz w:val="22"/>
        </w:rPr>
        <w:t>La libertad de manifestar la propia religión y las propias creencias está sujeta únicamente a las limitaciones prescritas por la ley y que sean necesarias para proteger la seguridad, el orden, la salud o la moral públicos o los derechos o libertades de los demás.</w:t>
      </w:r>
    </w:p>
    <w:p w:rsidR="00DD2E11" w:rsidRPr="003D254C" w:rsidRDefault="00DD2E11" w:rsidP="00DD2E11">
      <w:pPr>
        <w:pStyle w:val="Estilo"/>
        <w:rPr>
          <w:rFonts w:cs="Arial"/>
          <w:sz w:val="22"/>
        </w:rPr>
      </w:pPr>
    </w:p>
    <w:p w:rsidR="00DD2E11" w:rsidRPr="003D254C" w:rsidRDefault="00DD2E11" w:rsidP="00804750">
      <w:pPr>
        <w:pStyle w:val="Estilo"/>
        <w:numPr>
          <w:ilvl w:val="0"/>
          <w:numId w:val="10"/>
        </w:numPr>
        <w:ind w:hanging="720"/>
        <w:rPr>
          <w:rFonts w:cs="Arial"/>
          <w:sz w:val="22"/>
        </w:rPr>
      </w:pPr>
      <w:r w:rsidRPr="003D254C">
        <w:rPr>
          <w:rFonts w:cs="Arial"/>
          <w:sz w:val="22"/>
        </w:rPr>
        <w:t>Los padres, y en su caso los tutores, tienen derecho a que sus hijos o pupilos reciban la educación religiosa y moral que esté de acuerdo con sus propias convicciones.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13.</w:t>
      </w:r>
      <w:r w:rsidRPr="003D254C">
        <w:rPr>
          <w:rFonts w:cs="Arial"/>
          <w:sz w:val="22"/>
        </w:rPr>
        <w:t xml:space="preserve"> Libertad de Pensamiento y de Expresión</w:t>
      </w:r>
    </w:p>
    <w:p w:rsidR="00DD2E11" w:rsidRPr="003D254C" w:rsidRDefault="00DD2E11" w:rsidP="00DD2E11">
      <w:pPr>
        <w:pStyle w:val="Estilo"/>
        <w:rPr>
          <w:rFonts w:cs="Arial"/>
          <w:sz w:val="22"/>
        </w:rPr>
      </w:pPr>
    </w:p>
    <w:p w:rsidR="00DD2E11" w:rsidRPr="003D254C" w:rsidRDefault="00DD2E11" w:rsidP="00804750">
      <w:pPr>
        <w:pStyle w:val="Estilo"/>
        <w:numPr>
          <w:ilvl w:val="0"/>
          <w:numId w:val="11"/>
        </w:numPr>
        <w:ind w:hanging="720"/>
        <w:rPr>
          <w:rFonts w:cs="Arial"/>
          <w:sz w:val="22"/>
        </w:rPr>
      </w:pPr>
      <w:r w:rsidRPr="003D254C">
        <w:rPr>
          <w:rFonts w:cs="Arial"/>
          <w:sz w:val="22"/>
        </w:rPr>
        <w:t>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DD2E11" w:rsidRPr="003D254C" w:rsidRDefault="00DD2E11" w:rsidP="00DD2E11">
      <w:pPr>
        <w:pStyle w:val="Estilo"/>
        <w:rPr>
          <w:rFonts w:cs="Arial"/>
          <w:sz w:val="22"/>
        </w:rPr>
      </w:pPr>
    </w:p>
    <w:p w:rsidR="00DD2E11" w:rsidRPr="003D254C" w:rsidRDefault="00DD2E11" w:rsidP="00804750">
      <w:pPr>
        <w:pStyle w:val="Estilo"/>
        <w:numPr>
          <w:ilvl w:val="0"/>
          <w:numId w:val="11"/>
        </w:numPr>
        <w:ind w:hanging="720"/>
        <w:rPr>
          <w:rFonts w:cs="Arial"/>
          <w:sz w:val="22"/>
        </w:rPr>
      </w:pPr>
      <w:r w:rsidRPr="003D254C">
        <w:rPr>
          <w:rFonts w:cs="Arial"/>
          <w:sz w:val="22"/>
        </w:rPr>
        <w:t>El ejercicio del derecho previsto en el inciso precedente no puede estar sujeto a previa censura sino a responsabilidades ulteriores, las que deben estar expresamente fijadas por la ley y ser necesarias para asegurar:</w:t>
      </w:r>
    </w:p>
    <w:p w:rsidR="00DD2E11" w:rsidRPr="003D254C" w:rsidRDefault="00DD2E11" w:rsidP="00DD2E11">
      <w:pPr>
        <w:pStyle w:val="Estilo"/>
        <w:rPr>
          <w:rFonts w:cs="Arial"/>
          <w:sz w:val="22"/>
        </w:rPr>
      </w:pPr>
    </w:p>
    <w:p w:rsidR="00DD2E11" w:rsidRPr="003D254C" w:rsidRDefault="00DD2E11" w:rsidP="00804750">
      <w:pPr>
        <w:pStyle w:val="Estilo"/>
        <w:numPr>
          <w:ilvl w:val="0"/>
          <w:numId w:val="12"/>
        </w:numPr>
        <w:rPr>
          <w:rFonts w:cs="Arial"/>
          <w:sz w:val="22"/>
        </w:rPr>
      </w:pPr>
      <w:r w:rsidRPr="003D254C">
        <w:rPr>
          <w:rFonts w:cs="Arial"/>
          <w:sz w:val="22"/>
        </w:rPr>
        <w:t>el respeto a los derechos o a la reputación de los demás, o</w:t>
      </w:r>
    </w:p>
    <w:p w:rsidR="00DD2E11" w:rsidRPr="003D254C" w:rsidRDefault="00DD2E11" w:rsidP="00DD2E11">
      <w:pPr>
        <w:pStyle w:val="Estilo"/>
        <w:rPr>
          <w:rFonts w:cs="Arial"/>
          <w:sz w:val="22"/>
        </w:rPr>
      </w:pPr>
    </w:p>
    <w:p w:rsidR="00DD2E11" w:rsidRPr="003D254C" w:rsidRDefault="00DD2E11" w:rsidP="00804750">
      <w:pPr>
        <w:pStyle w:val="Estilo"/>
        <w:numPr>
          <w:ilvl w:val="0"/>
          <w:numId w:val="12"/>
        </w:numPr>
        <w:rPr>
          <w:rFonts w:cs="Arial"/>
          <w:sz w:val="22"/>
        </w:rPr>
      </w:pPr>
      <w:r w:rsidRPr="003D254C">
        <w:rPr>
          <w:rFonts w:cs="Arial"/>
          <w:sz w:val="22"/>
        </w:rPr>
        <w:t>la protección de la seguridad nacional, el orden público o la salud o la moral públicas.</w:t>
      </w:r>
    </w:p>
    <w:p w:rsidR="00DD2E11" w:rsidRPr="003D254C" w:rsidRDefault="00DD2E11" w:rsidP="00DD2E11">
      <w:pPr>
        <w:pStyle w:val="Estilo"/>
        <w:rPr>
          <w:rFonts w:cs="Arial"/>
          <w:sz w:val="22"/>
        </w:rPr>
      </w:pPr>
    </w:p>
    <w:p w:rsidR="00DD2E11" w:rsidRPr="003D254C" w:rsidRDefault="00DD2E11" w:rsidP="00804750">
      <w:pPr>
        <w:pStyle w:val="Estilo"/>
        <w:numPr>
          <w:ilvl w:val="0"/>
          <w:numId w:val="11"/>
        </w:numPr>
        <w:ind w:hanging="720"/>
        <w:rPr>
          <w:rFonts w:cs="Arial"/>
          <w:sz w:val="22"/>
        </w:rPr>
      </w:pPr>
      <w:r w:rsidRPr="003D254C">
        <w:rPr>
          <w:rFonts w:cs="Arial"/>
          <w:sz w:val="22"/>
        </w:rPr>
        <w:lastRenderedPageBreak/>
        <w:t>No se puede restringir el derecho de expresión por vías a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rsidR="00DD2E11" w:rsidRPr="003D254C" w:rsidRDefault="00DD2E11" w:rsidP="00DD2E11">
      <w:pPr>
        <w:pStyle w:val="Estilo"/>
        <w:rPr>
          <w:rFonts w:cs="Arial"/>
          <w:sz w:val="22"/>
        </w:rPr>
      </w:pPr>
    </w:p>
    <w:p w:rsidR="00DD2E11" w:rsidRPr="003D254C" w:rsidRDefault="00DD2E11" w:rsidP="00804750">
      <w:pPr>
        <w:pStyle w:val="Estilo"/>
        <w:numPr>
          <w:ilvl w:val="0"/>
          <w:numId w:val="11"/>
        </w:numPr>
        <w:ind w:hanging="720"/>
        <w:rPr>
          <w:rFonts w:cs="Arial"/>
          <w:sz w:val="22"/>
        </w:rPr>
      </w:pPr>
      <w:r w:rsidRPr="003D254C">
        <w:rPr>
          <w:rFonts w:cs="Arial"/>
          <w:sz w:val="22"/>
        </w:rPr>
        <w:t>Los espectáculos públicos pueden ser sometidos por la ley a censura previa con el exclusivo objeto de regular el acceso a ellos para la protección moral de la infancia y la adolescencia, sin perjuicio de lo establecido en el inciso 2.</w:t>
      </w:r>
    </w:p>
    <w:p w:rsidR="00DD2E11" w:rsidRPr="003D254C" w:rsidRDefault="00DD2E11" w:rsidP="00DD2E11">
      <w:pPr>
        <w:pStyle w:val="Estilo"/>
        <w:rPr>
          <w:rFonts w:cs="Arial"/>
          <w:sz w:val="22"/>
        </w:rPr>
      </w:pPr>
    </w:p>
    <w:p w:rsidR="00DD2E11" w:rsidRPr="003D254C" w:rsidRDefault="00DD2E11" w:rsidP="00804750">
      <w:pPr>
        <w:pStyle w:val="Estilo"/>
        <w:numPr>
          <w:ilvl w:val="0"/>
          <w:numId w:val="11"/>
        </w:numPr>
        <w:ind w:hanging="720"/>
        <w:rPr>
          <w:rFonts w:cs="Arial"/>
          <w:sz w:val="22"/>
        </w:rPr>
      </w:pPr>
      <w:r w:rsidRPr="003D254C">
        <w:rPr>
          <w:rFonts w:cs="Arial"/>
          <w:sz w:val="22"/>
        </w:rPr>
        <w:t>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14.</w:t>
      </w:r>
      <w:r w:rsidRPr="003D254C">
        <w:rPr>
          <w:rFonts w:cs="Arial"/>
          <w:sz w:val="22"/>
        </w:rPr>
        <w:t xml:space="preserve"> Derecho de Rectificación o Respuesta</w:t>
      </w:r>
    </w:p>
    <w:p w:rsidR="00DD2E11" w:rsidRPr="003D254C" w:rsidRDefault="00DD2E11" w:rsidP="00DD2E11">
      <w:pPr>
        <w:pStyle w:val="Estilo"/>
        <w:rPr>
          <w:rFonts w:cs="Arial"/>
          <w:sz w:val="22"/>
        </w:rPr>
      </w:pPr>
    </w:p>
    <w:p w:rsidR="00DD2E11" w:rsidRPr="003D254C" w:rsidRDefault="00DD2E11" w:rsidP="00804750">
      <w:pPr>
        <w:pStyle w:val="Estilo"/>
        <w:numPr>
          <w:ilvl w:val="0"/>
          <w:numId w:val="13"/>
        </w:numPr>
        <w:ind w:hanging="720"/>
        <w:rPr>
          <w:rFonts w:cs="Arial"/>
          <w:sz w:val="22"/>
        </w:rPr>
      </w:pPr>
      <w:r w:rsidRPr="003D254C">
        <w:rPr>
          <w:rFonts w:cs="Arial"/>
          <w:sz w:val="22"/>
        </w:rPr>
        <w:t>Toda persona afectada por informaciones inexactas o agraviantes emitidas en su perjuicio a través de medios de difusión legalmente reglamentados y que se dirijan al público en general, tiene derecho a efectuar por el mismo órgano de difusión su rectificación o respuesta en las condiciones que establezca la ley.</w:t>
      </w:r>
    </w:p>
    <w:p w:rsidR="00DD2E11" w:rsidRPr="003D254C" w:rsidRDefault="00DD2E11" w:rsidP="00DD2E11">
      <w:pPr>
        <w:pStyle w:val="Estilo"/>
        <w:rPr>
          <w:rFonts w:cs="Arial"/>
          <w:sz w:val="22"/>
        </w:rPr>
      </w:pPr>
    </w:p>
    <w:p w:rsidR="00DD2E11" w:rsidRPr="003D254C" w:rsidRDefault="00DD2E11" w:rsidP="00804750">
      <w:pPr>
        <w:pStyle w:val="Estilo"/>
        <w:numPr>
          <w:ilvl w:val="0"/>
          <w:numId w:val="13"/>
        </w:numPr>
        <w:ind w:hanging="720"/>
        <w:rPr>
          <w:rFonts w:cs="Arial"/>
          <w:sz w:val="22"/>
        </w:rPr>
      </w:pPr>
      <w:r w:rsidRPr="003D254C">
        <w:rPr>
          <w:rFonts w:cs="Arial"/>
          <w:sz w:val="22"/>
        </w:rPr>
        <w:t>En ningún caso la rectificación o la respuesta eximirán de las otras responsabilidades, legales en que se hubiese incurrido.</w:t>
      </w:r>
    </w:p>
    <w:p w:rsidR="00DD2E11" w:rsidRPr="003D254C" w:rsidRDefault="00DD2E11" w:rsidP="00DD2E11">
      <w:pPr>
        <w:pStyle w:val="Estilo"/>
        <w:rPr>
          <w:rFonts w:cs="Arial"/>
          <w:sz w:val="22"/>
        </w:rPr>
      </w:pPr>
    </w:p>
    <w:p w:rsidR="00DD2E11" w:rsidRPr="003D254C" w:rsidRDefault="00DD2E11" w:rsidP="00804750">
      <w:pPr>
        <w:pStyle w:val="Estilo"/>
        <w:numPr>
          <w:ilvl w:val="0"/>
          <w:numId w:val="13"/>
        </w:numPr>
        <w:ind w:hanging="720"/>
        <w:rPr>
          <w:rFonts w:cs="Arial"/>
          <w:sz w:val="22"/>
        </w:rPr>
      </w:pPr>
      <w:r w:rsidRPr="003D254C">
        <w:rPr>
          <w:rFonts w:cs="Arial"/>
          <w:sz w:val="22"/>
        </w:rPr>
        <w:t>Para la efectiva protección de la honra y la reputación, toda publicación o empresa periodística, cinematográfica, de radio o televisión tendrá una persona responsable que no esté protegida por inmunidades ni disponga de fuero especial.</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15.</w:t>
      </w:r>
      <w:r w:rsidRPr="003D254C">
        <w:rPr>
          <w:rFonts w:cs="Arial"/>
          <w:sz w:val="22"/>
        </w:rPr>
        <w:t xml:space="preserve"> Derecho de Reunión</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Se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16.</w:t>
      </w:r>
      <w:r w:rsidRPr="003D254C">
        <w:rPr>
          <w:rFonts w:cs="Arial"/>
          <w:sz w:val="22"/>
        </w:rPr>
        <w:t xml:space="preserve"> Libertad de Asociación</w:t>
      </w:r>
    </w:p>
    <w:p w:rsidR="00DD2E11" w:rsidRPr="003D254C" w:rsidRDefault="00DD2E11" w:rsidP="00DD2E11">
      <w:pPr>
        <w:pStyle w:val="Estilo"/>
        <w:rPr>
          <w:rFonts w:cs="Arial"/>
          <w:sz w:val="22"/>
        </w:rPr>
      </w:pPr>
    </w:p>
    <w:p w:rsidR="00DD2E11" w:rsidRPr="003D254C" w:rsidRDefault="00DD2E11" w:rsidP="00804750">
      <w:pPr>
        <w:pStyle w:val="Estilo"/>
        <w:numPr>
          <w:ilvl w:val="0"/>
          <w:numId w:val="14"/>
        </w:numPr>
        <w:ind w:hanging="720"/>
        <w:rPr>
          <w:rFonts w:cs="Arial"/>
          <w:sz w:val="22"/>
        </w:rPr>
      </w:pPr>
      <w:r w:rsidRPr="003D254C">
        <w:rPr>
          <w:rFonts w:cs="Arial"/>
          <w:sz w:val="22"/>
        </w:rPr>
        <w:t>Todas las personas tienen derecho a asociarse libremente con fines ideológicos, religiosos, políticos, económicos, laborales, sociales, culturales, deportivos o de cualquiera otra índole.</w:t>
      </w:r>
    </w:p>
    <w:p w:rsidR="00DD2E11" w:rsidRPr="003D254C" w:rsidRDefault="00DD2E11" w:rsidP="00DD2E11">
      <w:pPr>
        <w:pStyle w:val="Estilo"/>
        <w:rPr>
          <w:rFonts w:cs="Arial"/>
          <w:sz w:val="22"/>
        </w:rPr>
      </w:pPr>
    </w:p>
    <w:p w:rsidR="00DD2E11" w:rsidRPr="003D254C" w:rsidRDefault="00DD2E11" w:rsidP="00804750">
      <w:pPr>
        <w:pStyle w:val="Estilo"/>
        <w:numPr>
          <w:ilvl w:val="0"/>
          <w:numId w:val="14"/>
        </w:numPr>
        <w:ind w:hanging="720"/>
        <w:rPr>
          <w:rFonts w:cs="Arial"/>
          <w:sz w:val="22"/>
        </w:rPr>
      </w:pPr>
      <w:r w:rsidRPr="003D254C">
        <w:rPr>
          <w:rFonts w:cs="Arial"/>
          <w:sz w:val="22"/>
        </w:rPr>
        <w:t xml:space="preserve">El ejercicio de tal derecho sólo puede estar sujeto a las restricciones previstas por la ley que sean necesarias en una sociedad democrática, en interés de la seguridad nacional, de la </w:t>
      </w:r>
      <w:r w:rsidRPr="003D254C">
        <w:rPr>
          <w:rFonts w:cs="Arial"/>
          <w:sz w:val="22"/>
        </w:rPr>
        <w:lastRenderedPageBreak/>
        <w:t>seguridad o del orden públicos, o para proteger la salud o la moral públicas o los derechos y libertades de los demás.</w:t>
      </w:r>
    </w:p>
    <w:p w:rsidR="00DD2E11" w:rsidRPr="003D254C" w:rsidRDefault="00DD2E11" w:rsidP="00DD2E11">
      <w:pPr>
        <w:pStyle w:val="Estilo"/>
        <w:rPr>
          <w:rFonts w:cs="Arial"/>
          <w:sz w:val="22"/>
        </w:rPr>
      </w:pPr>
    </w:p>
    <w:p w:rsidR="00DD2E11" w:rsidRPr="003D254C" w:rsidRDefault="00DD2E11" w:rsidP="00804750">
      <w:pPr>
        <w:pStyle w:val="Estilo"/>
        <w:numPr>
          <w:ilvl w:val="0"/>
          <w:numId w:val="14"/>
        </w:numPr>
        <w:ind w:hanging="720"/>
        <w:rPr>
          <w:rFonts w:cs="Arial"/>
          <w:sz w:val="22"/>
        </w:rPr>
      </w:pPr>
      <w:r w:rsidRPr="003D254C">
        <w:rPr>
          <w:rFonts w:cs="Arial"/>
          <w:sz w:val="22"/>
        </w:rPr>
        <w:t>Lo dispuesto en este artículo no impide la imposición de restricciones legales, y aún la privación del ejercicio del derecho de asociación, a los miembros de las fuerzas armadas y de la policía.</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17.</w:t>
      </w:r>
      <w:r w:rsidRPr="003D254C">
        <w:rPr>
          <w:rFonts w:cs="Arial"/>
          <w:sz w:val="22"/>
        </w:rPr>
        <w:t xml:space="preserve"> Protección a la Familia.</w:t>
      </w:r>
    </w:p>
    <w:p w:rsidR="00DD2E11" w:rsidRPr="003D254C" w:rsidRDefault="00DD2E11" w:rsidP="00DD2E11">
      <w:pPr>
        <w:pStyle w:val="Estilo"/>
        <w:rPr>
          <w:rFonts w:cs="Arial"/>
          <w:sz w:val="22"/>
        </w:rPr>
      </w:pPr>
    </w:p>
    <w:p w:rsidR="00DD2E11" w:rsidRPr="003D254C" w:rsidRDefault="00DD2E11" w:rsidP="00804750">
      <w:pPr>
        <w:pStyle w:val="Estilo"/>
        <w:numPr>
          <w:ilvl w:val="0"/>
          <w:numId w:val="15"/>
        </w:numPr>
        <w:ind w:hanging="720"/>
        <w:rPr>
          <w:rFonts w:cs="Arial"/>
          <w:sz w:val="22"/>
        </w:rPr>
      </w:pPr>
      <w:r w:rsidRPr="003D254C">
        <w:rPr>
          <w:rFonts w:cs="Arial"/>
          <w:sz w:val="22"/>
        </w:rPr>
        <w:t>La familia es el elemento natural y fundamental de la sociedad y debe ser protegida por la sociedad y el Estado.</w:t>
      </w:r>
    </w:p>
    <w:p w:rsidR="00DD2E11" w:rsidRPr="003D254C" w:rsidRDefault="00DD2E11" w:rsidP="00DD2E11">
      <w:pPr>
        <w:pStyle w:val="Estilo"/>
        <w:rPr>
          <w:rFonts w:cs="Arial"/>
          <w:sz w:val="22"/>
        </w:rPr>
      </w:pPr>
    </w:p>
    <w:p w:rsidR="00DD2E11" w:rsidRPr="003D254C" w:rsidRDefault="00DD2E11" w:rsidP="00804750">
      <w:pPr>
        <w:pStyle w:val="Estilo"/>
        <w:numPr>
          <w:ilvl w:val="0"/>
          <w:numId w:val="15"/>
        </w:numPr>
        <w:ind w:hanging="720"/>
        <w:rPr>
          <w:rFonts w:cs="Arial"/>
          <w:sz w:val="22"/>
        </w:rPr>
      </w:pPr>
      <w:r w:rsidRPr="003D254C">
        <w:rPr>
          <w:rFonts w:cs="Arial"/>
          <w:sz w:val="22"/>
        </w:rPr>
        <w:t>Se reconoce el derecho del hombre y la mujer a contraer matrimonio y a fundar una familia si tienen la edad y las condiciones requeridas para ello por las leyes internas, en la medida en que éstas no afecten al principio de no discriminación establecido en esta Convención.</w:t>
      </w:r>
    </w:p>
    <w:p w:rsidR="00DD2E11" w:rsidRPr="003D254C" w:rsidRDefault="00DD2E11" w:rsidP="00DD2E11">
      <w:pPr>
        <w:pStyle w:val="Estilo"/>
        <w:rPr>
          <w:rFonts w:cs="Arial"/>
          <w:sz w:val="22"/>
        </w:rPr>
      </w:pPr>
    </w:p>
    <w:p w:rsidR="00DD2E11" w:rsidRPr="003D254C" w:rsidRDefault="00DD2E11" w:rsidP="00804750">
      <w:pPr>
        <w:pStyle w:val="Estilo"/>
        <w:numPr>
          <w:ilvl w:val="0"/>
          <w:numId w:val="15"/>
        </w:numPr>
        <w:ind w:hanging="720"/>
        <w:rPr>
          <w:rFonts w:cs="Arial"/>
          <w:sz w:val="22"/>
        </w:rPr>
      </w:pPr>
      <w:r w:rsidRPr="003D254C">
        <w:rPr>
          <w:rFonts w:cs="Arial"/>
          <w:sz w:val="22"/>
        </w:rPr>
        <w:t>El matrimonio no puede celebrarse sin el libre y pleno consentimiento de los contrayentes.</w:t>
      </w:r>
    </w:p>
    <w:p w:rsidR="00DD2E11" w:rsidRPr="003D254C" w:rsidRDefault="00DD2E11" w:rsidP="00DD2E11">
      <w:pPr>
        <w:pStyle w:val="Estilo"/>
        <w:rPr>
          <w:rFonts w:cs="Arial"/>
          <w:sz w:val="22"/>
        </w:rPr>
      </w:pPr>
    </w:p>
    <w:p w:rsidR="00DD2E11" w:rsidRPr="003D254C" w:rsidRDefault="00DD2E11" w:rsidP="00804750">
      <w:pPr>
        <w:pStyle w:val="Estilo"/>
        <w:numPr>
          <w:ilvl w:val="0"/>
          <w:numId w:val="15"/>
        </w:numPr>
        <w:ind w:hanging="720"/>
        <w:rPr>
          <w:rFonts w:cs="Arial"/>
          <w:sz w:val="22"/>
        </w:rPr>
      </w:pPr>
      <w:r w:rsidRPr="003D254C">
        <w:rPr>
          <w:rFonts w:cs="Arial"/>
          <w:sz w:val="22"/>
        </w:rPr>
        <w:t>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a los hijos, sobre la base única del interés y conveniencia de ellos.</w:t>
      </w:r>
    </w:p>
    <w:p w:rsidR="00DD2E11" w:rsidRPr="003D254C" w:rsidRDefault="00DD2E11" w:rsidP="00DD2E11">
      <w:pPr>
        <w:pStyle w:val="Estilo"/>
        <w:rPr>
          <w:rFonts w:cs="Arial"/>
          <w:sz w:val="22"/>
        </w:rPr>
      </w:pPr>
    </w:p>
    <w:p w:rsidR="00DD2E11" w:rsidRPr="003D254C" w:rsidRDefault="00DD2E11" w:rsidP="00804750">
      <w:pPr>
        <w:pStyle w:val="Estilo"/>
        <w:numPr>
          <w:ilvl w:val="0"/>
          <w:numId w:val="15"/>
        </w:numPr>
        <w:ind w:hanging="720"/>
        <w:rPr>
          <w:rFonts w:cs="Arial"/>
          <w:sz w:val="22"/>
        </w:rPr>
      </w:pPr>
      <w:r w:rsidRPr="003D254C">
        <w:rPr>
          <w:rFonts w:cs="Arial"/>
          <w:sz w:val="22"/>
        </w:rPr>
        <w:t>La ley debe reconocer iguales derechos tanto a los hijos nacidos fuera del matrimonio como a los nacidos dentro del mismo.</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 xml:space="preserve">Artículo 18. </w:t>
      </w:r>
      <w:r w:rsidRPr="003D254C">
        <w:rPr>
          <w:rFonts w:cs="Arial"/>
          <w:sz w:val="22"/>
        </w:rPr>
        <w:t>Derecho al Nombre</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Toda persona tiene derecho a un nombre propio y a los apellidos de sus padres o al deuno (sic) de ellos.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La ley reglamentará la forma de asegurar este derecho para todos, mediante nombres supuestos, si fuere necesario.</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19.</w:t>
      </w:r>
      <w:r w:rsidRPr="003D254C">
        <w:rPr>
          <w:rFonts w:cs="Arial"/>
          <w:sz w:val="22"/>
        </w:rPr>
        <w:t xml:space="preserve"> Derechos del Niño</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Todo niño tiene derecho a las medidas de protección que su condición de menor requieren por parte de su familia, de la sociedad y del Estado.</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20.</w:t>
      </w:r>
      <w:r w:rsidRPr="003D254C">
        <w:rPr>
          <w:rFonts w:cs="Arial"/>
          <w:sz w:val="22"/>
        </w:rPr>
        <w:t xml:space="preserve"> Derecho a la Nacionalidad</w:t>
      </w:r>
    </w:p>
    <w:p w:rsidR="00DD2E11" w:rsidRPr="003D254C" w:rsidRDefault="00DD2E11" w:rsidP="00DD2E11">
      <w:pPr>
        <w:pStyle w:val="Estilo"/>
        <w:rPr>
          <w:rFonts w:cs="Arial"/>
          <w:sz w:val="22"/>
        </w:rPr>
      </w:pPr>
    </w:p>
    <w:p w:rsidR="00DD2E11" w:rsidRPr="003D254C" w:rsidRDefault="00DD2E11" w:rsidP="00804750">
      <w:pPr>
        <w:pStyle w:val="Estilo"/>
        <w:numPr>
          <w:ilvl w:val="0"/>
          <w:numId w:val="16"/>
        </w:numPr>
        <w:ind w:hanging="720"/>
        <w:rPr>
          <w:rFonts w:cs="Arial"/>
          <w:sz w:val="22"/>
        </w:rPr>
      </w:pPr>
      <w:r w:rsidRPr="003D254C">
        <w:rPr>
          <w:rFonts w:cs="Arial"/>
          <w:sz w:val="22"/>
        </w:rPr>
        <w:t>Toda persona tiene derecho a una nacionalidad.</w:t>
      </w:r>
    </w:p>
    <w:p w:rsidR="00DD2E11" w:rsidRPr="003D254C" w:rsidRDefault="00DD2E11" w:rsidP="00DD2E11">
      <w:pPr>
        <w:pStyle w:val="Estilo"/>
        <w:rPr>
          <w:rFonts w:cs="Arial"/>
          <w:sz w:val="22"/>
        </w:rPr>
      </w:pPr>
    </w:p>
    <w:p w:rsidR="00DD2E11" w:rsidRPr="003D254C" w:rsidRDefault="00DD2E11" w:rsidP="00804750">
      <w:pPr>
        <w:pStyle w:val="Estilo"/>
        <w:numPr>
          <w:ilvl w:val="0"/>
          <w:numId w:val="16"/>
        </w:numPr>
        <w:ind w:hanging="720"/>
        <w:rPr>
          <w:rFonts w:cs="Arial"/>
          <w:sz w:val="22"/>
        </w:rPr>
      </w:pPr>
      <w:r w:rsidRPr="003D254C">
        <w:rPr>
          <w:rFonts w:cs="Arial"/>
          <w:sz w:val="22"/>
        </w:rPr>
        <w:lastRenderedPageBreak/>
        <w:t>Toda persona tiene derecho a la nacionalidad del Estado en cuyo territorio nació si no tiene derecho a otra.</w:t>
      </w:r>
    </w:p>
    <w:p w:rsidR="00DD2E11" w:rsidRPr="003D254C" w:rsidRDefault="00DD2E11" w:rsidP="00DD2E11">
      <w:pPr>
        <w:pStyle w:val="Estilo"/>
        <w:rPr>
          <w:rFonts w:cs="Arial"/>
          <w:sz w:val="22"/>
        </w:rPr>
      </w:pPr>
    </w:p>
    <w:p w:rsidR="00DD2E11" w:rsidRPr="003D254C" w:rsidRDefault="00DD2E11" w:rsidP="00804750">
      <w:pPr>
        <w:pStyle w:val="Estilo"/>
        <w:numPr>
          <w:ilvl w:val="0"/>
          <w:numId w:val="16"/>
        </w:numPr>
        <w:ind w:hanging="720"/>
        <w:rPr>
          <w:rFonts w:cs="Arial"/>
          <w:sz w:val="22"/>
        </w:rPr>
      </w:pPr>
      <w:r w:rsidRPr="003D254C">
        <w:rPr>
          <w:rFonts w:cs="Arial"/>
          <w:sz w:val="22"/>
        </w:rPr>
        <w:t>A nadie se privará arbitrariamente de su nacionalidad ni del derecho a cambiarla.</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21.</w:t>
      </w:r>
      <w:r w:rsidRPr="003D254C">
        <w:rPr>
          <w:rFonts w:cs="Arial"/>
          <w:sz w:val="22"/>
        </w:rPr>
        <w:t xml:space="preserve"> Derecho a la Propiedad Privada</w:t>
      </w:r>
    </w:p>
    <w:p w:rsidR="00DD2E11" w:rsidRPr="003D254C" w:rsidRDefault="00DD2E11" w:rsidP="00DD2E11">
      <w:pPr>
        <w:pStyle w:val="Estilo"/>
        <w:rPr>
          <w:rFonts w:cs="Arial"/>
          <w:sz w:val="22"/>
        </w:rPr>
      </w:pPr>
    </w:p>
    <w:p w:rsidR="00DD2E11" w:rsidRPr="003D254C" w:rsidRDefault="00DD2E11" w:rsidP="00804750">
      <w:pPr>
        <w:pStyle w:val="Estilo"/>
        <w:numPr>
          <w:ilvl w:val="0"/>
          <w:numId w:val="17"/>
        </w:numPr>
        <w:ind w:hanging="720"/>
        <w:rPr>
          <w:rFonts w:cs="Arial"/>
          <w:sz w:val="22"/>
        </w:rPr>
      </w:pPr>
      <w:r w:rsidRPr="003D254C">
        <w:rPr>
          <w:rFonts w:cs="Arial"/>
          <w:sz w:val="22"/>
        </w:rPr>
        <w:t>Toda persona tiene derecho al uso y goce de sus bienes. La ley puede subordinar tal uso y goce al interés social.</w:t>
      </w:r>
    </w:p>
    <w:p w:rsidR="00DD2E11" w:rsidRPr="003D254C" w:rsidRDefault="00DD2E11" w:rsidP="00DD2E11">
      <w:pPr>
        <w:pStyle w:val="Estilo"/>
        <w:rPr>
          <w:rFonts w:cs="Arial"/>
          <w:sz w:val="22"/>
        </w:rPr>
      </w:pPr>
    </w:p>
    <w:p w:rsidR="00DD2E11" w:rsidRPr="003D254C" w:rsidRDefault="00DD2E11" w:rsidP="00804750">
      <w:pPr>
        <w:pStyle w:val="Estilo"/>
        <w:numPr>
          <w:ilvl w:val="0"/>
          <w:numId w:val="17"/>
        </w:numPr>
        <w:ind w:hanging="720"/>
        <w:rPr>
          <w:rFonts w:cs="Arial"/>
          <w:sz w:val="22"/>
        </w:rPr>
      </w:pPr>
      <w:r w:rsidRPr="003D254C">
        <w:rPr>
          <w:rFonts w:cs="Arial"/>
          <w:sz w:val="22"/>
        </w:rPr>
        <w:t>Ninguna persona puede ser privada de sus bienes, excepto mediante el pago de indemnización justa, por razones de utilidad pública o de interés social y en los casos y según las formas establecidas por la ley.</w:t>
      </w:r>
    </w:p>
    <w:p w:rsidR="00DD2E11" w:rsidRPr="003D254C" w:rsidRDefault="00DD2E11" w:rsidP="00DD2E11">
      <w:pPr>
        <w:pStyle w:val="Estilo"/>
        <w:rPr>
          <w:rFonts w:cs="Arial"/>
          <w:sz w:val="22"/>
        </w:rPr>
      </w:pPr>
    </w:p>
    <w:p w:rsidR="00DD2E11" w:rsidRPr="003D254C" w:rsidRDefault="00DD2E11" w:rsidP="00804750">
      <w:pPr>
        <w:pStyle w:val="Estilo"/>
        <w:numPr>
          <w:ilvl w:val="0"/>
          <w:numId w:val="17"/>
        </w:numPr>
        <w:ind w:hanging="720"/>
        <w:rPr>
          <w:rFonts w:cs="Arial"/>
          <w:sz w:val="22"/>
        </w:rPr>
      </w:pPr>
      <w:r w:rsidRPr="003D254C">
        <w:rPr>
          <w:rFonts w:cs="Arial"/>
          <w:sz w:val="22"/>
        </w:rPr>
        <w:t>Tanto la usura como cualquier otra forma de explotación del hombre por el hombre, deben ser prohibidas por la ley.</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22.</w:t>
      </w:r>
      <w:r w:rsidRPr="003D254C">
        <w:rPr>
          <w:rFonts w:cs="Arial"/>
          <w:sz w:val="22"/>
        </w:rPr>
        <w:t xml:space="preserve"> Derecho de Circulación y de Residencia</w:t>
      </w:r>
    </w:p>
    <w:p w:rsidR="00DD2E11" w:rsidRPr="003D254C" w:rsidRDefault="00DD2E11" w:rsidP="00DD2E11">
      <w:pPr>
        <w:pStyle w:val="Estilo"/>
        <w:rPr>
          <w:rFonts w:cs="Arial"/>
          <w:sz w:val="22"/>
        </w:rPr>
      </w:pPr>
    </w:p>
    <w:p w:rsidR="00DD2E11" w:rsidRPr="003D254C" w:rsidRDefault="00DD2E11" w:rsidP="00804750">
      <w:pPr>
        <w:pStyle w:val="Estilo"/>
        <w:numPr>
          <w:ilvl w:val="0"/>
          <w:numId w:val="18"/>
        </w:numPr>
        <w:ind w:hanging="720"/>
        <w:rPr>
          <w:rFonts w:cs="Arial"/>
          <w:sz w:val="22"/>
        </w:rPr>
      </w:pPr>
      <w:r w:rsidRPr="003D254C">
        <w:rPr>
          <w:rFonts w:cs="Arial"/>
          <w:sz w:val="22"/>
        </w:rPr>
        <w:t>Toda persona que se halle legalmente en el territorio de un Estado tiene derecho a circular por el mismo y, a residir en él con sujeción a las disposiciones legales.</w:t>
      </w:r>
    </w:p>
    <w:p w:rsidR="00DD2E11" w:rsidRPr="003D254C" w:rsidRDefault="00DD2E11" w:rsidP="00DD2E11">
      <w:pPr>
        <w:pStyle w:val="Estilo"/>
        <w:rPr>
          <w:rFonts w:cs="Arial"/>
          <w:sz w:val="22"/>
        </w:rPr>
      </w:pPr>
    </w:p>
    <w:p w:rsidR="00DD2E11" w:rsidRPr="003D254C" w:rsidRDefault="00DD2E11" w:rsidP="00804750">
      <w:pPr>
        <w:pStyle w:val="Estilo"/>
        <w:numPr>
          <w:ilvl w:val="0"/>
          <w:numId w:val="18"/>
        </w:numPr>
        <w:ind w:hanging="720"/>
        <w:rPr>
          <w:rFonts w:cs="Arial"/>
          <w:sz w:val="22"/>
        </w:rPr>
      </w:pPr>
      <w:r w:rsidRPr="003D254C">
        <w:rPr>
          <w:rFonts w:cs="Arial"/>
          <w:sz w:val="22"/>
        </w:rPr>
        <w:t>Toda persona tiene derecho a salir libremente de cualquier país, inclusive del propio.</w:t>
      </w:r>
    </w:p>
    <w:p w:rsidR="00DD2E11" w:rsidRPr="003D254C" w:rsidRDefault="00DD2E11" w:rsidP="00DD2E11">
      <w:pPr>
        <w:pStyle w:val="Estilo"/>
        <w:rPr>
          <w:rFonts w:cs="Arial"/>
          <w:sz w:val="22"/>
        </w:rPr>
      </w:pPr>
    </w:p>
    <w:p w:rsidR="00DD2E11" w:rsidRPr="003D254C" w:rsidRDefault="00DD2E11" w:rsidP="00804750">
      <w:pPr>
        <w:pStyle w:val="Estilo"/>
        <w:numPr>
          <w:ilvl w:val="0"/>
          <w:numId w:val="18"/>
        </w:numPr>
        <w:ind w:hanging="720"/>
        <w:rPr>
          <w:rFonts w:cs="Arial"/>
          <w:sz w:val="22"/>
        </w:rPr>
      </w:pPr>
      <w:r w:rsidRPr="003D254C">
        <w:rPr>
          <w:rFonts w:cs="Arial"/>
          <w:sz w:val="22"/>
        </w:rPr>
        <w:t>El ejercicio de los derechos anteriores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p w:rsidR="00DD2E11" w:rsidRPr="003D254C" w:rsidRDefault="00DD2E11" w:rsidP="00DD2E11">
      <w:pPr>
        <w:pStyle w:val="Estilo"/>
        <w:rPr>
          <w:rFonts w:cs="Arial"/>
          <w:sz w:val="22"/>
        </w:rPr>
      </w:pPr>
    </w:p>
    <w:p w:rsidR="00DD2E11" w:rsidRPr="003D254C" w:rsidRDefault="00DD2E11" w:rsidP="00804750">
      <w:pPr>
        <w:pStyle w:val="Estilo"/>
        <w:numPr>
          <w:ilvl w:val="0"/>
          <w:numId w:val="18"/>
        </w:numPr>
        <w:ind w:hanging="720"/>
        <w:rPr>
          <w:rFonts w:cs="Arial"/>
          <w:sz w:val="22"/>
        </w:rPr>
      </w:pPr>
      <w:r w:rsidRPr="003D254C">
        <w:rPr>
          <w:rFonts w:cs="Arial"/>
          <w:sz w:val="22"/>
        </w:rPr>
        <w:t>El ejercicio de los derechos reconocidos en el inciso 1 puede, asimismo, ser restringido por la ley, en zonas determinadas, por razones de interés público.</w:t>
      </w:r>
    </w:p>
    <w:p w:rsidR="00DD2E11" w:rsidRPr="003D254C" w:rsidRDefault="00DD2E11" w:rsidP="00DD2E11">
      <w:pPr>
        <w:pStyle w:val="Estilo"/>
        <w:rPr>
          <w:rFonts w:cs="Arial"/>
          <w:sz w:val="22"/>
        </w:rPr>
      </w:pPr>
    </w:p>
    <w:p w:rsidR="00DD2E11" w:rsidRPr="003D254C" w:rsidRDefault="00DD2E11" w:rsidP="00804750">
      <w:pPr>
        <w:pStyle w:val="Estilo"/>
        <w:numPr>
          <w:ilvl w:val="0"/>
          <w:numId w:val="18"/>
        </w:numPr>
        <w:ind w:hanging="720"/>
        <w:rPr>
          <w:rFonts w:cs="Arial"/>
          <w:sz w:val="22"/>
        </w:rPr>
      </w:pPr>
      <w:r w:rsidRPr="003D254C">
        <w:rPr>
          <w:rFonts w:cs="Arial"/>
          <w:sz w:val="22"/>
        </w:rPr>
        <w:t>Nadie puede ser expulsado del territorio del Estado del cual es nacional, ni ser privado del derecho a ingresar en el mismo.</w:t>
      </w:r>
    </w:p>
    <w:p w:rsidR="00DD2E11" w:rsidRPr="003D254C" w:rsidRDefault="00DD2E11" w:rsidP="00DD2E11">
      <w:pPr>
        <w:pStyle w:val="Estilo"/>
        <w:rPr>
          <w:rFonts w:cs="Arial"/>
          <w:sz w:val="22"/>
        </w:rPr>
      </w:pPr>
    </w:p>
    <w:p w:rsidR="00DD2E11" w:rsidRPr="003D254C" w:rsidRDefault="00DD2E11" w:rsidP="00804750">
      <w:pPr>
        <w:pStyle w:val="Estilo"/>
        <w:numPr>
          <w:ilvl w:val="0"/>
          <w:numId w:val="18"/>
        </w:numPr>
        <w:ind w:hanging="720"/>
        <w:rPr>
          <w:rFonts w:cs="Arial"/>
          <w:sz w:val="22"/>
        </w:rPr>
      </w:pPr>
      <w:r w:rsidRPr="003D254C">
        <w:rPr>
          <w:rFonts w:cs="Arial"/>
          <w:sz w:val="22"/>
        </w:rPr>
        <w:t>El extranjero que se halle legalmente en el territorio de un Estado Parte en la presente Convención, sólo podrá ser expulsado de él en cumplimiento de una decisión adoptada conforme a la ley.</w:t>
      </w:r>
    </w:p>
    <w:p w:rsidR="00DD2E11" w:rsidRPr="003D254C" w:rsidRDefault="00DD2E11" w:rsidP="00DD2E11">
      <w:pPr>
        <w:pStyle w:val="Estilo"/>
        <w:rPr>
          <w:rFonts w:cs="Arial"/>
          <w:sz w:val="22"/>
        </w:rPr>
      </w:pPr>
    </w:p>
    <w:p w:rsidR="00DD2E11" w:rsidRPr="003D254C" w:rsidRDefault="00DD2E11" w:rsidP="00804750">
      <w:pPr>
        <w:pStyle w:val="Estilo"/>
        <w:numPr>
          <w:ilvl w:val="0"/>
          <w:numId w:val="18"/>
        </w:numPr>
        <w:ind w:hanging="720"/>
        <w:rPr>
          <w:rFonts w:cs="Arial"/>
          <w:sz w:val="22"/>
        </w:rPr>
      </w:pPr>
      <w:r w:rsidRPr="003D254C">
        <w:rPr>
          <w:rFonts w:cs="Arial"/>
          <w:sz w:val="22"/>
        </w:rPr>
        <w:t>Toda persona tiene el derecho de buscar y recibir asilo en territorio extranjero en caso de persecución por delitos políticos o comunes conexos con los políticos y de acuerdo con la legislación de cada Estado y los convenios internacionales.</w:t>
      </w:r>
    </w:p>
    <w:p w:rsidR="00DD2E11" w:rsidRPr="003D254C" w:rsidRDefault="00DD2E11" w:rsidP="00DD2E11">
      <w:pPr>
        <w:pStyle w:val="Estilo"/>
        <w:rPr>
          <w:rFonts w:cs="Arial"/>
          <w:sz w:val="22"/>
        </w:rPr>
      </w:pPr>
    </w:p>
    <w:p w:rsidR="00DD2E11" w:rsidRPr="003D254C" w:rsidRDefault="00DD2E11" w:rsidP="00804750">
      <w:pPr>
        <w:pStyle w:val="Estilo"/>
        <w:numPr>
          <w:ilvl w:val="0"/>
          <w:numId w:val="18"/>
        </w:numPr>
        <w:ind w:hanging="720"/>
        <w:rPr>
          <w:rFonts w:cs="Arial"/>
          <w:sz w:val="22"/>
        </w:rPr>
      </w:pPr>
      <w:r w:rsidRPr="003D254C">
        <w:rPr>
          <w:rFonts w:cs="Arial"/>
          <w:sz w:val="22"/>
        </w:rPr>
        <w:lastRenderedPageBreak/>
        <w:t>En ningún caso el extranjero puede ser expulsado o devuelto a otro país, sea o no de origen, donde su derecho a la vida o a la libertad personal está en riesgo de violación a causa de raza, nacionalidad, religión, condición social o de sus opiniones políticas.</w:t>
      </w:r>
    </w:p>
    <w:p w:rsidR="00DD2E11" w:rsidRPr="003D254C" w:rsidRDefault="00DD2E11" w:rsidP="00DD2E11">
      <w:pPr>
        <w:pStyle w:val="Estilo"/>
        <w:rPr>
          <w:rFonts w:cs="Arial"/>
          <w:sz w:val="22"/>
        </w:rPr>
      </w:pPr>
    </w:p>
    <w:p w:rsidR="00DD2E11" w:rsidRPr="003D254C" w:rsidRDefault="00DD2E11" w:rsidP="00804750">
      <w:pPr>
        <w:pStyle w:val="Estilo"/>
        <w:numPr>
          <w:ilvl w:val="0"/>
          <w:numId w:val="18"/>
        </w:numPr>
        <w:ind w:hanging="720"/>
        <w:rPr>
          <w:rFonts w:cs="Arial"/>
          <w:sz w:val="22"/>
        </w:rPr>
      </w:pPr>
      <w:r w:rsidRPr="003D254C">
        <w:rPr>
          <w:rFonts w:cs="Arial"/>
          <w:sz w:val="22"/>
        </w:rPr>
        <w:t>Es prohibida la expulsión colectiva de extranjeros.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23.</w:t>
      </w:r>
      <w:r w:rsidRPr="003D254C">
        <w:rPr>
          <w:rFonts w:cs="Arial"/>
          <w:sz w:val="22"/>
        </w:rPr>
        <w:t xml:space="preserve"> Derechos Políticos</w:t>
      </w:r>
    </w:p>
    <w:p w:rsidR="00DD2E11" w:rsidRPr="003D254C" w:rsidRDefault="00DD2E11" w:rsidP="00DD2E11">
      <w:pPr>
        <w:pStyle w:val="Estilo"/>
        <w:rPr>
          <w:rFonts w:cs="Arial"/>
          <w:sz w:val="22"/>
        </w:rPr>
      </w:pPr>
    </w:p>
    <w:p w:rsidR="00DD2E11" w:rsidRPr="003D254C" w:rsidRDefault="00DD2E11" w:rsidP="00804750">
      <w:pPr>
        <w:pStyle w:val="Estilo"/>
        <w:numPr>
          <w:ilvl w:val="0"/>
          <w:numId w:val="19"/>
        </w:numPr>
        <w:ind w:hanging="720"/>
        <w:rPr>
          <w:rFonts w:cs="Arial"/>
          <w:sz w:val="22"/>
        </w:rPr>
      </w:pPr>
      <w:r w:rsidRPr="003D254C">
        <w:rPr>
          <w:rFonts w:cs="Arial"/>
          <w:sz w:val="22"/>
        </w:rPr>
        <w:t>Todos los ciudadanos deben gozar de los siguientes derechos y oportunidades:</w:t>
      </w:r>
    </w:p>
    <w:p w:rsidR="00DD2E11" w:rsidRPr="003D254C" w:rsidRDefault="00DD2E11" w:rsidP="00DD2E11">
      <w:pPr>
        <w:pStyle w:val="Estilo"/>
        <w:rPr>
          <w:rFonts w:cs="Arial"/>
          <w:sz w:val="22"/>
        </w:rPr>
      </w:pPr>
    </w:p>
    <w:p w:rsidR="00DD2E11" w:rsidRPr="003D254C" w:rsidRDefault="00DD2E11" w:rsidP="00804750">
      <w:pPr>
        <w:pStyle w:val="Estilo"/>
        <w:numPr>
          <w:ilvl w:val="0"/>
          <w:numId w:val="20"/>
        </w:numPr>
        <w:rPr>
          <w:rFonts w:cs="Arial"/>
          <w:sz w:val="22"/>
        </w:rPr>
      </w:pPr>
      <w:r w:rsidRPr="003D254C">
        <w:rPr>
          <w:rFonts w:cs="Arial"/>
          <w:sz w:val="22"/>
        </w:rPr>
        <w:t>de participar en la dirección de los asuntos públicos, directamente o por medio de representantes libremente elegidos;</w:t>
      </w:r>
    </w:p>
    <w:p w:rsidR="00DD2E11" w:rsidRPr="003D254C" w:rsidRDefault="00DD2E11" w:rsidP="00DD2E11">
      <w:pPr>
        <w:pStyle w:val="Estilo"/>
        <w:rPr>
          <w:rFonts w:cs="Arial"/>
          <w:sz w:val="22"/>
        </w:rPr>
      </w:pPr>
    </w:p>
    <w:p w:rsidR="00DD2E11" w:rsidRPr="003D254C" w:rsidRDefault="00DD2E11" w:rsidP="00804750">
      <w:pPr>
        <w:pStyle w:val="Estilo"/>
        <w:numPr>
          <w:ilvl w:val="0"/>
          <w:numId w:val="20"/>
        </w:numPr>
        <w:rPr>
          <w:rFonts w:cs="Arial"/>
          <w:sz w:val="22"/>
        </w:rPr>
      </w:pPr>
      <w:r w:rsidRPr="003D254C">
        <w:rPr>
          <w:rFonts w:cs="Arial"/>
          <w:sz w:val="22"/>
        </w:rPr>
        <w:t>de votar y ser elegidos en elecciones periódicas auténticas, realizadas por sufragio universal e igual y por voto secreto que garantice la libre expresión de voluntad de los electores, y</w:t>
      </w:r>
    </w:p>
    <w:p w:rsidR="00DD2E11" w:rsidRPr="003D254C" w:rsidRDefault="00DD2E11" w:rsidP="00DD2E11">
      <w:pPr>
        <w:pStyle w:val="Estilo"/>
        <w:rPr>
          <w:rFonts w:cs="Arial"/>
          <w:sz w:val="22"/>
        </w:rPr>
      </w:pPr>
    </w:p>
    <w:p w:rsidR="00DD2E11" w:rsidRPr="003D254C" w:rsidRDefault="00DD2E11" w:rsidP="00804750">
      <w:pPr>
        <w:pStyle w:val="Estilo"/>
        <w:numPr>
          <w:ilvl w:val="0"/>
          <w:numId w:val="20"/>
        </w:numPr>
        <w:rPr>
          <w:rFonts w:cs="Arial"/>
          <w:sz w:val="22"/>
        </w:rPr>
      </w:pPr>
      <w:r w:rsidRPr="003D254C">
        <w:rPr>
          <w:rFonts w:cs="Arial"/>
          <w:sz w:val="22"/>
        </w:rPr>
        <w:t>de tener acceso, en condiciones generales de igualdad, a las funciones públicas de su país.</w:t>
      </w:r>
    </w:p>
    <w:p w:rsidR="00DD2E11" w:rsidRPr="003D254C" w:rsidRDefault="00DD2E11" w:rsidP="00DD2E11">
      <w:pPr>
        <w:pStyle w:val="Estilo"/>
        <w:rPr>
          <w:rFonts w:cs="Arial"/>
          <w:sz w:val="22"/>
        </w:rPr>
      </w:pPr>
    </w:p>
    <w:p w:rsidR="00DD2E11" w:rsidRPr="003D254C" w:rsidRDefault="00DD2E11" w:rsidP="00804750">
      <w:pPr>
        <w:pStyle w:val="Estilo"/>
        <w:numPr>
          <w:ilvl w:val="0"/>
          <w:numId w:val="19"/>
        </w:numPr>
        <w:ind w:hanging="720"/>
        <w:rPr>
          <w:rFonts w:cs="Arial"/>
          <w:sz w:val="22"/>
        </w:rPr>
      </w:pPr>
      <w:r w:rsidRPr="003D254C">
        <w:rPr>
          <w:rFonts w:cs="Arial"/>
          <w:sz w:val="22"/>
        </w:rPr>
        <w:t>La ley puede reglamentar el ejercicio de los derechos y oportunidades a que se refiere el inciso anterior, exclusivamente por razones de edad, nacionalidad, residencia, idioma, instrucción, capacidad civil o mental, o condena, por juez competente, en proceso penal.</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24.</w:t>
      </w:r>
      <w:r w:rsidRPr="003D254C">
        <w:rPr>
          <w:rFonts w:cs="Arial"/>
          <w:sz w:val="22"/>
        </w:rPr>
        <w:t xml:space="preserve"> Igualdad ante la Ley</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Todas las personas son iguales ante la ley. En consecuencia, tienen derecho, sin discriminación, a igual protección de la ley.</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25.</w:t>
      </w:r>
      <w:r w:rsidRPr="003D254C">
        <w:rPr>
          <w:rFonts w:cs="Arial"/>
          <w:sz w:val="22"/>
        </w:rPr>
        <w:t xml:space="preserve"> Protección Judicial</w:t>
      </w:r>
    </w:p>
    <w:p w:rsidR="00DD2E11" w:rsidRPr="003D254C" w:rsidRDefault="00DD2E11" w:rsidP="00DD2E11">
      <w:pPr>
        <w:pStyle w:val="Estilo"/>
        <w:rPr>
          <w:rFonts w:cs="Arial"/>
          <w:sz w:val="22"/>
        </w:rPr>
      </w:pPr>
    </w:p>
    <w:p w:rsidR="00DD2E11" w:rsidRPr="003D254C" w:rsidRDefault="00DD2E11" w:rsidP="00804750">
      <w:pPr>
        <w:pStyle w:val="Estilo"/>
        <w:numPr>
          <w:ilvl w:val="0"/>
          <w:numId w:val="21"/>
        </w:numPr>
        <w:ind w:hanging="720"/>
        <w:rPr>
          <w:rFonts w:cs="Arial"/>
          <w:sz w:val="22"/>
        </w:rPr>
      </w:pPr>
      <w:r w:rsidRPr="003D254C">
        <w:rPr>
          <w:rFonts w:cs="Arial"/>
          <w:sz w:val="22"/>
        </w:rPr>
        <w:t>Toda persona tiene derecho a un recurso sencillo y rápido o a cualquier otro recurso efectivo ante los jueces o tribunales competentes, que la ampare contra actos que violen sus derechos fundamentales reconocidos por la Constitución, la ley o la presente convención, aún cuando tal violación sea cometida por personas que actúen en ejercicio de sus funciones oficiales.</w:t>
      </w:r>
    </w:p>
    <w:p w:rsidR="00DD2E11" w:rsidRPr="003D254C" w:rsidRDefault="00DD2E11" w:rsidP="00DD2E11">
      <w:pPr>
        <w:pStyle w:val="Estilo"/>
        <w:rPr>
          <w:rFonts w:cs="Arial"/>
          <w:sz w:val="22"/>
        </w:rPr>
      </w:pPr>
    </w:p>
    <w:p w:rsidR="00DD2E11" w:rsidRPr="003D254C" w:rsidRDefault="00DD2E11" w:rsidP="00804750">
      <w:pPr>
        <w:pStyle w:val="Estilo"/>
        <w:numPr>
          <w:ilvl w:val="0"/>
          <w:numId w:val="21"/>
        </w:numPr>
        <w:ind w:hanging="720"/>
        <w:rPr>
          <w:rFonts w:cs="Arial"/>
          <w:sz w:val="22"/>
        </w:rPr>
      </w:pPr>
      <w:r w:rsidRPr="003D254C">
        <w:rPr>
          <w:rFonts w:cs="Arial"/>
          <w:sz w:val="22"/>
        </w:rPr>
        <w:t>Los Estados partes se comprometen:</w:t>
      </w:r>
    </w:p>
    <w:p w:rsidR="00DD2E11" w:rsidRPr="003D254C" w:rsidRDefault="00DD2E11" w:rsidP="00DD2E11">
      <w:pPr>
        <w:pStyle w:val="Estilo"/>
        <w:rPr>
          <w:rFonts w:cs="Arial"/>
          <w:sz w:val="22"/>
        </w:rPr>
      </w:pPr>
    </w:p>
    <w:p w:rsidR="00DD2E11" w:rsidRPr="003D254C" w:rsidRDefault="00DD2E11" w:rsidP="00804750">
      <w:pPr>
        <w:pStyle w:val="Estilo"/>
        <w:numPr>
          <w:ilvl w:val="0"/>
          <w:numId w:val="22"/>
        </w:numPr>
        <w:rPr>
          <w:rFonts w:cs="Arial"/>
          <w:sz w:val="22"/>
        </w:rPr>
      </w:pPr>
      <w:r w:rsidRPr="003D254C">
        <w:rPr>
          <w:rFonts w:cs="Arial"/>
          <w:sz w:val="22"/>
        </w:rPr>
        <w:t>a garantizar que la autoridad competente prevista por el sistema legal del Estado decidirá sobre los derechos de toda persona que interponga tal recurso;</w:t>
      </w:r>
    </w:p>
    <w:p w:rsidR="00DD2E11" w:rsidRPr="003D254C" w:rsidRDefault="00DD2E11" w:rsidP="00DD2E11">
      <w:pPr>
        <w:pStyle w:val="Estilo"/>
        <w:rPr>
          <w:rFonts w:cs="Arial"/>
          <w:sz w:val="22"/>
        </w:rPr>
      </w:pPr>
    </w:p>
    <w:p w:rsidR="00DD2E11" w:rsidRPr="003D254C" w:rsidRDefault="00DD2E11" w:rsidP="00804750">
      <w:pPr>
        <w:pStyle w:val="Estilo"/>
        <w:numPr>
          <w:ilvl w:val="0"/>
          <w:numId w:val="22"/>
        </w:numPr>
        <w:rPr>
          <w:rFonts w:cs="Arial"/>
          <w:sz w:val="22"/>
        </w:rPr>
      </w:pPr>
      <w:r w:rsidRPr="003D254C">
        <w:rPr>
          <w:rFonts w:cs="Arial"/>
          <w:sz w:val="22"/>
        </w:rPr>
        <w:t>a desarrollar las posibilidades de recurso judicial, y</w:t>
      </w:r>
    </w:p>
    <w:p w:rsidR="00DD2E11" w:rsidRPr="003D254C" w:rsidRDefault="00DD2E11" w:rsidP="00DD2E11">
      <w:pPr>
        <w:pStyle w:val="Estilo"/>
        <w:rPr>
          <w:rFonts w:cs="Arial"/>
          <w:sz w:val="22"/>
        </w:rPr>
      </w:pPr>
    </w:p>
    <w:p w:rsidR="00DD2E11" w:rsidRPr="003D254C" w:rsidRDefault="00DD2E11" w:rsidP="00804750">
      <w:pPr>
        <w:pStyle w:val="Estilo"/>
        <w:numPr>
          <w:ilvl w:val="0"/>
          <w:numId w:val="22"/>
        </w:numPr>
        <w:rPr>
          <w:rFonts w:cs="Arial"/>
          <w:sz w:val="22"/>
        </w:rPr>
      </w:pPr>
      <w:r w:rsidRPr="003D254C">
        <w:rPr>
          <w:rFonts w:cs="Arial"/>
          <w:sz w:val="22"/>
        </w:rPr>
        <w:t>a garantizar el cumplimiento, por las autoridades competentes, de toda decisión en que se haya estimado procedente el recurso.</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CAPITULO III - DERECHOS ECONOMICOS SOCIALES Y CULTURALES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26.</w:t>
      </w:r>
      <w:r w:rsidRPr="003D254C">
        <w:rPr>
          <w:rFonts w:cs="Arial"/>
          <w:sz w:val="22"/>
        </w:rPr>
        <w:t xml:space="preserve"> Desarrollo Progresivo</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CAPITULO IV - SUSPENSION DE GARANTIAS, INTERPRETACION Y APLICACION</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27.</w:t>
      </w:r>
      <w:r w:rsidRPr="003D254C">
        <w:rPr>
          <w:rFonts w:cs="Arial"/>
          <w:sz w:val="22"/>
        </w:rPr>
        <w:t xml:space="preserve"> Suspensión de Garantías</w:t>
      </w:r>
    </w:p>
    <w:p w:rsidR="00DD2E11" w:rsidRPr="003D254C" w:rsidRDefault="00DD2E11" w:rsidP="00DD2E11">
      <w:pPr>
        <w:pStyle w:val="Estilo"/>
        <w:rPr>
          <w:rFonts w:cs="Arial"/>
          <w:sz w:val="22"/>
        </w:rPr>
      </w:pPr>
    </w:p>
    <w:p w:rsidR="00DD2E11" w:rsidRPr="003D254C" w:rsidRDefault="00DD2E11" w:rsidP="00804750">
      <w:pPr>
        <w:pStyle w:val="Estilo"/>
        <w:numPr>
          <w:ilvl w:val="0"/>
          <w:numId w:val="23"/>
        </w:numPr>
        <w:ind w:hanging="720"/>
        <w:rPr>
          <w:rFonts w:cs="Arial"/>
          <w:sz w:val="22"/>
        </w:rPr>
      </w:pPr>
      <w:r w:rsidRPr="003D254C">
        <w:rPr>
          <w:rFonts w:cs="Arial"/>
          <w:sz w:val="22"/>
        </w:rPr>
        <w:t>En caso de guerra, de peligro público o de otra emergencia que amenace la independencia o seguridad del Estado Parte, éste podrá adoptar disposiciones que, en la medida y por el tiempo estrictamente limitado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w:t>
      </w:r>
    </w:p>
    <w:p w:rsidR="00DD2E11" w:rsidRPr="003D254C" w:rsidRDefault="00DD2E11" w:rsidP="00DD2E11">
      <w:pPr>
        <w:pStyle w:val="Estilo"/>
        <w:rPr>
          <w:rFonts w:cs="Arial"/>
          <w:sz w:val="22"/>
        </w:rPr>
      </w:pPr>
    </w:p>
    <w:p w:rsidR="00DD2E11" w:rsidRPr="003D254C" w:rsidRDefault="00DD2E11" w:rsidP="00804750">
      <w:pPr>
        <w:pStyle w:val="Estilo"/>
        <w:numPr>
          <w:ilvl w:val="0"/>
          <w:numId w:val="23"/>
        </w:numPr>
        <w:ind w:hanging="720"/>
        <w:rPr>
          <w:rFonts w:cs="Arial"/>
          <w:sz w:val="22"/>
        </w:rPr>
      </w:pPr>
      <w:r w:rsidRPr="003D254C">
        <w:rPr>
          <w:rFonts w:cs="Arial"/>
          <w:sz w:val="22"/>
        </w:rPr>
        <w:t>La disposición precedente no autoriza la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(Derecho a la Nacionalidad), y 23 (Derechos Políticos), ni de las garantías judiciales indispensables para la protección de tales derechos.</w:t>
      </w:r>
    </w:p>
    <w:p w:rsidR="00DD2E11" w:rsidRPr="003D254C" w:rsidRDefault="00DD2E11" w:rsidP="00DD2E11">
      <w:pPr>
        <w:pStyle w:val="Estilo"/>
        <w:rPr>
          <w:rFonts w:cs="Arial"/>
          <w:sz w:val="22"/>
        </w:rPr>
      </w:pPr>
    </w:p>
    <w:p w:rsidR="00DD2E11" w:rsidRPr="003D254C" w:rsidRDefault="00DD2E11" w:rsidP="00804750">
      <w:pPr>
        <w:pStyle w:val="Estilo"/>
        <w:numPr>
          <w:ilvl w:val="0"/>
          <w:numId w:val="23"/>
        </w:numPr>
        <w:ind w:hanging="720"/>
        <w:rPr>
          <w:rFonts w:cs="Arial"/>
          <w:sz w:val="22"/>
        </w:rPr>
      </w:pPr>
      <w:r w:rsidRPr="003D254C">
        <w:rPr>
          <w:rFonts w:cs="Arial"/>
          <w:sz w:val="22"/>
        </w:rPr>
        <w:t>Todo Estado Parte que haga uso del derecho da suspensión deberá informar inmediatamente a los demás Estados Partes en la presente Convención, por conducto del Secretario General de la Organización de los Estados Americanos, de las disposiciones cuya aplicación haya suspendido, de los motivos que hayan suscitado la suspensión y de la fecha en que haya dado por terminada tal suspensión.</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28.</w:t>
      </w:r>
      <w:r w:rsidRPr="003D254C">
        <w:rPr>
          <w:rFonts w:cs="Arial"/>
          <w:sz w:val="22"/>
        </w:rPr>
        <w:t xml:space="preserve"> Cláusula Federal</w:t>
      </w:r>
    </w:p>
    <w:p w:rsidR="00DD2E11" w:rsidRPr="003D254C" w:rsidRDefault="00DD2E11" w:rsidP="00DD2E11">
      <w:pPr>
        <w:pStyle w:val="Estilo"/>
        <w:rPr>
          <w:rFonts w:cs="Arial"/>
          <w:sz w:val="22"/>
        </w:rPr>
      </w:pPr>
    </w:p>
    <w:p w:rsidR="00DD2E11" w:rsidRPr="003D254C" w:rsidRDefault="00DD2E11" w:rsidP="00804750">
      <w:pPr>
        <w:pStyle w:val="Estilo"/>
        <w:numPr>
          <w:ilvl w:val="0"/>
          <w:numId w:val="24"/>
        </w:numPr>
        <w:ind w:hanging="720"/>
        <w:rPr>
          <w:rFonts w:cs="Arial"/>
          <w:sz w:val="22"/>
        </w:rPr>
      </w:pPr>
      <w:r w:rsidRPr="003D254C">
        <w:rPr>
          <w:rFonts w:cs="Arial"/>
          <w:sz w:val="22"/>
        </w:rPr>
        <w:t>Cuando se trate de un Estado Parte constituido como Estado Federal, el gobierno nacional de dicho Estado Parte cumplirá todas las disposiciones de la presente Convención relacionadas con las materias sobre las que ejerce jurisdicción legislativa y judicial.</w:t>
      </w:r>
    </w:p>
    <w:p w:rsidR="00DD2E11" w:rsidRPr="003D254C" w:rsidRDefault="00DD2E11" w:rsidP="00DD2E11">
      <w:pPr>
        <w:pStyle w:val="Estilo"/>
        <w:rPr>
          <w:rFonts w:cs="Arial"/>
          <w:sz w:val="22"/>
        </w:rPr>
      </w:pPr>
    </w:p>
    <w:p w:rsidR="00DD2E11" w:rsidRPr="003D254C" w:rsidRDefault="00DD2E11" w:rsidP="00804750">
      <w:pPr>
        <w:pStyle w:val="Estilo"/>
        <w:numPr>
          <w:ilvl w:val="0"/>
          <w:numId w:val="24"/>
        </w:numPr>
        <w:ind w:hanging="720"/>
        <w:rPr>
          <w:rFonts w:cs="Arial"/>
          <w:sz w:val="22"/>
        </w:rPr>
      </w:pPr>
      <w:r w:rsidRPr="003D254C">
        <w:rPr>
          <w:rFonts w:cs="Arial"/>
          <w:sz w:val="22"/>
        </w:rPr>
        <w:t>Con respecto a las disposiciones relativas a las materias que corresponden a la jurisdicción de las entidades componentes de la Federación, el gobierno nacional debe tomar de inmediato las medidas pertinentes, conforme a su constitución y sus leyes, a fin de que las autoridades competentes de dichas entidades puedan adoptar las disposiciones del caso para el cumplimiento de esta Convención.</w:t>
      </w:r>
    </w:p>
    <w:p w:rsidR="00DD2E11" w:rsidRPr="003D254C" w:rsidRDefault="00DD2E11" w:rsidP="00DD2E11">
      <w:pPr>
        <w:pStyle w:val="Estilo"/>
        <w:rPr>
          <w:rFonts w:cs="Arial"/>
          <w:sz w:val="22"/>
        </w:rPr>
      </w:pPr>
    </w:p>
    <w:p w:rsidR="00DD2E11" w:rsidRPr="003D254C" w:rsidRDefault="00DD2E11" w:rsidP="00804750">
      <w:pPr>
        <w:pStyle w:val="Estilo"/>
        <w:numPr>
          <w:ilvl w:val="0"/>
          <w:numId w:val="24"/>
        </w:numPr>
        <w:ind w:hanging="720"/>
        <w:rPr>
          <w:rFonts w:cs="Arial"/>
          <w:sz w:val="22"/>
        </w:rPr>
      </w:pPr>
      <w:r w:rsidRPr="003D254C">
        <w:rPr>
          <w:rFonts w:cs="Arial"/>
          <w:sz w:val="22"/>
        </w:rPr>
        <w:t>Cuando dos o más Estados Partes acuerden integrar entre sí una federación u otra clase de asociación, cuidarán de que el pacto comunitario correspondiente contenga las disposiciones necesarias para que continúen haciéndose efectivas en el nuevo Estado así organizado, las normas de la presente Convención.</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29.</w:t>
      </w:r>
      <w:r w:rsidRPr="003D254C">
        <w:rPr>
          <w:rFonts w:cs="Arial"/>
          <w:sz w:val="22"/>
        </w:rPr>
        <w:t xml:space="preserve"> Normas de Interpretación</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Ninguna disposición de la presente Convención puede ser interpretada en el sentido de:</w:t>
      </w:r>
    </w:p>
    <w:p w:rsidR="00DD2E11" w:rsidRPr="003D254C" w:rsidRDefault="00DD2E11" w:rsidP="00DD2E11">
      <w:pPr>
        <w:pStyle w:val="Estilo"/>
        <w:rPr>
          <w:rFonts w:cs="Arial"/>
          <w:sz w:val="22"/>
        </w:rPr>
      </w:pPr>
    </w:p>
    <w:p w:rsidR="00DD2E11" w:rsidRPr="003D254C" w:rsidRDefault="00DD2E11" w:rsidP="00DD2E11">
      <w:pPr>
        <w:pStyle w:val="Estilo"/>
        <w:ind w:left="720" w:hanging="720"/>
        <w:rPr>
          <w:rFonts w:cs="Arial"/>
          <w:sz w:val="22"/>
        </w:rPr>
      </w:pPr>
      <w:r w:rsidRPr="003D254C">
        <w:rPr>
          <w:rFonts w:cs="Arial"/>
          <w:b/>
          <w:sz w:val="22"/>
        </w:rPr>
        <w:t>a)</w:t>
      </w:r>
      <w:r w:rsidRPr="003D254C">
        <w:rPr>
          <w:rFonts w:cs="Arial"/>
          <w:sz w:val="22"/>
        </w:rPr>
        <w:t xml:space="preserve"> </w:t>
      </w:r>
      <w:r w:rsidRPr="003D254C">
        <w:rPr>
          <w:rFonts w:cs="Arial"/>
          <w:sz w:val="22"/>
        </w:rPr>
        <w:tab/>
        <w:t>permitir a alguno de los Estados Partes, grupo o persona, suprimir el goce y ejercicio de los derechos y libertades reconocidos en la Convención o limitarlos en mayor medida que la prevista en ella;</w:t>
      </w:r>
    </w:p>
    <w:p w:rsidR="00DD2E11" w:rsidRPr="003D254C" w:rsidRDefault="00DD2E11" w:rsidP="00DD2E11">
      <w:pPr>
        <w:pStyle w:val="Estilo"/>
        <w:rPr>
          <w:rFonts w:cs="Arial"/>
          <w:sz w:val="22"/>
        </w:rPr>
      </w:pPr>
    </w:p>
    <w:p w:rsidR="00DD2E11" w:rsidRPr="003D254C" w:rsidRDefault="00DD2E11" w:rsidP="00DD2E11">
      <w:pPr>
        <w:pStyle w:val="Estilo"/>
        <w:ind w:left="720" w:hanging="720"/>
        <w:rPr>
          <w:rFonts w:cs="Arial"/>
          <w:sz w:val="22"/>
        </w:rPr>
      </w:pPr>
      <w:r w:rsidRPr="003D254C">
        <w:rPr>
          <w:rFonts w:cs="Arial"/>
          <w:b/>
          <w:sz w:val="22"/>
        </w:rPr>
        <w:t>b)</w:t>
      </w:r>
      <w:r w:rsidRPr="003D254C">
        <w:rPr>
          <w:rFonts w:cs="Arial"/>
          <w:sz w:val="22"/>
        </w:rPr>
        <w:t xml:space="preserve"> </w:t>
      </w:r>
      <w:r w:rsidRPr="003D254C">
        <w:rPr>
          <w:rFonts w:cs="Arial"/>
          <w:sz w:val="22"/>
        </w:rPr>
        <w:tab/>
        <w:t>limitar el goce y ejercicio de cualquier derecho o libertad que pueda estar reconocido de acuerdo con las leyes de cualquiera de los Estados Partes o de acuerdo con otra convención en que sea parte uno de dichos Estados;</w:t>
      </w:r>
    </w:p>
    <w:p w:rsidR="00DD2E11" w:rsidRPr="003D254C" w:rsidRDefault="00DD2E11" w:rsidP="00DD2E11">
      <w:pPr>
        <w:pStyle w:val="Estilo"/>
        <w:rPr>
          <w:rFonts w:cs="Arial"/>
          <w:sz w:val="22"/>
        </w:rPr>
      </w:pPr>
    </w:p>
    <w:p w:rsidR="00DD2E11" w:rsidRPr="003D254C" w:rsidRDefault="00DD2E11" w:rsidP="00DD2E11">
      <w:pPr>
        <w:pStyle w:val="Estilo"/>
        <w:ind w:left="720" w:hanging="720"/>
        <w:rPr>
          <w:rFonts w:cs="Arial"/>
          <w:sz w:val="22"/>
        </w:rPr>
      </w:pPr>
      <w:r w:rsidRPr="003D254C">
        <w:rPr>
          <w:rFonts w:cs="Arial"/>
          <w:b/>
          <w:sz w:val="22"/>
        </w:rPr>
        <w:t>c)</w:t>
      </w:r>
      <w:r w:rsidRPr="003D254C">
        <w:rPr>
          <w:rFonts w:cs="Arial"/>
          <w:sz w:val="22"/>
        </w:rPr>
        <w:t xml:space="preserve"> </w:t>
      </w:r>
      <w:r w:rsidRPr="003D254C">
        <w:rPr>
          <w:rFonts w:cs="Arial"/>
          <w:sz w:val="22"/>
        </w:rPr>
        <w:tab/>
        <w:t>excluir otros derechos y garantías que son inherentes al ser humano o que se derivan de la forma democrática representativa de gobierno, y</w:t>
      </w:r>
    </w:p>
    <w:p w:rsidR="00DD2E11" w:rsidRPr="003D254C" w:rsidRDefault="00DD2E11" w:rsidP="00DD2E11">
      <w:pPr>
        <w:pStyle w:val="Estilo"/>
        <w:rPr>
          <w:rFonts w:cs="Arial"/>
          <w:sz w:val="22"/>
        </w:rPr>
      </w:pPr>
    </w:p>
    <w:p w:rsidR="00DD2E11" w:rsidRPr="003D254C" w:rsidRDefault="00DD2E11" w:rsidP="00DD2E11">
      <w:pPr>
        <w:pStyle w:val="Estilo"/>
        <w:ind w:left="720" w:hanging="720"/>
        <w:rPr>
          <w:rFonts w:cs="Arial"/>
          <w:sz w:val="22"/>
        </w:rPr>
      </w:pPr>
      <w:r w:rsidRPr="003D254C">
        <w:rPr>
          <w:rFonts w:cs="Arial"/>
          <w:b/>
          <w:sz w:val="22"/>
        </w:rPr>
        <w:t>d)</w:t>
      </w:r>
      <w:r w:rsidRPr="003D254C">
        <w:rPr>
          <w:rFonts w:cs="Arial"/>
          <w:sz w:val="22"/>
        </w:rPr>
        <w:t xml:space="preserve"> </w:t>
      </w:r>
      <w:r w:rsidRPr="003D254C">
        <w:rPr>
          <w:rFonts w:cs="Arial"/>
          <w:sz w:val="22"/>
        </w:rPr>
        <w:tab/>
        <w:t>excluir o limitar el efecto que puedan producir la Declaración Americana de Derechos y Deberes del Hombre y otros actos internacionales de la misma naturaleza.</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30.</w:t>
      </w:r>
      <w:r w:rsidRPr="003D254C">
        <w:rPr>
          <w:rFonts w:cs="Arial"/>
          <w:sz w:val="22"/>
        </w:rPr>
        <w:t xml:space="preserve"> Alcance de las Restricciones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Las restricciones permitidas, de acuerdo con esta Convención, al goce y ejercicio de los derechos y libertades reconocidas en la misma, no pueden ser aplicadas sino conforme a leyes que se dictaren por razones de interés general y con el propósito para el cual han sido establecidas.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31.</w:t>
      </w:r>
      <w:r w:rsidRPr="003D254C">
        <w:rPr>
          <w:rFonts w:cs="Arial"/>
          <w:sz w:val="22"/>
        </w:rPr>
        <w:t xml:space="preserve"> Reconocimiento de Otros Derechos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Podrán ser incluidos en el régimen de protección de esta Convención otros derechos y libertades que sean reconocidos de acuerdo con los procedimientos establecidos en los artículos 76 y 77.</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p>
    <w:p w:rsidR="00DD2E11" w:rsidRDefault="00DD2E11" w:rsidP="00DD2E11">
      <w:pPr>
        <w:pStyle w:val="Estilo"/>
        <w:jc w:val="center"/>
        <w:rPr>
          <w:rFonts w:cs="Arial"/>
          <w:b/>
          <w:sz w:val="22"/>
        </w:rPr>
      </w:pPr>
    </w:p>
    <w:p w:rsidR="00DD2E11" w:rsidRDefault="00DD2E11" w:rsidP="00DD2E11">
      <w:pPr>
        <w:pStyle w:val="Estilo"/>
        <w:jc w:val="center"/>
        <w:rPr>
          <w:rFonts w:cs="Arial"/>
          <w:b/>
          <w:sz w:val="22"/>
        </w:rPr>
      </w:pPr>
    </w:p>
    <w:p w:rsidR="00DD2E11" w:rsidRPr="003D254C" w:rsidRDefault="00DD2E11" w:rsidP="00DD2E11">
      <w:pPr>
        <w:pStyle w:val="Estilo"/>
        <w:jc w:val="center"/>
        <w:rPr>
          <w:rFonts w:cs="Arial"/>
          <w:b/>
          <w:sz w:val="22"/>
        </w:rPr>
      </w:pPr>
      <w:r w:rsidRPr="003D254C">
        <w:rPr>
          <w:rFonts w:cs="Arial"/>
          <w:b/>
          <w:sz w:val="22"/>
        </w:rPr>
        <w:lastRenderedPageBreak/>
        <w:t>CAPITULO V - DEBERES DE LAS PERSONAS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Artículo 32.</w:t>
      </w:r>
      <w:r w:rsidRPr="003D254C">
        <w:rPr>
          <w:rFonts w:cs="Arial"/>
          <w:sz w:val="22"/>
        </w:rPr>
        <w:t xml:space="preserve"> Correlación entre Deberes y Derechos</w:t>
      </w:r>
    </w:p>
    <w:p w:rsidR="00DD2E11" w:rsidRPr="003D254C" w:rsidRDefault="00DD2E11" w:rsidP="00DD2E11">
      <w:pPr>
        <w:pStyle w:val="Estilo"/>
        <w:rPr>
          <w:rFonts w:cs="Arial"/>
          <w:sz w:val="22"/>
        </w:rPr>
      </w:pPr>
    </w:p>
    <w:p w:rsidR="00DD2E11" w:rsidRPr="003D254C" w:rsidRDefault="00DD2E11" w:rsidP="00804750">
      <w:pPr>
        <w:pStyle w:val="Estilo"/>
        <w:numPr>
          <w:ilvl w:val="0"/>
          <w:numId w:val="25"/>
        </w:numPr>
        <w:ind w:hanging="720"/>
        <w:rPr>
          <w:rFonts w:cs="Arial"/>
          <w:sz w:val="22"/>
        </w:rPr>
      </w:pPr>
      <w:r w:rsidRPr="003D254C">
        <w:rPr>
          <w:rFonts w:cs="Arial"/>
          <w:sz w:val="22"/>
        </w:rPr>
        <w:t>Toda persona tiene deberes para con la familia, la comunidad y la humanidad.</w:t>
      </w:r>
    </w:p>
    <w:p w:rsidR="00DD2E11" w:rsidRPr="003D254C" w:rsidRDefault="00DD2E11" w:rsidP="00DD2E11">
      <w:pPr>
        <w:pStyle w:val="Estilo"/>
        <w:rPr>
          <w:rFonts w:cs="Arial"/>
          <w:sz w:val="22"/>
        </w:rPr>
      </w:pPr>
    </w:p>
    <w:p w:rsidR="00DD2E11" w:rsidRPr="003D254C" w:rsidRDefault="00DD2E11" w:rsidP="00804750">
      <w:pPr>
        <w:pStyle w:val="Estilo"/>
        <w:numPr>
          <w:ilvl w:val="0"/>
          <w:numId w:val="25"/>
        </w:numPr>
        <w:ind w:hanging="720"/>
        <w:rPr>
          <w:rFonts w:cs="Arial"/>
          <w:sz w:val="22"/>
        </w:rPr>
      </w:pPr>
      <w:r w:rsidRPr="003D254C">
        <w:rPr>
          <w:rFonts w:cs="Arial"/>
          <w:sz w:val="22"/>
        </w:rPr>
        <w:t>Los derechos de cada persona están limitados por los derechos de los demás, por la seeguridad (sic) de todos y por las justas exigencias del bien común, en una sociedad democrática.</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PARTE II - MEDIOS DE LA PROTECCION</w:t>
      </w: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CAPITULO VI - DE LOS ORGANOS COMPETENTES</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33.</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Son competentes para conocer de los asuntos relacionados con el cumplimiento de los compromisos contraídos por los Estados Partes en esta Convención:</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w:t>
      </w:r>
      <w:r w:rsidRPr="003D254C">
        <w:rPr>
          <w:rFonts w:cs="Arial"/>
          <w:sz w:val="22"/>
        </w:rPr>
        <w:t xml:space="preserve"> </w:t>
      </w:r>
      <w:r w:rsidRPr="003D254C">
        <w:rPr>
          <w:rFonts w:cs="Arial"/>
          <w:sz w:val="22"/>
        </w:rPr>
        <w:tab/>
        <w:t>la Comisión Interamericana de Derechos Humanos, llamada en adelante la Comisión, y</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b)</w:t>
      </w:r>
      <w:r w:rsidRPr="003D254C">
        <w:rPr>
          <w:rFonts w:cs="Arial"/>
          <w:sz w:val="22"/>
        </w:rPr>
        <w:t xml:space="preserve"> </w:t>
      </w:r>
      <w:r w:rsidRPr="003D254C">
        <w:rPr>
          <w:rFonts w:cs="Arial"/>
          <w:sz w:val="22"/>
        </w:rPr>
        <w:tab/>
        <w:t>la Corte Interamericana de Derechos Humanos, llamada en adelante la Corte.</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CAPITULO VII - LA COMISION INTERAMERICANA DE DERECHOS HUMANOS</w:t>
      </w: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Sección 1. Organización</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34.</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La Comisión Interamericana de Derechos Humanos se compondrá de siete miembros, que deberán ser personas de alta autoridad moral y reconocida versación en materia de derechos humanos.</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35.</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La Comisión representa a todos los Miembros que integran la Organización de los Estados Americanos.</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36.</w:t>
      </w:r>
    </w:p>
    <w:p w:rsidR="00DD2E11" w:rsidRPr="003D254C" w:rsidRDefault="00DD2E11" w:rsidP="00DD2E11">
      <w:pPr>
        <w:pStyle w:val="Estilo"/>
        <w:rPr>
          <w:rFonts w:cs="Arial"/>
          <w:sz w:val="22"/>
        </w:rPr>
      </w:pPr>
    </w:p>
    <w:p w:rsidR="00DD2E11" w:rsidRPr="003D254C" w:rsidRDefault="00DD2E11" w:rsidP="00804750">
      <w:pPr>
        <w:pStyle w:val="Estilo"/>
        <w:numPr>
          <w:ilvl w:val="0"/>
          <w:numId w:val="26"/>
        </w:numPr>
        <w:ind w:hanging="720"/>
        <w:rPr>
          <w:rFonts w:cs="Arial"/>
          <w:sz w:val="22"/>
        </w:rPr>
      </w:pPr>
      <w:r w:rsidRPr="003D254C">
        <w:rPr>
          <w:rFonts w:cs="Arial"/>
          <w:sz w:val="22"/>
        </w:rPr>
        <w:t>Los Miembros de la Comisión serán elegidos a título personal por la Asamblea General de la Organización de una lista de candidatos propuestos por los gobiernos de los Estados Miembros.</w:t>
      </w:r>
    </w:p>
    <w:p w:rsidR="00DD2E11" w:rsidRPr="003D254C" w:rsidRDefault="00DD2E11" w:rsidP="00DD2E11">
      <w:pPr>
        <w:pStyle w:val="Estilo"/>
        <w:rPr>
          <w:rFonts w:cs="Arial"/>
          <w:sz w:val="22"/>
        </w:rPr>
      </w:pPr>
    </w:p>
    <w:p w:rsidR="00DD2E11" w:rsidRPr="003D254C" w:rsidRDefault="00DD2E11" w:rsidP="00804750">
      <w:pPr>
        <w:pStyle w:val="Estilo"/>
        <w:numPr>
          <w:ilvl w:val="0"/>
          <w:numId w:val="26"/>
        </w:numPr>
        <w:ind w:hanging="720"/>
        <w:rPr>
          <w:rFonts w:cs="Arial"/>
          <w:sz w:val="22"/>
        </w:rPr>
      </w:pPr>
      <w:r w:rsidRPr="003D254C">
        <w:rPr>
          <w:rFonts w:cs="Arial"/>
          <w:sz w:val="22"/>
        </w:rPr>
        <w:t>Cada uno de dichos gobiernos puede proponer hasta tres candidatos, nacionales del Estado que los proponga o de cualquier otro Estado Miembro de la Organización de los Estados Americanos. Cuando se proponga una terna, por lo menos uno de los candidatos deberá ser nacional de un Estado distinto del proponente.</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37.</w:t>
      </w:r>
    </w:p>
    <w:p w:rsidR="00DD2E11" w:rsidRPr="003D254C" w:rsidRDefault="00DD2E11" w:rsidP="00DD2E11">
      <w:pPr>
        <w:pStyle w:val="Estilo"/>
        <w:rPr>
          <w:rFonts w:cs="Arial"/>
          <w:sz w:val="22"/>
        </w:rPr>
      </w:pPr>
    </w:p>
    <w:p w:rsidR="00DD2E11" w:rsidRPr="003D254C" w:rsidRDefault="00DD2E11" w:rsidP="00804750">
      <w:pPr>
        <w:pStyle w:val="Estilo"/>
        <w:numPr>
          <w:ilvl w:val="0"/>
          <w:numId w:val="27"/>
        </w:numPr>
        <w:ind w:hanging="720"/>
        <w:rPr>
          <w:rFonts w:cs="Arial"/>
          <w:sz w:val="22"/>
        </w:rPr>
      </w:pPr>
      <w:r w:rsidRPr="003D254C">
        <w:rPr>
          <w:rFonts w:cs="Arial"/>
          <w:sz w:val="22"/>
        </w:rPr>
        <w:t>Los Miembros de la Comisión serán elegidos por cuatro años y sólo podrán ser reelegidos una vez, pero el mandato de tres de los Miembros designados en la primera elección expirará al cabo de dos años. Inmediatamente después de dicha elección se determinarán por sorteo en la Asamblea General los nombres de estos tres Miembros.</w:t>
      </w:r>
    </w:p>
    <w:p w:rsidR="00DD2E11" w:rsidRPr="003D254C" w:rsidRDefault="00DD2E11" w:rsidP="00DD2E11">
      <w:pPr>
        <w:pStyle w:val="Estilo"/>
        <w:rPr>
          <w:rFonts w:cs="Arial"/>
          <w:sz w:val="22"/>
        </w:rPr>
      </w:pPr>
    </w:p>
    <w:p w:rsidR="00DD2E11" w:rsidRPr="003D254C" w:rsidRDefault="00DD2E11" w:rsidP="00804750">
      <w:pPr>
        <w:pStyle w:val="Estilo"/>
        <w:numPr>
          <w:ilvl w:val="0"/>
          <w:numId w:val="27"/>
        </w:numPr>
        <w:ind w:hanging="720"/>
        <w:rPr>
          <w:rFonts w:cs="Arial"/>
          <w:sz w:val="22"/>
        </w:rPr>
      </w:pPr>
      <w:r w:rsidRPr="003D254C">
        <w:rPr>
          <w:rFonts w:cs="Arial"/>
          <w:sz w:val="22"/>
        </w:rPr>
        <w:t>No puede formar parte de la Comisión más de un nacional de un mismo Estado.</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38.</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Las vacantes que ocurrieren en la Comisión, que no se deban a expiración normal del mandato, se llenarán por el Consejo Permanente de la Organización de acuerdo con lo que disponga el Estatuto de la Comisión.</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39.</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La Comisión prepará (sic) su estatuto, lo someterá a la aprobación de la Asamblea General, y dictará su propio Reglamento.</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40.</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Los servicios de secretaría de la Comisión deben ser desempeñados por la unidad funcional especializada que forma parte de la Secretaría General de la Organización y debe disponer de los recursos necesarios para cumplir las tareas que le sean encomendadas por la Comisión.</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Sección 2. Funciones</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41.</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La Comisión tiene la función principal de promover la observancia y la defensa de los derechos humanos, y en el ejercicio de su mandato tiene las siguientes funciones y atribuciones: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w:t>
      </w:r>
      <w:r w:rsidRPr="003D254C">
        <w:rPr>
          <w:rFonts w:cs="Arial"/>
          <w:sz w:val="22"/>
        </w:rPr>
        <w:t xml:space="preserve"> </w:t>
      </w:r>
      <w:r w:rsidRPr="003D254C">
        <w:rPr>
          <w:rFonts w:cs="Arial"/>
          <w:sz w:val="22"/>
        </w:rPr>
        <w:tab/>
        <w:t>estimular la conciencia de los derechos humanos en los pueblos de América:</w:t>
      </w:r>
    </w:p>
    <w:p w:rsidR="00DD2E11" w:rsidRPr="003D254C" w:rsidRDefault="00DD2E11" w:rsidP="00DD2E11">
      <w:pPr>
        <w:pStyle w:val="Estilo"/>
        <w:rPr>
          <w:rFonts w:cs="Arial"/>
          <w:sz w:val="22"/>
        </w:rPr>
      </w:pPr>
    </w:p>
    <w:p w:rsidR="00DD2E11" w:rsidRPr="003D254C" w:rsidRDefault="00DD2E11" w:rsidP="00DD2E11">
      <w:pPr>
        <w:pStyle w:val="Estilo"/>
        <w:ind w:left="720" w:hanging="720"/>
        <w:rPr>
          <w:rFonts w:cs="Arial"/>
          <w:sz w:val="22"/>
        </w:rPr>
      </w:pPr>
      <w:r w:rsidRPr="003D254C">
        <w:rPr>
          <w:rFonts w:cs="Arial"/>
          <w:b/>
          <w:sz w:val="22"/>
        </w:rPr>
        <w:t>b)</w:t>
      </w:r>
      <w:r w:rsidRPr="003D254C">
        <w:rPr>
          <w:rFonts w:cs="Arial"/>
          <w:sz w:val="22"/>
        </w:rPr>
        <w:t xml:space="preserve"> </w:t>
      </w:r>
      <w:r w:rsidRPr="003D254C">
        <w:rPr>
          <w:rFonts w:cs="Arial"/>
          <w:sz w:val="22"/>
        </w:rPr>
        <w:tab/>
        <w:t xml:space="preserve">formular recomendaciones, cuando lo estime conveniente, a los gobiernos de los Estados Miembros para que adopten medidas progresivas en favor de los derechos humanos dentro del </w:t>
      </w:r>
      <w:r w:rsidRPr="003D254C">
        <w:rPr>
          <w:rFonts w:cs="Arial"/>
          <w:sz w:val="22"/>
        </w:rPr>
        <w:lastRenderedPageBreak/>
        <w:t>marco de sus leyes internas y sus preceptos constitucionales, al igual que disposiciones apropiadas para fomentar el debido respeto a esos derechos;</w:t>
      </w:r>
    </w:p>
    <w:p w:rsidR="00DD2E11" w:rsidRPr="003D254C" w:rsidRDefault="00DD2E11" w:rsidP="00DD2E11">
      <w:pPr>
        <w:pStyle w:val="Estilo"/>
        <w:rPr>
          <w:rFonts w:cs="Arial"/>
          <w:sz w:val="22"/>
        </w:rPr>
      </w:pPr>
    </w:p>
    <w:p w:rsidR="00DD2E11" w:rsidRPr="003D254C" w:rsidRDefault="00DD2E11" w:rsidP="00DD2E11">
      <w:pPr>
        <w:pStyle w:val="Estilo"/>
        <w:ind w:left="720" w:hanging="720"/>
        <w:rPr>
          <w:rFonts w:cs="Arial"/>
          <w:sz w:val="22"/>
        </w:rPr>
      </w:pPr>
      <w:r w:rsidRPr="003D254C">
        <w:rPr>
          <w:rFonts w:cs="Arial"/>
          <w:b/>
          <w:sz w:val="22"/>
        </w:rPr>
        <w:t>c)</w:t>
      </w:r>
      <w:r w:rsidRPr="003D254C">
        <w:rPr>
          <w:rFonts w:cs="Arial"/>
          <w:sz w:val="22"/>
        </w:rPr>
        <w:t xml:space="preserve"> </w:t>
      </w:r>
      <w:r w:rsidRPr="003D254C">
        <w:rPr>
          <w:rFonts w:cs="Arial"/>
          <w:sz w:val="22"/>
        </w:rPr>
        <w:tab/>
        <w:t>preparar los estudios o informes que considere convenientes para el desempeño de sus funciones;</w:t>
      </w:r>
    </w:p>
    <w:p w:rsidR="00DD2E11" w:rsidRPr="003D254C" w:rsidRDefault="00DD2E11" w:rsidP="00DD2E11">
      <w:pPr>
        <w:pStyle w:val="Estilo"/>
        <w:rPr>
          <w:rFonts w:cs="Arial"/>
          <w:sz w:val="22"/>
        </w:rPr>
      </w:pPr>
    </w:p>
    <w:p w:rsidR="00DD2E11" w:rsidRPr="003D254C" w:rsidRDefault="00DD2E11" w:rsidP="00DD2E11">
      <w:pPr>
        <w:pStyle w:val="Estilo"/>
        <w:ind w:left="720" w:hanging="720"/>
        <w:rPr>
          <w:rFonts w:cs="Arial"/>
          <w:sz w:val="22"/>
        </w:rPr>
      </w:pPr>
      <w:r w:rsidRPr="003D254C">
        <w:rPr>
          <w:rFonts w:cs="Arial"/>
          <w:b/>
          <w:sz w:val="22"/>
        </w:rPr>
        <w:t>d)</w:t>
      </w:r>
      <w:r w:rsidRPr="003D254C">
        <w:rPr>
          <w:rFonts w:cs="Arial"/>
          <w:sz w:val="22"/>
        </w:rPr>
        <w:t xml:space="preserve"> </w:t>
      </w:r>
      <w:r w:rsidRPr="003D254C">
        <w:rPr>
          <w:rFonts w:cs="Arial"/>
          <w:sz w:val="22"/>
        </w:rPr>
        <w:tab/>
        <w:t>solicitar de los gobiernos de los Estados Miembros que le proporcionen informes sobre las medidas que adopten en materia de derechos humanos;</w:t>
      </w:r>
    </w:p>
    <w:p w:rsidR="00DD2E11" w:rsidRPr="003D254C" w:rsidRDefault="00DD2E11" w:rsidP="00DD2E11">
      <w:pPr>
        <w:pStyle w:val="Estilo"/>
        <w:rPr>
          <w:rFonts w:cs="Arial"/>
          <w:sz w:val="22"/>
        </w:rPr>
      </w:pPr>
    </w:p>
    <w:p w:rsidR="00DD2E11" w:rsidRPr="003D254C" w:rsidRDefault="00DD2E11" w:rsidP="00DD2E11">
      <w:pPr>
        <w:pStyle w:val="Estilo"/>
        <w:ind w:left="720" w:hanging="720"/>
        <w:rPr>
          <w:rFonts w:cs="Arial"/>
          <w:sz w:val="22"/>
        </w:rPr>
      </w:pPr>
      <w:r w:rsidRPr="003D254C">
        <w:rPr>
          <w:rFonts w:cs="Arial"/>
          <w:b/>
          <w:sz w:val="22"/>
        </w:rPr>
        <w:t>e)</w:t>
      </w:r>
      <w:r w:rsidRPr="003D254C">
        <w:rPr>
          <w:rFonts w:cs="Arial"/>
          <w:sz w:val="22"/>
        </w:rPr>
        <w:t xml:space="preserve"> </w:t>
      </w:r>
      <w:r w:rsidRPr="003D254C">
        <w:rPr>
          <w:rFonts w:cs="Arial"/>
          <w:sz w:val="22"/>
        </w:rPr>
        <w:tab/>
        <w:t>atender las consultas que, por medio de la Secretaría General de la Organización de los Estados Americanos, le formulen los Estados Miembros en cuestiones relacionadas con los derechos humanos y, dentro de sus posibilidades, les prestará el asesoramiento que estos le soliciten;</w:t>
      </w:r>
    </w:p>
    <w:p w:rsidR="00DD2E11" w:rsidRPr="003D254C" w:rsidRDefault="00DD2E11" w:rsidP="00DD2E11">
      <w:pPr>
        <w:pStyle w:val="Estilo"/>
        <w:rPr>
          <w:rFonts w:cs="Arial"/>
          <w:sz w:val="22"/>
        </w:rPr>
      </w:pPr>
    </w:p>
    <w:p w:rsidR="00DD2E11" w:rsidRPr="003D254C" w:rsidRDefault="00DD2E11" w:rsidP="00DD2E11">
      <w:pPr>
        <w:pStyle w:val="Estilo"/>
        <w:ind w:left="720" w:hanging="720"/>
        <w:rPr>
          <w:rFonts w:cs="Arial"/>
          <w:sz w:val="22"/>
        </w:rPr>
      </w:pPr>
      <w:r w:rsidRPr="003D254C">
        <w:rPr>
          <w:rFonts w:cs="Arial"/>
          <w:b/>
          <w:sz w:val="22"/>
        </w:rPr>
        <w:t>f)</w:t>
      </w:r>
      <w:r w:rsidRPr="003D254C">
        <w:rPr>
          <w:rFonts w:cs="Arial"/>
          <w:sz w:val="22"/>
        </w:rPr>
        <w:t xml:space="preserve"> </w:t>
      </w:r>
      <w:r w:rsidRPr="003D254C">
        <w:rPr>
          <w:rFonts w:cs="Arial"/>
          <w:sz w:val="22"/>
        </w:rPr>
        <w:tab/>
        <w:t>actuar respecto de las peticiones y otras comunicaciones en ejercicio de su autoridad de conformidad con lo dispuesto en los artículos 44 al 51 de esta Convención; y</w:t>
      </w:r>
    </w:p>
    <w:p w:rsidR="00DD2E11" w:rsidRPr="003D254C" w:rsidRDefault="00DD2E11" w:rsidP="00DD2E11">
      <w:pPr>
        <w:pStyle w:val="Estilo"/>
        <w:rPr>
          <w:rFonts w:cs="Arial"/>
          <w:sz w:val="22"/>
        </w:rPr>
      </w:pPr>
    </w:p>
    <w:p w:rsidR="00DD2E11" w:rsidRPr="003D254C" w:rsidRDefault="00DD2E11" w:rsidP="00DD2E11">
      <w:pPr>
        <w:pStyle w:val="Estilo"/>
        <w:ind w:left="720" w:hanging="720"/>
        <w:rPr>
          <w:rFonts w:cs="Arial"/>
          <w:sz w:val="22"/>
        </w:rPr>
      </w:pPr>
      <w:r w:rsidRPr="003D254C">
        <w:rPr>
          <w:rFonts w:cs="Arial"/>
          <w:b/>
          <w:sz w:val="22"/>
        </w:rPr>
        <w:t>g)</w:t>
      </w:r>
      <w:r w:rsidRPr="003D254C">
        <w:rPr>
          <w:rFonts w:cs="Arial"/>
          <w:sz w:val="22"/>
        </w:rPr>
        <w:t xml:space="preserve"> </w:t>
      </w:r>
      <w:r w:rsidRPr="003D254C">
        <w:rPr>
          <w:rFonts w:cs="Arial"/>
          <w:sz w:val="22"/>
        </w:rPr>
        <w:tab/>
        <w:t>rendir un informe anual a la Asamblea General de la Organización de los Estados Americanos.</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42.</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Los Estados Partes deben remitir a la Comisión copia de los informes y estudios que en sus respectivos campos someten anualmente a las Comisiones Ejecutivas del Consejo Interamericano Económico y Social y del Consejo Interamericano para la Educación, la Ciencia y la Cultura, a fin de que aquella vele porque se promuevan los derechos derivados de las normas económicas, sociales y sobre educación, ciencia y cultura contenidas en la Carta de la Organización de los Estados Americanos, reformada por el Protocolo de Buenos Aires.</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43.</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Los Estados Partes se obligan a proporcionar a la Comisión las informaciones que ésta les solicite sobre la manera en que su derecho interno asegura la aplicación efectiva de cualesquiera disposiciones de esta Convención.</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Sección 3. Competencia</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44.</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Cualquier persona o grupo de personas, o entidad no gubernamental legalmente reconocida en uno o más Estados Miembros de la Organización, puede presentar a la Comisión peticiones que contengan denuncias o quejas de violación de esta Convención por un Estado Parte.</w:t>
      </w:r>
    </w:p>
    <w:p w:rsidR="00DD2E11" w:rsidRPr="003D254C" w:rsidRDefault="00DD2E11" w:rsidP="00DD2E11">
      <w:pPr>
        <w:pStyle w:val="Estilo"/>
        <w:rPr>
          <w:rFonts w:cs="Arial"/>
          <w:sz w:val="22"/>
        </w:rPr>
      </w:pPr>
    </w:p>
    <w:p w:rsidR="00DD2E11" w:rsidRDefault="00DD2E11" w:rsidP="00DD2E11">
      <w:pPr>
        <w:pStyle w:val="Estilo"/>
        <w:rPr>
          <w:rFonts w:cs="Arial"/>
          <w:b/>
          <w:sz w:val="22"/>
        </w:rPr>
      </w:pPr>
    </w:p>
    <w:p w:rsidR="00DD2E11" w:rsidRPr="003D254C" w:rsidRDefault="00DD2E11" w:rsidP="00DD2E11">
      <w:pPr>
        <w:pStyle w:val="Estilo"/>
        <w:rPr>
          <w:rFonts w:cs="Arial"/>
          <w:b/>
          <w:sz w:val="22"/>
        </w:rPr>
      </w:pPr>
      <w:r w:rsidRPr="003D254C">
        <w:rPr>
          <w:rFonts w:cs="Arial"/>
          <w:b/>
          <w:sz w:val="22"/>
        </w:rPr>
        <w:lastRenderedPageBreak/>
        <w:t>Artículo 45.</w:t>
      </w:r>
    </w:p>
    <w:p w:rsidR="00DD2E11" w:rsidRPr="003D254C" w:rsidRDefault="00DD2E11" w:rsidP="00DD2E11">
      <w:pPr>
        <w:pStyle w:val="Estilo"/>
        <w:rPr>
          <w:rFonts w:cs="Arial"/>
          <w:sz w:val="22"/>
        </w:rPr>
      </w:pPr>
    </w:p>
    <w:p w:rsidR="00DD2E11" w:rsidRPr="003D254C" w:rsidRDefault="00DD2E11" w:rsidP="00804750">
      <w:pPr>
        <w:pStyle w:val="Estilo"/>
        <w:numPr>
          <w:ilvl w:val="0"/>
          <w:numId w:val="28"/>
        </w:numPr>
        <w:ind w:hanging="720"/>
        <w:rPr>
          <w:rFonts w:cs="Arial"/>
          <w:sz w:val="22"/>
        </w:rPr>
      </w:pPr>
      <w:r w:rsidRPr="003D254C">
        <w:rPr>
          <w:rFonts w:cs="Arial"/>
          <w:sz w:val="22"/>
        </w:rPr>
        <w:t>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p>
    <w:p w:rsidR="00DD2E11" w:rsidRPr="003D254C" w:rsidRDefault="00DD2E11" w:rsidP="00DD2E11">
      <w:pPr>
        <w:pStyle w:val="Estilo"/>
        <w:rPr>
          <w:rFonts w:cs="Arial"/>
          <w:sz w:val="22"/>
        </w:rPr>
      </w:pPr>
    </w:p>
    <w:p w:rsidR="00DD2E11" w:rsidRPr="003D254C" w:rsidRDefault="00DD2E11" w:rsidP="00804750">
      <w:pPr>
        <w:pStyle w:val="Estilo"/>
        <w:numPr>
          <w:ilvl w:val="0"/>
          <w:numId w:val="28"/>
        </w:numPr>
        <w:ind w:hanging="720"/>
        <w:rPr>
          <w:rFonts w:cs="Arial"/>
          <w:sz w:val="22"/>
        </w:rPr>
      </w:pPr>
      <w:r w:rsidRPr="003D254C">
        <w:rPr>
          <w:rFonts w:cs="Arial"/>
          <w:sz w:val="22"/>
        </w:rPr>
        <w:t>Las comunicaciones hechas en virtud del presente artículo sólo se pueden admitir y examinar si son presentadas por un Estado Parte que haya hecho una declaración por la cual reconozca la referida competencia de la Comisión. La Comisión no admitirá ninguna comunicación contra un Estado Parte que no haya hecho tal declaración.</w:t>
      </w:r>
    </w:p>
    <w:p w:rsidR="00DD2E11" w:rsidRPr="003D254C" w:rsidRDefault="00DD2E11" w:rsidP="00DD2E11">
      <w:pPr>
        <w:pStyle w:val="Estilo"/>
        <w:rPr>
          <w:rFonts w:cs="Arial"/>
          <w:sz w:val="22"/>
        </w:rPr>
      </w:pPr>
    </w:p>
    <w:p w:rsidR="00DD2E11" w:rsidRPr="003D254C" w:rsidRDefault="00DD2E11" w:rsidP="00804750">
      <w:pPr>
        <w:pStyle w:val="Estilo"/>
        <w:numPr>
          <w:ilvl w:val="0"/>
          <w:numId w:val="28"/>
        </w:numPr>
        <w:ind w:hanging="720"/>
        <w:rPr>
          <w:rFonts w:cs="Arial"/>
          <w:sz w:val="22"/>
        </w:rPr>
      </w:pPr>
      <w:r w:rsidRPr="003D254C">
        <w:rPr>
          <w:rFonts w:cs="Arial"/>
          <w:sz w:val="22"/>
        </w:rPr>
        <w:t>Las declaraciones sobre reconocimiento de competencia pueden hacerse para que ésta rija por tiempo indefinido, por un período determinado o para casos específicos.</w:t>
      </w:r>
    </w:p>
    <w:p w:rsidR="00DD2E11" w:rsidRPr="003D254C" w:rsidRDefault="00DD2E11" w:rsidP="00DD2E11">
      <w:pPr>
        <w:pStyle w:val="Estilo"/>
        <w:rPr>
          <w:rFonts w:cs="Arial"/>
          <w:sz w:val="22"/>
        </w:rPr>
      </w:pPr>
    </w:p>
    <w:p w:rsidR="00DD2E11" w:rsidRPr="003D254C" w:rsidRDefault="00DD2E11" w:rsidP="00804750">
      <w:pPr>
        <w:pStyle w:val="Estilo"/>
        <w:numPr>
          <w:ilvl w:val="0"/>
          <w:numId w:val="28"/>
        </w:numPr>
        <w:ind w:hanging="720"/>
        <w:rPr>
          <w:rFonts w:cs="Arial"/>
          <w:sz w:val="22"/>
        </w:rPr>
      </w:pPr>
      <w:r w:rsidRPr="003D254C">
        <w:rPr>
          <w:rFonts w:cs="Arial"/>
          <w:sz w:val="22"/>
        </w:rPr>
        <w:t>Las declaraciones se depositarán en la Secretaría General de la Organización de los Estados Americanos, la que transmitirá copia de las mismas a los Estados Miembros de dicha Organización.</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46.</w:t>
      </w:r>
    </w:p>
    <w:p w:rsidR="00DD2E11" w:rsidRPr="003D254C" w:rsidRDefault="00DD2E11" w:rsidP="00DD2E11">
      <w:pPr>
        <w:pStyle w:val="Estilo"/>
        <w:rPr>
          <w:rFonts w:cs="Arial"/>
          <w:sz w:val="22"/>
        </w:rPr>
      </w:pPr>
    </w:p>
    <w:p w:rsidR="00DD2E11" w:rsidRPr="003D254C" w:rsidRDefault="00DD2E11" w:rsidP="00804750">
      <w:pPr>
        <w:pStyle w:val="Estilo"/>
        <w:numPr>
          <w:ilvl w:val="0"/>
          <w:numId w:val="29"/>
        </w:numPr>
        <w:ind w:hanging="720"/>
        <w:rPr>
          <w:rFonts w:cs="Arial"/>
          <w:sz w:val="22"/>
        </w:rPr>
      </w:pPr>
      <w:r w:rsidRPr="003D254C">
        <w:rPr>
          <w:rFonts w:cs="Arial"/>
          <w:sz w:val="22"/>
        </w:rPr>
        <w:t>Para que una petición o comunicación presentada conforme a los artículos 44 ó 45 sea admitida por la Comisión, se requerirá:</w:t>
      </w:r>
    </w:p>
    <w:p w:rsidR="00DD2E11" w:rsidRPr="003D254C" w:rsidRDefault="00DD2E11" w:rsidP="00DD2E11">
      <w:pPr>
        <w:pStyle w:val="Estilo"/>
        <w:rPr>
          <w:rFonts w:cs="Arial"/>
          <w:sz w:val="22"/>
        </w:rPr>
      </w:pPr>
    </w:p>
    <w:p w:rsidR="00DD2E11" w:rsidRPr="003D254C" w:rsidRDefault="00DD2E11" w:rsidP="00804750">
      <w:pPr>
        <w:pStyle w:val="Estilo"/>
        <w:numPr>
          <w:ilvl w:val="0"/>
          <w:numId w:val="30"/>
        </w:numPr>
        <w:rPr>
          <w:rFonts w:cs="Arial"/>
          <w:sz w:val="22"/>
        </w:rPr>
      </w:pPr>
      <w:r w:rsidRPr="003D254C">
        <w:rPr>
          <w:rFonts w:cs="Arial"/>
          <w:sz w:val="22"/>
        </w:rPr>
        <w:t>que se hayan interpuesto y agotado los recursos de jurisdicción interna, conforme a los principios del Derecho Internacional generalmente reconocidos;</w:t>
      </w:r>
    </w:p>
    <w:p w:rsidR="00DD2E11" w:rsidRPr="003D254C" w:rsidRDefault="00DD2E11" w:rsidP="00DD2E11">
      <w:pPr>
        <w:pStyle w:val="Estilo"/>
        <w:rPr>
          <w:rFonts w:cs="Arial"/>
          <w:sz w:val="22"/>
        </w:rPr>
      </w:pPr>
    </w:p>
    <w:p w:rsidR="00DD2E11" w:rsidRPr="003D254C" w:rsidRDefault="00DD2E11" w:rsidP="00804750">
      <w:pPr>
        <w:pStyle w:val="Estilo"/>
        <w:numPr>
          <w:ilvl w:val="0"/>
          <w:numId w:val="30"/>
        </w:numPr>
        <w:rPr>
          <w:rFonts w:cs="Arial"/>
          <w:sz w:val="22"/>
        </w:rPr>
      </w:pPr>
      <w:r w:rsidRPr="003D254C">
        <w:rPr>
          <w:rFonts w:cs="Arial"/>
          <w:sz w:val="22"/>
        </w:rPr>
        <w:t>que sea presentada dentro del plazo de seis meses, a partir de la fecha en que el presunto lesionado en sus derechos haya sido notificado de la decisión definitiva;</w:t>
      </w:r>
    </w:p>
    <w:p w:rsidR="00DD2E11" w:rsidRPr="003D254C" w:rsidRDefault="00DD2E11" w:rsidP="00DD2E11">
      <w:pPr>
        <w:pStyle w:val="Estilo"/>
        <w:rPr>
          <w:rFonts w:cs="Arial"/>
          <w:sz w:val="22"/>
        </w:rPr>
      </w:pPr>
    </w:p>
    <w:p w:rsidR="00DD2E11" w:rsidRPr="003D254C" w:rsidRDefault="00DD2E11" w:rsidP="00804750">
      <w:pPr>
        <w:pStyle w:val="Estilo"/>
        <w:numPr>
          <w:ilvl w:val="0"/>
          <w:numId w:val="30"/>
        </w:numPr>
        <w:rPr>
          <w:rFonts w:cs="Arial"/>
          <w:sz w:val="22"/>
        </w:rPr>
      </w:pPr>
      <w:r w:rsidRPr="003D254C">
        <w:rPr>
          <w:rFonts w:cs="Arial"/>
          <w:sz w:val="22"/>
        </w:rPr>
        <w:t>que la materia de la petición o comunicación no esté pendiente de otro procedimiento de arreglo internacional; y</w:t>
      </w:r>
    </w:p>
    <w:p w:rsidR="00DD2E11" w:rsidRPr="003D254C" w:rsidRDefault="00DD2E11" w:rsidP="00DD2E11">
      <w:pPr>
        <w:pStyle w:val="Estilo"/>
        <w:rPr>
          <w:rFonts w:cs="Arial"/>
          <w:sz w:val="22"/>
        </w:rPr>
      </w:pPr>
    </w:p>
    <w:p w:rsidR="00DD2E11" w:rsidRPr="003D254C" w:rsidRDefault="00DD2E11" w:rsidP="00804750">
      <w:pPr>
        <w:pStyle w:val="Estilo"/>
        <w:numPr>
          <w:ilvl w:val="0"/>
          <w:numId w:val="30"/>
        </w:numPr>
        <w:rPr>
          <w:rFonts w:cs="Arial"/>
          <w:sz w:val="22"/>
        </w:rPr>
      </w:pPr>
      <w:r w:rsidRPr="003D254C">
        <w:rPr>
          <w:rFonts w:cs="Arial"/>
          <w:sz w:val="22"/>
        </w:rPr>
        <w:t>que en el caso del artículo 44 la petición contenga el nombre, la nacionalidad, la profesión, el domicilio y la firma de la persona o personas o del representante legal de la entidad que somete la petición.</w:t>
      </w:r>
    </w:p>
    <w:p w:rsidR="00DD2E11" w:rsidRPr="003D254C" w:rsidRDefault="00DD2E11" w:rsidP="00DD2E11">
      <w:pPr>
        <w:pStyle w:val="Estilo"/>
        <w:rPr>
          <w:rFonts w:cs="Arial"/>
          <w:sz w:val="22"/>
        </w:rPr>
      </w:pPr>
    </w:p>
    <w:p w:rsidR="00DD2E11" w:rsidRPr="003D254C" w:rsidRDefault="00DD2E11" w:rsidP="00804750">
      <w:pPr>
        <w:pStyle w:val="Estilo"/>
        <w:numPr>
          <w:ilvl w:val="0"/>
          <w:numId w:val="29"/>
        </w:numPr>
        <w:ind w:hanging="720"/>
        <w:rPr>
          <w:rFonts w:cs="Arial"/>
          <w:sz w:val="22"/>
        </w:rPr>
      </w:pPr>
      <w:r w:rsidRPr="003D254C">
        <w:rPr>
          <w:rFonts w:cs="Arial"/>
          <w:sz w:val="22"/>
        </w:rPr>
        <w:t>Las disposiciones de los incisos 1.a) y 1.b) del presente artículo, no se aplicarán cuando:</w:t>
      </w:r>
    </w:p>
    <w:p w:rsidR="00DD2E11" w:rsidRPr="003D254C" w:rsidRDefault="00DD2E11" w:rsidP="00DD2E11">
      <w:pPr>
        <w:pStyle w:val="Estilo"/>
        <w:rPr>
          <w:rFonts w:cs="Arial"/>
          <w:sz w:val="22"/>
        </w:rPr>
      </w:pPr>
    </w:p>
    <w:p w:rsidR="00DD2E11" w:rsidRPr="003D254C" w:rsidRDefault="00DD2E11" w:rsidP="00804750">
      <w:pPr>
        <w:pStyle w:val="Estilo"/>
        <w:numPr>
          <w:ilvl w:val="0"/>
          <w:numId w:val="31"/>
        </w:numPr>
        <w:rPr>
          <w:rFonts w:cs="Arial"/>
          <w:sz w:val="22"/>
        </w:rPr>
      </w:pPr>
      <w:r w:rsidRPr="003D254C">
        <w:rPr>
          <w:rFonts w:cs="Arial"/>
          <w:sz w:val="22"/>
        </w:rPr>
        <w:t>no exista en la legislación interna del Estado de que se trata el debido proceso legal para la protección del derecho o derechos que se alega han sido violados;</w:t>
      </w:r>
    </w:p>
    <w:p w:rsidR="00DD2E11" w:rsidRPr="003D254C" w:rsidRDefault="00DD2E11" w:rsidP="00DD2E11">
      <w:pPr>
        <w:pStyle w:val="Estilo"/>
        <w:rPr>
          <w:rFonts w:cs="Arial"/>
          <w:sz w:val="22"/>
        </w:rPr>
      </w:pPr>
    </w:p>
    <w:p w:rsidR="00DD2E11" w:rsidRPr="003D254C" w:rsidRDefault="00DD2E11" w:rsidP="00804750">
      <w:pPr>
        <w:pStyle w:val="Estilo"/>
        <w:numPr>
          <w:ilvl w:val="0"/>
          <w:numId w:val="31"/>
        </w:numPr>
        <w:rPr>
          <w:rFonts w:cs="Arial"/>
          <w:sz w:val="22"/>
        </w:rPr>
      </w:pPr>
      <w:r w:rsidRPr="003D254C">
        <w:rPr>
          <w:rFonts w:cs="Arial"/>
          <w:sz w:val="22"/>
        </w:rPr>
        <w:lastRenderedPageBreak/>
        <w:t>no se haya permitido al presunto lesionado en sus derechos el acceso a los recursos de la jurisdicción interna, o haya sido impedido de agotarlos; y</w:t>
      </w:r>
    </w:p>
    <w:p w:rsidR="00DD2E11" w:rsidRPr="003D254C" w:rsidRDefault="00DD2E11" w:rsidP="00DD2E11">
      <w:pPr>
        <w:pStyle w:val="Estilo"/>
        <w:rPr>
          <w:rFonts w:cs="Arial"/>
          <w:sz w:val="22"/>
        </w:rPr>
      </w:pPr>
    </w:p>
    <w:p w:rsidR="00DD2E11" w:rsidRPr="003D254C" w:rsidRDefault="00DD2E11" w:rsidP="00804750">
      <w:pPr>
        <w:pStyle w:val="Estilo"/>
        <w:numPr>
          <w:ilvl w:val="0"/>
          <w:numId w:val="31"/>
        </w:numPr>
        <w:rPr>
          <w:rFonts w:cs="Arial"/>
          <w:sz w:val="22"/>
        </w:rPr>
      </w:pPr>
      <w:r w:rsidRPr="003D254C">
        <w:rPr>
          <w:rFonts w:cs="Arial"/>
          <w:sz w:val="22"/>
        </w:rPr>
        <w:t>haya retardo injustificado en la decisión sobre los mencionados recursos.</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47.</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La Comisión declarará inadmisible toda petición o comunicación presentada de acuerdo con los artículos 44 ó 45 cuando:</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b/>
          <w:sz w:val="22"/>
        </w:rPr>
        <w:t>a)</w:t>
      </w:r>
      <w:r w:rsidRPr="003D254C">
        <w:rPr>
          <w:rFonts w:cs="Arial"/>
          <w:sz w:val="22"/>
        </w:rPr>
        <w:tab/>
        <w:t>falte alguno de los requisitos indicados en el artículo 46;</w:t>
      </w:r>
    </w:p>
    <w:p w:rsidR="00DD2E11" w:rsidRPr="003D254C" w:rsidRDefault="00DD2E11" w:rsidP="00DD2E11">
      <w:pPr>
        <w:pStyle w:val="Estilo"/>
        <w:rPr>
          <w:rFonts w:cs="Arial"/>
          <w:sz w:val="22"/>
        </w:rPr>
      </w:pPr>
    </w:p>
    <w:p w:rsidR="00DD2E11" w:rsidRPr="003D254C" w:rsidRDefault="00DD2E11" w:rsidP="00DD2E11">
      <w:pPr>
        <w:pStyle w:val="Estilo"/>
        <w:ind w:left="720" w:hanging="720"/>
        <w:rPr>
          <w:rFonts w:cs="Arial"/>
          <w:sz w:val="22"/>
        </w:rPr>
      </w:pPr>
      <w:r w:rsidRPr="003D254C">
        <w:rPr>
          <w:rFonts w:cs="Arial"/>
          <w:b/>
          <w:sz w:val="22"/>
        </w:rPr>
        <w:t>b)</w:t>
      </w:r>
      <w:r w:rsidRPr="003D254C">
        <w:rPr>
          <w:rFonts w:cs="Arial"/>
          <w:sz w:val="22"/>
        </w:rPr>
        <w:tab/>
        <w:t>no exponga hechos que caractericen una violación de los derechos garantizados por esta Convención;</w:t>
      </w:r>
    </w:p>
    <w:p w:rsidR="00DD2E11" w:rsidRPr="003D254C" w:rsidRDefault="00DD2E11" w:rsidP="00DD2E11">
      <w:pPr>
        <w:pStyle w:val="Estilo"/>
        <w:rPr>
          <w:rFonts w:cs="Arial"/>
          <w:sz w:val="22"/>
        </w:rPr>
      </w:pPr>
    </w:p>
    <w:p w:rsidR="00DD2E11" w:rsidRPr="003D254C" w:rsidRDefault="00DD2E11" w:rsidP="00DD2E11">
      <w:pPr>
        <w:pStyle w:val="Estilo"/>
        <w:ind w:left="720" w:hanging="720"/>
        <w:rPr>
          <w:rFonts w:cs="Arial"/>
          <w:sz w:val="22"/>
        </w:rPr>
      </w:pPr>
      <w:r w:rsidRPr="003D254C">
        <w:rPr>
          <w:rFonts w:cs="Arial"/>
          <w:b/>
          <w:sz w:val="22"/>
        </w:rPr>
        <w:t>c)</w:t>
      </w:r>
      <w:r w:rsidRPr="003D254C">
        <w:rPr>
          <w:rFonts w:cs="Arial"/>
          <w:sz w:val="22"/>
        </w:rPr>
        <w:tab/>
        <w:t>resulte de la exposición del propio peticionario o del Estado manifestante infundada la petición o comunicación o sea evidente su total improcedencia; y</w:t>
      </w:r>
    </w:p>
    <w:p w:rsidR="00DD2E11" w:rsidRPr="003D254C" w:rsidRDefault="00DD2E11" w:rsidP="00DD2E11">
      <w:pPr>
        <w:pStyle w:val="Estilo"/>
        <w:rPr>
          <w:rFonts w:cs="Arial"/>
          <w:sz w:val="22"/>
        </w:rPr>
      </w:pPr>
    </w:p>
    <w:p w:rsidR="00DD2E11" w:rsidRPr="003D254C" w:rsidRDefault="00DD2E11" w:rsidP="00DD2E11">
      <w:pPr>
        <w:pStyle w:val="Estilo"/>
        <w:ind w:left="720" w:hanging="720"/>
        <w:rPr>
          <w:rFonts w:cs="Arial"/>
          <w:sz w:val="22"/>
        </w:rPr>
      </w:pPr>
      <w:r w:rsidRPr="003D254C">
        <w:rPr>
          <w:rFonts w:cs="Arial"/>
          <w:b/>
          <w:sz w:val="22"/>
        </w:rPr>
        <w:t>d)</w:t>
      </w:r>
      <w:r w:rsidRPr="003D254C">
        <w:rPr>
          <w:rFonts w:cs="Arial"/>
          <w:sz w:val="22"/>
        </w:rPr>
        <w:t xml:space="preserve"> </w:t>
      </w:r>
      <w:r w:rsidRPr="003D254C">
        <w:rPr>
          <w:rFonts w:cs="Arial"/>
          <w:sz w:val="22"/>
        </w:rPr>
        <w:tab/>
        <w:t>sea sustancialmente la reproducción de petición o comunicación anterior ya examinada por la Comisión u otro organismo internacional.</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Sección 4. Procedimiento</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48.</w:t>
      </w:r>
    </w:p>
    <w:p w:rsidR="00DD2E11" w:rsidRPr="003D254C" w:rsidRDefault="00DD2E11" w:rsidP="00DD2E11">
      <w:pPr>
        <w:pStyle w:val="Estilo"/>
        <w:rPr>
          <w:rFonts w:cs="Arial"/>
          <w:sz w:val="22"/>
        </w:rPr>
      </w:pPr>
    </w:p>
    <w:p w:rsidR="00DD2E11" w:rsidRPr="003D254C" w:rsidRDefault="00DD2E11" w:rsidP="00804750">
      <w:pPr>
        <w:pStyle w:val="Estilo"/>
        <w:numPr>
          <w:ilvl w:val="0"/>
          <w:numId w:val="32"/>
        </w:numPr>
        <w:ind w:hanging="720"/>
        <w:rPr>
          <w:rFonts w:cs="Arial"/>
          <w:sz w:val="22"/>
        </w:rPr>
      </w:pPr>
      <w:r w:rsidRPr="003D254C">
        <w:rPr>
          <w:rFonts w:cs="Arial"/>
          <w:sz w:val="22"/>
        </w:rPr>
        <w:t>La Comisión, al recibir una petición o comunicación en la que se alegue la violación de cualquiera de los derechos que consagra esta Convención, procederá en los siguientes términos:</w:t>
      </w:r>
    </w:p>
    <w:p w:rsidR="00DD2E11" w:rsidRPr="003D254C" w:rsidRDefault="00DD2E11" w:rsidP="00DD2E11">
      <w:pPr>
        <w:pStyle w:val="Estilo"/>
        <w:rPr>
          <w:rFonts w:cs="Arial"/>
          <w:sz w:val="22"/>
        </w:rPr>
      </w:pPr>
    </w:p>
    <w:p w:rsidR="00DD2E11" w:rsidRPr="003D254C" w:rsidRDefault="00DD2E11" w:rsidP="00804750">
      <w:pPr>
        <w:pStyle w:val="Estilo"/>
        <w:numPr>
          <w:ilvl w:val="0"/>
          <w:numId w:val="33"/>
        </w:numPr>
        <w:rPr>
          <w:rFonts w:cs="Arial"/>
          <w:sz w:val="22"/>
        </w:rPr>
      </w:pPr>
      <w:r w:rsidRPr="003D254C">
        <w:rPr>
          <w:rFonts w:cs="Arial"/>
          <w:sz w:val="22"/>
        </w:rPr>
        <w:t>si reconoce la admisibilidad de la petición o comunicación solicitará informaciones al Gobierno del Estado al cual pertenezca la autoridad señalada como responsable de la violación alegada, transcribiendo las partes pertenecientes de la petición o comunicación.</w:t>
      </w:r>
    </w:p>
    <w:p w:rsidR="00DD2E11" w:rsidRPr="003D254C" w:rsidRDefault="00DD2E11" w:rsidP="00DD2E11">
      <w:pPr>
        <w:pStyle w:val="Estilo"/>
        <w:rPr>
          <w:rFonts w:cs="Arial"/>
          <w:sz w:val="22"/>
        </w:rPr>
      </w:pPr>
    </w:p>
    <w:p w:rsidR="00DD2E11" w:rsidRPr="003D254C" w:rsidRDefault="00DD2E11" w:rsidP="00DD2E11">
      <w:pPr>
        <w:pStyle w:val="Estilo"/>
        <w:ind w:left="1080"/>
        <w:rPr>
          <w:rFonts w:cs="Arial"/>
          <w:sz w:val="22"/>
        </w:rPr>
      </w:pPr>
      <w:r w:rsidRPr="003D254C">
        <w:rPr>
          <w:rFonts w:cs="Arial"/>
          <w:sz w:val="22"/>
        </w:rPr>
        <w:t>Dichas informaciones deben ser enviadas dentro de un plazo razonable, fijado por la Comisión al considerar las circunstancias de cada caso.</w:t>
      </w:r>
    </w:p>
    <w:p w:rsidR="00DD2E11" w:rsidRPr="003D254C" w:rsidRDefault="00DD2E11" w:rsidP="00DD2E11">
      <w:pPr>
        <w:pStyle w:val="Estilo"/>
        <w:rPr>
          <w:rFonts w:cs="Arial"/>
          <w:sz w:val="22"/>
        </w:rPr>
      </w:pPr>
    </w:p>
    <w:p w:rsidR="00DD2E11" w:rsidRPr="003D254C" w:rsidRDefault="00DD2E11" w:rsidP="00804750">
      <w:pPr>
        <w:pStyle w:val="Estilo"/>
        <w:numPr>
          <w:ilvl w:val="0"/>
          <w:numId w:val="33"/>
        </w:numPr>
        <w:rPr>
          <w:rFonts w:cs="Arial"/>
          <w:sz w:val="22"/>
        </w:rPr>
      </w:pPr>
      <w:r w:rsidRPr="003D254C">
        <w:rPr>
          <w:rFonts w:cs="Arial"/>
          <w:sz w:val="22"/>
        </w:rPr>
        <w:t>recibidas las informaciones o transcurrido el plazo fijado sin que sean recibidas, verificará si existen o subsisten los motivos de la petición o comunicación. De no existir o subsistir, mandará archivar el expediente.</w:t>
      </w:r>
    </w:p>
    <w:p w:rsidR="00DD2E11" w:rsidRPr="003D254C" w:rsidRDefault="00DD2E11" w:rsidP="00DD2E11">
      <w:pPr>
        <w:pStyle w:val="Estilo"/>
        <w:rPr>
          <w:rFonts w:cs="Arial"/>
          <w:sz w:val="22"/>
        </w:rPr>
      </w:pPr>
    </w:p>
    <w:p w:rsidR="00DD2E11" w:rsidRPr="003D254C" w:rsidRDefault="00DD2E11" w:rsidP="00804750">
      <w:pPr>
        <w:pStyle w:val="Estilo"/>
        <w:numPr>
          <w:ilvl w:val="0"/>
          <w:numId w:val="33"/>
        </w:numPr>
        <w:rPr>
          <w:rFonts w:cs="Arial"/>
          <w:sz w:val="22"/>
        </w:rPr>
      </w:pPr>
      <w:r w:rsidRPr="003D254C">
        <w:rPr>
          <w:rFonts w:cs="Arial"/>
          <w:sz w:val="22"/>
        </w:rPr>
        <w:t>podrá también declarar la inadmisibilidad o la improcedencia de la petición o comunicación, sobre la base de una información o prueba sobrevinientes.</w:t>
      </w:r>
    </w:p>
    <w:p w:rsidR="00DD2E11" w:rsidRPr="003D254C" w:rsidRDefault="00DD2E11" w:rsidP="00DD2E11">
      <w:pPr>
        <w:pStyle w:val="Estilo"/>
        <w:rPr>
          <w:rFonts w:cs="Arial"/>
          <w:sz w:val="22"/>
        </w:rPr>
      </w:pPr>
    </w:p>
    <w:p w:rsidR="00DD2E11" w:rsidRPr="003D254C" w:rsidRDefault="00DD2E11" w:rsidP="00804750">
      <w:pPr>
        <w:pStyle w:val="Estilo"/>
        <w:numPr>
          <w:ilvl w:val="0"/>
          <w:numId w:val="33"/>
        </w:numPr>
        <w:rPr>
          <w:rFonts w:cs="Arial"/>
          <w:sz w:val="22"/>
        </w:rPr>
      </w:pPr>
      <w:r w:rsidRPr="003D254C">
        <w:rPr>
          <w:rFonts w:cs="Arial"/>
          <w:sz w:val="22"/>
        </w:rPr>
        <w:lastRenderedPageBreak/>
        <w:t>si el expediente no se ha archivado y con el fin de comprobar los hechos, la Comisión realizará, con conocimiento de las partes, un examen del asunto planteado en la petición o comunicación. Si fuere necesario y conveniente, la Comisión realizará una investigación para cuyo eficaz cumplimiento solicitará, y los Estados interesados le proporcionarán todas las facilidades necesarias.</w:t>
      </w:r>
    </w:p>
    <w:p w:rsidR="00DD2E11" w:rsidRPr="003D254C" w:rsidRDefault="00DD2E11" w:rsidP="00DD2E11">
      <w:pPr>
        <w:pStyle w:val="Estilo"/>
        <w:rPr>
          <w:rFonts w:cs="Arial"/>
          <w:sz w:val="22"/>
        </w:rPr>
      </w:pPr>
    </w:p>
    <w:p w:rsidR="00DD2E11" w:rsidRPr="003D254C" w:rsidRDefault="00DD2E11" w:rsidP="00804750">
      <w:pPr>
        <w:pStyle w:val="Estilo"/>
        <w:numPr>
          <w:ilvl w:val="0"/>
          <w:numId w:val="33"/>
        </w:numPr>
        <w:rPr>
          <w:rFonts w:cs="Arial"/>
          <w:sz w:val="22"/>
        </w:rPr>
      </w:pPr>
      <w:r w:rsidRPr="003D254C">
        <w:rPr>
          <w:rFonts w:cs="Arial"/>
          <w:sz w:val="22"/>
        </w:rPr>
        <w:t>podrá pedir a los Estados interesados cualquier información pertinente y recibirá, si así se le solicita, las exposiciones verbales o escritas que presenten los interesados.</w:t>
      </w:r>
    </w:p>
    <w:p w:rsidR="00DD2E11" w:rsidRPr="003D254C" w:rsidRDefault="00DD2E11" w:rsidP="00DD2E11">
      <w:pPr>
        <w:pStyle w:val="Estilo"/>
        <w:rPr>
          <w:rFonts w:cs="Arial"/>
          <w:sz w:val="22"/>
        </w:rPr>
      </w:pPr>
    </w:p>
    <w:p w:rsidR="00DD2E11" w:rsidRPr="003D254C" w:rsidRDefault="00DD2E11" w:rsidP="00804750">
      <w:pPr>
        <w:pStyle w:val="Estilo"/>
        <w:numPr>
          <w:ilvl w:val="0"/>
          <w:numId w:val="33"/>
        </w:numPr>
        <w:rPr>
          <w:rFonts w:cs="Arial"/>
          <w:sz w:val="22"/>
        </w:rPr>
      </w:pPr>
      <w:r w:rsidRPr="003D254C">
        <w:rPr>
          <w:rFonts w:cs="Arial"/>
          <w:sz w:val="22"/>
        </w:rPr>
        <w:t>se pondrá a disposición de las partes interesadas, a fin de llegar a una solución amistosa del asunto fundada en el respeto a los derechos humanos reconocidos en esta Convención.</w:t>
      </w:r>
    </w:p>
    <w:p w:rsidR="00DD2E11" w:rsidRPr="003D254C" w:rsidRDefault="00DD2E11" w:rsidP="00DD2E11">
      <w:pPr>
        <w:pStyle w:val="Estilo"/>
        <w:rPr>
          <w:rFonts w:cs="Arial"/>
          <w:sz w:val="22"/>
        </w:rPr>
      </w:pPr>
    </w:p>
    <w:p w:rsidR="00DD2E11" w:rsidRPr="003D254C" w:rsidRDefault="00DD2E11" w:rsidP="00804750">
      <w:pPr>
        <w:pStyle w:val="Estilo"/>
        <w:numPr>
          <w:ilvl w:val="0"/>
          <w:numId w:val="32"/>
        </w:numPr>
        <w:ind w:hanging="720"/>
        <w:rPr>
          <w:rFonts w:cs="Arial"/>
          <w:sz w:val="22"/>
        </w:rPr>
      </w:pPr>
      <w:r w:rsidRPr="003D254C">
        <w:rPr>
          <w:rFonts w:cs="Arial"/>
          <w:sz w:val="22"/>
        </w:rPr>
        <w:t>Sin embargo, en casos graves y urgentes, puede realizarse una investigación previo consentimiento del Estado en cuyo territorio se alegue haberse cometido la violación, tan sólo con la presentación de una petición o comunicación que reúna todos los requisitos formales de admisibilidad.</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49.</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Si se ha llegado a una solución amistosa con arreglo a las disposiciones del inciso 1.f) del Artículo 48, la Comisión redactará un informe que será transmitido al peticionario y a los Estados Partes en esta Convención y comunicado después, para su publicación al Secretario General de la Organización de los Estados Americanos. Este informe obtendrá una breve exposición de los hechos y de la solución lograda. Sí cualquiera de las partes en el caso lo solicitan, se les suministrará la más amplia información posible.</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50.</w:t>
      </w:r>
    </w:p>
    <w:p w:rsidR="00DD2E11" w:rsidRPr="003D254C" w:rsidRDefault="00DD2E11" w:rsidP="00DD2E11">
      <w:pPr>
        <w:pStyle w:val="Estilo"/>
        <w:rPr>
          <w:rFonts w:cs="Arial"/>
          <w:sz w:val="22"/>
        </w:rPr>
      </w:pPr>
    </w:p>
    <w:p w:rsidR="00DD2E11" w:rsidRPr="003D254C" w:rsidRDefault="00DD2E11" w:rsidP="00804750">
      <w:pPr>
        <w:pStyle w:val="Estilo"/>
        <w:numPr>
          <w:ilvl w:val="0"/>
          <w:numId w:val="34"/>
        </w:numPr>
        <w:ind w:hanging="720"/>
        <w:rPr>
          <w:rFonts w:cs="Arial"/>
          <w:sz w:val="22"/>
        </w:rPr>
      </w:pPr>
      <w:r w:rsidRPr="003D254C">
        <w:rPr>
          <w:rFonts w:cs="Arial"/>
          <w:sz w:val="22"/>
        </w:rPr>
        <w:t>De no llegarse a una solución, y dentro del plazo que fije el Estatuto de la Comisión ésta redactará un informe en el que expondrá los hechos y sus conclusiones. Si el informe no representa, en todo o en parte, la opinión unánime de los miembros de la Comisión, cualquiera de ellos podrá agregar a dicho informe su opinión por separado. También se agregarán al informe las exposiciones verbales o escritas que hayan hecho los interesados en virtud del inciso 1.e) del artículo 48.</w:t>
      </w:r>
    </w:p>
    <w:p w:rsidR="00DD2E11" w:rsidRPr="003D254C" w:rsidRDefault="00DD2E11" w:rsidP="00DD2E11">
      <w:pPr>
        <w:pStyle w:val="Estilo"/>
        <w:rPr>
          <w:rFonts w:cs="Arial"/>
          <w:sz w:val="22"/>
        </w:rPr>
      </w:pPr>
    </w:p>
    <w:p w:rsidR="00DD2E11" w:rsidRPr="003D254C" w:rsidRDefault="00DD2E11" w:rsidP="00804750">
      <w:pPr>
        <w:pStyle w:val="Estilo"/>
        <w:numPr>
          <w:ilvl w:val="0"/>
          <w:numId w:val="34"/>
        </w:numPr>
        <w:ind w:hanging="720"/>
        <w:rPr>
          <w:rFonts w:cs="Arial"/>
          <w:sz w:val="22"/>
        </w:rPr>
      </w:pPr>
      <w:r w:rsidRPr="003D254C">
        <w:rPr>
          <w:rFonts w:cs="Arial"/>
          <w:sz w:val="22"/>
        </w:rPr>
        <w:t>El informe será transmitido a los Estados interesados, quienes no estarán facultados para publicarlo.</w:t>
      </w:r>
    </w:p>
    <w:p w:rsidR="00DD2E11" w:rsidRPr="003D254C" w:rsidRDefault="00DD2E11" w:rsidP="00DD2E11">
      <w:pPr>
        <w:pStyle w:val="Estilo"/>
        <w:rPr>
          <w:rFonts w:cs="Arial"/>
          <w:sz w:val="22"/>
        </w:rPr>
      </w:pPr>
    </w:p>
    <w:p w:rsidR="00DD2E11" w:rsidRPr="003D254C" w:rsidRDefault="00DD2E11" w:rsidP="00804750">
      <w:pPr>
        <w:pStyle w:val="Estilo"/>
        <w:numPr>
          <w:ilvl w:val="0"/>
          <w:numId w:val="34"/>
        </w:numPr>
        <w:ind w:hanging="720"/>
        <w:rPr>
          <w:rFonts w:cs="Arial"/>
          <w:sz w:val="22"/>
        </w:rPr>
      </w:pPr>
      <w:r w:rsidRPr="003D254C">
        <w:rPr>
          <w:rFonts w:cs="Arial"/>
          <w:sz w:val="22"/>
        </w:rPr>
        <w:t>Al transmitir el informe, la Comisión puede formular las proposiciones y recomendaciones que juzgue adecuadas.</w:t>
      </w:r>
    </w:p>
    <w:p w:rsidR="00DD2E11" w:rsidRPr="003D254C" w:rsidRDefault="00DD2E11" w:rsidP="00DD2E11">
      <w:pPr>
        <w:pStyle w:val="Estilo"/>
        <w:rPr>
          <w:rFonts w:cs="Arial"/>
          <w:sz w:val="22"/>
        </w:rPr>
      </w:pPr>
    </w:p>
    <w:p w:rsidR="00DD2E11" w:rsidRDefault="00DD2E11" w:rsidP="00DD2E11">
      <w:pPr>
        <w:pStyle w:val="Estilo"/>
        <w:rPr>
          <w:rFonts w:cs="Arial"/>
          <w:b/>
          <w:sz w:val="22"/>
        </w:rPr>
      </w:pPr>
    </w:p>
    <w:p w:rsidR="00DD2E11" w:rsidRDefault="00DD2E11" w:rsidP="00DD2E11">
      <w:pPr>
        <w:pStyle w:val="Estilo"/>
        <w:rPr>
          <w:rFonts w:cs="Arial"/>
          <w:b/>
          <w:sz w:val="22"/>
        </w:rPr>
      </w:pPr>
    </w:p>
    <w:p w:rsidR="00DD2E11" w:rsidRDefault="00DD2E11" w:rsidP="00DD2E11">
      <w:pPr>
        <w:pStyle w:val="Estilo"/>
        <w:rPr>
          <w:rFonts w:cs="Arial"/>
          <w:b/>
          <w:sz w:val="22"/>
        </w:rPr>
      </w:pPr>
    </w:p>
    <w:p w:rsidR="00DD2E11" w:rsidRPr="003D254C" w:rsidRDefault="00DD2E11" w:rsidP="00DD2E11">
      <w:pPr>
        <w:pStyle w:val="Estilo"/>
        <w:rPr>
          <w:rFonts w:cs="Arial"/>
          <w:b/>
          <w:sz w:val="22"/>
        </w:rPr>
      </w:pPr>
      <w:r w:rsidRPr="003D254C">
        <w:rPr>
          <w:rFonts w:cs="Arial"/>
          <w:b/>
          <w:sz w:val="22"/>
        </w:rPr>
        <w:lastRenderedPageBreak/>
        <w:t>Artículo 51.</w:t>
      </w:r>
    </w:p>
    <w:p w:rsidR="00DD2E11" w:rsidRPr="003D254C" w:rsidRDefault="00DD2E11" w:rsidP="00DD2E11">
      <w:pPr>
        <w:pStyle w:val="Estilo"/>
        <w:rPr>
          <w:rFonts w:cs="Arial"/>
          <w:sz w:val="22"/>
        </w:rPr>
      </w:pPr>
    </w:p>
    <w:p w:rsidR="00DD2E11" w:rsidRPr="003D254C" w:rsidRDefault="00DD2E11" w:rsidP="00804750">
      <w:pPr>
        <w:pStyle w:val="Estilo"/>
        <w:numPr>
          <w:ilvl w:val="0"/>
          <w:numId w:val="35"/>
        </w:numPr>
        <w:ind w:hanging="720"/>
        <w:rPr>
          <w:rFonts w:cs="Arial"/>
          <w:sz w:val="22"/>
        </w:rPr>
      </w:pPr>
      <w:r w:rsidRPr="003D254C">
        <w:rPr>
          <w:rFonts w:cs="Arial"/>
          <w:sz w:val="22"/>
        </w:rPr>
        <w:t>Si en el plazo de tres meses, a partir de la remisión a los Estados interesados del informe de la Comisión, el asunto no ha sido solucionado o sometido a la decisión de la Corte por la Comisión o por el Estado interesado, aceptando su competencia, la Comisión podrá emitir, por mayoría absoluta de votos de sus miembros, su opinión y conclusiones sobre la cuestión sometida a su consideración.</w:t>
      </w:r>
    </w:p>
    <w:p w:rsidR="00DD2E11" w:rsidRPr="003D254C" w:rsidRDefault="00DD2E11" w:rsidP="00DD2E11">
      <w:pPr>
        <w:pStyle w:val="Estilo"/>
        <w:rPr>
          <w:rFonts w:cs="Arial"/>
          <w:sz w:val="22"/>
        </w:rPr>
      </w:pPr>
    </w:p>
    <w:p w:rsidR="00DD2E11" w:rsidRPr="003D254C" w:rsidRDefault="00DD2E11" w:rsidP="00804750">
      <w:pPr>
        <w:pStyle w:val="Estilo"/>
        <w:numPr>
          <w:ilvl w:val="0"/>
          <w:numId w:val="35"/>
        </w:numPr>
        <w:ind w:hanging="720"/>
        <w:rPr>
          <w:rFonts w:cs="Arial"/>
          <w:sz w:val="22"/>
        </w:rPr>
      </w:pPr>
      <w:r w:rsidRPr="003D254C">
        <w:rPr>
          <w:rFonts w:cs="Arial"/>
          <w:sz w:val="22"/>
        </w:rPr>
        <w:t>La Comisión hará las recomendaciones pertinentes y fijará un plazo dentro del cual el Estado debe tomar las medidas que le competan para remediar la situación examinada.</w:t>
      </w:r>
    </w:p>
    <w:p w:rsidR="00DD2E11" w:rsidRPr="003D254C" w:rsidRDefault="00DD2E11" w:rsidP="00DD2E11">
      <w:pPr>
        <w:pStyle w:val="Estilo"/>
        <w:rPr>
          <w:rFonts w:cs="Arial"/>
          <w:sz w:val="22"/>
        </w:rPr>
      </w:pPr>
    </w:p>
    <w:p w:rsidR="00DD2E11" w:rsidRPr="003D254C" w:rsidRDefault="00DD2E11" w:rsidP="00804750">
      <w:pPr>
        <w:pStyle w:val="Estilo"/>
        <w:numPr>
          <w:ilvl w:val="0"/>
          <w:numId w:val="35"/>
        </w:numPr>
        <w:ind w:hanging="720"/>
        <w:rPr>
          <w:rFonts w:cs="Arial"/>
          <w:sz w:val="22"/>
        </w:rPr>
      </w:pPr>
      <w:r w:rsidRPr="003D254C">
        <w:rPr>
          <w:rFonts w:cs="Arial"/>
          <w:sz w:val="22"/>
        </w:rPr>
        <w:t>Transcurrido el período fijado, la Comisión decidirá, por la mayoría absoluta de votos de sus miembros, si el Estado ha tomado o no medidas adecuadas y si publica o no su informe.</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CAPITULO VIII - LA CORTE INTERAMERICANA DE DERECHOS HUMANOS</w:t>
      </w: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Sección 1. Organización</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52.</w:t>
      </w:r>
    </w:p>
    <w:p w:rsidR="00DD2E11" w:rsidRPr="003D254C" w:rsidRDefault="00DD2E11" w:rsidP="00DD2E11">
      <w:pPr>
        <w:pStyle w:val="Estilo"/>
        <w:rPr>
          <w:rFonts w:cs="Arial"/>
          <w:sz w:val="22"/>
        </w:rPr>
      </w:pPr>
    </w:p>
    <w:p w:rsidR="00DD2E11" w:rsidRPr="003D254C" w:rsidRDefault="00DD2E11" w:rsidP="00804750">
      <w:pPr>
        <w:pStyle w:val="Estilo"/>
        <w:numPr>
          <w:ilvl w:val="0"/>
          <w:numId w:val="36"/>
        </w:numPr>
        <w:ind w:hanging="720"/>
        <w:rPr>
          <w:rFonts w:cs="Arial"/>
          <w:sz w:val="22"/>
        </w:rPr>
      </w:pPr>
      <w:r w:rsidRPr="003D254C">
        <w:rPr>
          <w:rFonts w:cs="Arial"/>
          <w:sz w:val="22"/>
        </w:rPr>
        <w:t>La Corte se compondrá de siete jueces, nacionales de los Estados Miembros de la Organización, elegidos a título personal entre juristas de la más alta autoridad moral, de reconocida competencia en materia de derechos humanos, que reúnan las condiciones requeridas para el ejercicio de las más elevadas funciones judiciales conforme a la ley del país del cual sean nacionales o del Estado que los proponga como candidatos.</w:t>
      </w:r>
    </w:p>
    <w:p w:rsidR="00DD2E11" w:rsidRPr="003D254C" w:rsidRDefault="00DD2E11" w:rsidP="00DD2E11">
      <w:pPr>
        <w:pStyle w:val="Estilo"/>
        <w:rPr>
          <w:rFonts w:cs="Arial"/>
          <w:sz w:val="22"/>
        </w:rPr>
      </w:pPr>
    </w:p>
    <w:p w:rsidR="00DD2E11" w:rsidRPr="003D254C" w:rsidRDefault="00DD2E11" w:rsidP="00804750">
      <w:pPr>
        <w:pStyle w:val="Estilo"/>
        <w:numPr>
          <w:ilvl w:val="0"/>
          <w:numId w:val="36"/>
        </w:numPr>
        <w:ind w:hanging="720"/>
        <w:rPr>
          <w:rFonts w:cs="Arial"/>
          <w:sz w:val="22"/>
        </w:rPr>
      </w:pPr>
      <w:r w:rsidRPr="003D254C">
        <w:rPr>
          <w:rFonts w:cs="Arial"/>
          <w:sz w:val="22"/>
        </w:rPr>
        <w:t>No debe haber dos jueces de la misma nacionalidad.</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53.</w:t>
      </w:r>
    </w:p>
    <w:p w:rsidR="00DD2E11" w:rsidRPr="003D254C" w:rsidRDefault="00DD2E11" w:rsidP="00DD2E11">
      <w:pPr>
        <w:pStyle w:val="Estilo"/>
        <w:rPr>
          <w:rFonts w:cs="Arial"/>
          <w:sz w:val="22"/>
        </w:rPr>
      </w:pPr>
    </w:p>
    <w:p w:rsidR="00DD2E11" w:rsidRPr="003D254C" w:rsidRDefault="00DD2E11" w:rsidP="00804750">
      <w:pPr>
        <w:pStyle w:val="Estilo"/>
        <w:numPr>
          <w:ilvl w:val="0"/>
          <w:numId w:val="37"/>
        </w:numPr>
        <w:ind w:hanging="720"/>
        <w:rPr>
          <w:rFonts w:cs="Arial"/>
          <w:sz w:val="22"/>
        </w:rPr>
      </w:pPr>
      <w:r w:rsidRPr="003D254C">
        <w:rPr>
          <w:rFonts w:cs="Arial"/>
          <w:sz w:val="22"/>
        </w:rPr>
        <w:t>Los jueces de la Corte serán elegidos, en votación secreta y por mayoría absoluta de votos de los Estados Partes en la Convención, en la Asamblea General de la Organización, de una lista de candidatos propuestos por esos mismos Estados.</w:t>
      </w:r>
    </w:p>
    <w:p w:rsidR="00DD2E11" w:rsidRPr="003D254C" w:rsidRDefault="00DD2E11" w:rsidP="00DD2E11">
      <w:pPr>
        <w:pStyle w:val="Estilo"/>
        <w:rPr>
          <w:rFonts w:cs="Arial"/>
          <w:sz w:val="22"/>
        </w:rPr>
      </w:pPr>
    </w:p>
    <w:p w:rsidR="00DD2E11" w:rsidRPr="003D254C" w:rsidRDefault="00DD2E11" w:rsidP="00804750">
      <w:pPr>
        <w:pStyle w:val="Estilo"/>
        <w:numPr>
          <w:ilvl w:val="0"/>
          <w:numId w:val="37"/>
        </w:numPr>
        <w:ind w:hanging="720"/>
        <w:rPr>
          <w:rFonts w:cs="Arial"/>
          <w:sz w:val="22"/>
        </w:rPr>
      </w:pPr>
      <w:r w:rsidRPr="003D254C">
        <w:rPr>
          <w:rFonts w:cs="Arial"/>
          <w:sz w:val="22"/>
        </w:rPr>
        <w:t>Cada uno de los Estados Partes puede proponer hasta tres candidatos nacionales del Estado que los propone o de cualquier otro Estado Miembro de la Organización de los Estados Americanos. Cuando se proponga una terna, por lo menos uno de los candidatos deberá ser nacional de un Estado distinto del proponente.</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54.</w:t>
      </w:r>
    </w:p>
    <w:p w:rsidR="00DD2E11" w:rsidRPr="003D254C" w:rsidRDefault="00DD2E11" w:rsidP="00DD2E11">
      <w:pPr>
        <w:pStyle w:val="Estilo"/>
        <w:rPr>
          <w:rFonts w:cs="Arial"/>
          <w:sz w:val="22"/>
        </w:rPr>
      </w:pPr>
    </w:p>
    <w:p w:rsidR="00DD2E11" w:rsidRPr="003D254C" w:rsidRDefault="00DD2E11" w:rsidP="00804750">
      <w:pPr>
        <w:pStyle w:val="Estilo"/>
        <w:numPr>
          <w:ilvl w:val="0"/>
          <w:numId w:val="38"/>
        </w:numPr>
        <w:ind w:hanging="720"/>
        <w:rPr>
          <w:rFonts w:cs="Arial"/>
          <w:sz w:val="22"/>
        </w:rPr>
      </w:pPr>
      <w:r w:rsidRPr="003D254C">
        <w:rPr>
          <w:rFonts w:cs="Arial"/>
          <w:sz w:val="22"/>
        </w:rPr>
        <w:t xml:space="preserve">Los jueces de la Corte serán elegidos para un período de seis años y sólo podrán ser reelegidos una vez. El mandato de tres de los jueces designados en la primera elección, </w:t>
      </w:r>
      <w:r w:rsidRPr="003D254C">
        <w:rPr>
          <w:rFonts w:cs="Arial"/>
          <w:sz w:val="22"/>
        </w:rPr>
        <w:lastRenderedPageBreak/>
        <w:t>expirará al cabo de tres años. Inmediatamente después de dicha elección, se determinarán por sorteo en la Asamblea General los nombres de estos tres jueces.</w:t>
      </w:r>
    </w:p>
    <w:p w:rsidR="00DD2E11" w:rsidRPr="003D254C" w:rsidRDefault="00DD2E11" w:rsidP="00DD2E11">
      <w:pPr>
        <w:pStyle w:val="Estilo"/>
        <w:rPr>
          <w:rFonts w:cs="Arial"/>
          <w:sz w:val="22"/>
        </w:rPr>
      </w:pPr>
    </w:p>
    <w:p w:rsidR="00DD2E11" w:rsidRPr="003D254C" w:rsidRDefault="00DD2E11" w:rsidP="00804750">
      <w:pPr>
        <w:pStyle w:val="Estilo"/>
        <w:numPr>
          <w:ilvl w:val="0"/>
          <w:numId w:val="38"/>
        </w:numPr>
        <w:ind w:hanging="720"/>
        <w:rPr>
          <w:rFonts w:cs="Arial"/>
          <w:sz w:val="22"/>
        </w:rPr>
      </w:pPr>
      <w:r w:rsidRPr="003D254C">
        <w:rPr>
          <w:rFonts w:cs="Arial"/>
          <w:sz w:val="22"/>
        </w:rPr>
        <w:t>El juez elegido para reemplazar a otro cuyo mandato no ha expirado, completará el período de éste.</w:t>
      </w:r>
    </w:p>
    <w:p w:rsidR="00DD2E11" w:rsidRPr="003D254C" w:rsidRDefault="00DD2E11" w:rsidP="00DD2E11">
      <w:pPr>
        <w:pStyle w:val="Estilo"/>
        <w:rPr>
          <w:rFonts w:cs="Arial"/>
          <w:sz w:val="22"/>
        </w:rPr>
      </w:pPr>
    </w:p>
    <w:p w:rsidR="00DD2E11" w:rsidRPr="003D254C" w:rsidRDefault="00DD2E11" w:rsidP="00804750">
      <w:pPr>
        <w:pStyle w:val="Estilo"/>
        <w:numPr>
          <w:ilvl w:val="0"/>
          <w:numId w:val="38"/>
        </w:numPr>
        <w:ind w:hanging="720"/>
        <w:rPr>
          <w:rFonts w:cs="Arial"/>
          <w:sz w:val="22"/>
        </w:rPr>
      </w:pPr>
      <w:r w:rsidRPr="003D254C">
        <w:rPr>
          <w:rFonts w:cs="Arial"/>
          <w:sz w:val="22"/>
        </w:rPr>
        <w:t>Los jueces permanecerán en funciones hasta el término de su mandato. Sin embargo, seguirán conociendo de los casos a que ya se hubieran abocado y que se encuentren en estado de sentencia, a cuyos efectos no serán substituidos por los nuevos jueces elegidos.</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55.</w:t>
      </w:r>
    </w:p>
    <w:p w:rsidR="00DD2E11" w:rsidRPr="003D254C" w:rsidRDefault="00DD2E11" w:rsidP="00DD2E11">
      <w:pPr>
        <w:pStyle w:val="Estilo"/>
        <w:rPr>
          <w:rFonts w:cs="Arial"/>
          <w:sz w:val="22"/>
        </w:rPr>
      </w:pPr>
    </w:p>
    <w:p w:rsidR="00DD2E11" w:rsidRPr="003D254C" w:rsidRDefault="00DD2E11" w:rsidP="00804750">
      <w:pPr>
        <w:pStyle w:val="Estilo"/>
        <w:numPr>
          <w:ilvl w:val="0"/>
          <w:numId w:val="39"/>
        </w:numPr>
        <w:ind w:hanging="720"/>
        <w:rPr>
          <w:rFonts w:cs="Arial"/>
          <w:sz w:val="22"/>
        </w:rPr>
      </w:pPr>
      <w:r w:rsidRPr="003D254C">
        <w:rPr>
          <w:rFonts w:cs="Arial"/>
          <w:sz w:val="22"/>
        </w:rPr>
        <w:t>El juez que sea nacional de alguno de los Estados Partes en el caso sometido a la Corte, conservará su derecho a conocer del mismo.</w:t>
      </w:r>
    </w:p>
    <w:p w:rsidR="00DD2E11" w:rsidRPr="003D254C" w:rsidRDefault="00DD2E11" w:rsidP="00DD2E11">
      <w:pPr>
        <w:pStyle w:val="Estilo"/>
        <w:rPr>
          <w:rFonts w:cs="Arial"/>
          <w:sz w:val="22"/>
        </w:rPr>
      </w:pPr>
    </w:p>
    <w:p w:rsidR="00DD2E11" w:rsidRPr="003D254C" w:rsidRDefault="00DD2E11" w:rsidP="00804750">
      <w:pPr>
        <w:pStyle w:val="Estilo"/>
        <w:numPr>
          <w:ilvl w:val="0"/>
          <w:numId w:val="39"/>
        </w:numPr>
        <w:ind w:hanging="720"/>
        <w:rPr>
          <w:rFonts w:cs="Arial"/>
          <w:sz w:val="22"/>
        </w:rPr>
      </w:pPr>
      <w:r w:rsidRPr="003D254C">
        <w:rPr>
          <w:rFonts w:cs="Arial"/>
          <w:sz w:val="22"/>
        </w:rPr>
        <w:t>Si uno de los jueces llamados a conocer del caso fuere de la nacionalidad de uno de los Estados Partes, otro Estado Parte en el caso podrá designar a una persona de su elección para que integre la Corte en calidad de juez ad hoc.</w:t>
      </w:r>
    </w:p>
    <w:p w:rsidR="00DD2E11" w:rsidRPr="003D254C" w:rsidRDefault="00DD2E11" w:rsidP="00DD2E11">
      <w:pPr>
        <w:pStyle w:val="Estilo"/>
        <w:rPr>
          <w:rFonts w:cs="Arial"/>
          <w:sz w:val="22"/>
        </w:rPr>
      </w:pPr>
    </w:p>
    <w:p w:rsidR="00DD2E11" w:rsidRPr="003D254C" w:rsidRDefault="00DD2E11" w:rsidP="00804750">
      <w:pPr>
        <w:pStyle w:val="Estilo"/>
        <w:numPr>
          <w:ilvl w:val="0"/>
          <w:numId w:val="39"/>
        </w:numPr>
        <w:ind w:hanging="720"/>
        <w:rPr>
          <w:rFonts w:cs="Arial"/>
          <w:sz w:val="22"/>
        </w:rPr>
      </w:pPr>
      <w:r w:rsidRPr="003D254C">
        <w:rPr>
          <w:rFonts w:cs="Arial"/>
          <w:sz w:val="22"/>
        </w:rPr>
        <w:t>Si entre los jueces llamados a conocer del caso ninguno fuere de la nacionalidad de los Estados Partes, cada uno de éstos podrá designar un juez ad hoc.</w:t>
      </w:r>
    </w:p>
    <w:p w:rsidR="00DD2E11" w:rsidRPr="003D254C" w:rsidRDefault="00DD2E11" w:rsidP="00DD2E11">
      <w:pPr>
        <w:pStyle w:val="Estilo"/>
        <w:rPr>
          <w:rFonts w:cs="Arial"/>
          <w:sz w:val="22"/>
        </w:rPr>
      </w:pPr>
    </w:p>
    <w:p w:rsidR="00DD2E11" w:rsidRPr="003D254C" w:rsidRDefault="00DD2E11" w:rsidP="00804750">
      <w:pPr>
        <w:pStyle w:val="Estilo"/>
        <w:numPr>
          <w:ilvl w:val="0"/>
          <w:numId w:val="39"/>
        </w:numPr>
        <w:ind w:hanging="720"/>
        <w:rPr>
          <w:rFonts w:cs="Arial"/>
          <w:sz w:val="22"/>
        </w:rPr>
      </w:pPr>
      <w:r w:rsidRPr="003D254C">
        <w:rPr>
          <w:rFonts w:cs="Arial"/>
          <w:sz w:val="22"/>
        </w:rPr>
        <w:t>El juez ad hoc debe reunir las calidades señaladas en el artículo 52.</w:t>
      </w:r>
    </w:p>
    <w:p w:rsidR="00DD2E11" w:rsidRPr="003D254C" w:rsidRDefault="00DD2E11" w:rsidP="00DD2E11">
      <w:pPr>
        <w:pStyle w:val="Estilo"/>
        <w:rPr>
          <w:rFonts w:cs="Arial"/>
          <w:sz w:val="22"/>
        </w:rPr>
      </w:pPr>
    </w:p>
    <w:p w:rsidR="00DD2E11" w:rsidRPr="003D254C" w:rsidRDefault="00DD2E11" w:rsidP="00804750">
      <w:pPr>
        <w:pStyle w:val="Estilo"/>
        <w:numPr>
          <w:ilvl w:val="0"/>
          <w:numId w:val="39"/>
        </w:numPr>
        <w:ind w:hanging="720"/>
        <w:rPr>
          <w:rFonts w:cs="Arial"/>
          <w:sz w:val="22"/>
        </w:rPr>
      </w:pPr>
      <w:r w:rsidRPr="003D254C">
        <w:rPr>
          <w:rFonts w:cs="Arial"/>
          <w:sz w:val="22"/>
        </w:rPr>
        <w:t>Si varios Estados Partes en la Convención tuvieren un mismo interés en el caso, se considerarán como una sola parte para los fines de las disposiciones precedentes. En caso de duda, la Corte decidirá.</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56.</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El quórum para las deliberaciones de la Corte es de cinco jueces.</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57.</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La Comisión comparecerá en todos los casos ante la Corte.</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58.</w:t>
      </w:r>
    </w:p>
    <w:p w:rsidR="00DD2E11" w:rsidRPr="003D254C" w:rsidRDefault="00DD2E11" w:rsidP="00DD2E11">
      <w:pPr>
        <w:pStyle w:val="Estilo"/>
        <w:rPr>
          <w:rFonts w:cs="Arial"/>
          <w:sz w:val="22"/>
        </w:rPr>
      </w:pPr>
    </w:p>
    <w:p w:rsidR="00DD2E11" w:rsidRPr="003D254C" w:rsidRDefault="00DD2E11" w:rsidP="00804750">
      <w:pPr>
        <w:pStyle w:val="Estilo"/>
        <w:numPr>
          <w:ilvl w:val="0"/>
          <w:numId w:val="40"/>
        </w:numPr>
        <w:ind w:hanging="720"/>
        <w:rPr>
          <w:rFonts w:cs="Arial"/>
          <w:sz w:val="22"/>
        </w:rPr>
      </w:pPr>
      <w:r w:rsidRPr="003D254C">
        <w:rPr>
          <w:rFonts w:cs="Arial"/>
          <w:sz w:val="22"/>
        </w:rPr>
        <w:t>La Corte tendrá su sede en el lugar que determinen, en la Asamblea General de la Organización, los Estados Partes en la Convención, pero podrá celebrar reuniones en el territorio de cualquier Estado Miembro de la Organización de los Estados Americanos en que lo considere conveniente por mayoría de sus miembros y previa aquiescencia del Estado respectivo. Los Estados Partes en la Convención pueden, en la Asamblea General por dos tercios de sus votos, cambiar la sede de la Corte.</w:t>
      </w:r>
    </w:p>
    <w:p w:rsidR="00DD2E11" w:rsidRPr="003D254C" w:rsidRDefault="00DD2E11" w:rsidP="00DD2E11">
      <w:pPr>
        <w:pStyle w:val="Estilo"/>
        <w:rPr>
          <w:rFonts w:cs="Arial"/>
          <w:sz w:val="22"/>
        </w:rPr>
      </w:pPr>
    </w:p>
    <w:p w:rsidR="00DD2E11" w:rsidRPr="003D254C" w:rsidRDefault="00DD2E11" w:rsidP="00804750">
      <w:pPr>
        <w:pStyle w:val="Estilo"/>
        <w:numPr>
          <w:ilvl w:val="0"/>
          <w:numId w:val="40"/>
        </w:numPr>
        <w:ind w:hanging="720"/>
        <w:rPr>
          <w:rFonts w:cs="Arial"/>
          <w:sz w:val="22"/>
        </w:rPr>
      </w:pPr>
      <w:r w:rsidRPr="003D254C">
        <w:rPr>
          <w:rFonts w:cs="Arial"/>
          <w:sz w:val="22"/>
        </w:rPr>
        <w:t>La Corte designará a su Secretario.</w:t>
      </w:r>
    </w:p>
    <w:p w:rsidR="00DD2E11" w:rsidRPr="003D254C" w:rsidRDefault="00DD2E11" w:rsidP="00DD2E11">
      <w:pPr>
        <w:pStyle w:val="Estilo"/>
        <w:rPr>
          <w:rFonts w:cs="Arial"/>
          <w:sz w:val="22"/>
        </w:rPr>
      </w:pPr>
    </w:p>
    <w:p w:rsidR="00DD2E11" w:rsidRPr="003D254C" w:rsidRDefault="00DD2E11" w:rsidP="00804750">
      <w:pPr>
        <w:pStyle w:val="Estilo"/>
        <w:numPr>
          <w:ilvl w:val="0"/>
          <w:numId w:val="40"/>
        </w:numPr>
        <w:ind w:hanging="720"/>
        <w:rPr>
          <w:rFonts w:cs="Arial"/>
          <w:sz w:val="22"/>
        </w:rPr>
      </w:pPr>
      <w:r w:rsidRPr="003D254C">
        <w:rPr>
          <w:rFonts w:cs="Arial"/>
          <w:sz w:val="22"/>
        </w:rPr>
        <w:t>El Secretario residirá en la sede de la Corte y deberá asistir a las reuniones que ella celebre fuera de la misma.</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59.</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La Secretaría de la Corte será establecida por ésta y funcionará bajo la dirección del Secretario de la Corte, de acuerdo con las normas administrativas de la Secretaría General de la Organización en todo lo que no sea incompatible con la independencia de la Corte. Sus funcionarios serán nombrados por el Secretario General de la Organización, en consulta con el Secretario de la Corte.</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60.</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La Corte preparará su Estatuto y lo someterá a la aprobación de la Asamblea General y dictará su Reglamento.</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Sección 2. Competencia y Funciones</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61.</w:t>
      </w:r>
    </w:p>
    <w:p w:rsidR="00DD2E11" w:rsidRPr="003D254C" w:rsidRDefault="00DD2E11" w:rsidP="00DD2E11">
      <w:pPr>
        <w:pStyle w:val="Estilo"/>
        <w:rPr>
          <w:rFonts w:cs="Arial"/>
          <w:sz w:val="22"/>
        </w:rPr>
      </w:pPr>
    </w:p>
    <w:p w:rsidR="00DD2E11" w:rsidRPr="003D254C" w:rsidRDefault="00DD2E11" w:rsidP="00804750">
      <w:pPr>
        <w:pStyle w:val="Estilo"/>
        <w:numPr>
          <w:ilvl w:val="0"/>
          <w:numId w:val="41"/>
        </w:numPr>
        <w:ind w:hanging="720"/>
        <w:rPr>
          <w:rFonts w:cs="Arial"/>
          <w:sz w:val="22"/>
        </w:rPr>
      </w:pPr>
      <w:r w:rsidRPr="003D254C">
        <w:rPr>
          <w:rFonts w:cs="Arial"/>
          <w:sz w:val="22"/>
        </w:rPr>
        <w:t>Sólo los Estados Partes y la Comisión tienen derecho a someter un caso a la decisión de la Corte.</w:t>
      </w:r>
    </w:p>
    <w:p w:rsidR="00DD2E11" w:rsidRPr="003D254C" w:rsidRDefault="00DD2E11" w:rsidP="00DD2E11">
      <w:pPr>
        <w:pStyle w:val="Estilo"/>
        <w:rPr>
          <w:rFonts w:cs="Arial"/>
          <w:sz w:val="22"/>
        </w:rPr>
      </w:pPr>
    </w:p>
    <w:p w:rsidR="00DD2E11" w:rsidRPr="003D254C" w:rsidRDefault="00DD2E11" w:rsidP="00804750">
      <w:pPr>
        <w:pStyle w:val="Estilo"/>
        <w:numPr>
          <w:ilvl w:val="0"/>
          <w:numId w:val="41"/>
        </w:numPr>
        <w:ind w:hanging="720"/>
        <w:rPr>
          <w:rFonts w:cs="Arial"/>
          <w:sz w:val="22"/>
        </w:rPr>
      </w:pPr>
      <w:r w:rsidRPr="003D254C">
        <w:rPr>
          <w:rFonts w:cs="Arial"/>
          <w:sz w:val="22"/>
        </w:rPr>
        <w:t>Para que la Corte pueda conocer de cualquier caso, es necesario que sean agotados los procedimientos previstos en los artículos 48 a 50.</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62</w:t>
      </w:r>
    </w:p>
    <w:p w:rsidR="00DD2E11" w:rsidRPr="003D254C" w:rsidRDefault="00DD2E11" w:rsidP="00DD2E11">
      <w:pPr>
        <w:pStyle w:val="Estilo"/>
        <w:rPr>
          <w:rFonts w:cs="Arial"/>
          <w:sz w:val="22"/>
        </w:rPr>
      </w:pPr>
    </w:p>
    <w:p w:rsidR="00DD2E11" w:rsidRPr="003D254C" w:rsidRDefault="00DD2E11" w:rsidP="00804750">
      <w:pPr>
        <w:pStyle w:val="Estilo"/>
        <w:numPr>
          <w:ilvl w:val="0"/>
          <w:numId w:val="42"/>
        </w:numPr>
        <w:ind w:hanging="720"/>
        <w:rPr>
          <w:rFonts w:cs="Arial"/>
          <w:sz w:val="22"/>
        </w:rPr>
      </w:pPr>
      <w:r w:rsidRPr="003D254C">
        <w:rPr>
          <w:rFonts w:cs="Arial"/>
          <w:sz w:val="22"/>
        </w:rPr>
        <w:t>Todo Estado Parte puede, en el momento del depósito de su instrumento de ratificación o adhesión de esta Convención, o en cualquier momento posterior, declarar que reconoce como obligatoria de pleno derecho y sin convención especial, la competencia de la Corte sobre todos los casos relativos a la interpretación o aplicación de esta Convención.</w:t>
      </w:r>
    </w:p>
    <w:p w:rsidR="00DD2E11" w:rsidRPr="003D254C" w:rsidRDefault="00DD2E11" w:rsidP="00DD2E11">
      <w:pPr>
        <w:pStyle w:val="Estilo"/>
        <w:rPr>
          <w:rFonts w:cs="Arial"/>
          <w:sz w:val="22"/>
        </w:rPr>
      </w:pPr>
    </w:p>
    <w:p w:rsidR="00DD2E11" w:rsidRPr="003D254C" w:rsidRDefault="00DD2E11" w:rsidP="00804750">
      <w:pPr>
        <w:pStyle w:val="Estilo"/>
        <w:numPr>
          <w:ilvl w:val="0"/>
          <w:numId w:val="42"/>
        </w:numPr>
        <w:ind w:hanging="720"/>
        <w:rPr>
          <w:rFonts w:cs="Arial"/>
          <w:sz w:val="22"/>
        </w:rPr>
      </w:pPr>
      <w:r w:rsidRPr="003D254C">
        <w:rPr>
          <w:rFonts w:cs="Arial"/>
          <w:sz w:val="22"/>
        </w:rPr>
        <w:t>La declaración puede ser hecha incondicionalmente, o bajo condición de reciprocidad, por un plazo determinado o para casos específicos. Deberá ser presentada al Secretario General de la Organización, quien transmitirá copias de la misma a los otros Estados Miembros de la Organización y al Secretario de la Corte.</w:t>
      </w:r>
    </w:p>
    <w:p w:rsidR="00DD2E11" w:rsidRPr="003D254C" w:rsidRDefault="00DD2E11" w:rsidP="00DD2E11">
      <w:pPr>
        <w:pStyle w:val="Estilo"/>
        <w:rPr>
          <w:rFonts w:cs="Arial"/>
          <w:sz w:val="22"/>
        </w:rPr>
      </w:pPr>
    </w:p>
    <w:p w:rsidR="00DD2E11" w:rsidRPr="003D254C" w:rsidRDefault="00DD2E11" w:rsidP="00804750">
      <w:pPr>
        <w:pStyle w:val="Estilo"/>
        <w:numPr>
          <w:ilvl w:val="0"/>
          <w:numId w:val="42"/>
        </w:numPr>
        <w:ind w:hanging="720"/>
        <w:rPr>
          <w:rFonts w:cs="Arial"/>
          <w:sz w:val="22"/>
        </w:rPr>
      </w:pPr>
      <w:r w:rsidRPr="003D254C">
        <w:rPr>
          <w:rFonts w:cs="Arial"/>
          <w:sz w:val="22"/>
        </w:rPr>
        <w:t xml:space="preserve">La Corte tiene competencia para conocer de cualquier caso relativo a la interpretación y aplicación de las disposiciones de esta Convención que le sea sometido, siempre que los </w:t>
      </w:r>
      <w:r w:rsidRPr="003D254C">
        <w:rPr>
          <w:rFonts w:cs="Arial"/>
          <w:sz w:val="22"/>
        </w:rPr>
        <w:lastRenderedPageBreak/>
        <w:t>Estados Partes en el caso hayan reconocido o reconozcan dicha competencia, ora por declaración especial, como se indica en los incisos anteriores, ora por convención especial.</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63.</w:t>
      </w:r>
    </w:p>
    <w:p w:rsidR="00DD2E11" w:rsidRPr="003D254C" w:rsidRDefault="00DD2E11" w:rsidP="00DD2E11">
      <w:pPr>
        <w:pStyle w:val="Estilo"/>
        <w:rPr>
          <w:rFonts w:cs="Arial"/>
          <w:sz w:val="22"/>
        </w:rPr>
      </w:pPr>
    </w:p>
    <w:p w:rsidR="00DD2E11" w:rsidRPr="003D254C" w:rsidRDefault="00DD2E11" w:rsidP="00804750">
      <w:pPr>
        <w:pStyle w:val="Estilo"/>
        <w:numPr>
          <w:ilvl w:val="0"/>
          <w:numId w:val="43"/>
        </w:numPr>
        <w:ind w:hanging="720"/>
        <w:rPr>
          <w:rFonts w:cs="Arial"/>
          <w:sz w:val="22"/>
        </w:rPr>
      </w:pPr>
      <w:r w:rsidRPr="003D254C">
        <w:rPr>
          <w:rFonts w:cs="Arial"/>
          <w:sz w:val="22"/>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p w:rsidR="00DD2E11" w:rsidRPr="003D254C" w:rsidRDefault="00DD2E11" w:rsidP="00DD2E11">
      <w:pPr>
        <w:pStyle w:val="Estilo"/>
        <w:rPr>
          <w:rFonts w:cs="Arial"/>
          <w:sz w:val="22"/>
        </w:rPr>
      </w:pPr>
    </w:p>
    <w:p w:rsidR="00DD2E11" w:rsidRPr="003D254C" w:rsidRDefault="00DD2E11" w:rsidP="00804750">
      <w:pPr>
        <w:pStyle w:val="Estilo"/>
        <w:numPr>
          <w:ilvl w:val="0"/>
          <w:numId w:val="43"/>
        </w:numPr>
        <w:ind w:hanging="720"/>
        <w:rPr>
          <w:rFonts w:cs="Arial"/>
          <w:sz w:val="22"/>
        </w:rPr>
      </w:pPr>
      <w:r w:rsidRPr="003D254C">
        <w:rPr>
          <w:rFonts w:cs="Arial"/>
          <w:sz w:val="22"/>
        </w:rPr>
        <w:t>En casos de extrema gravedad y urgencia, y cuando se haga necesario evitar daños irreparables a las personas, la Corte, en los asuntos que este conociendo, podrá tomar las medidas provisionales que considere pertinentes. Si se tratare de asuntos que aún no estén sometidos a su conocimiento, podrá actuar a solicitud de la Comisión.</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64.</w:t>
      </w:r>
    </w:p>
    <w:p w:rsidR="00DD2E11" w:rsidRPr="003D254C" w:rsidRDefault="00DD2E11" w:rsidP="00DD2E11">
      <w:pPr>
        <w:pStyle w:val="Estilo"/>
        <w:rPr>
          <w:rFonts w:cs="Arial"/>
          <w:sz w:val="22"/>
        </w:rPr>
      </w:pPr>
    </w:p>
    <w:p w:rsidR="00DD2E11" w:rsidRPr="003D254C" w:rsidRDefault="00DD2E11" w:rsidP="00804750">
      <w:pPr>
        <w:pStyle w:val="Estilo"/>
        <w:numPr>
          <w:ilvl w:val="0"/>
          <w:numId w:val="44"/>
        </w:numPr>
        <w:ind w:hanging="720"/>
        <w:rPr>
          <w:rFonts w:cs="Arial"/>
          <w:sz w:val="22"/>
        </w:rPr>
      </w:pPr>
      <w:r w:rsidRPr="003D254C">
        <w:rPr>
          <w:rFonts w:cs="Arial"/>
          <w:sz w:val="22"/>
        </w:rPr>
        <w:t>Los Estados Miembros de la Organización podrán consultar a la Corte acerca de la interpretación de esta Convención o de otros tratados concernientes a la protección de los derechos humanos en los Estados Americanos. Asimismo, podrán consultarla, en lo que le compete, los órganos enumerados en el capítulo X de la Carta de la Organización de los Estados Americanos, reformada por el Protocolo de Buenos Aires.</w:t>
      </w:r>
    </w:p>
    <w:p w:rsidR="00DD2E11" w:rsidRPr="003D254C" w:rsidRDefault="00DD2E11" w:rsidP="00DD2E11">
      <w:pPr>
        <w:pStyle w:val="Estilo"/>
        <w:rPr>
          <w:rFonts w:cs="Arial"/>
          <w:sz w:val="22"/>
        </w:rPr>
      </w:pPr>
    </w:p>
    <w:p w:rsidR="00DD2E11" w:rsidRPr="003D254C" w:rsidRDefault="00DD2E11" w:rsidP="00804750">
      <w:pPr>
        <w:pStyle w:val="Estilo"/>
        <w:numPr>
          <w:ilvl w:val="0"/>
          <w:numId w:val="44"/>
        </w:numPr>
        <w:ind w:hanging="720"/>
        <w:rPr>
          <w:rFonts w:cs="Arial"/>
          <w:sz w:val="22"/>
        </w:rPr>
      </w:pPr>
      <w:r w:rsidRPr="003D254C">
        <w:rPr>
          <w:rFonts w:cs="Arial"/>
          <w:sz w:val="22"/>
        </w:rPr>
        <w:t>La Corte, a solicitud de un Estado Miembro de la Organización, podrá darle opiniones acerca de la compatibilidad entre cualquiera de sus leyes internas y los mencionados instrumentos internacionales.</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65.</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Sección 3. Procedimientos</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66.</w:t>
      </w:r>
    </w:p>
    <w:p w:rsidR="00DD2E11" w:rsidRPr="003D254C" w:rsidRDefault="00DD2E11" w:rsidP="00DD2E11">
      <w:pPr>
        <w:pStyle w:val="Estilo"/>
        <w:rPr>
          <w:rFonts w:cs="Arial"/>
          <w:sz w:val="22"/>
        </w:rPr>
      </w:pPr>
    </w:p>
    <w:p w:rsidR="00DD2E11" w:rsidRPr="003D254C" w:rsidRDefault="00DD2E11" w:rsidP="00804750">
      <w:pPr>
        <w:pStyle w:val="Estilo"/>
        <w:numPr>
          <w:ilvl w:val="0"/>
          <w:numId w:val="45"/>
        </w:numPr>
        <w:ind w:hanging="720"/>
        <w:rPr>
          <w:rFonts w:cs="Arial"/>
          <w:sz w:val="22"/>
        </w:rPr>
      </w:pPr>
      <w:r w:rsidRPr="003D254C">
        <w:rPr>
          <w:rFonts w:cs="Arial"/>
          <w:sz w:val="22"/>
        </w:rPr>
        <w:t>El fallo de la Corte será motivado.</w:t>
      </w:r>
    </w:p>
    <w:p w:rsidR="00DD2E11" w:rsidRPr="003D254C" w:rsidRDefault="00DD2E11" w:rsidP="00DD2E11">
      <w:pPr>
        <w:pStyle w:val="Estilo"/>
        <w:rPr>
          <w:rFonts w:cs="Arial"/>
          <w:sz w:val="22"/>
        </w:rPr>
      </w:pPr>
    </w:p>
    <w:p w:rsidR="00DD2E11" w:rsidRPr="003D254C" w:rsidRDefault="00DD2E11" w:rsidP="00804750">
      <w:pPr>
        <w:pStyle w:val="Estilo"/>
        <w:numPr>
          <w:ilvl w:val="0"/>
          <w:numId w:val="45"/>
        </w:numPr>
        <w:ind w:hanging="720"/>
        <w:rPr>
          <w:rFonts w:cs="Arial"/>
          <w:sz w:val="22"/>
        </w:rPr>
      </w:pPr>
      <w:r w:rsidRPr="003D254C">
        <w:rPr>
          <w:rFonts w:cs="Arial"/>
          <w:sz w:val="22"/>
        </w:rPr>
        <w:t>Si el fallo no expresare en todo o en parte la opinión unánime de los jueces, cualquiera de éstos tendrá derecho a que se agregue al fallo su opinión disidente o individual.</w:t>
      </w:r>
    </w:p>
    <w:p w:rsidR="00DD2E11" w:rsidRPr="003D254C" w:rsidRDefault="00DD2E11" w:rsidP="00DD2E11">
      <w:pPr>
        <w:pStyle w:val="Estilo"/>
        <w:rPr>
          <w:rFonts w:cs="Arial"/>
          <w:b/>
          <w:sz w:val="22"/>
        </w:rPr>
      </w:pPr>
      <w:r w:rsidRPr="003D254C">
        <w:rPr>
          <w:rFonts w:cs="Arial"/>
          <w:b/>
          <w:sz w:val="22"/>
        </w:rPr>
        <w:lastRenderedPageBreak/>
        <w:t>Artículo 67.</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68.</w:t>
      </w:r>
    </w:p>
    <w:p w:rsidR="00DD2E11" w:rsidRPr="003D254C" w:rsidRDefault="00DD2E11" w:rsidP="00DD2E11">
      <w:pPr>
        <w:pStyle w:val="Estilo"/>
        <w:rPr>
          <w:rFonts w:cs="Arial"/>
          <w:sz w:val="22"/>
        </w:rPr>
      </w:pPr>
    </w:p>
    <w:p w:rsidR="00DD2E11" w:rsidRPr="003D254C" w:rsidRDefault="00DD2E11" w:rsidP="00804750">
      <w:pPr>
        <w:pStyle w:val="Estilo"/>
        <w:numPr>
          <w:ilvl w:val="0"/>
          <w:numId w:val="46"/>
        </w:numPr>
        <w:ind w:hanging="720"/>
        <w:rPr>
          <w:rFonts w:cs="Arial"/>
          <w:sz w:val="22"/>
        </w:rPr>
      </w:pPr>
      <w:r w:rsidRPr="003D254C">
        <w:rPr>
          <w:rFonts w:cs="Arial"/>
          <w:sz w:val="22"/>
        </w:rPr>
        <w:t>Los Estados Partes en la Convención se comprometen a cumplir la decisión de la Corte en todo caso en que sean partes.</w:t>
      </w:r>
    </w:p>
    <w:p w:rsidR="00DD2E11" w:rsidRPr="003D254C" w:rsidRDefault="00DD2E11" w:rsidP="00DD2E11">
      <w:pPr>
        <w:pStyle w:val="Estilo"/>
        <w:rPr>
          <w:rFonts w:cs="Arial"/>
          <w:sz w:val="22"/>
        </w:rPr>
      </w:pPr>
    </w:p>
    <w:p w:rsidR="00DD2E11" w:rsidRPr="003D254C" w:rsidRDefault="00DD2E11" w:rsidP="00804750">
      <w:pPr>
        <w:pStyle w:val="Estilo"/>
        <w:numPr>
          <w:ilvl w:val="0"/>
          <w:numId w:val="46"/>
        </w:numPr>
        <w:ind w:hanging="720"/>
        <w:rPr>
          <w:rFonts w:cs="Arial"/>
          <w:sz w:val="22"/>
        </w:rPr>
      </w:pPr>
      <w:r w:rsidRPr="003D254C">
        <w:rPr>
          <w:rFonts w:cs="Arial"/>
          <w:sz w:val="22"/>
        </w:rPr>
        <w:t>La parte del fallo que disponga indemnización compensatoria se podrá ejecutar en el respectivo país por el procedimiento interno vigente para la ejecución de sentencias contra el Estado.</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69.</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El fallo de la Corte será notificado a las partes en el caso y transmitido a los Estados Partes en la Convención.</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CAPITULO IX - DISPOSICIONES COMUNES</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70.</w:t>
      </w:r>
    </w:p>
    <w:p w:rsidR="00DD2E11" w:rsidRPr="003D254C" w:rsidRDefault="00DD2E11" w:rsidP="00DD2E11">
      <w:pPr>
        <w:pStyle w:val="Estilo"/>
        <w:rPr>
          <w:rFonts w:cs="Arial"/>
          <w:sz w:val="22"/>
        </w:rPr>
      </w:pPr>
    </w:p>
    <w:p w:rsidR="00DD2E11" w:rsidRPr="003D254C" w:rsidRDefault="00DD2E11" w:rsidP="00804750">
      <w:pPr>
        <w:pStyle w:val="Estilo"/>
        <w:numPr>
          <w:ilvl w:val="0"/>
          <w:numId w:val="47"/>
        </w:numPr>
        <w:ind w:hanging="720"/>
        <w:rPr>
          <w:rFonts w:cs="Arial"/>
          <w:sz w:val="22"/>
        </w:rPr>
      </w:pPr>
      <w:r w:rsidRPr="003D254C">
        <w:rPr>
          <w:rFonts w:cs="Arial"/>
          <w:sz w:val="22"/>
        </w:rPr>
        <w:t>Los Jueces de la Corte y los miembros de la Comisión gozan, desde el momento de su elección y mientras dure su mandato, de las inmunidades reconocidas a los agentes diplomáticos por el derecho internacional. Durante el ejercicio de sus cargos gozan, además, de los privilegios diplomáticos necesarios para el desempeño de sus funciones.</w:t>
      </w:r>
    </w:p>
    <w:p w:rsidR="00DD2E11" w:rsidRPr="003D254C" w:rsidRDefault="00DD2E11" w:rsidP="00DD2E11">
      <w:pPr>
        <w:pStyle w:val="Estilo"/>
        <w:rPr>
          <w:rFonts w:cs="Arial"/>
          <w:sz w:val="22"/>
        </w:rPr>
      </w:pPr>
    </w:p>
    <w:p w:rsidR="00DD2E11" w:rsidRPr="003D254C" w:rsidRDefault="00DD2E11" w:rsidP="00804750">
      <w:pPr>
        <w:pStyle w:val="Estilo"/>
        <w:numPr>
          <w:ilvl w:val="0"/>
          <w:numId w:val="47"/>
        </w:numPr>
        <w:ind w:hanging="720"/>
        <w:rPr>
          <w:rFonts w:cs="Arial"/>
          <w:sz w:val="22"/>
        </w:rPr>
      </w:pPr>
      <w:r w:rsidRPr="003D254C">
        <w:rPr>
          <w:rFonts w:cs="Arial"/>
          <w:sz w:val="22"/>
        </w:rPr>
        <w:t>No podrá exigirse responsabilidad en ningún tiempo a los jueces de la Corte ni a los miembros de la Comisión por votos y opiniones emitidos en el ejercicio de sus funciones.</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71.</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Son incompatibles los cargos de juez de la Corte o miembro de la Comisión con otras actividades que pudieren afectar su independencia o imparcialidad conforme a lo que se determine en los respectivos estatutos.</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72.</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 xml:space="preserve">Los jueces de la Corte y los miembros de la Comisión percibirán emolumentos y gastos de viaje en la forma y condiciones que determinen sus estatutos, teniendo en cuenta la importancia e independencia de sus funciones. Tales emolumentos y gastos de viaje serán fijados en el programa-presupuesto de la Organización de los Estados Americanos, el que debe incluir, además, los gastos de la Corte y de su </w:t>
      </w:r>
      <w:r w:rsidRPr="003D254C">
        <w:rPr>
          <w:rFonts w:cs="Arial"/>
          <w:sz w:val="22"/>
        </w:rPr>
        <w:lastRenderedPageBreak/>
        <w:t>Secretaría. A estos efectos, la Corte elaborará su propio proyecto de presupuesto y lo someterá a la aprobación de la Asamblea General, por conducto de la Secretaría General. Esta última no podrá introducirle modificaciones.</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73.</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Solamente a solicitud de la Comisión o de la Corte, según el caso, corresponde a la Asamblea General de la Organización resolver sobre las sanciones aplicables a los miembros de la Comisión o jueces de la Corte que hubiesen incurrido en las causales previstas en los respectivos estatutos. Para dictar una resolución se requerirá una mayoría de los dos tercios de los votos de los Estados Miembros de la Organización en el caso de los miembros de la Comisión y, además, de los dos tercios de los votos de los Estados Partes en la Convención, si se tratare de jueces de la Corte.</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PARTE III - DISPOSICIONES GENERALES Y TRANSITORIAS</w:t>
      </w: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CAPITULO X - FIRMA, RATIFICACION, RESERVA, ENMIENDA, PROTOCOLO Y DENUNCIA</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74.</w:t>
      </w:r>
    </w:p>
    <w:p w:rsidR="00DD2E11" w:rsidRPr="003D254C" w:rsidRDefault="00DD2E11" w:rsidP="00DD2E11">
      <w:pPr>
        <w:pStyle w:val="Estilo"/>
        <w:rPr>
          <w:rFonts w:cs="Arial"/>
          <w:sz w:val="22"/>
        </w:rPr>
      </w:pPr>
    </w:p>
    <w:p w:rsidR="00DD2E11" w:rsidRPr="003D254C" w:rsidRDefault="00DD2E11" w:rsidP="00804750">
      <w:pPr>
        <w:pStyle w:val="Estilo"/>
        <w:numPr>
          <w:ilvl w:val="0"/>
          <w:numId w:val="48"/>
        </w:numPr>
        <w:ind w:hanging="720"/>
        <w:rPr>
          <w:rFonts w:cs="Arial"/>
          <w:sz w:val="22"/>
        </w:rPr>
      </w:pPr>
      <w:r w:rsidRPr="003D254C">
        <w:rPr>
          <w:rFonts w:cs="Arial"/>
          <w:sz w:val="22"/>
        </w:rPr>
        <w:t>Esta Convención queda abierta a la firma y a la ratificación o adhesión de todo Estado Miembro de la Organización de los Estados Americanos.</w:t>
      </w:r>
    </w:p>
    <w:p w:rsidR="00DD2E11" w:rsidRPr="003D254C" w:rsidRDefault="00DD2E11" w:rsidP="00DD2E11">
      <w:pPr>
        <w:pStyle w:val="Estilo"/>
        <w:rPr>
          <w:rFonts w:cs="Arial"/>
          <w:sz w:val="22"/>
        </w:rPr>
      </w:pPr>
    </w:p>
    <w:p w:rsidR="00DD2E11" w:rsidRPr="003D254C" w:rsidRDefault="00DD2E11" w:rsidP="00804750">
      <w:pPr>
        <w:pStyle w:val="Estilo"/>
        <w:numPr>
          <w:ilvl w:val="0"/>
          <w:numId w:val="48"/>
        </w:numPr>
        <w:ind w:hanging="720"/>
        <w:rPr>
          <w:rFonts w:cs="Arial"/>
          <w:sz w:val="22"/>
        </w:rPr>
      </w:pPr>
      <w:r w:rsidRPr="003D254C">
        <w:rPr>
          <w:rFonts w:cs="Arial"/>
          <w:sz w:val="22"/>
        </w:rPr>
        <w:t>La ratificación de esta Convención o la adhesión a la misma se efectuará mediante el depósito de un instrumento de ratificación o de adhesión en la Secretaría General de la Organización de los Estados Americanos. Tan pronto como once Estados hayan depositado sus respectivos instrumentos de ratificación o de adhesión, la Convención entrará en vigor. Respecto a todo otro Estado que la ratifique o adhiera a ella ulteriormente, la Convención entrará en vigor en la fecha del depósito de su instrumento de ratificación o de adhesión.</w:t>
      </w:r>
    </w:p>
    <w:p w:rsidR="00DD2E11" w:rsidRPr="003D254C" w:rsidRDefault="00DD2E11" w:rsidP="00DD2E11">
      <w:pPr>
        <w:pStyle w:val="Estilo"/>
        <w:rPr>
          <w:rFonts w:cs="Arial"/>
          <w:sz w:val="22"/>
        </w:rPr>
      </w:pPr>
    </w:p>
    <w:p w:rsidR="00DD2E11" w:rsidRPr="003D254C" w:rsidRDefault="00DD2E11" w:rsidP="00804750">
      <w:pPr>
        <w:pStyle w:val="Estilo"/>
        <w:numPr>
          <w:ilvl w:val="0"/>
          <w:numId w:val="48"/>
        </w:numPr>
        <w:ind w:hanging="720"/>
        <w:rPr>
          <w:rFonts w:cs="Arial"/>
          <w:sz w:val="22"/>
        </w:rPr>
      </w:pPr>
      <w:r w:rsidRPr="003D254C">
        <w:rPr>
          <w:rFonts w:cs="Arial"/>
          <w:sz w:val="22"/>
        </w:rPr>
        <w:t>El Secretario General informará a todos los Estados Miembros de la Organización de la entrada en vigor de la Convención.</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75.</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Esta Convención sólo puede ser objeto de reservas conforme a las disposiciones de la convención de Viena sobre Derecho de los Tratados, suscrita el 23 de mayo de 1969.</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76.</w:t>
      </w:r>
    </w:p>
    <w:p w:rsidR="00DD2E11" w:rsidRPr="003D254C" w:rsidRDefault="00DD2E11" w:rsidP="00DD2E11">
      <w:pPr>
        <w:pStyle w:val="Estilo"/>
        <w:rPr>
          <w:rFonts w:cs="Arial"/>
          <w:sz w:val="22"/>
        </w:rPr>
      </w:pPr>
    </w:p>
    <w:p w:rsidR="00DD2E11" w:rsidRPr="003D254C" w:rsidRDefault="00DD2E11" w:rsidP="00804750">
      <w:pPr>
        <w:pStyle w:val="Estilo"/>
        <w:numPr>
          <w:ilvl w:val="0"/>
          <w:numId w:val="49"/>
        </w:numPr>
        <w:ind w:hanging="720"/>
        <w:rPr>
          <w:rFonts w:cs="Arial"/>
          <w:sz w:val="22"/>
        </w:rPr>
      </w:pPr>
      <w:r w:rsidRPr="003D254C">
        <w:rPr>
          <w:rFonts w:cs="Arial"/>
          <w:sz w:val="22"/>
        </w:rPr>
        <w:t>Cualquier Estado Parte directamente y la Comisión o la Corte por conducto del Secretario General, pueden someter a la Asamblea General, para lo que estime conveniente, una propuesta de enmienda a esta Convención.</w:t>
      </w:r>
    </w:p>
    <w:p w:rsidR="00DD2E11" w:rsidRPr="003D254C" w:rsidRDefault="00DD2E11" w:rsidP="00DD2E11">
      <w:pPr>
        <w:pStyle w:val="Estilo"/>
        <w:rPr>
          <w:rFonts w:cs="Arial"/>
          <w:sz w:val="22"/>
        </w:rPr>
      </w:pPr>
    </w:p>
    <w:p w:rsidR="00DD2E11" w:rsidRPr="003D254C" w:rsidRDefault="00DD2E11" w:rsidP="00804750">
      <w:pPr>
        <w:pStyle w:val="Estilo"/>
        <w:numPr>
          <w:ilvl w:val="0"/>
          <w:numId w:val="49"/>
        </w:numPr>
        <w:ind w:hanging="720"/>
        <w:rPr>
          <w:rFonts w:cs="Arial"/>
          <w:sz w:val="22"/>
        </w:rPr>
      </w:pPr>
      <w:r w:rsidRPr="003D254C">
        <w:rPr>
          <w:rFonts w:cs="Arial"/>
          <w:sz w:val="22"/>
        </w:rPr>
        <w:lastRenderedPageBreak/>
        <w:t>Las enmiendas entrarán en vigor para los Estados ratificantes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77.</w:t>
      </w:r>
    </w:p>
    <w:p w:rsidR="00DD2E11" w:rsidRPr="003D254C" w:rsidRDefault="00DD2E11" w:rsidP="00DD2E11">
      <w:pPr>
        <w:pStyle w:val="Estilo"/>
        <w:rPr>
          <w:rFonts w:cs="Arial"/>
          <w:sz w:val="22"/>
        </w:rPr>
      </w:pPr>
    </w:p>
    <w:p w:rsidR="00DD2E11" w:rsidRPr="003D254C" w:rsidRDefault="00DD2E11" w:rsidP="00804750">
      <w:pPr>
        <w:pStyle w:val="Estilo"/>
        <w:numPr>
          <w:ilvl w:val="0"/>
          <w:numId w:val="50"/>
        </w:numPr>
        <w:ind w:hanging="720"/>
        <w:rPr>
          <w:rFonts w:cs="Arial"/>
          <w:sz w:val="22"/>
        </w:rPr>
      </w:pPr>
      <w:r w:rsidRPr="003D254C">
        <w:rPr>
          <w:rFonts w:cs="Arial"/>
          <w:sz w:val="22"/>
        </w:rPr>
        <w:t>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p w:rsidR="00DD2E11" w:rsidRPr="003D254C" w:rsidRDefault="00DD2E11" w:rsidP="00DD2E11">
      <w:pPr>
        <w:pStyle w:val="Estilo"/>
        <w:rPr>
          <w:rFonts w:cs="Arial"/>
          <w:sz w:val="22"/>
        </w:rPr>
      </w:pPr>
    </w:p>
    <w:p w:rsidR="00DD2E11" w:rsidRPr="003D254C" w:rsidRDefault="00DD2E11" w:rsidP="00804750">
      <w:pPr>
        <w:pStyle w:val="Estilo"/>
        <w:numPr>
          <w:ilvl w:val="0"/>
          <w:numId w:val="50"/>
        </w:numPr>
        <w:ind w:hanging="720"/>
        <w:rPr>
          <w:rFonts w:cs="Arial"/>
          <w:sz w:val="22"/>
        </w:rPr>
      </w:pPr>
      <w:r w:rsidRPr="003D254C">
        <w:rPr>
          <w:rFonts w:cs="Arial"/>
          <w:sz w:val="22"/>
        </w:rPr>
        <w:t>Cada protocolo debe fijar las modalidades de su entrada en vigor, y se aplicará sólo entre los Estados Partes en el mismo.</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78.</w:t>
      </w:r>
    </w:p>
    <w:p w:rsidR="00DD2E11" w:rsidRPr="003D254C" w:rsidRDefault="00DD2E11" w:rsidP="00DD2E11">
      <w:pPr>
        <w:pStyle w:val="Estilo"/>
        <w:rPr>
          <w:rFonts w:cs="Arial"/>
          <w:sz w:val="22"/>
        </w:rPr>
      </w:pPr>
    </w:p>
    <w:p w:rsidR="00DD2E11" w:rsidRPr="003D254C" w:rsidRDefault="00DD2E11" w:rsidP="00804750">
      <w:pPr>
        <w:pStyle w:val="Estilo"/>
        <w:numPr>
          <w:ilvl w:val="0"/>
          <w:numId w:val="51"/>
        </w:numPr>
        <w:ind w:hanging="720"/>
        <w:rPr>
          <w:rFonts w:cs="Arial"/>
          <w:sz w:val="22"/>
        </w:rPr>
      </w:pPr>
      <w:r w:rsidRPr="003D254C">
        <w:rPr>
          <w:rFonts w:cs="Arial"/>
          <w:sz w:val="22"/>
        </w:rPr>
        <w:t>Los Estados Partes podrán denunciar esta Convención después de la expiración de un plazo de cinco años a partir de la fecha de entrada en vigor de la misma y mediante un preaviso de un año, notificando al Secretario General de la Organización, quien debe informar a las otras Partes.</w:t>
      </w:r>
    </w:p>
    <w:p w:rsidR="00DD2E11" w:rsidRPr="003D254C" w:rsidRDefault="00DD2E11" w:rsidP="00DD2E11">
      <w:pPr>
        <w:pStyle w:val="Estilo"/>
        <w:rPr>
          <w:rFonts w:cs="Arial"/>
          <w:sz w:val="22"/>
        </w:rPr>
      </w:pPr>
    </w:p>
    <w:p w:rsidR="00DD2E11" w:rsidRPr="003D254C" w:rsidRDefault="00DD2E11" w:rsidP="00804750">
      <w:pPr>
        <w:pStyle w:val="Estilo"/>
        <w:numPr>
          <w:ilvl w:val="0"/>
          <w:numId w:val="51"/>
        </w:numPr>
        <w:ind w:hanging="720"/>
        <w:rPr>
          <w:rFonts w:cs="Arial"/>
          <w:sz w:val="22"/>
        </w:rPr>
      </w:pPr>
      <w:r w:rsidRPr="003D254C">
        <w:rPr>
          <w:rFonts w:cs="Arial"/>
          <w:sz w:val="22"/>
        </w:rPr>
        <w:t>Dicha denuncia no tendrá por efecto desligar al Estado Parte interesado de las obligaciones contenidas en esta Convención en lo que concierne a todo hecho que, pudiendo constituir una violación de esas obligaciones, haya sido cumplido por él anteriormente a la fecha en la cual la denuncia produce efecto.</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CAPITULO XI - DISPOSICIONES TRANSITORIAS</w:t>
      </w:r>
    </w:p>
    <w:p w:rsidR="00DD2E11" w:rsidRPr="003D254C" w:rsidRDefault="00DD2E11" w:rsidP="00DD2E11">
      <w:pPr>
        <w:pStyle w:val="Estilo"/>
        <w:rPr>
          <w:rFonts w:cs="Arial"/>
          <w:b/>
          <w:sz w:val="22"/>
        </w:rPr>
      </w:pPr>
    </w:p>
    <w:p w:rsidR="00DD2E11" w:rsidRPr="003D254C" w:rsidRDefault="00DD2E11" w:rsidP="00DD2E11">
      <w:pPr>
        <w:pStyle w:val="Estilo"/>
        <w:jc w:val="center"/>
        <w:rPr>
          <w:rFonts w:cs="Arial"/>
          <w:b/>
          <w:sz w:val="22"/>
        </w:rPr>
      </w:pPr>
      <w:r w:rsidRPr="003D254C">
        <w:rPr>
          <w:rFonts w:cs="Arial"/>
          <w:b/>
          <w:sz w:val="22"/>
        </w:rPr>
        <w:t>Sección 1. Comisión Interamericana de Derechos Humanos</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79.</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Al entrar en vigor esta Convención, el Secretario General pedirá por escrito a cada Estado Miembro de la Organización que presente, dentro de un plazo de noventa días, sus candidatos para miembros de la Comisión Interamericana de Derechos Humanos. El Secretario General prepará (sic) una lista por orden alfabético de los candidatos presentados y la comunicará a los Estados Miembros de la Organización al menos treinta días antes de la próxima Asamblea General.</w:t>
      </w:r>
    </w:p>
    <w:p w:rsidR="00DD2E11" w:rsidRPr="003D254C" w:rsidRDefault="00DD2E11" w:rsidP="00DD2E11">
      <w:pPr>
        <w:pStyle w:val="Estilo"/>
        <w:rPr>
          <w:rFonts w:cs="Arial"/>
          <w:sz w:val="22"/>
        </w:rPr>
      </w:pPr>
    </w:p>
    <w:p w:rsidR="00DD2E11" w:rsidRDefault="00DD2E11" w:rsidP="00DD2E11">
      <w:pPr>
        <w:pStyle w:val="Estilo"/>
        <w:rPr>
          <w:rFonts w:cs="Arial"/>
          <w:b/>
          <w:sz w:val="22"/>
        </w:rPr>
      </w:pPr>
    </w:p>
    <w:p w:rsidR="00DD2E11" w:rsidRDefault="00DD2E11" w:rsidP="00DD2E11">
      <w:pPr>
        <w:pStyle w:val="Estilo"/>
        <w:rPr>
          <w:rFonts w:cs="Arial"/>
          <w:b/>
          <w:sz w:val="22"/>
        </w:rPr>
      </w:pPr>
    </w:p>
    <w:p w:rsidR="00DD2E11" w:rsidRDefault="00DD2E11" w:rsidP="00DD2E11">
      <w:pPr>
        <w:pStyle w:val="Estilo"/>
        <w:rPr>
          <w:rFonts w:cs="Arial"/>
          <w:b/>
          <w:sz w:val="22"/>
        </w:rPr>
      </w:pPr>
    </w:p>
    <w:p w:rsidR="00DD2E11" w:rsidRPr="003D254C" w:rsidRDefault="00DD2E11" w:rsidP="00DD2E11">
      <w:pPr>
        <w:pStyle w:val="Estilo"/>
        <w:rPr>
          <w:rFonts w:cs="Arial"/>
          <w:b/>
          <w:sz w:val="22"/>
        </w:rPr>
      </w:pPr>
      <w:r w:rsidRPr="003D254C">
        <w:rPr>
          <w:rFonts w:cs="Arial"/>
          <w:b/>
          <w:sz w:val="22"/>
        </w:rPr>
        <w:lastRenderedPageBreak/>
        <w:t>Artículo 80.</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La elección de miembros de la Comisión se hará de entre los candidatos que figuren en la lista a que se refiere el artículo 79, por votación secreta, de la Asamblea General, y se declararán elegidos los candidatos que obtengan mayor número de votos y la mayoría absoluta de los votos de los representantes de los Estados Miembros. Si para elegir a todos los miembros de la Comisión resultare necesario efectuar varias votaciones, se eliminará sucesivamente, en la forma que determine la Asamblea General, a los candidatos que reciban menor número de votos.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Sección 2. Corte Interamericana de Derechos Humanos</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81.</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Al entrar en vigor esta Convención, el Secretario General pedirá por escrito a cada Estado Parte que presente, dentro de un plazo de noventa días, sus candidatos para jueces de la Corte Interamericana de Derechos Humanos. El Secretario General presentará una lista por orden alfabético de los candidatos presentados y la comunicará a los Estados Partes por lo menos treinta días antes de la próxima Asamblea General.</w:t>
      </w: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Artículo 82.</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La elección de jueces de la Corte se hará de entre los candidatos que figuren en la lista a que se refiere el artículo 81, por votación secreta de los Estados Partes en la Asamblea General, y se declararán elegidos los candidatos que obtengan mayor número de votos y la mayoría absoluta de los votos de los representantes de los Estados Partes. Si para elegir a todos los jueces de la Corte resultare necesario efectuar varias votaciones, se eliminarán sucesivamente, en la forma que determinen los Estados Partes, a los candidatos que reciban menor número de votos.</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DECLARACIONES Y RESERVAS</w:t>
      </w:r>
    </w:p>
    <w:p w:rsidR="00DD2E11" w:rsidRPr="003D254C" w:rsidRDefault="00DD2E11" w:rsidP="00DD2E11">
      <w:pPr>
        <w:pStyle w:val="Estilo"/>
        <w:jc w:val="center"/>
        <w:rPr>
          <w:rFonts w:cs="Arial"/>
          <w:b/>
          <w:sz w:val="22"/>
        </w:rPr>
      </w:pPr>
    </w:p>
    <w:p w:rsidR="00DD2E11" w:rsidRPr="003D254C" w:rsidRDefault="00DD2E11" w:rsidP="00DD2E11">
      <w:pPr>
        <w:pStyle w:val="Estilo"/>
        <w:jc w:val="center"/>
        <w:rPr>
          <w:rFonts w:cs="Arial"/>
          <w:b/>
          <w:sz w:val="22"/>
        </w:rPr>
      </w:pPr>
      <w:r w:rsidRPr="003D254C">
        <w:rPr>
          <w:rFonts w:cs="Arial"/>
          <w:b/>
          <w:sz w:val="22"/>
        </w:rPr>
        <w:t>DECLARACION DE CHILE</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La Delegación de Chile pone su firma en esta Convención, sujeta a su posterior aprobación parlamentaria y ratificación, conforme a las normas constitucionales vigentes.</w:t>
      </w:r>
    </w:p>
    <w:p w:rsidR="00DD2E11" w:rsidRPr="003D254C" w:rsidRDefault="00DD2E11" w:rsidP="00DD2E11">
      <w:pPr>
        <w:pStyle w:val="Estilo"/>
        <w:rPr>
          <w:rFonts w:cs="Arial"/>
          <w:sz w:val="22"/>
        </w:rPr>
      </w:pPr>
    </w:p>
    <w:p w:rsidR="00DD2E11" w:rsidRPr="003D254C" w:rsidRDefault="00DD2E11" w:rsidP="00DD2E11">
      <w:pPr>
        <w:pStyle w:val="Estilo"/>
        <w:jc w:val="center"/>
        <w:rPr>
          <w:rFonts w:cs="Arial"/>
          <w:b/>
          <w:sz w:val="22"/>
        </w:rPr>
      </w:pPr>
      <w:r w:rsidRPr="003D254C">
        <w:rPr>
          <w:rFonts w:cs="Arial"/>
          <w:b/>
          <w:sz w:val="22"/>
        </w:rPr>
        <w:t>DECLARACION DEL ECUADOR</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La Delegación del Ecuador tiene el honor de suscribir la Convención Americana de Derechos Humanos. No cree necesario puntualizar reserva alguna, dejando a salvo, tan sólo, la facultad general contenida en la misma convención, que deja a los gobiernos la libertad de ratificarla.</w:t>
      </w:r>
    </w:p>
    <w:p w:rsidR="00DD2E11" w:rsidRPr="003D254C" w:rsidRDefault="00DD2E11" w:rsidP="00DD2E11">
      <w:pPr>
        <w:pStyle w:val="Estilo"/>
        <w:rPr>
          <w:rFonts w:cs="Arial"/>
          <w:sz w:val="22"/>
        </w:rPr>
      </w:pPr>
    </w:p>
    <w:p w:rsidR="00DD2E11" w:rsidRDefault="00DD2E11" w:rsidP="00DD2E11">
      <w:pPr>
        <w:pStyle w:val="Estilo"/>
        <w:jc w:val="center"/>
        <w:rPr>
          <w:rFonts w:cs="Arial"/>
          <w:b/>
          <w:sz w:val="22"/>
        </w:rPr>
      </w:pPr>
    </w:p>
    <w:p w:rsidR="00DD2E11" w:rsidRPr="003D254C" w:rsidRDefault="00DD2E11" w:rsidP="00DD2E11">
      <w:pPr>
        <w:pStyle w:val="Estilo"/>
        <w:jc w:val="center"/>
        <w:rPr>
          <w:rFonts w:cs="Arial"/>
          <w:b/>
          <w:sz w:val="22"/>
        </w:rPr>
      </w:pPr>
      <w:r w:rsidRPr="003D254C">
        <w:rPr>
          <w:rFonts w:cs="Arial"/>
          <w:b/>
          <w:sz w:val="22"/>
        </w:rPr>
        <w:lastRenderedPageBreak/>
        <w:t>RESERVA DEL URUGUAY</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El Artículo 80, numeral 2 de la Constitución de la República Oriental del Uruguay, establece que la ciudadanía se suspende "por la condición de legalmente procesado en causa criminal de que pueda resultar pena de penitenciaría". Esta limitación al ejercicio de los derechos reconocidos en el Artículo 23 de la Convención no está contemplada entre las circunstancias que al respecto prevé el parágrafo 2 de dicho Artículo 23, por lo que la Delegación del Uruguay formula la reserva pertinente.</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EN FE DE LO CUAL, los Plenipotenciarios infrascritos, cuyos plenos poderes fueron hallados de buena y debida forma, firman esta Convención, que se llamará "PACTO DE SAN JOSE DE COSTA RICA", en la ciudad de San José, Costa Rica, el veintidós de noviembre de mil novecientos sesenta y nueve.</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La presente es copia fiel y completa en español de la Convención Americana sobre Derechos Humanos "Pacto de San José de Costa Rica", firmada en la ciudad de San José, Costa Rica, el día veintidós del mes de noviembre del año de mil novecientos sesenta y nueve.</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r w:rsidRPr="003D254C">
        <w:rPr>
          <w:rFonts w:cs="Arial"/>
          <w:sz w:val="22"/>
        </w:rPr>
        <w:t>Extiendo la presente, en veinticuatro páginas útiles, en Tlatelolco, Distrito Federal, a los veinticuatro días del mes de marzo del año de mil novecientos ochenta y uno, a fin de incorporarla al Decreto de Promulgación respectivo.- La Oficial Mayor de la Secretaría de Relaciones Exteriores, Aída González Martínez.- Rúbrica.</w:t>
      </w:r>
    </w:p>
    <w:p w:rsidR="00DD2E11" w:rsidRPr="003D254C" w:rsidRDefault="00DD2E11" w:rsidP="00DD2E11">
      <w:pPr>
        <w:pStyle w:val="Estilo"/>
        <w:rPr>
          <w:rFonts w:cs="Arial"/>
          <w:sz w:val="22"/>
        </w:rPr>
      </w:pPr>
    </w:p>
    <w:p w:rsidR="00DD2E11" w:rsidRPr="003D254C" w:rsidRDefault="00DD2E11" w:rsidP="00DD2E11">
      <w:pPr>
        <w:pStyle w:val="Estilo"/>
        <w:rPr>
          <w:rFonts w:cs="Arial"/>
          <w:sz w:val="22"/>
        </w:rPr>
      </w:pPr>
    </w:p>
    <w:p w:rsidR="00DD2E11" w:rsidRPr="003D254C" w:rsidRDefault="00DD2E11" w:rsidP="00DD2E11">
      <w:pPr>
        <w:pStyle w:val="Estilo"/>
        <w:rPr>
          <w:rFonts w:cs="Arial"/>
          <w:b/>
          <w:sz w:val="22"/>
        </w:rPr>
      </w:pPr>
      <w:r w:rsidRPr="003D254C">
        <w:rPr>
          <w:rFonts w:cs="Arial"/>
          <w:b/>
          <w:sz w:val="22"/>
        </w:rPr>
        <w:t>DIARIO OFICIAL DE LA FEDERACIÓN 17 DE ENERO DE 2002.</w:t>
      </w:r>
    </w:p>
    <w:p w:rsidR="00DD2E11" w:rsidRPr="003D254C" w:rsidRDefault="00DD2E11" w:rsidP="00DD2E11">
      <w:pPr>
        <w:pStyle w:val="Estilo"/>
        <w:rPr>
          <w:rFonts w:cs="Arial"/>
          <w:sz w:val="22"/>
        </w:rPr>
      </w:pPr>
    </w:p>
    <w:p w:rsidR="00DD2E11" w:rsidRPr="003D254C" w:rsidRDefault="00DD2E11" w:rsidP="00DD2E11">
      <w:pPr>
        <w:pStyle w:val="Titulo2"/>
        <w:rPr>
          <w:sz w:val="22"/>
          <w:szCs w:val="22"/>
        </w:rPr>
      </w:pPr>
      <w:r w:rsidRPr="003D254C">
        <w:rPr>
          <w:sz w:val="22"/>
          <w:szCs w:val="22"/>
        </w:rPr>
        <w:t>DECRETO POR EL QUE SE APRUEBA EL RETIRO PARCIAL DE LAS DECLARACIONES INTERPRETATIVAS Y DE LA RESERVA QUE EL GOBIERNO DE MÉXICO FORMULÓ AL PÁRRAFO 3 DEL ARTÍCULO 12 Y AL PÁRRAFO 2 DEL ARTÍCULO 23 RESPECTIVAMENTE DE LA CONVENCIÓN AMERICANA SOBRE DERECHOS HUMANOS, AL PROCEDER AL DEPÓSITO DE SU INSTRUMENTO DE ADHESIÓN EL VEINTICUATRO DE MARZO DE MIL NOVECIENTOS OCHENTA Y UNO.</w:t>
      </w:r>
    </w:p>
    <w:p w:rsidR="00DD2E11" w:rsidRPr="003D254C" w:rsidRDefault="00DD2E11" w:rsidP="00DD2E11">
      <w:pPr>
        <w:pStyle w:val="Titulo2"/>
        <w:rPr>
          <w:b w:val="0"/>
          <w:i/>
          <w:sz w:val="22"/>
          <w:szCs w:val="22"/>
        </w:rPr>
      </w:pPr>
    </w:p>
    <w:p w:rsidR="00DD2E11" w:rsidRPr="003D254C" w:rsidRDefault="00DD2E11" w:rsidP="00DD2E11">
      <w:pPr>
        <w:pStyle w:val="Titulo2"/>
        <w:rPr>
          <w:sz w:val="22"/>
          <w:szCs w:val="22"/>
        </w:rPr>
      </w:pPr>
      <w:r w:rsidRPr="003D254C">
        <w:rPr>
          <w:sz w:val="22"/>
          <w:szCs w:val="22"/>
        </w:rPr>
        <w:t>Al margen un sello con el Escudo Nacional, que dice: Estados Unidos Mexicanos.- Presidencia de la República.</w:t>
      </w:r>
    </w:p>
    <w:p w:rsidR="00DD2E11" w:rsidRPr="003D254C" w:rsidRDefault="00DD2E11" w:rsidP="00DD2E11">
      <w:pPr>
        <w:pStyle w:val="texto"/>
        <w:spacing w:after="60" w:line="284" w:lineRule="exact"/>
        <w:rPr>
          <w:sz w:val="22"/>
          <w:szCs w:val="22"/>
        </w:rPr>
      </w:pPr>
      <w:r w:rsidRPr="003D254C">
        <w:rPr>
          <w:b/>
          <w:sz w:val="22"/>
          <w:szCs w:val="22"/>
        </w:rPr>
        <w:t>VICENTE FOX QUESADA</w:t>
      </w:r>
      <w:r w:rsidRPr="003D254C">
        <w:rPr>
          <w:sz w:val="22"/>
          <w:szCs w:val="22"/>
        </w:rPr>
        <w:t>, Presidente de los Estados Unidos Mexicanos, a sus habitantes sabed:</w:t>
      </w:r>
    </w:p>
    <w:p w:rsidR="00DD2E11" w:rsidRPr="003D254C" w:rsidRDefault="00DD2E11" w:rsidP="00DD2E11">
      <w:pPr>
        <w:pStyle w:val="texto"/>
        <w:spacing w:after="60" w:line="284" w:lineRule="exact"/>
        <w:rPr>
          <w:sz w:val="22"/>
          <w:szCs w:val="22"/>
        </w:rPr>
      </w:pPr>
      <w:r w:rsidRPr="003D254C">
        <w:rPr>
          <w:sz w:val="22"/>
          <w:szCs w:val="22"/>
        </w:rPr>
        <w:t>Que la Cámara de Senadores del Honorable Congreso de la Unión, se ha servido dirigirme el siguiente</w:t>
      </w:r>
    </w:p>
    <w:p w:rsidR="00DD2E11" w:rsidRDefault="00DD2E11" w:rsidP="00DD2E11">
      <w:pPr>
        <w:pStyle w:val="ANOTACION"/>
        <w:spacing w:before="0" w:after="60" w:line="284" w:lineRule="exact"/>
        <w:jc w:val="both"/>
        <w:rPr>
          <w:rFonts w:ascii="Arial" w:hAnsi="Arial" w:cs="Arial"/>
          <w:sz w:val="22"/>
          <w:szCs w:val="22"/>
        </w:rPr>
      </w:pPr>
    </w:p>
    <w:p w:rsidR="00DD2E11" w:rsidRDefault="00DD2E11" w:rsidP="00DD2E11">
      <w:pPr>
        <w:pStyle w:val="ANOTACION"/>
        <w:spacing w:before="0" w:after="60" w:line="284" w:lineRule="exact"/>
        <w:jc w:val="both"/>
        <w:rPr>
          <w:rFonts w:ascii="Arial" w:hAnsi="Arial" w:cs="Arial"/>
          <w:sz w:val="22"/>
          <w:szCs w:val="22"/>
        </w:rPr>
      </w:pPr>
    </w:p>
    <w:p w:rsidR="00DD2E11" w:rsidRDefault="00DD2E11" w:rsidP="00DD2E11">
      <w:pPr>
        <w:pStyle w:val="ANOTACION"/>
        <w:spacing w:before="0" w:after="60" w:line="284" w:lineRule="exact"/>
        <w:jc w:val="both"/>
        <w:rPr>
          <w:rFonts w:ascii="Arial" w:hAnsi="Arial" w:cs="Arial"/>
          <w:sz w:val="22"/>
          <w:szCs w:val="22"/>
        </w:rPr>
      </w:pPr>
    </w:p>
    <w:p w:rsidR="00DD2E11" w:rsidRPr="003D254C" w:rsidRDefault="00DD2E11" w:rsidP="00DD2E11">
      <w:pPr>
        <w:pStyle w:val="ANOTACION"/>
        <w:spacing w:before="0" w:after="60" w:line="284" w:lineRule="exact"/>
        <w:jc w:val="both"/>
        <w:rPr>
          <w:rFonts w:ascii="Arial" w:hAnsi="Arial" w:cs="Arial"/>
          <w:sz w:val="22"/>
          <w:szCs w:val="22"/>
        </w:rPr>
      </w:pPr>
      <w:r w:rsidRPr="003D254C">
        <w:rPr>
          <w:rFonts w:ascii="Arial" w:hAnsi="Arial" w:cs="Arial"/>
          <w:sz w:val="22"/>
          <w:szCs w:val="22"/>
        </w:rPr>
        <w:lastRenderedPageBreak/>
        <w:t>DECRETO</w:t>
      </w:r>
    </w:p>
    <w:p w:rsidR="00DD2E11" w:rsidRPr="003D254C" w:rsidRDefault="00DD2E11" w:rsidP="00DD2E11">
      <w:pPr>
        <w:pStyle w:val="texto"/>
        <w:spacing w:after="60" w:line="284" w:lineRule="exact"/>
        <w:ind w:firstLine="0"/>
        <w:rPr>
          <w:sz w:val="22"/>
          <w:szCs w:val="22"/>
        </w:rPr>
      </w:pPr>
      <w:r w:rsidRPr="003D254C">
        <w:rPr>
          <w:sz w:val="22"/>
          <w:szCs w:val="22"/>
        </w:rPr>
        <w:t xml:space="preserve">LA CAMARA DE SENADORES DEL HONORABLE CONGRESO DE LA UNION, EN EJERCICIO DE LA FACULTAD QUE LE CONCEDE EL ARTICULO 76 FRACCION I DE LA CONSTITUCION POLITICA DE LOS ESTADOS UNIDOS MEXICANOS, </w:t>
      </w:r>
      <w:r w:rsidRPr="003D254C">
        <w:rPr>
          <w:spacing w:val="60"/>
          <w:sz w:val="22"/>
          <w:szCs w:val="22"/>
        </w:rPr>
        <w:t>DECRET</w:t>
      </w:r>
      <w:r w:rsidRPr="003D254C">
        <w:rPr>
          <w:sz w:val="22"/>
          <w:szCs w:val="22"/>
        </w:rPr>
        <w:t>A:</w:t>
      </w:r>
    </w:p>
    <w:p w:rsidR="00DD2E11" w:rsidRPr="003D254C" w:rsidRDefault="00DD2E11" w:rsidP="00DD2E11">
      <w:pPr>
        <w:pStyle w:val="texto"/>
        <w:spacing w:after="0" w:line="284" w:lineRule="exact"/>
        <w:ind w:firstLine="0"/>
        <w:rPr>
          <w:b/>
          <w:sz w:val="22"/>
          <w:szCs w:val="22"/>
        </w:rPr>
      </w:pPr>
    </w:p>
    <w:p w:rsidR="00DD2E11" w:rsidRPr="003D254C" w:rsidRDefault="00DD2E11" w:rsidP="00DD2E11">
      <w:pPr>
        <w:pStyle w:val="texto"/>
        <w:spacing w:after="60" w:line="284" w:lineRule="exact"/>
        <w:ind w:firstLine="0"/>
        <w:rPr>
          <w:sz w:val="22"/>
          <w:szCs w:val="22"/>
        </w:rPr>
      </w:pPr>
      <w:r w:rsidRPr="003D254C">
        <w:rPr>
          <w:b/>
          <w:sz w:val="22"/>
          <w:szCs w:val="22"/>
        </w:rPr>
        <w:t>ARTICULO UNICO</w:t>
      </w:r>
      <w:r w:rsidRPr="003D254C">
        <w:rPr>
          <w:sz w:val="22"/>
          <w:szCs w:val="22"/>
        </w:rPr>
        <w:t>.- Se aprueba el RETIRO PARCIAL DE LAS DECLARACIONES INTERPRETATIVAS Y DE LA RESERVA QUE EL GOBIERNO DE MEXICO FORMULO AL PARRAFO 3 DEL ARTICULO 12 Y AL PARRAFO 2 DEL ARTICULO 23 RESPECTIVAMENTE DE LA CONVENCION AMERICANA SOBRE DERECHOS HUMANOS, al proceder al depósito de su instrumento de adhesión el veinticuatro de marzo de mil novecientos ochenta y uno.</w:t>
      </w:r>
    </w:p>
    <w:p w:rsidR="00DD2E11" w:rsidRPr="003D254C" w:rsidRDefault="00DD2E11" w:rsidP="00DD2E11">
      <w:pPr>
        <w:pStyle w:val="texto"/>
        <w:spacing w:after="0" w:line="284" w:lineRule="exact"/>
        <w:rPr>
          <w:sz w:val="22"/>
          <w:szCs w:val="22"/>
        </w:rPr>
      </w:pPr>
    </w:p>
    <w:p w:rsidR="00DD2E11" w:rsidRPr="003D254C" w:rsidRDefault="00DD2E11" w:rsidP="00DD2E11">
      <w:pPr>
        <w:pStyle w:val="texto"/>
        <w:spacing w:after="60" w:line="284" w:lineRule="exact"/>
        <w:ind w:firstLine="0"/>
        <w:rPr>
          <w:sz w:val="22"/>
          <w:szCs w:val="22"/>
        </w:rPr>
      </w:pPr>
      <w:r w:rsidRPr="003D254C">
        <w:rPr>
          <w:sz w:val="22"/>
          <w:szCs w:val="22"/>
        </w:rPr>
        <w:t xml:space="preserve">México, D.F., a 10 de diciembre de 2001.- Sen. </w:t>
      </w:r>
      <w:r w:rsidRPr="003D254C">
        <w:rPr>
          <w:b/>
          <w:sz w:val="22"/>
          <w:szCs w:val="22"/>
        </w:rPr>
        <w:t>Diego Fernández de Cevallos Ramos</w:t>
      </w:r>
      <w:r w:rsidRPr="003D254C">
        <w:rPr>
          <w:sz w:val="22"/>
          <w:szCs w:val="22"/>
        </w:rPr>
        <w:t xml:space="preserve">, Presidente.- Sen. </w:t>
      </w:r>
      <w:r w:rsidRPr="003D254C">
        <w:rPr>
          <w:b/>
          <w:sz w:val="22"/>
          <w:szCs w:val="22"/>
        </w:rPr>
        <w:t>Ma. Lucero Saldaña Pérez</w:t>
      </w:r>
      <w:r w:rsidRPr="003D254C">
        <w:rPr>
          <w:sz w:val="22"/>
          <w:szCs w:val="22"/>
        </w:rPr>
        <w:t>, Secretaria.- Rúbricas.</w:t>
      </w:r>
      <w:r w:rsidRPr="003D254C">
        <w:rPr>
          <w:b/>
          <w:sz w:val="22"/>
          <w:szCs w:val="22"/>
        </w:rPr>
        <w:t xml:space="preserve"> </w:t>
      </w:r>
    </w:p>
    <w:p w:rsidR="00DD2E11" w:rsidRPr="003D254C" w:rsidRDefault="00DD2E11" w:rsidP="00DD2E11">
      <w:pPr>
        <w:pStyle w:val="texto"/>
        <w:spacing w:after="0" w:line="284" w:lineRule="exact"/>
        <w:rPr>
          <w:sz w:val="22"/>
          <w:szCs w:val="22"/>
        </w:rPr>
      </w:pPr>
    </w:p>
    <w:p w:rsidR="00DD2E11" w:rsidRPr="003D254C" w:rsidRDefault="00DD2E11" w:rsidP="00DD2E11">
      <w:pPr>
        <w:pStyle w:val="texto"/>
        <w:spacing w:after="60" w:line="284" w:lineRule="exact"/>
        <w:ind w:firstLine="0"/>
        <w:rPr>
          <w:sz w:val="22"/>
          <w:szCs w:val="22"/>
        </w:rPr>
      </w:pPr>
      <w:r w:rsidRPr="003D254C">
        <w:rPr>
          <w:sz w:val="22"/>
          <w:szCs w:val="22"/>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nueve días del mes de enero de dos mil dos.- </w:t>
      </w:r>
      <w:r w:rsidRPr="003D254C">
        <w:rPr>
          <w:b/>
          <w:sz w:val="22"/>
          <w:szCs w:val="22"/>
        </w:rPr>
        <w:t>Vicente Fox Quesada</w:t>
      </w:r>
      <w:r w:rsidRPr="003D254C">
        <w:rPr>
          <w:sz w:val="22"/>
          <w:szCs w:val="22"/>
        </w:rPr>
        <w:t xml:space="preserve">.- Rúbrica.- El Secretario de Gobernación, </w:t>
      </w:r>
      <w:r w:rsidRPr="003D254C">
        <w:rPr>
          <w:b/>
          <w:sz w:val="22"/>
          <w:szCs w:val="22"/>
        </w:rPr>
        <w:t>Santiago Creel Miranda</w:t>
      </w:r>
      <w:r w:rsidRPr="003D254C">
        <w:rPr>
          <w:sz w:val="22"/>
          <w:szCs w:val="22"/>
        </w:rPr>
        <w:t>.- Rúbrica.</w:t>
      </w:r>
    </w:p>
    <w:p w:rsidR="00417068" w:rsidRDefault="00417068" w:rsidP="00417068">
      <w:pPr>
        <w:spacing w:after="0"/>
        <w:jc w:val="center"/>
        <w:rPr>
          <w:rFonts w:ascii="Arial" w:hAnsi="Arial" w:cs="Arial"/>
          <w:b/>
          <w:sz w:val="20"/>
          <w:szCs w:val="20"/>
        </w:rPr>
      </w:pPr>
      <w:bookmarkStart w:id="0" w:name="_GoBack"/>
      <w:bookmarkEnd w:id="0"/>
    </w:p>
    <w:sectPr w:rsidR="00417068" w:rsidSect="006776DE">
      <w:headerReference w:type="even" r:id="rId7"/>
      <w:headerReference w:type="default" r:id="rId8"/>
      <w:footerReference w:type="even" r:id="rId9"/>
      <w:footerReference w:type="default" r:id="rId10"/>
      <w:headerReference w:type="first" r:id="rId11"/>
      <w:footerReference w:type="first" r:id="rId12"/>
      <w:type w:val="continuous"/>
      <w:pgSz w:w="12240" w:h="15840"/>
      <w:pgMar w:top="3261" w:right="1041" w:bottom="985" w:left="1134" w:header="720" w:footer="720" w:gutter="0"/>
      <w:cols w:space="720" w:equalWidth="0">
        <w:col w:w="1006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750" w:rsidRDefault="00804750" w:rsidP="006776DE">
      <w:pPr>
        <w:spacing w:after="0" w:line="240" w:lineRule="auto"/>
      </w:pPr>
      <w:r>
        <w:separator/>
      </w:r>
    </w:p>
  </w:endnote>
  <w:endnote w:type="continuationSeparator" w:id="0">
    <w:p w:rsidR="00804750" w:rsidRDefault="00804750" w:rsidP="0067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81" w:rsidRDefault="000359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DE" w:rsidRPr="006776DE" w:rsidRDefault="006776DE" w:rsidP="006776DE">
    <w:pPr>
      <w:pStyle w:val="Piedepgina"/>
      <w:tabs>
        <w:tab w:val="clear" w:pos="4419"/>
        <w:tab w:val="clear" w:pos="8838"/>
        <w:tab w:val="center" w:pos="4820"/>
        <w:tab w:val="right" w:pos="10065"/>
      </w:tabs>
    </w:pPr>
    <w:r>
      <w:tab/>
      <w:t xml:space="preserve">Pág. </w:t>
    </w:r>
    <w:r>
      <w:fldChar w:fldCharType="begin"/>
    </w:r>
    <w:r>
      <w:instrText>PAGE   \* MERGEFORMAT</w:instrText>
    </w:r>
    <w:r>
      <w:fldChar w:fldCharType="separate"/>
    </w:r>
    <w:r w:rsidR="00DD2E11" w:rsidRPr="00DD2E11">
      <w:rPr>
        <w:noProof/>
        <w:lang w:val="es-ES"/>
      </w:rPr>
      <w:t>30</w:t>
    </w:r>
    <w:r>
      <w:fldChar w:fldCharType="end"/>
    </w:r>
    <w:r>
      <w:t xml:space="preserve"> de </w:t>
    </w:r>
    <w:r w:rsidR="00634BC4">
      <w:rPr>
        <w:noProof/>
      </w:rPr>
      <w:fldChar w:fldCharType="begin"/>
    </w:r>
    <w:r w:rsidR="00634BC4">
      <w:rPr>
        <w:noProof/>
      </w:rPr>
      <w:instrText xml:space="preserve"> NUMPAGES   \* MERGEFORMAT </w:instrText>
    </w:r>
    <w:r w:rsidR="00634BC4">
      <w:rPr>
        <w:noProof/>
      </w:rPr>
      <w:fldChar w:fldCharType="separate"/>
    </w:r>
    <w:r w:rsidR="00DD2E11">
      <w:rPr>
        <w:noProof/>
      </w:rPr>
      <w:t>30</w:t>
    </w:r>
    <w:r w:rsidR="00634BC4">
      <w:rPr>
        <w:noProof/>
      </w:rPr>
      <w:fldChar w:fldCharType="end"/>
    </w:r>
    <w:r w:rsidR="007D348B">
      <w:tab/>
    </w:r>
    <w:r w:rsidR="007D348B" w:rsidRPr="007D348B">
      <w:t>www.supremacorte.gob.mx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81" w:rsidRDefault="000359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750" w:rsidRDefault="00804750" w:rsidP="006776DE">
      <w:pPr>
        <w:spacing w:after="0" w:line="240" w:lineRule="auto"/>
      </w:pPr>
      <w:r>
        <w:separator/>
      </w:r>
    </w:p>
  </w:footnote>
  <w:footnote w:type="continuationSeparator" w:id="0">
    <w:p w:rsidR="00804750" w:rsidRDefault="00804750" w:rsidP="00677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81" w:rsidRDefault="0003598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DE" w:rsidRDefault="005649FE">
    <w:pPr>
      <w:pStyle w:val="Encabezado"/>
    </w:pPr>
    <w:r>
      <w:rPr>
        <w:noProof/>
      </w:rPr>
      <w:drawing>
        <wp:anchor distT="0" distB="0" distL="114300" distR="114300" simplePos="0" relativeHeight="251659264" behindDoc="1" locked="0" layoutInCell="0" allowOverlap="1">
          <wp:simplePos x="0" y="0"/>
          <wp:positionH relativeFrom="page">
            <wp:posOffset>0</wp:posOffset>
          </wp:positionH>
          <wp:positionV relativeFrom="page">
            <wp:posOffset>3415</wp:posOffset>
          </wp:positionV>
          <wp:extent cx="7772400" cy="1955320"/>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955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81" w:rsidRDefault="000359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1835"/>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7F56D22"/>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084022CC"/>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8B82281"/>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0C345011"/>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2FD1EB0"/>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16C65500"/>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7024D71"/>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8A36673"/>
    <w:multiLevelType w:val="hybridMultilevel"/>
    <w:tmpl w:val="CA9C72B6"/>
    <w:lvl w:ilvl="0" w:tplc="5380B74C">
      <w:start w:val="1"/>
      <w:numFmt w:val="lowerLetter"/>
      <w:lvlText w:val="%1)"/>
      <w:lvlJc w:val="left"/>
      <w:pPr>
        <w:ind w:left="1080" w:hanging="360"/>
      </w:pPr>
      <w:rPr>
        <w:rFonts w:cs="Times New Roman" w:hint="default"/>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9" w15:restartNumberingAfterBreak="0">
    <w:nsid w:val="1BB06A7B"/>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BCE5284"/>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1CEF314E"/>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14C2670"/>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23BD411F"/>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26136A38"/>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212580"/>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F8C4B6F"/>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31E735ED"/>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35553F9C"/>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35C871A6"/>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36301066"/>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376F5785"/>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399078FC"/>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39BF0F09"/>
    <w:multiLevelType w:val="hybridMultilevel"/>
    <w:tmpl w:val="11983F92"/>
    <w:lvl w:ilvl="0" w:tplc="4D38CFCA">
      <w:start w:val="1"/>
      <w:numFmt w:val="lowerLetter"/>
      <w:lvlText w:val="%1)"/>
      <w:lvlJc w:val="left"/>
      <w:pPr>
        <w:ind w:left="1080" w:hanging="360"/>
      </w:pPr>
      <w:rPr>
        <w:rFonts w:cs="Times New Roman" w:hint="default"/>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4" w15:restartNumberingAfterBreak="0">
    <w:nsid w:val="3AD6597E"/>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3DCA397F"/>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42853C43"/>
    <w:multiLevelType w:val="hybridMultilevel"/>
    <w:tmpl w:val="19981B30"/>
    <w:lvl w:ilvl="0" w:tplc="417A4A60">
      <w:start w:val="1"/>
      <w:numFmt w:val="lowerLetter"/>
      <w:lvlText w:val="%1)"/>
      <w:lvlJc w:val="left"/>
      <w:pPr>
        <w:ind w:left="1080" w:hanging="360"/>
      </w:pPr>
      <w:rPr>
        <w:rFonts w:cs="Times New Roman" w:hint="default"/>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7" w15:restartNumberingAfterBreak="0">
    <w:nsid w:val="43F60622"/>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15:restartNumberingAfterBreak="0">
    <w:nsid w:val="44BB7A18"/>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15:restartNumberingAfterBreak="0">
    <w:nsid w:val="454A7CCF"/>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15:restartNumberingAfterBreak="0">
    <w:nsid w:val="456614C2"/>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15:restartNumberingAfterBreak="0">
    <w:nsid w:val="4AC77357"/>
    <w:multiLevelType w:val="hybridMultilevel"/>
    <w:tmpl w:val="11983F92"/>
    <w:lvl w:ilvl="0" w:tplc="4D38CFCA">
      <w:start w:val="1"/>
      <w:numFmt w:val="lowerLetter"/>
      <w:lvlText w:val="%1)"/>
      <w:lvlJc w:val="left"/>
      <w:pPr>
        <w:ind w:left="1080" w:hanging="360"/>
      </w:pPr>
      <w:rPr>
        <w:rFonts w:cs="Times New Roman" w:hint="default"/>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2" w15:restartNumberingAfterBreak="0">
    <w:nsid w:val="4D01749B"/>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4D771E49"/>
    <w:multiLevelType w:val="hybridMultilevel"/>
    <w:tmpl w:val="57B29CD6"/>
    <w:lvl w:ilvl="0" w:tplc="8D882C50">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4" w15:restartNumberingAfterBreak="0">
    <w:nsid w:val="4E4F793A"/>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51990EDD"/>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15:restartNumberingAfterBreak="0">
    <w:nsid w:val="52206870"/>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15:restartNumberingAfterBreak="0">
    <w:nsid w:val="53330748"/>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15:restartNumberingAfterBreak="0">
    <w:nsid w:val="562505E5"/>
    <w:multiLevelType w:val="hybridMultilevel"/>
    <w:tmpl w:val="11983F92"/>
    <w:lvl w:ilvl="0" w:tplc="4D38CFCA">
      <w:start w:val="1"/>
      <w:numFmt w:val="lowerLetter"/>
      <w:lvlText w:val="%1)"/>
      <w:lvlJc w:val="left"/>
      <w:pPr>
        <w:ind w:left="1080" w:hanging="360"/>
      </w:pPr>
      <w:rPr>
        <w:rFonts w:cs="Times New Roman" w:hint="default"/>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9" w15:restartNumberingAfterBreak="0">
    <w:nsid w:val="58DD69BB"/>
    <w:multiLevelType w:val="hybridMultilevel"/>
    <w:tmpl w:val="11983F92"/>
    <w:lvl w:ilvl="0" w:tplc="4D38CFCA">
      <w:start w:val="1"/>
      <w:numFmt w:val="lowerLetter"/>
      <w:lvlText w:val="%1)"/>
      <w:lvlJc w:val="left"/>
      <w:pPr>
        <w:ind w:left="1080" w:hanging="360"/>
      </w:pPr>
      <w:rPr>
        <w:rFonts w:cs="Times New Roman" w:hint="default"/>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40" w15:restartNumberingAfterBreak="0">
    <w:nsid w:val="5B2311EB"/>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15:restartNumberingAfterBreak="0">
    <w:nsid w:val="5BB44D29"/>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15:restartNumberingAfterBreak="0">
    <w:nsid w:val="5D025614"/>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6056177D"/>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15:restartNumberingAfterBreak="0">
    <w:nsid w:val="63310E2B"/>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15:restartNumberingAfterBreak="0">
    <w:nsid w:val="63741ACB"/>
    <w:multiLevelType w:val="hybridMultilevel"/>
    <w:tmpl w:val="11983F92"/>
    <w:lvl w:ilvl="0" w:tplc="4D38CFCA">
      <w:start w:val="1"/>
      <w:numFmt w:val="lowerLetter"/>
      <w:lvlText w:val="%1)"/>
      <w:lvlJc w:val="left"/>
      <w:pPr>
        <w:ind w:left="1080" w:hanging="360"/>
      </w:pPr>
      <w:rPr>
        <w:rFonts w:cs="Times New Roman" w:hint="default"/>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46" w15:restartNumberingAfterBreak="0">
    <w:nsid w:val="63FE5B7D"/>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7" w15:restartNumberingAfterBreak="0">
    <w:nsid w:val="68915A4B"/>
    <w:multiLevelType w:val="hybridMultilevel"/>
    <w:tmpl w:val="11983F92"/>
    <w:lvl w:ilvl="0" w:tplc="4D38CFCA">
      <w:start w:val="1"/>
      <w:numFmt w:val="lowerLetter"/>
      <w:lvlText w:val="%1)"/>
      <w:lvlJc w:val="left"/>
      <w:pPr>
        <w:ind w:left="1080" w:hanging="360"/>
      </w:pPr>
      <w:rPr>
        <w:rFonts w:cs="Times New Roman" w:hint="default"/>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48" w15:restartNumberingAfterBreak="0">
    <w:nsid w:val="74A6627E"/>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9" w15:restartNumberingAfterBreak="0">
    <w:nsid w:val="757445B8"/>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15:restartNumberingAfterBreak="0">
    <w:nsid w:val="7FFC4BA3"/>
    <w:multiLevelType w:val="hybridMultilevel"/>
    <w:tmpl w:val="FB8CD1DC"/>
    <w:lvl w:ilvl="0" w:tplc="6F0EEA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6"/>
  </w:num>
  <w:num w:numId="2">
    <w:abstractNumId w:val="25"/>
  </w:num>
  <w:num w:numId="3">
    <w:abstractNumId w:val="43"/>
  </w:num>
  <w:num w:numId="4">
    <w:abstractNumId w:val="33"/>
  </w:num>
  <w:num w:numId="5">
    <w:abstractNumId w:val="26"/>
  </w:num>
  <w:num w:numId="6">
    <w:abstractNumId w:val="12"/>
  </w:num>
  <w:num w:numId="7">
    <w:abstractNumId w:val="0"/>
  </w:num>
  <w:num w:numId="8">
    <w:abstractNumId w:val="8"/>
  </w:num>
  <w:num w:numId="9">
    <w:abstractNumId w:val="6"/>
  </w:num>
  <w:num w:numId="10">
    <w:abstractNumId w:val="36"/>
  </w:num>
  <w:num w:numId="11">
    <w:abstractNumId w:val="18"/>
  </w:num>
  <w:num w:numId="12">
    <w:abstractNumId w:val="45"/>
  </w:num>
  <w:num w:numId="13">
    <w:abstractNumId w:val="32"/>
  </w:num>
  <w:num w:numId="14">
    <w:abstractNumId w:val="42"/>
  </w:num>
  <w:num w:numId="15">
    <w:abstractNumId w:val="27"/>
  </w:num>
  <w:num w:numId="16">
    <w:abstractNumId w:val="50"/>
  </w:num>
  <w:num w:numId="17">
    <w:abstractNumId w:val="21"/>
  </w:num>
  <w:num w:numId="18">
    <w:abstractNumId w:val="41"/>
  </w:num>
  <w:num w:numId="19">
    <w:abstractNumId w:val="35"/>
  </w:num>
  <w:num w:numId="20">
    <w:abstractNumId w:val="47"/>
  </w:num>
  <w:num w:numId="21">
    <w:abstractNumId w:val="28"/>
  </w:num>
  <w:num w:numId="22">
    <w:abstractNumId w:val="38"/>
  </w:num>
  <w:num w:numId="23">
    <w:abstractNumId w:val="17"/>
  </w:num>
  <w:num w:numId="24">
    <w:abstractNumId w:val="14"/>
  </w:num>
  <w:num w:numId="25">
    <w:abstractNumId w:val="5"/>
  </w:num>
  <w:num w:numId="26">
    <w:abstractNumId w:val="11"/>
  </w:num>
  <w:num w:numId="27">
    <w:abstractNumId w:val="40"/>
  </w:num>
  <w:num w:numId="28">
    <w:abstractNumId w:val="4"/>
  </w:num>
  <w:num w:numId="29">
    <w:abstractNumId w:val="29"/>
  </w:num>
  <w:num w:numId="30">
    <w:abstractNumId w:val="39"/>
  </w:num>
  <w:num w:numId="31">
    <w:abstractNumId w:val="31"/>
  </w:num>
  <w:num w:numId="32">
    <w:abstractNumId w:val="20"/>
  </w:num>
  <w:num w:numId="33">
    <w:abstractNumId w:val="23"/>
  </w:num>
  <w:num w:numId="34">
    <w:abstractNumId w:val="34"/>
  </w:num>
  <w:num w:numId="35">
    <w:abstractNumId w:val="37"/>
  </w:num>
  <w:num w:numId="36">
    <w:abstractNumId w:val="19"/>
  </w:num>
  <w:num w:numId="37">
    <w:abstractNumId w:val="48"/>
  </w:num>
  <w:num w:numId="38">
    <w:abstractNumId w:val="10"/>
  </w:num>
  <w:num w:numId="39">
    <w:abstractNumId w:val="49"/>
  </w:num>
  <w:num w:numId="40">
    <w:abstractNumId w:val="46"/>
  </w:num>
  <w:num w:numId="41">
    <w:abstractNumId w:val="22"/>
  </w:num>
  <w:num w:numId="42">
    <w:abstractNumId w:val="7"/>
  </w:num>
  <w:num w:numId="43">
    <w:abstractNumId w:val="3"/>
  </w:num>
  <w:num w:numId="44">
    <w:abstractNumId w:val="2"/>
  </w:num>
  <w:num w:numId="45">
    <w:abstractNumId w:val="30"/>
  </w:num>
  <w:num w:numId="46">
    <w:abstractNumId w:val="9"/>
  </w:num>
  <w:num w:numId="47">
    <w:abstractNumId w:val="15"/>
  </w:num>
  <w:num w:numId="48">
    <w:abstractNumId w:val="13"/>
  </w:num>
  <w:num w:numId="49">
    <w:abstractNumId w:val="44"/>
  </w:num>
  <w:num w:numId="50">
    <w:abstractNumId w:val="24"/>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22"/>
    <w:rsid w:val="00035981"/>
    <w:rsid w:val="00393FD1"/>
    <w:rsid w:val="00417068"/>
    <w:rsid w:val="005649FE"/>
    <w:rsid w:val="005E5DE8"/>
    <w:rsid w:val="0060543C"/>
    <w:rsid w:val="00634BC4"/>
    <w:rsid w:val="006776DE"/>
    <w:rsid w:val="00684222"/>
    <w:rsid w:val="006B1F16"/>
    <w:rsid w:val="006E1E82"/>
    <w:rsid w:val="00782CB1"/>
    <w:rsid w:val="007D348B"/>
    <w:rsid w:val="00804750"/>
    <w:rsid w:val="009003A5"/>
    <w:rsid w:val="00910037"/>
    <w:rsid w:val="00A313F1"/>
    <w:rsid w:val="00BE08ED"/>
    <w:rsid w:val="00D93CAE"/>
    <w:rsid w:val="00DD2E11"/>
    <w:rsid w:val="00E90CED"/>
    <w:rsid w:val="00FC34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F51259E-387B-436E-9FE7-04DBC24A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6DE"/>
    <w:pPr>
      <w:tabs>
        <w:tab w:val="center" w:pos="4419"/>
        <w:tab w:val="right" w:pos="8838"/>
      </w:tabs>
    </w:pPr>
  </w:style>
  <w:style w:type="character" w:customStyle="1" w:styleId="EncabezadoCar">
    <w:name w:val="Encabezado Car"/>
    <w:basedOn w:val="Fuentedeprrafopredeter"/>
    <w:link w:val="Encabezado"/>
    <w:uiPriority w:val="99"/>
    <w:locked/>
    <w:rsid w:val="006776DE"/>
    <w:rPr>
      <w:rFonts w:cs="Times New Roman"/>
    </w:rPr>
  </w:style>
  <w:style w:type="paragraph" w:styleId="Piedepgina">
    <w:name w:val="footer"/>
    <w:basedOn w:val="Normal"/>
    <w:link w:val="PiedepginaCar"/>
    <w:uiPriority w:val="99"/>
    <w:unhideWhenUsed/>
    <w:rsid w:val="006776DE"/>
    <w:pPr>
      <w:tabs>
        <w:tab w:val="center" w:pos="4419"/>
        <w:tab w:val="right" w:pos="8838"/>
      </w:tabs>
    </w:pPr>
  </w:style>
  <w:style w:type="character" w:customStyle="1" w:styleId="PiedepginaCar">
    <w:name w:val="Pie de página Car"/>
    <w:basedOn w:val="Fuentedeprrafopredeter"/>
    <w:link w:val="Piedepgina"/>
    <w:uiPriority w:val="99"/>
    <w:locked/>
    <w:rsid w:val="006776DE"/>
    <w:rPr>
      <w:rFonts w:cs="Times New Roman"/>
    </w:rPr>
  </w:style>
  <w:style w:type="character" w:styleId="Hipervnculo">
    <w:name w:val="Hyperlink"/>
    <w:basedOn w:val="Fuentedeprrafopredeter"/>
    <w:uiPriority w:val="99"/>
    <w:unhideWhenUsed/>
    <w:rsid w:val="006776DE"/>
    <w:rPr>
      <w:rFonts w:cs="Times New Roman"/>
      <w:color w:val="0000FF"/>
      <w:u w:val="single"/>
    </w:rPr>
  </w:style>
  <w:style w:type="paragraph" w:customStyle="1" w:styleId="Estilo">
    <w:name w:val="Estilo"/>
    <w:basedOn w:val="Sinespaciado"/>
    <w:link w:val="EstiloCar"/>
    <w:qFormat/>
    <w:rsid w:val="006776DE"/>
    <w:pPr>
      <w:jc w:val="both"/>
    </w:pPr>
    <w:rPr>
      <w:rFonts w:ascii="Arial" w:hAnsi="Arial"/>
      <w:sz w:val="24"/>
      <w:lang w:eastAsia="en-US"/>
    </w:rPr>
  </w:style>
  <w:style w:type="character" w:customStyle="1" w:styleId="EstiloCar">
    <w:name w:val="Estilo Car"/>
    <w:link w:val="Estilo"/>
    <w:locked/>
    <w:rsid w:val="006776DE"/>
    <w:rPr>
      <w:rFonts w:ascii="Arial" w:hAnsi="Arial"/>
      <w:sz w:val="24"/>
      <w:lang w:val="x-none" w:eastAsia="en-US"/>
    </w:rPr>
  </w:style>
  <w:style w:type="paragraph" w:styleId="Sinespaciado">
    <w:name w:val="No Spacing"/>
    <w:uiPriority w:val="1"/>
    <w:qFormat/>
    <w:rsid w:val="006776DE"/>
    <w:rPr>
      <w:rFonts w:cs="Times New Roman"/>
      <w:sz w:val="22"/>
      <w:szCs w:val="22"/>
    </w:rPr>
  </w:style>
  <w:style w:type="paragraph" w:styleId="Textodeglobo">
    <w:name w:val="Balloon Text"/>
    <w:basedOn w:val="Normal"/>
    <w:link w:val="TextodegloboCar"/>
    <w:uiPriority w:val="99"/>
    <w:semiHidden/>
    <w:unhideWhenUsed/>
    <w:rsid w:val="00BE0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E08ED"/>
    <w:rPr>
      <w:rFonts w:ascii="Tahoma" w:hAnsi="Tahoma" w:cs="Tahoma"/>
      <w:sz w:val="16"/>
      <w:szCs w:val="16"/>
    </w:rPr>
  </w:style>
  <w:style w:type="paragraph" w:customStyle="1" w:styleId="ANOTACION">
    <w:name w:val="ANOTACION"/>
    <w:basedOn w:val="Normal"/>
    <w:rsid w:val="00DD2E11"/>
    <w:pPr>
      <w:spacing w:before="101" w:after="101" w:line="216" w:lineRule="atLeast"/>
      <w:jc w:val="center"/>
    </w:pPr>
    <w:rPr>
      <w:rFonts w:ascii="CG Palacio (WN)" w:hAnsi="CG Palacio (WN)" w:cs="CG Palacio (WN)"/>
      <w:b/>
      <w:sz w:val="18"/>
      <w:szCs w:val="20"/>
      <w:lang w:val="es-ES_tradnl"/>
    </w:rPr>
  </w:style>
  <w:style w:type="paragraph" w:customStyle="1" w:styleId="texto">
    <w:name w:val="texto"/>
    <w:basedOn w:val="Normal"/>
    <w:rsid w:val="00DD2E11"/>
    <w:pPr>
      <w:spacing w:after="101" w:line="216" w:lineRule="atLeast"/>
      <w:ind w:firstLine="288"/>
      <w:jc w:val="both"/>
    </w:pPr>
    <w:rPr>
      <w:rFonts w:ascii="Arial" w:hAnsi="Arial" w:cs="Arial"/>
      <w:sz w:val="18"/>
      <w:szCs w:val="20"/>
      <w:lang w:val="es-ES_tradnl"/>
    </w:rPr>
  </w:style>
  <w:style w:type="paragraph" w:customStyle="1" w:styleId="Titulo2">
    <w:name w:val="Titulo 2"/>
    <w:basedOn w:val="Normal"/>
    <w:autoRedefine/>
    <w:rsid w:val="00DD2E11"/>
    <w:pPr>
      <w:spacing w:after="101" w:line="240" w:lineRule="exact"/>
      <w:jc w:val="both"/>
    </w:pPr>
    <w:rPr>
      <w:rFonts w:ascii="Arial" w:hAnsi="Arial" w:cs="Arial"/>
      <w:b/>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9432</Words>
  <Characters>51876</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MARTINEZ PEÑA</dc:creator>
  <cp:lastModifiedBy>GUSTAVO MARTINEZ PEÑA</cp:lastModifiedBy>
  <cp:revision>2</cp:revision>
  <cp:lastPrinted>2016-09-22T22:28:00Z</cp:lastPrinted>
  <dcterms:created xsi:type="dcterms:W3CDTF">2019-06-05T22:16:00Z</dcterms:created>
  <dcterms:modified xsi:type="dcterms:W3CDTF">2019-06-05T22:16:00Z</dcterms:modified>
</cp:coreProperties>
</file>