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B3BBD82" w14:textId="22F5E83F" w:rsidR="009E475B" w:rsidRPr="00D504CD" w:rsidRDefault="009E475B" w:rsidP="000473E0">
      <w:pPr>
        <w:pStyle w:val="corte1datos"/>
        <w:ind w:left="3540" w:hanging="563"/>
        <w:jc w:val="both"/>
        <w:rPr>
          <w:rFonts w:cs="Arial"/>
          <w:sz w:val="28"/>
          <w:szCs w:val="28"/>
        </w:rPr>
      </w:pPr>
      <w:r w:rsidRPr="00D504CD">
        <w:rPr>
          <w:rFonts w:cs="Arial"/>
          <w:noProof/>
          <w:sz w:val="28"/>
          <w:szCs w:val="28"/>
          <w:lang w:val="es-MX"/>
        </w:rPr>
        <mc:AlternateContent>
          <mc:Choice Requires="wps">
            <w:drawing>
              <wp:anchor distT="0" distB="0" distL="114300" distR="114300" simplePos="0" relativeHeight="251659264" behindDoc="0" locked="0" layoutInCell="1" allowOverlap="1" wp14:anchorId="56DDE06F" wp14:editId="18F7E5C2">
                <wp:simplePos x="0" y="0"/>
                <wp:positionH relativeFrom="column">
                  <wp:posOffset>1739265</wp:posOffset>
                </wp:positionH>
                <wp:positionV relativeFrom="paragraph">
                  <wp:posOffset>-1511935</wp:posOffset>
                </wp:positionV>
                <wp:extent cx="5334000" cy="11811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5334000" cy="1181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F8976" id="Rectángulo 4" o:spid="_x0000_s1026" style="position:absolute;margin-left:136.95pt;margin-top:-119.05pt;width:420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" fillcolor="white [3212]" strokecolor="white [3212]" strokeweight="1pt"/>
            </w:pict>
          </mc:Fallback>
        </mc:AlternateContent>
      </w:r>
      <w:r w:rsidR="00EF35D7" w:rsidRPr="00D504CD">
        <w:rPr>
          <w:rFonts w:cs="Arial"/>
          <w:sz w:val="28"/>
          <w:szCs w:val="28"/>
        </w:rPr>
        <w:t xml:space="preserve">AMPARO DIRECTO EN REVISIÓN </w:t>
      </w:r>
      <w:r w:rsidR="00751B05">
        <w:rPr>
          <w:rFonts w:cs="Arial"/>
          <w:sz w:val="28"/>
          <w:szCs w:val="28"/>
        </w:rPr>
        <w:t>1739</w:t>
      </w:r>
      <w:r w:rsidR="002A2249" w:rsidRPr="002A2249">
        <w:rPr>
          <w:rFonts w:cs="Arial"/>
          <w:sz w:val="28"/>
          <w:szCs w:val="28"/>
        </w:rPr>
        <w:t>/2019</w:t>
      </w:r>
    </w:p>
    <w:p w14:paraId="2EB20852" w14:textId="6A4ADB6F" w:rsidR="009E475B" w:rsidRDefault="00543040" w:rsidP="00497249">
      <w:pPr>
        <w:pStyle w:val="corte1datos"/>
        <w:ind w:left="2977"/>
        <w:jc w:val="both"/>
        <w:rPr>
          <w:rFonts w:cs="Arial"/>
          <w:color w:val="FF0000"/>
          <w:sz w:val="28"/>
          <w:szCs w:val="28"/>
        </w:rPr>
      </w:pPr>
      <w:r w:rsidRPr="00D504CD">
        <w:rPr>
          <w:rFonts w:cs="Arial"/>
          <w:sz w:val="28"/>
          <w:szCs w:val="28"/>
        </w:rPr>
        <w:t>QUEJOs</w:t>
      </w:r>
      <w:r w:rsidR="002A2249">
        <w:rPr>
          <w:rFonts w:cs="Arial"/>
          <w:sz w:val="28"/>
          <w:szCs w:val="28"/>
        </w:rPr>
        <w:t>O</w:t>
      </w:r>
      <w:r w:rsidR="00497249">
        <w:rPr>
          <w:rFonts w:cs="Arial"/>
          <w:sz w:val="28"/>
          <w:szCs w:val="28"/>
        </w:rPr>
        <w:t xml:space="preserve"> y recurrente</w:t>
      </w:r>
      <w:r w:rsidR="009E475B" w:rsidRPr="00D504CD">
        <w:rPr>
          <w:rFonts w:cs="Arial"/>
          <w:sz w:val="28"/>
          <w:szCs w:val="28"/>
        </w:rPr>
        <w:t xml:space="preserve">: </w:t>
      </w:r>
      <w:r w:rsidR="00497249">
        <w:rPr>
          <w:rFonts w:cs="Arial"/>
          <w:color w:val="FF0000"/>
          <w:sz w:val="28"/>
          <w:szCs w:val="28"/>
        </w:rPr>
        <w:t>nestor felipe estrada</w:t>
      </w:r>
      <w:r w:rsidR="00CF5233">
        <w:rPr>
          <w:rFonts w:cs="Arial"/>
          <w:color w:val="FF0000"/>
          <w:sz w:val="28"/>
          <w:szCs w:val="28"/>
        </w:rPr>
        <w:t xml:space="preserve"> GARCÍA</w:t>
      </w:r>
      <w:r w:rsidR="00497249">
        <w:rPr>
          <w:rFonts w:cs="Arial"/>
          <w:color w:val="FF0000"/>
          <w:sz w:val="28"/>
          <w:szCs w:val="28"/>
        </w:rPr>
        <w:t>.</w:t>
      </w:r>
    </w:p>
    <w:p w14:paraId="6B16215D" w14:textId="77777777" w:rsidR="00DA55AB" w:rsidRPr="00B01829" w:rsidRDefault="00DA55AB" w:rsidP="00DA55AB">
      <w:pPr>
        <w:pStyle w:val="corte1datos"/>
        <w:ind w:left="2977"/>
        <w:jc w:val="both"/>
        <w:rPr>
          <w:rFonts w:cs="Arial"/>
          <w:color w:val="FF0000"/>
          <w:sz w:val="28"/>
          <w:szCs w:val="28"/>
        </w:rPr>
      </w:pPr>
      <w:r>
        <w:rPr>
          <w:rFonts w:cs="Arial"/>
          <w:sz w:val="28"/>
          <w:szCs w:val="28"/>
        </w:rPr>
        <w:t>RECURRENTE ADHESIVO:</w:t>
      </w:r>
      <w:r>
        <w:rPr>
          <w:rFonts w:cs="Arial"/>
          <w:color w:val="FF0000"/>
          <w:sz w:val="28"/>
          <w:szCs w:val="28"/>
        </w:rPr>
        <w:t xml:space="preserve"> SECRETARÍA DE hACIENDA Y CRÉDITO PÚBLICO</w:t>
      </w:r>
    </w:p>
    <w:p w14:paraId="7EF5F00D" w14:textId="77777777" w:rsidR="009E475B" w:rsidRPr="00D504CD" w:rsidRDefault="009E475B" w:rsidP="00802E6A">
      <w:pPr>
        <w:pStyle w:val="corte1datos"/>
        <w:spacing w:line="360" w:lineRule="auto"/>
        <w:ind w:left="2977"/>
        <w:jc w:val="both"/>
        <w:rPr>
          <w:rFonts w:cs="Arial"/>
          <w:sz w:val="28"/>
          <w:szCs w:val="28"/>
        </w:rPr>
      </w:pPr>
    </w:p>
    <w:p w14:paraId="3C0720C1" w14:textId="77777777" w:rsidR="009E475B" w:rsidRPr="00E33769" w:rsidRDefault="009E475B" w:rsidP="00802E6A">
      <w:pPr>
        <w:pStyle w:val="corte1datos"/>
        <w:spacing w:line="360" w:lineRule="auto"/>
        <w:ind w:left="0"/>
        <w:jc w:val="both"/>
        <w:rPr>
          <w:rFonts w:cs="Arial"/>
          <w:sz w:val="25"/>
          <w:szCs w:val="25"/>
        </w:rPr>
      </w:pPr>
    </w:p>
    <w:p w14:paraId="4D77D324" w14:textId="77777777" w:rsidR="00497249" w:rsidRPr="00E33769" w:rsidRDefault="00497249" w:rsidP="00497249">
      <w:pPr>
        <w:ind w:right="-760"/>
        <w:rPr>
          <w:rFonts w:ascii="Arial" w:hAnsi="Arial" w:cs="Arial"/>
          <w:b/>
          <w:caps/>
          <w:sz w:val="25"/>
          <w:szCs w:val="25"/>
          <w:lang w:val="es-ES_tradnl" w:eastAsia="es-ES"/>
        </w:rPr>
      </w:pPr>
      <w:r w:rsidRPr="00E33769">
        <w:rPr>
          <w:rFonts w:ascii="Arial" w:hAnsi="Arial" w:cs="Arial"/>
          <w:b/>
          <w:sz w:val="25"/>
          <w:szCs w:val="25"/>
          <w:lang w:val="es-ES_tradnl" w:eastAsia="es-ES"/>
        </w:rPr>
        <w:t>PONENTE: MINISTRA ANA MARGARITA RÍOS FARJAT</w:t>
      </w:r>
    </w:p>
    <w:p w14:paraId="6E3A30BC" w14:textId="5ADA40D9" w:rsidR="002B7C2D" w:rsidRPr="00E33769" w:rsidRDefault="00497249" w:rsidP="00497249">
      <w:pPr>
        <w:pStyle w:val="corte2ponente"/>
        <w:rPr>
          <w:sz w:val="25"/>
          <w:szCs w:val="25"/>
        </w:rPr>
      </w:pPr>
      <w:r w:rsidRPr="00E33769">
        <w:rPr>
          <w:rFonts w:cs="Arial"/>
          <w:caps w:val="0"/>
          <w:sz w:val="25"/>
          <w:szCs w:val="25"/>
        </w:rPr>
        <w:t>SECRETARIO: JUAN JAIME GONZÁLEZ VARAS</w:t>
      </w:r>
    </w:p>
    <w:p w14:paraId="5C8FBDAA" w14:textId="6D36E69E" w:rsidR="00497249" w:rsidRPr="00E33769" w:rsidRDefault="002B7C2D" w:rsidP="00497249">
      <w:pPr>
        <w:pStyle w:val="corte2ponente"/>
        <w:rPr>
          <w:rFonts w:cs="Arial"/>
          <w:b w:val="0"/>
          <w:caps w:val="0"/>
          <w:sz w:val="25"/>
          <w:szCs w:val="25"/>
        </w:rPr>
      </w:pPr>
      <w:r w:rsidRPr="00E33769">
        <w:rPr>
          <w:rFonts w:cs="Arial"/>
          <w:b w:val="0"/>
          <w:caps w:val="0"/>
          <w:sz w:val="25"/>
          <w:szCs w:val="25"/>
        </w:rPr>
        <w:t>Colaboradores</w:t>
      </w:r>
      <w:r w:rsidR="00497249" w:rsidRPr="00E33769">
        <w:rPr>
          <w:rFonts w:cs="Arial"/>
          <w:b w:val="0"/>
          <w:caps w:val="0"/>
          <w:sz w:val="25"/>
          <w:szCs w:val="25"/>
        </w:rPr>
        <w:t>: Cynthia Esmeralda Granados Moreno</w:t>
      </w:r>
    </w:p>
    <w:p w14:paraId="496C8785" w14:textId="4F9E8112" w:rsidR="002B7C2D" w:rsidRPr="00E33769" w:rsidRDefault="002B7C2D" w:rsidP="00497249">
      <w:pPr>
        <w:pStyle w:val="corte2ponente"/>
        <w:rPr>
          <w:rFonts w:cs="Arial"/>
          <w:b w:val="0"/>
          <w:caps w:val="0"/>
          <w:sz w:val="25"/>
          <w:szCs w:val="25"/>
        </w:rPr>
      </w:pPr>
      <w:r w:rsidRPr="00E33769">
        <w:rPr>
          <w:rFonts w:cs="Arial"/>
          <w:b w:val="0"/>
          <w:caps w:val="0"/>
          <w:sz w:val="25"/>
          <w:szCs w:val="25"/>
        </w:rPr>
        <w:tab/>
      </w:r>
      <w:r w:rsidRPr="00E33769">
        <w:rPr>
          <w:rFonts w:cs="Arial"/>
          <w:b w:val="0"/>
          <w:caps w:val="0"/>
          <w:sz w:val="25"/>
          <w:szCs w:val="25"/>
        </w:rPr>
        <w:tab/>
        <w:t xml:space="preserve">      Alfonso Cruz Sotomayor </w:t>
      </w:r>
    </w:p>
    <w:p w14:paraId="116BFC73" w14:textId="77777777" w:rsidR="00497249" w:rsidRDefault="00497249" w:rsidP="00497249">
      <w:pPr>
        <w:jc w:val="both"/>
        <w:rPr>
          <w:rFonts w:ascii="Arial" w:hAnsi="Arial" w:cs="Arial"/>
          <w:sz w:val="26"/>
          <w:szCs w:val="26"/>
        </w:rPr>
      </w:pPr>
    </w:p>
    <w:p w14:paraId="62231242" w14:textId="77777777" w:rsidR="00497249" w:rsidRPr="00BC1762" w:rsidRDefault="00497249" w:rsidP="00497249">
      <w:pPr>
        <w:jc w:val="both"/>
        <w:rPr>
          <w:rFonts w:ascii="Arial" w:hAnsi="Arial" w:cs="Arial"/>
          <w:sz w:val="26"/>
          <w:szCs w:val="26"/>
        </w:rPr>
      </w:pPr>
    </w:p>
    <w:p w14:paraId="5A048037" w14:textId="64D0884D" w:rsidR="009E475B" w:rsidRPr="00F12289" w:rsidRDefault="00497249" w:rsidP="00497249">
      <w:pPr>
        <w:spacing w:line="360" w:lineRule="auto"/>
        <w:jc w:val="both"/>
        <w:rPr>
          <w:rFonts w:cs="Arial"/>
          <w:b/>
          <w:sz w:val="26"/>
          <w:szCs w:val="26"/>
        </w:rPr>
      </w:pPr>
      <w:r w:rsidRPr="00F12289">
        <w:rPr>
          <w:rFonts w:ascii="Arial" w:hAnsi="Arial" w:cs="Arial"/>
          <w:sz w:val="26"/>
          <w:szCs w:val="26"/>
        </w:rPr>
        <w:t xml:space="preserve">Ciudad de México. La Primera Sala de la Suprema Corte de Justicia de la Nación, en la sesión de </w:t>
      </w:r>
      <w:r w:rsidR="004E5250" w:rsidRPr="00F12289">
        <w:rPr>
          <w:rFonts w:ascii="Arial" w:hAnsi="Arial" w:cs="Arial"/>
          <w:b/>
          <w:sz w:val="26"/>
          <w:szCs w:val="26"/>
        </w:rPr>
        <w:t xml:space="preserve">seis de febrero </w:t>
      </w:r>
      <w:r w:rsidRPr="00F12289">
        <w:rPr>
          <w:rFonts w:ascii="Arial" w:hAnsi="Arial" w:cs="Arial"/>
          <w:b/>
          <w:sz w:val="26"/>
          <w:szCs w:val="26"/>
        </w:rPr>
        <w:t>de dos mil veinte</w:t>
      </w:r>
      <w:r w:rsidRPr="00F12289">
        <w:rPr>
          <w:rFonts w:ascii="Arial" w:hAnsi="Arial" w:cs="Arial"/>
          <w:sz w:val="26"/>
          <w:szCs w:val="26"/>
        </w:rPr>
        <w:t>.</w:t>
      </w:r>
    </w:p>
    <w:p w14:paraId="79B7B291" w14:textId="77777777" w:rsidR="009E475B" w:rsidRPr="00F12289" w:rsidRDefault="009E475B" w:rsidP="00802E6A">
      <w:pPr>
        <w:spacing w:line="360" w:lineRule="auto"/>
        <w:rPr>
          <w:rFonts w:ascii="Arial" w:hAnsi="Arial" w:cs="Arial"/>
          <w:sz w:val="26"/>
          <w:szCs w:val="26"/>
        </w:rPr>
      </w:pPr>
    </w:p>
    <w:p w14:paraId="1D1F7FC5" w14:textId="77777777" w:rsidR="009E475B" w:rsidRPr="00F12289" w:rsidRDefault="009E475B" w:rsidP="00802E6A">
      <w:pPr>
        <w:spacing w:line="360" w:lineRule="auto"/>
        <w:rPr>
          <w:rFonts w:ascii="Arial" w:hAnsi="Arial" w:cs="Arial"/>
          <w:b/>
          <w:sz w:val="26"/>
          <w:szCs w:val="26"/>
        </w:rPr>
      </w:pPr>
    </w:p>
    <w:p w14:paraId="5C755838" w14:textId="21A10484" w:rsidR="009E475B" w:rsidRPr="00F12289" w:rsidRDefault="009E475B" w:rsidP="00802E6A">
      <w:pPr>
        <w:pStyle w:val="corte4fondoCar1CarCarCarCar"/>
        <w:ind w:firstLine="142"/>
        <w:jc w:val="center"/>
        <w:rPr>
          <w:b/>
          <w:sz w:val="26"/>
          <w:szCs w:val="26"/>
          <w:lang w:val="pt-PT"/>
        </w:rPr>
      </w:pPr>
      <w:r w:rsidRPr="00F12289">
        <w:rPr>
          <w:b/>
          <w:sz w:val="26"/>
          <w:szCs w:val="26"/>
          <w:lang w:val="pt-PT"/>
        </w:rPr>
        <w:t xml:space="preserve">V I S T O S </w:t>
      </w:r>
      <w:r w:rsidRPr="00F12289">
        <w:rPr>
          <w:sz w:val="26"/>
          <w:szCs w:val="26"/>
          <w:lang w:val="pt-PT"/>
        </w:rPr>
        <w:t xml:space="preserve">para resolver el amparo directo en revisión </w:t>
      </w:r>
      <w:r w:rsidR="00497249" w:rsidRPr="00F12289">
        <w:rPr>
          <w:b/>
          <w:sz w:val="26"/>
          <w:szCs w:val="26"/>
          <w:lang w:val="pt-PT"/>
        </w:rPr>
        <w:t>1739</w:t>
      </w:r>
      <w:r w:rsidR="003C6D02" w:rsidRPr="00F12289">
        <w:rPr>
          <w:b/>
          <w:sz w:val="26"/>
          <w:szCs w:val="26"/>
          <w:lang w:val="pt-PT"/>
        </w:rPr>
        <w:t>/2019</w:t>
      </w:r>
      <w:r w:rsidRPr="00F12289">
        <w:rPr>
          <w:sz w:val="26"/>
          <w:szCs w:val="26"/>
          <w:lang w:val="pt-PT"/>
        </w:rPr>
        <w:t>, y;</w:t>
      </w:r>
    </w:p>
    <w:p w14:paraId="1CC64A44" w14:textId="77777777" w:rsidR="009E475B" w:rsidRPr="00BC4AF2" w:rsidRDefault="009E475B" w:rsidP="00802E6A">
      <w:pPr>
        <w:pStyle w:val="corte4fondoCar1CarCarCarCar"/>
        <w:ind w:firstLine="0"/>
        <w:rPr>
          <w:b/>
          <w:sz w:val="26"/>
          <w:szCs w:val="26"/>
          <w:lang w:val="pt-PT"/>
        </w:rPr>
      </w:pPr>
    </w:p>
    <w:p w14:paraId="0D3DA57A" w14:textId="79DC24FC" w:rsidR="009E475B" w:rsidRPr="00F12289" w:rsidRDefault="009E475B" w:rsidP="00802E6A">
      <w:pPr>
        <w:pStyle w:val="corte4fondoCar1CarCarCarCar"/>
        <w:ind w:firstLine="0"/>
        <w:jc w:val="center"/>
        <w:rPr>
          <w:b/>
          <w:sz w:val="28"/>
          <w:szCs w:val="28"/>
          <w:lang w:val="pt-PT"/>
        </w:rPr>
      </w:pPr>
      <w:r w:rsidRPr="00F12289">
        <w:rPr>
          <w:b/>
          <w:sz w:val="28"/>
          <w:szCs w:val="28"/>
          <w:lang w:val="pt-PT"/>
        </w:rPr>
        <w:t>R E S U L T A N D O:</w:t>
      </w:r>
    </w:p>
    <w:p w14:paraId="7EA4FC6E" w14:textId="77777777" w:rsidR="00BB37A3" w:rsidRDefault="00BB37A3" w:rsidP="00802E6A">
      <w:pPr>
        <w:pStyle w:val="Prrafodelista"/>
        <w:widowControl w:val="0"/>
        <w:spacing w:line="360" w:lineRule="auto"/>
        <w:ind w:left="0"/>
        <w:jc w:val="both"/>
        <w:rPr>
          <w:rFonts w:ascii="Arial" w:hAnsi="Arial" w:cs="Arial"/>
          <w:color w:val="FF0000"/>
          <w:sz w:val="26"/>
          <w:szCs w:val="26"/>
        </w:rPr>
      </w:pPr>
    </w:p>
    <w:p w14:paraId="574E236C" w14:textId="6AF701F5" w:rsidR="00407F97" w:rsidRPr="00F12289" w:rsidRDefault="00144210" w:rsidP="00465762">
      <w:pPr>
        <w:pStyle w:val="Prrafodelista"/>
        <w:widowControl w:val="0"/>
        <w:numPr>
          <w:ilvl w:val="0"/>
          <w:numId w:val="1"/>
        </w:numPr>
        <w:spacing w:line="360" w:lineRule="auto"/>
        <w:ind w:left="0" w:hanging="567"/>
        <w:jc w:val="both"/>
        <w:rPr>
          <w:rFonts w:ascii="Arial" w:hAnsi="Arial"/>
          <w:sz w:val="26"/>
          <w:szCs w:val="26"/>
        </w:rPr>
      </w:pPr>
      <w:r w:rsidRPr="00F12289">
        <w:rPr>
          <w:rFonts w:ascii="Arial" w:hAnsi="Arial" w:cs="Arial"/>
          <w:b/>
          <w:sz w:val="26"/>
          <w:szCs w:val="26"/>
        </w:rPr>
        <w:t xml:space="preserve">PRIMERO. Demanda de amparo. </w:t>
      </w:r>
      <w:r w:rsidRPr="00F12289">
        <w:rPr>
          <w:rFonts w:ascii="Arial" w:hAnsi="Arial" w:cs="Arial"/>
          <w:sz w:val="26"/>
          <w:szCs w:val="26"/>
        </w:rPr>
        <w:t xml:space="preserve">Por escrito presentado </w:t>
      </w:r>
      <w:r w:rsidR="004119E1" w:rsidRPr="00F12289">
        <w:rPr>
          <w:rFonts w:ascii="Arial" w:hAnsi="Arial" w:cs="Arial"/>
          <w:sz w:val="26"/>
          <w:szCs w:val="26"/>
        </w:rPr>
        <w:t xml:space="preserve">el </w:t>
      </w:r>
      <w:r w:rsidR="00497249" w:rsidRPr="00F12289">
        <w:rPr>
          <w:rFonts w:ascii="Arial" w:hAnsi="Arial" w:cs="Arial"/>
          <w:sz w:val="26"/>
          <w:szCs w:val="26"/>
        </w:rPr>
        <w:t>cuatro de abril de dos mil diecisiete</w:t>
      </w:r>
      <w:r w:rsidR="004F0529" w:rsidRPr="00F12289">
        <w:rPr>
          <w:rStyle w:val="Refdenotaalpie"/>
          <w:rFonts w:cs="Arial"/>
          <w:sz w:val="26"/>
          <w:szCs w:val="26"/>
        </w:rPr>
        <w:footnoteReference w:id="1"/>
      </w:r>
      <w:r w:rsidR="004F0529" w:rsidRPr="00F12289">
        <w:rPr>
          <w:rFonts w:ascii="Arial" w:hAnsi="Arial" w:cs="Arial"/>
          <w:sz w:val="26"/>
          <w:szCs w:val="26"/>
        </w:rPr>
        <w:t xml:space="preserve"> </w:t>
      </w:r>
      <w:r w:rsidR="001A308A" w:rsidRPr="00F12289">
        <w:rPr>
          <w:rFonts w:ascii="Arial" w:hAnsi="Arial" w:cs="Arial"/>
          <w:sz w:val="26"/>
          <w:szCs w:val="26"/>
        </w:rPr>
        <w:t>en la</w:t>
      </w:r>
      <w:r w:rsidR="00465762" w:rsidRPr="00F12289">
        <w:rPr>
          <w:rFonts w:ascii="Arial" w:hAnsi="Arial" w:cs="Arial"/>
          <w:sz w:val="26"/>
          <w:szCs w:val="26"/>
          <w:lang w:val="es-MX"/>
        </w:rPr>
        <w:t xml:space="preserve"> Oficina de Correspondencia Común de los Tribunal</w:t>
      </w:r>
      <w:r w:rsidR="001A308A" w:rsidRPr="00F12289">
        <w:rPr>
          <w:rFonts w:ascii="Arial" w:hAnsi="Arial" w:cs="Arial"/>
          <w:sz w:val="26"/>
          <w:szCs w:val="26"/>
          <w:lang w:val="es-MX"/>
        </w:rPr>
        <w:t>es</w:t>
      </w:r>
      <w:r w:rsidR="00465762" w:rsidRPr="00F12289">
        <w:rPr>
          <w:rFonts w:ascii="Arial" w:hAnsi="Arial" w:cs="Arial"/>
          <w:sz w:val="26"/>
          <w:szCs w:val="26"/>
          <w:lang w:val="es-MX"/>
        </w:rPr>
        <w:t xml:space="preserve"> Unitarios en Materia Penal del Primer Circuito, </w:t>
      </w:r>
      <w:r w:rsidR="00465762" w:rsidRPr="00F12289">
        <w:rPr>
          <w:rFonts w:ascii="Arial" w:hAnsi="Arial" w:cs="Arial"/>
          <w:color w:val="FF0000"/>
          <w:sz w:val="26"/>
          <w:szCs w:val="26"/>
          <w:lang w:val="es-MX"/>
        </w:rPr>
        <w:t>Néstor Felipe Estrada García</w:t>
      </w:r>
      <w:r w:rsidR="00465762" w:rsidRPr="00F12289">
        <w:rPr>
          <w:rFonts w:ascii="Arial" w:hAnsi="Arial" w:cs="Arial"/>
          <w:sz w:val="26"/>
          <w:szCs w:val="26"/>
          <w:lang w:val="es-MX"/>
        </w:rPr>
        <w:t xml:space="preserve">, por propio derecho, promovió juicio de amparo directo contra la sentencia definitiva de dieciséis </w:t>
      </w:r>
      <w:r w:rsidR="006C5C2B" w:rsidRPr="00F12289">
        <w:rPr>
          <w:rFonts w:ascii="Arial" w:hAnsi="Arial" w:cs="Arial"/>
          <w:sz w:val="26"/>
          <w:szCs w:val="26"/>
          <w:lang w:val="es-MX"/>
        </w:rPr>
        <w:t xml:space="preserve">de marzo de dos mil diecisiete </w:t>
      </w:r>
      <w:r w:rsidR="00465762" w:rsidRPr="00F12289">
        <w:rPr>
          <w:rFonts w:ascii="Arial" w:hAnsi="Arial" w:cs="Arial"/>
          <w:sz w:val="26"/>
          <w:szCs w:val="26"/>
          <w:lang w:val="es-MX"/>
        </w:rPr>
        <w:t xml:space="preserve">dictada por el Primer Tribunal Unitario en Materia Penal del Primer Circuito en los autos </w:t>
      </w:r>
      <w:proofErr w:type="gramStart"/>
      <w:r w:rsidR="00465762" w:rsidRPr="00F12289">
        <w:rPr>
          <w:rFonts w:ascii="Arial" w:hAnsi="Arial" w:cs="Arial"/>
          <w:sz w:val="26"/>
          <w:szCs w:val="26"/>
          <w:lang w:val="es-MX"/>
        </w:rPr>
        <w:t>del toca</w:t>
      </w:r>
      <w:proofErr w:type="gramEnd"/>
      <w:r w:rsidR="00465762" w:rsidRPr="00F12289">
        <w:rPr>
          <w:rFonts w:ascii="Arial" w:hAnsi="Arial" w:cs="Arial"/>
          <w:sz w:val="26"/>
          <w:szCs w:val="26"/>
          <w:lang w:val="es-MX"/>
        </w:rPr>
        <w:t xml:space="preserve"> de apelación </w:t>
      </w:r>
      <w:r w:rsidR="00B071E0">
        <w:rPr>
          <w:rFonts w:ascii="Arial" w:hAnsi="Arial" w:cs="Arial"/>
          <w:color w:val="FF0000"/>
          <w:sz w:val="26"/>
          <w:szCs w:val="26"/>
          <w:lang w:val="es-MX"/>
        </w:rPr>
        <w:t>**********</w:t>
      </w:r>
      <w:r w:rsidR="00465762" w:rsidRPr="00F12289">
        <w:rPr>
          <w:rFonts w:ascii="Arial" w:hAnsi="Arial"/>
          <w:sz w:val="26"/>
          <w:szCs w:val="26"/>
        </w:rPr>
        <w:t>.</w:t>
      </w:r>
    </w:p>
    <w:p w14:paraId="4630821B" w14:textId="77777777" w:rsidR="00A57A8D" w:rsidRPr="00F12289" w:rsidRDefault="00A57A8D" w:rsidP="00A57A8D">
      <w:pPr>
        <w:pStyle w:val="Prrafodelista"/>
        <w:widowControl w:val="0"/>
        <w:spacing w:line="360" w:lineRule="auto"/>
        <w:ind w:left="0"/>
        <w:jc w:val="both"/>
        <w:rPr>
          <w:rFonts w:ascii="Arial" w:hAnsi="Arial"/>
          <w:sz w:val="26"/>
          <w:szCs w:val="26"/>
        </w:rPr>
      </w:pPr>
    </w:p>
    <w:p w14:paraId="099D626D" w14:textId="5D67A671" w:rsidR="004119E1" w:rsidRPr="00F12289" w:rsidRDefault="009E475B" w:rsidP="00974774">
      <w:pPr>
        <w:pStyle w:val="Prrafodelista"/>
        <w:widowControl w:val="0"/>
        <w:numPr>
          <w:ilvl w:val="0"/>
          <w:numId w:val="1"/>
        </w:numPr>
        <w:spacing w:line="360" w:lineRule="auto"/>
        <w:ind w:left="0" w:hanging="567"/>
        <w:jc w:val="both"/>
        <w:rPr>
          <w:rFonts w:ascii="Arial" w:hAnsi="Arial" w:cs="Arial"/>
          <w:color w:val="FF0000"/>
          <w:sz w:val="26"/>
          <w:szCs w:val="26"/>
        </w:rPr>
      </w:pPr>
      <w:r w:rsidRPr="00F12289">
        <w:rPr>
          <w:rFonts w:ascii="Arial" w:hAnsi="Arial" w:cs="Arial"/>
          <w:b/>
          <w:bCs/>
          <w:sz w:val="26"/>
          <w:szCs w:val="26"/>
          <w:lang w:val="es-ES"/>
        </w:rPr>
        <w:t xml:space="preserve">SEGUNDO. </w:t>
      </w:r>
      <w:r w:rsidR="00543040" w:rsidRPr="00F12289">
        <w:rPr>
          <w:rFonts w:ascii="Arial" w:hAnsi="Arial" w:cs="Arial"/>
          <w:bCs/>
          <w:sz w:val="26"/>
          <w:szCs w:val="26"/>
          <w:lang w:val="es-ES"/>
        </w:rPr>
        <w:t>La quejosa</w:t>
      </w:r>
      <w:r w:rsidRPr="00F12289">
        <w:rPr>
          <w:rFonts w:ascii="Arial" w:hAnsi="Arial" w:cs="Arial"/>
          <w:sz w:val="26"/>
          <w:szCs w:val="26"/>
          <w:lang w:val="es-ES"/>
        </w:rPr>
        <w:t xml:space="preserve"> señaló como derechos humanos violados los contenidos en los artículos </w:t>
      </w:r>
      <w:r w:rsidR="00205885" w:rsidRPr="00F12289">
        <w:rPr>
          <w:rFonts w:ascii="Arial" w:hAnsi="Arial" w:cs="Arial"/>
          <w:sz w:val="26"/>
          <w:szCs w:val="26"/>
          <w:lang w:val="es-ES"/>
        </w:rPr>
        <w:t>14, 16,</w:t>
      </w:r>
      <w:r w:rsidRPr="00F12289">
        <w:rPr>
          <w:rFonts w:ascii="Arial" w:hAnsi="Arial" w:cs="Arial"/>
          <w:sz w:val="26"/>
          <w:szCs w:val="26"/>
          <w:lang w:val="es-ES"/>
        </w:rPr>
        <w:t xml:space="preserve"> </w:t>
      </w:r>
      <w:r w:rsidR="007D4F67" w:rsidRPr="00F12289">
        <w:rPr>
          <w:rFonts w:ascii="Arial" w:hAnsi="Arial" w:cs="Arial"/>
          <w:sz w:val="26"/>
          <w:szCs w:val="26"/>
          <w:lang w:val="es-ES"/>
        </w:rPr>
        <w:t>17</w:t>
      </w:r>
      <w:r w:rsidR="00DB14F3" w:rsidRPr="00F12289">
        <w:rPr>
          <w:rFonts w:ascii="Arial" w:hAnsi="Arial" w:cs="Arial"/>
          <w:sz w:val="26"/>
          <w:szCs w:val="26"/>
          <w:lang w:val="es-ES"/>
        </w:rPr>
        <w:t xml:space="preserve"> </w:t>
      </w:r>
      <w:r w:rsidR="00676A9F" w:rsidRPr="00F12289">
        <w:rPr>
          <w:rFonts w:ascii="Arial" w:hAnsi="Arial" w:cs="Arial"/>
          <w:sz w:val="26"/>
          <w:szCs w:val="26"/>
          <w:lang w:val="es-ES"/>
        </w:rPr>
        <w:t xml:space="preserve">y </w:t>
      </w:r>
      <w:r w:rsidR="00DB14F3" w:rsidRPr="00F12289">
        <w:rPr>
          <w:rFonts w:ascii="Arial" w:hAnsi="Arial" w:cs="Arial"/>
          <w:sz w:val="26"/>
          <w:szCs w:val="26"/>
          <w:lang w:val="es-ES"/>
        </w:rPr>
        <w:t>20, apartado A, fracción IX</w:t>
      </w:r>
      <w:r w:rsidR="001A308A" w:rsidRPr="00F12289">
        <w:rPr>
          <w:rFonts w:ascii="Arial" w:hAnsi="Arial" w:cs="Arial"/>
          <w:sz w:val="26"/>
          <w:szCs w:val="26"/>
          <w:lang w:val="es-ES"/>
        </w:rPr>
        <w:t xml:space="preserve">, </w:t>
      </w:r>
      <w:r w:rsidRPr="00F12289">
        <w:rPr>
          <w:rFonts w:ascii="Arial" w:hAnsi="Arial" w:cs="Arial"/>
          <w:sz w:val="26"/>
          <w:szCs w:val="26"/>
          <w:lang w:val="es-ES"/>
        </w:rPr>
        <w:t xml:space="preserve">de la </w:t>
      </w:r>
      <w:r w:rsidRPr="00F12289">
        <w:rPr>
          <w:rFonts w:ascii="Arial" w:hAnsi="Arial" w:cs="Arial"/>
          <w:sz w:val="26"/>
          <w:szCs w:val="26"/>
          <w:lang w:val="es-ES"/>
        </w:rPr>
        <w:lastRenderedPageBreak/>
        <w:t>Constitución Política de los Estados Unidos Mexicanos</w:t>
      </w:r>
      <w:r w:rsidR="00144210" w:rsidRPr="00F12289">
        <w:rPr>
          <w:rFonts w:ascii="Arial" w:hAnsi="Arial" w:cs="Arial"/>
          <w:sz w:val="26"/>
          <w:szCs w:val="26"/>
          <w:lang w:val="es-ES"/>
        </w:rPr>
        <w:t xml:space="preserve"> </w:t>
      </w:r>
      <w:r w:rsidRPr="00F12289">
        <w:rPr>
          <w:rFonts w:ascii="Arial" w:hAnsi="Arial" w:cs="Arial"/>
          <w:sz w:val="26"/>
          <w:szCs w:val="26"/>
          <w:lang w:val="es-ES"/>
        </w:rPr>
        <w:t xml:space="preserve">y expresó los conceptos de violación que consideró pertinentes. </w:t>
      </w:r>
    </w:p>
    <w:p w14:paraId="22284732" w14:textId="77777777" w:rsidR="004119E1" w:rsidRPr="00F12289" w:rsidRDefault="004119E1" w:rsidP="00802E6A">
      <w:pPr>
        <w:pStyle w:val="Prrafodelista"/>
        <w:spacing w:line="360" w:lineRule="auto"/>
        <w:rPr>
          <w:rFonts w:ascii="Arial" w:hAnsi="Arial" w:cs="Arial"/>
          <w:b/>
          <w:bCs/>
          <w:sz w:val="26"/>
          <w:szCs w:val="26"/>
          <w:lang w:val="es-ES"/>
        </w:rPr>
      </w:pPr>
    </w:p>
    <w:p w14:paraId="5E1F7B69" w14:textId="73A1EAEF" w:rsidR="0022754F" w:rsidRPr="00F12289" w:rsidRDefault="009E475B" w:rsidP="006C5C2B">
      <w:pPr>
        <w:pStyle w:val="Prrafodelista"/>
        <w:widowControl w:val="0"/>
        <w:numPr>
          <w:ilvl w:val="0"/>
          <w:numId w:val="1"/>
        </w:numPr>
        <w:spacing w:line="360" w:lineRule="auto"/>
        <w:ind w:left="0" w:hanging="567"/>
        <w:jc w:val="both"/>
        <w:rPr>
          <w:rFonts w:ascii="Arial" w:hAnsi="Arial" w:cs="Arial"/>
          <w:color w:val="FF0000"/>
          <w:sz w:val="26"/>
          <w:szCs w:val="26"/>
        </w:rPr>
      </w:pPr>
      <w:r w:rsidRPr="00F12289">
        <w:rPr>
          <w:rFonts w:ascii="Arial" w:hAnsi="Arial" w:cs="Arial"/>
          <w:b/>
          <w:bCs/>
          <w:sz w:val="26"/>
          <w:szCs w:val="26"/>
          <w:lang w:val="es-ES"/>
        </w:rPr>
        <w:t>TERCERO.</w:t>
      </w:r>
      <w:r w:rsidRPr="00F12289">
        <w:rPr>
          <w:rFonts w:ascii="Arial" w:hAnsi="Arial" w:cs="Arial"/>
          <w:sz w:val="26"/>
          <w:szCs w:val="26"/>
          <w:lang w:val="es-ES"/>
        </w:rPr>
        <w:t xml:space="preserve"> </w:t>
      </w:r>
      <w:r w:rsidRPr="00F12289">
        <w:rPr>
          <w:rFonts w:ascii="Arial" w:hAnsi="Arial" w:cs="Arial"/>
          <w:b/>
          <w:sz w:val="26"/>
          <w:szCs w:val="26"/>
          <w:lang w:val="es-ES"/>
        </w:rPr>
        <w:t xml:space="preserve">Trámite y resolución del juicio de amparo. </w:t>
      </w:r>
      <w:r w:rsidRPr="00F12289">
        <w:rPr>
          <w:rFonts w:ascii="Arial" w:hAnsi="Arial" w:cs="Arial"/>
          <w:sz w:val="26"/>
          <w:szCs w:val="26"/>
          <w:lang w:val="es-ES"/>
        </w:rPr>
        <w:t xml:space="preserve">De la demanda de amparo conoció el </w:t>
      </w:r>
      <w:r w:rsidR="004E2907" w:rsidRPr="00F12289">
        <w:rPr>
          <w:rFonts w:ascii="Arial" w:hAnsi="Arial" w:cs="Arial"/>
          <w:sz w:val="26"/>
          <w:szCs w:val="26"/>
          <w:lang w:val="es-ES"/>
        </w:rPr>
        <w:t>Séptimo</w:t>
      </w:r>
      <w:r w:rsidR="00D17827" w:rsidRPr="00F12289">
        <w:rPr>
          <w:rFonts w:ascii="Arial" w:hAnsi="Arial" w:cs="Arial"/>
          <w:sz w:val="26"/>
          <w:szCs w:val="26"/>
          <w:lang w:val="es-ES"/>
        </w:rPr>
        <w:t xml:space="preserve"> </w:t>
      </w:r>
      <w:r w:rsidRPr="00F12289">
        <w:rPr>
          <w:rFonts w:ascii="Arial" w:hAnsi="Arial" w:cs="Arial"/>
          <w:sz w:val="26"/>
          <w:szCs w:val="26"/>
          <w:lang w:val="es-ES"/>
        </w:rPr>
        <w:t xml:space="preserve">Tribunal Colegiado en Materia </w:t>
      </w:r>
      <w:r w:rsidR="004E2907" w:rsidRPr="00F12289">
        <w:rPr>
          <w:rFonts w:ascii="Arial" w:hAnsi="Arial" w:cs="Arial"/>
          <w:sz w:val="26"/>
          <w:szCs w:val="26"/>
          <w:lang w:val="es-ES"/>
        </w:rPr>
        <w:t>Penal</w:t>
      </w:r>
      <w:r w:rsidRPr="00F12289">
        <w:rPr>
          <w:rFonts w:ascii="Arial" w:hAnsi="Arial" w:cs="Arial"/>
          <w:sz w:val="26"/>
          <w:szCs w:val="26"/>
          <w:lang w:val="es-ES"/>
        </w:rPr>
        <w:t xml:space="preserve"> del </w:t>
      </w:r>
      <w:r w:rsidR="00676A9F" w:rsidRPr="00F12289">
        <w:rPr>
          <w:rFonts w:ascii="Arial" w:hAnsi="Arial" w:cs="Arial"/>
          <w:sz w:val="26"/>
          <w:szCs w:val="26"/>
          <w:lang w:val="es-ES"/>
        </w:rPr>
        <w:t>Primer</w:t>
      </w:r>
      <w:r w:rsidRPr="00F12289">
        <w:rPr>
          <w:rFonts w:ascii="Arial" w:hAnsi="Arial" w:cs="Arial"/>
          <w:sz w:val="26"/>
          <w:szCs w:val="26"/>
          <w:lang w:val="es-ES"/>
        </w:rPr>
        <w:t xml:space="preserve"> Circuito, cuyo </w:t>
      </w:r>
      <w:proofErr w:type="gramStart"/>
      <w:r w:rsidRPr="00F12289">
        <w:rPr>
          <w:rFonts w:ascii="Arial" w:hAnsi="Arial" w:cs="Arial"/>
          <w:sz w:val="26"/>
          <w:szCs w:val="26"/>
          <w:lang w:val="es-ES"/>
        </w:rPr>
        <w:t>Presidente</w:t>
      </w:r>
      <w:proofErr w:type="gramEnd"/>
      <w:r w:rsidRPr="00F12289">
        <w:rPr>
          <w:rFonts w:ascii="Arial" w:hAnsi="Arial" w:cs="Arial"/>
          <w:sz w:val="26"/>
          <w:szCs w:val="26"/>
          <w:lang w:val="es-ES"/>
        </w:rPr>
        <w:t xml:space="preserve">, en auto de </w:t>
      </w:r>
      <w:r w:rsidR="0022754F" w:rsidRPr="00F12289">
        <w:rPr>
          <w:rFonts w:ascii="Arial" w:hAnsi="Arial" w:cs="Arial"/>
          <w:sz w:val="26"/>
          <w:szCs w:val="26"/>
          <w:lang w:val="es-MX"/>
        </w:rPr>
        <w:t>diecinueve de abril de dos mil diecisiete</w:t>
      </w:r>
      <w:r w:rsidR="00895193" w:rsidRPr="00F12289">
        <w:rPr>
          <w:rStyle w:val="Refdenotaalpie"/>
          <w:rFonts w:cs="Arial"/>
          <w:sz w:val="26"/>
          <w:szCs w:val="26"/>
          <w:lang w:val="es-MX"/>
        </w:rPr>
        <w:footnoteReference w:id="2"/>
      </w:r>
      <w:r w:rsidR="00676A9F" w:rsidRPr="00F12289">
        <w:rPr>
          <w:rFonts w:ascii="Arial" w:hAnsi="Arial" w:cs="Arial"/>
          <w:sz w:val="26"/>
          <w:szCs w:val="26"/>
          <w:lang w:val="es-ES"/>
        </w:rPr>
        <w:t xml:space="preserve">, </w:t>
      </w:r>
      <w:r w:rsidR="00895193" w:rsidRPr="00F12289">
        <w:rPr>
          <w:rFonts w:ascii="Arial" w:hAnsi="Arial" w:cs="Arial"/>
          <w:sz w:val="26"/>
          <w:szCs w:val="26"/>
          <w:lang w:val="es-ES"/>
        </w:rPr>
        <w:t xml:space="preserve">la </w:t>
      </w:r>
      <w:r w:rsidR="00676A9F" w:rsidRPr="00F12289">
        <w:rPr>
          <w:rFonts w:ascii="Arial" w:hAnsi="Arial" w:cs="Arial"/>
          <w:sz w:val="26"/>
          <w:szCs w:val="26"/>
          <w:lang w:val="es-ES"/>
        </w:rPr>
        <w:t xml:space="preserve">admitió </w:t>
      </w:r>
      <w:r w:rsidR="00895193" w:rsidRPr="00F12289">
        <w:rPr>
          <w:rFonts w:ascii="Arial" w:hAnsi="Arial" w:cs="Arial"/>
          <w:sz w:val="26"/>
          <w:szCs w:val="26"/>
          <w:lang w:val="es-ES"/>
        </w:rPr>
        <w:t xml:space="preserve">a trámite y ordenó su registro con el </w:t>
      </w:r>
      <w:r w:rsidR="00D76D06" w:rsidRPr="00F12289">
        <w:rPr>
          <w:rFonts w:ascii="Arial" w:hAnsi="Arial" w:cs="Arial"/>
          <w:sz w:val="26"/>
          <w:szCs w:val="26"/>
          <w:lang w:val="es-ES"/>
        </w:rPr>
        <w:t xml:space="preserve">número </w:t>
      </w:r>
      <w:r w:rsidR="00B071E0">
        <w:rPr>
          <w:rFonts w:ascii="Arial" w:hAnsi="Arial" w:cs="Arial"/>
          <w:color w:val="FF0000"/>
          <w:sz w:val="26"/>
          <w:szCs w:val="26"/>
          <w:lang w:val="es-ES"/>
        </w:rPr>
        <w:t xml:space="preserve">**********. </w:t>
      </w:r>
      <w:r w:rsidR="00895193" w:rsidRPr="00F12289">
        <w:rPr>
          <w:rFonts w:ascii="Arial" w:hAnsi="Arial" w:cs="Arial"/>
          <w:sz w:val="26"/>
          <w:szCs w:val="26"/>
          <w:lang w:val="es-ES"/>
        </w:rPr>
        <w:t xml:space="preserve">Previos trámites de ley, el </w:t>
      </w:r>
      <w:r w:rsidR="0022754F" w:rsidRPr="00F12289">
        <w:rPr>
          <w:rFonts w:ascii="Arial" w:hAnsi="Arial" w:cs="Arial"/>
          <w:sz w:val="26"/>
          <w:szCs w:val="26"/>
          <w:lang w:val="es-ES"/>
        </w:rPr>
        <w:t>uno de junio de dos mil diecisiete</w:t>
      </w:r>
      <w:r w:rsidR="00895193" w:rsidRPr="00F12289">
        <w:rPr>
          <w:rStyle w:val="Refdenotaalpie"/>
          <w:rFonts w:cs="Arial"/>
          <w:sz w:val="26"/>
          <w:szCs w:val="26"/>
          <w:lang w:val="es-ES"/>
        </w:rPr>
        <w:footnoteReference w:id="3"/>
      </w:r>
      <w:r w:rsidR="00895193" w:rsidRPr="00F12289">
        <w:rPr>
          <w:rFonts w:ascii="Arial" w:hAnsi="Arial" w:cs="Arial"/>
          <w:sz w:val="26"/>
          <w:szCs w:val="26"/>
          <w:lang w:val="es-ES"/>
        </w:rPr>
        <w:t xml:space="preserve">, el </w:t>
      </w:r>
      <w:r w:rsidR="00A32057" w:rsidRPr="00F12289">
        <w:rPr>
          <w:rFonts w:ascii="Arial" w:hAnsi="Arial" w:cs="Arial"/>
          <w:sz w:val="26"/>
          <w:szCs w:val="26"/>
          <w:lang w:val="es-ES"/>
        </w:rPr>
        <w:t>tribunal c</w:t>
      </w:r>
      <w:r w:rsidR="00895193" w:rsidRPr="00F12289">
        <w:rPr>
          <w:rFonts w:ascii="Arial" w:hAnsi="Arial" w:cs="Arial"/>
          <w:sz w:val="26"/>
          <w:szCs w:val="26"/>
          <w:lang w:val="es-ES"/>
        </w:rPr>
        <w:t>olegiado pronunció sentencia en la que determinó</w:t>
      </w:r>
      <w:r w:rsidR="0022754F" w:rsidRPr="00F12289">
        <w:rPr>
          <w:rFonts w:ascii="Arial" w:hAnsi="Arial" w:cs="Arial"/>
          <w:sz w:val="26"/>
          <w:szCs w:val="26"/>
          <w:lang w:val="es-ES"/>
        </w:rPr>
        <w:t xml:space="preserve"> solicitar a esta Suprema Corte de Justicia de la Nación ejercer su facultad de atracción.</w:t>
      </w:r>
    </w:p>
    <w:p w14:paraId="1C9DE4B2" w14:textId="77777777" w:rsidR="0022754F" w:rsidRPr="00F12289" w:rsidRDefault="0022754F" w:rsidP="0022754F">
      <w:pPr>
        <w:pStyle w:val="Prrafodelista"/>
        <w:rPr>
          <w:rFonts w:ascii="Arial" w:hAnsi="Arial" w:cs="Arial"/>
          <w:sz w:val="26"/>
          <w:szCs w:val="26"/>
          <w:lang w:val="es-ES"/>
        </w:rPr>
      </w:pPr>
    </w:p>
    <w:p w14:paraId="77EDA448" w14:textId="20C75280" w:rsidR="00611F84" w:rsidRPr="00F12289" w:rsidRDefault="0022754F"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lang w:val="es-ES"/>
        </w:rPr>
        <w:t xml:space="preserve">En sesión de ocho de noviembre de dos mil diecisiete, </w:t>
      </w:r>
      <w:r w:rsidR="001A308A" w:rsidRPr="00F12289">
        <w:rPr>
          <w:rFonts w:ascii="Arial" w:hAnsi="Arial" w:cs="Arial"/>
          <w:sz w:val="26"/>
          <w:szCs w:val="26"/>
          <w:lang w:val="es-ES"/>
        </w:rPr>
        <w:t>la Primera Sala de este</w:t>
      </w:r>
      <w:r w:rsidR="00611F84" w:rsidRPr="00F12289">
        <w:rPr>
          <w:rFonts w:ascii="Arial" w:hAnsi="Arial" w:cs="Arial"/>
          <w:sz w:val="26"/>
          <w:szCs w:val="26"/>
          <w:lang w:val="es-ES"/>
        </w:rPr>
        <w:t xml:space="preserve"> Alto Tribunal resolvió la Solicitud de Ejercicio de la Faculta</w:t>
      </w:r>
      <w:r w:rsidR="00E33769" w:rsidRPr="00F12289">
        <w:rPr>
          <w:rFonts w:ascii="Arial" w:hAnsi="Arial" w:cs="Arial"/>
          <w:sz w:val="26"/>
          <w:szCs w:val="26"/>
          <w:lang w:val="es-ES"/>
        </w:rPr>
        <w:t>d</w:t>
      </w:r>
      <w:r w:rsidR="00611F84" w:rsidRPr="00F12289">
        <w:rPr>
          <w:rFonts w:ascii="Arial" w:hAnsi="Arial" w:cs="Arial"/>
          <w:sz w:val="26"/>
          <w:szCs w:val="26"/>
          <w:lang w:val="es-ES"/>
        </w:rPr>
        <w:t xml:space="preserve"> de Atracción </w:t>
      </w:r>
      <w:r w:rsidR="00B071E0">
        <w:rPr>
          <w:rFonts w:ascii="Arial" w:hAnsi="Arial" w:cs="Arial"/>
          <w:color w:val="FF0000"/>
          <w:sz w:val="26"/>
          <w:szCs w:val="26"/>
          <w:lang w:val="es-ES"/>
        </w:rPr>
        <w:t>**********</w:t>
      </w:r>
      <w:r w:rsidR="00611F84" w:rsidRPr="00F12289">
        <w:rPr>
          <w:rFonts w:ascii="Arial" w:hAnsi="Arial" w:cs="Arial"/>
          <w:sz w:val="26"/>
          <w:szCs w:val="26"/>
          <w:lang w:val="es-ES"/>
        </w:rPr>
        <w:t>, en el sentido de no ejercer, por lo que devolvió los autos al tribunal colegiado de conocimiento.</w:t>
      </w:r>
    </w:p>
    <w:p w14:paraId="6F3A25A3" w14:textId="77777777" w:rsidR="00611F84" w:rsidRPr="00F12289" w:rsidRDefault="00611F84" w:rsidP="00611F84">
      <w:pPr>
        <w:pStyle w:val="Prrafodelista"/>
        <w:rPr>
          <w:rFonts w:ascii="Arial" w:hAnsi="Arial" w:cs="Arial"/>
          <w:sz w:val="26"/>
          <w:szCs w:val="26"/>
          <w:lang w:val="es-ES"/>
        </w:rPr>
      </w:pPr>
    </w:p>
    <w:p w14:paraId="0BDF9F72" w14:textId="55D69942" w:rsidR="00BD6141" w:rsidRPr="00F12289" w:rsidRDefault="00611F84"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lang w:val="es-ES"/>
        </w:rPr>
        <w:t>Recibidos los autos, en sesión de catorce de febrero de dos mil diecinueve, el Séptimo Tribunal Colegiado en Materia Penal del Primer Circuito</w:t>
      </w:r>
      <w:r w:rsidR="00B24D16" w:rsidRPr="00F12289">
        <w:rPr>
          <w:rFonts w:ascii="Arial" w:hAnsi="Arial" w:cs="Arial"/>
          <w:sz w:val="26"/>
          <w:szCs w:val="26"/>
          <w:lang w:val="es-ES"/>
        </w:rPr>
        <w:t xml:space="preserve"> pronunció sentencia en la que determinó:</w:t>
      </w:r>
    </w:p>
    <w:p w14:paraId="6F2B5E87" w14:textId="77777777" w:rsidR="00BD6141" w:rsidRPr="00BD6141" w:rsidRDefault="00BD6141" w:rsidP="00802E6A">
      <w:pPr>
        <w:pStyle w:val="Prrafodelista"/>
        <w:spacing w:line="360" w:lineRule="auto"/>
        <w:rPr>
          <w:rFonts w:ascii="Arial" w:hAnsi="Arial" w:cs="Arial"/>
          <w:sz w:val="26"/>
          <w:szCs w:val="26"/>
          <w:lang w:val="es-ES"/>
        </w:rPr>
      </w:pPr>
    </w:p>
    <w:p w14:paraId="06639538" w14:textId="787AA325" w:rsidR="004B44A2" w:rsidRPr="00F12289" w:rsidRDefault="00B24D16" w:rsidP="00E33769">
      <w:pPr>
        <w:pStyle w:val="Prrafodelista"/>
        <w:widowControl w:val="0"/>
        <w:numPr>
          <w:ilvl w:val="1"/>
          <w:numId w:val="1"/>
        </w:numPr>
        <w:spacing w:after="120"/>
        <w:ind w:left="567" w:hanging="567"/>
        <w:jc w:val="both"/>
        <w:rPr>
          <w:rFonts w:ascii="Arial" w:hAnsi="Arial" w:cs="Arial"/>
          <w:sz w:val="24"/>
          <w:szCs w:val="24"/>
          <w:lang w:val="es-ES"/>
        </w:rPr>
      </w:pPr>
      <w:r w:rsidRPr="00F12289">
        <w:rPr>
          <w:rFonts w:ascii="Arial" w:hAnsi="Arial" w:cs="Arial"/>
          <w:sz w:val="24"/>
          <w:szCs w:val="24"/>
          <w:lang w:val="es-ES"/>
        </w:rPr>
        <w:t>Sobreseer el amparo adhesivo</w:t>
      </w:r>
      <w:r w:rsidR="006C5C2B" w:rsidRPr="00F12289">
        <w:rPr>
          <w:rFonts w:ascii="Arial" w:hAnsi="Arial" w:cs="Arial"/>
          <w:sz w:val="24"/>
          <w:szCs w:val="24"/>
          <w:lang w:val="es-ES"/>
        </w:rPr>
        <w:t xml:space="preserve"> presentado por el</w:t>
      </w:r>
      <w:r w:rsidR="001A308A" w:rsidRPr="00F12289">
        <w:rPr>
          <w:rFonts w:ascii="Arial" w:hAnsi="Arial" w:cs="Arial"/>
          <w:sz w:val="24"/>
          <w:szCs w:val="24"/>
          <w:lang w:val="es-ES"/>
        </w:rPr>
        <w:t xml:space="preserve"> </w:t>
      </w:r>
      <w:proofErr w:type="gramStart"/>
      <w:r w:rsidR="001A308A" w:rsidRPr="00F12289">
        <w:rPr>
          <w:rFonts w:ascii="Arial" w:hAnsi="Arial" w:cs="Arial"/>
          <w:sz w:val="24"/>
          <w:szCs w:val="24"/>
          <w:lang w:val="es-ES"/>
        </w:rPr>
        <w:t>D</w:t>
      </w:r>
      <w:r w:rsidRPr="00F12289">
        <w:rPr>
          <w:rFonts w:ascii="Arial" w:hAnsi="Arial" w:cs="Arial"/>
          <w:sz w:val="24"/>
          <w:szCs w:val="24"/>
          <w:lang w:val="es-ES"/>
        </w:rPr>
        <w:t>irector</w:t>
      </w:r>
      <w:proofErr w:type="gramEnd"/>
      <w:r w:rsidRPr="00F12289">
        <w:rPr>
          <w:rFonts w:ascii="Arial" w:hAnsi="Arial" w:cs="Arial"/>
          <w:sz w:val="24"/>
          <w:szCs w:val="24"/>
          <w:lang w:val="es-ES"/>
        </w:rPr>
        <w:t xml:space="preserve"> de Inv</w:t>
      </w:r>
      <w:r w:rsidR="001A308A" w:rsidRPr="00F12289">
        <w:rPr>
          <w:rFonts w:ascii="Arial" w:hAnsi="Arial" w:cs="Arial"/>
          <w:sz w:val="24"/>
          <w:szCs w:val="24"/>
          <w:lang w:val="es-ES"/>
        </w:rPr>
        <w:t>estigaciones, por ausencia del D</w:t>
      </w:r>
      <w:r w:rsidRPr="00F12289">
        <w:rPr>
          <w:rFonts w:ascii="Arial" w:hAnsi="Arial" w:cs="Arial"/>
          <w:sz w:val="24"/>
          <w:szCs w:val="24"/>
          <w:lang w:val="es-ES"/>
        </w:rPr>
        <w:t xml:space="preserve">irector General de Control Procedimental de la Subprocuraduría Fiscal Federal de Investigaciones, promoviendo por la </w:t>
      </w:r>
      <w:r w:rsidRPr="00F12289">
        <w:rPr>
          <w:rFonts w:ascii="Arial" w:hAnsi="Arial" w:cs="Arial"/>
          <w:b/>
          <w:sz w:val="24"/>
          <w:szCs w:val="24"/>
          <w:lang w:val="es-ES"/>
        </w:rPr>
        <w:t>Secretaría de Hacienda y Crédito Público.</w:t>
      </w:r>
    </w:p>
    <w:p w14:paraId="35FEFE85" w14:textId="080A2FD6" w:rsidR="00895193" w:rsidRPr="00F12289" w:rsidRDefault="00090885" w:rsidP="00E33769">
      <w:pPr>
        <w:pStyle w:val="Prrafodelista"/>
        <w:widowControl w:val="0"/>
        <w:numPr>
          <w:ilvl w:val="1"/>
          <w:numId w:val="1"/>
        </w:numPr>
        <w:spacing w:after="120"/>
        <w:ind w:left="567" w:hanging="567"/>
        <w:jc w:val="both"/>
        <w:rPr>
          <w:rFonts w:ascii="Arial" w:hAnsi="Arial" w:cs="Arial"/>
          <w:sz w:val="24"/>
          <w:szCs w:val="24"/>
          <w:lang w:val="es-ES"/>
        </w:rPr>
      </w:pPr>
      <w:r w:rsidRPr="00F12289">
        <w:rPr>
          <w:rFonts w:ascii="Arial" w:hAnsi="Arial" w:cs="Arial"/>
          <w:sz w:val="24"/>
          <w:szCs w:val="24"/>
          <w:lang w:val="es-ES"/>
        </w:rPr>
        <w:t>Negar el amparo</w:t>
      </w:r>
      <w:r w:rsidR="00407F97" w:rsidRPr="00F12289">
        <w:rPr>
          <w:rFonts w:ascii="Arial" w:hAnsi="Arial" w:cs="Arial"/>
          <w:sz w:val="24"/>
          <w:szCs w:val="24"/>
          <w:lang w:val="es-ES"/>
        </w:rPr>
        <w:t xml:space="preserve"> </w:t>
      </w:r>
      <w:r w:rsidRPr="00F12289">
        <w:rPr>
          <w:rFonts w:ascii="Arial" w:hAnsi="Arial" w:cs="Arial"/>
          <w:sz w:val="24"/>
          <w:szCs w:val="24"/>
          <w:lang w:val="es-ES"/>
        </w:rPr>
        <w:t xml:space="preserve">a </w:t>
      </w:r>
      <w:r w:rsidR="00B24D16" w:rsidRPr="00F12289">
        <w:rPr>
          <w:rFonts w:ascii="Arial" w:hAnsi="Arial" w:cs="Arial"/>
          <w:color w:val="FF0000"/>
          <w:sz w:val="24"/>
          <w:szCs w:val="24"/>
          <w:lang w:val="es-ES"/>
        </w:rPr>
        <w:t>Néstor Felipe Estrada García</w:t>
      </w:r>
      <w:r w:rsidR="00B24D16" w:rsidRPr="00F12289">
        <w:rPr>
          <w:rFonts w:ascii="Arial" w:hAnsi="Arial" w:cs="Arial"/>
          <w:b/>
          <w:color w:val="FF0000"/>
          <w:sz w:val="24"/>
          <w:szCs w:val="24"/>
          <w:lang w:val="es-ES"/>
        </w:rPr>
        <w:t xml:space="preserve">, </w:t>
      </w:r>
      <w:r w:rsidR="00B24D16" w:rsidRPr="00F12289">
        <w:rPr>
          <w:rFonts w:ascii="Arial" w:hAnsi="Arial" w:cs="Arial"/>
          <w:sz w:val="24"/>
          <w:szCs w:val="24"/>
          <w:lang w:val="es-ES"/>
        </w:rPr>
        <w:t>contra el acto que reclamó de Primer Tribunal Unitario en Materia Penal del Primer Circuito</w:t>
      </w:r>
      <w:r w:rsidRPr="00F12289">
        <w:rPr>
          <w:rFonts w:ascii="Arial" w:hAnsi="Arial" w:cs="Arial"/>
          <w:sz w:val="24"/>
          <w:szCs w:val="24"/>
          <w:lang w:val="es-ES"/>
        </w:rPr>
        <w:t>.</w:t>
      </w:r>
    </w:p>
    <w:p w14:paraId="2DB84B39" w14:textId="77777777" w:rsidR="00B46F50" w:rsidRPr="00090885" w:rsidRDefault="00B46F50" w:rsidP="00802E6A">
      <w:pPr>
        <w:pStyle w:val="Prrafodelista"/>
        <w:widowControl w:val="0"/>
        <w:spacing w:line="360" w:lineRule="auto"/>
        <w:ind w:left="0"/>
        <w:jc w:val="both"/>
        <w:rPr>
          <w:rFonts w:ascii="Arial" w:hAnsi="Arial" w:cs="Arial"/>
          <w:sz w:val="26"/>
          <w:szCs w:val="26"/>
          <w:lang w:val="es-ES"/>
        </w:rPr>
      </w:pPr>
    </w:p>
    <w:p w14:paraId="7B50AE35" w14:textId="13D1A952" w:rsidR="004F7077" w:rsidRPr="00F12289" w:rsidRDefault="009E475B" w:rsidP="00974774">
      <w:pPr>
        <w:pStyle w:val="Prrafodelista"/>
        <w:widowControl w:val="0"/>
        <w:numPr>
          <w:ilvl w:val="0"/>
          <w:numId w:val="1"/>
        </w:numPr>
        <w:spacing w:line="360" w:lineRule="auto"/>
        <w:ind w:left="0" w:hanging="567"/>
        <w:jc w:val="both"/>
        <w:rPr>
          <w:rFonts w:ascii="Arial" w:hAnsi="Arial" w:cs="Arial"/>
          <w:sz w:val="26"/>
          <w:szCs w:val="26"/>
          <w:lang w:val="es-ES"/>
        </w:rPr>
      </w:pPr>
      <w:r w:rsidRPr="00F12289">
        <w:rPr>
          <w:rFonts w:ascii="Arial" w:hAnsi="Arial" w:cs="Arial"/>
          <w:b/>
          <w:sz w:val="26"/>
          <w:szCs w:val="26"/>
        </w:rPr>
        <w:t xml:space="preserve">CUARTO. Trámite del recurso de revisión. </w:t>
      </w:r>
      <w:r w:rsidR="004F7077" w:rsidRPr="00F12289">
        <w:rPr>
          <w:rFonts w:ascii="Arial" w:hAnsi="Arial" w:cs="Arial"/>
          <w:sz w:val="26"/>
          <w:szCs w:val="26"/>
          <w:lang w:val="es-ES"/>
        </w:rPr>
        <w:t xml:space="preserve">Mediante escrito presentado el </w:t>
      </w:r>
      <w:r w:rsidR="00B24D16" w:rsidRPr="00F12289">
        <w:rPr>
          <w:rFonts w:ascii="Arial" w:hAnsi="Arial" w:cs="Arial"/>
          <w:sz w:val="26"/>
          <w:szCs w:val="26"/>
          <w:lang w:val="es-MX"/>
        </w:rPr>
        <w:t>ocho de marzo</w:t>
      </w:r>
      <w:r w:rsidR="00090885" w:rsidRPr="00F12289">
        <w:rPr>
          <w:rFonts w:ascii="Arial" w:hAnsi="Arial" w:cs="Arial"/>
          <w:sz w:val="26"/>
          <w:szCs w:val="26"/>
          <w:lang w:val="es-MX"/>
        </w:rPr>
        <w:t xml:space="preserve"> de dos mil diecin</w:t>
      </w:r>
      <w:r w:rsidR="00872B7F" w:rsidRPr="00F12289">
        <w:rPr>
          <w:rFonts w:ascii="Arial" w:hAnsi="Arial" w:cs="Arial"/>
          <w:sz w:val="26"/>
          <w:szCs w:val="26"/>
          <w:lang w:val="es-MX"/>
        </w:rPr>
        <w:t>u</w:t>
      </w:r>
      <w:r w:rsidR="00090885" w:rsidRPr="00F12289">
        <w:rPr>
          <w:rFonts w:ascii="Arial" w:hAnsi="Arial" w:cs="Arial"/>
          <w:sz w:val="26"/>
          <w:szCs w:val="26"/>
          <w:lang w:val="es-MX"/>
        </w:rPr>
        <w:t>eve</w:t>
      </w:r>
      <w:r w:rsidR="00EC6A7F" w:rsidRPr="00F12289">
        <w:rPr>
          <w:rStyle w:val="Refdenotaalpie"/>
          <w:rFonts w:cs="Arial"/>
          <w:sz w:val="26"/>
          <w:szCs w:val="26"/>
          <w:lang w:val="es-MX"/>
        </w:rPr>
        <w:footnoteReference w:id="4"/>
      </w:r>
      <w:r w:rsidR="004F7077" w:rsidRPr="00F12289">
        <w:rPr>
          <w:rFonts w:ascii="Arial" w:hAnsi="Arial" w:cs="Arial"/>
          <w:sz w:val="26"/>
          <w:szCs w:val="26"/>
          <w:lang w:val="es-ES"/>
        </w:rPr>
        <w:t xml:space="preserve"> en </w:t>
      </w:r>
      <w:r w:rsidR="00541F05" w:rsidRPr="00F12289">
        <w:rPr>
          <w:rFonts w:ascii="Arial" w:hAnsi="Arial" w:cs="Arial"/>
          <w:sz w:val="26"/>
          <w:szCs w:val="26"/>
          <w:lang w:val="es-ES"/>
        </w:rPr>
        <w:t xml:space="preserve">la </w:t>
      </w:r>
      <w:r w:rsidR="00786E93" w:rsidRPr="00F12289">
        <w:rPr>
          <w:rFonts w:ascii="Arial" w:hAnsi="Arial" w:cs="Arial"/>
          <w:sz w:val="26"/>
          <w:szCs w:val="26"/>
          <w:lang w:val="es-ES"/>
        </w:rPr>
        <w:t>O</w:t>
      </w:r>
      <w:r w:rsidR="00541F05" w:rsidRPr="00F12289">
        <w:rPr>
          <w:rFonts w:ascii="Arial" w:hAnsi="Arial" w:cs="Arial"/>
          <w:sz w:val="26"/>
          <w:szCs w:val="26"/>
          <w:lang w:val="es-ES"/>
        </w:rPr>
        <w:t xml:space="preserve">ficina de Correspondencia </w:t>
      </w:r>
      <w:r w:rsidR="00541F05" w:rsidRPr="00F12289">
        <w:rPr>
          <w:rFonts w:ascii="Arial" w:hAnsi="Arial" w:cs="Arial"/>
          <w:sz w:val="26"/>
          <w:szCs w:val="26"/>
          <w:lang w:val="es-ES"/>
        </w:rPr>
        <w:lastRenderedPageBreak/>
        <w:t xml:space="preserve">Común de los Tribunales Colegiados en Materia </w:t>
      </w:r>
      <w:r w:rsidR="00B24D16" w:rsidRPr="00F12289">
        <w:rPr>
          <w:rFonts w:ascii="Arial" w:hAnsi="Arial" w:cs="Arial"/>
          <w:sz w:val="26"/>
          <w:szCs w:val="26"/>
          <w:lang w:val="es-ES"/>
        </w:rPr>
        <w:t>Penal</w:t>
      </w:r>
      <w:r w:rsidR="001019DE" w:rsidRPr="00F12289">
        <w:rPr>
          <w:rFonts w:ascii="Arial" w:hAnsi="Arial" w:cs="Arial"/>
          <w:sz w:val="26"/>
          <w:szCs w:val="26"/>
          <w:lang w:val="es-ES"/>
        </w:rPr>
        <w:t xml:space="preserve"> del Primer Circuito</w:t>
      </w:r>
      <w:r w:rsidR="004F7077" w:rsidRPr="00F12289">
        <w:rPr>
          <w:rFonts w:ascii="Arial" w:hAnsi="Arial" w:cs="Arial"/>
          <w:sz w:val="26"/>
          <w:szCs w:val="26"/>
          <w:lang w:val="es-ES"/>
        </w:rPr>
        <w:t xml:space="preserve">, </w:t>
      </w:r>
      <w:r w:rsidR="00B24D16" w:rsidRPr="00F12289">
        <w:rPr>
          <w:rFonts w:ascii="Arial" w:hAnsi="Arial" w:cs="Arial"/>
          <w:sz w:val="26"/>
          <w:szCs w:val="26"/>
          <w:lang w:val="es-ES"/>
        </w:rPr>
        <w:t>la parte quejosa</w:t>
      </w:r>
      <w:r w:rsidR="004F7077" w:rsidRPr="00F12289">
        <w:rPr>
          <w:rFonts w:ascii="Arial" w:hAnsi="Arial" w:cs="Arial"/>
          <w:sz w:val="26"/>
          <w:szCs w:val="26"/>
          <w:lang w:val="es-ES"/>
        </w:rPr>
        <w:t xml:space="preserve"> interpuso recurso de revisión contra la sentencia antes precisada. </w:t>
      </w:r>
    </w:p>
    <w:p w14:paraId="6BEC806D" w14:textId="77777777" w:rsidR="003A6B24" w:rsidRPr="00F12289" w:rsidRDefault="003A6B24" w:rsidP="00802E6A">
      <w:pPr>
        <w:pStyle w:val="Prrafodelista"/>
        <w:widowControl w:val="0"/>
        <w:spacing w:line="360" w:lineRule="auto"/>
        <w:ind w:left="0"/>
        <w:jc w:val="both"/>
        <w:rPr>
          <w:rFonts w:ascii="Arial" w:hAnsi="Arial" w:cs="Arial"/>
          <w:b/>
          <w:sz w:val="26"/>
          <w:szCs w:val="26"/>
        </w:rPr>
      </w:pPr>
    </w:p>
    <w:p w14:paraId="192FAE39" w14:textId="6310E3D6" w:rsidR="00A43ACB" w:rsidRPr="00F12289" w:rsidRDefault="009E475B"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b/>
          <w:sz w:val="26"/>
          <w:szCs w:val="26"/>
        </w:rPr>
        <w:t xml:space="preserve">QUINTO. </w:t>
      </w:r>
      <w:r w:rsidR="00B24D16" w:rsidRPr="00F12289">
        <w:rPr>
          <w:rFonts w:ascii="Arial" w:hAnsi="Arial" w:cs="Arial"/>
          <w:b/>
          <w:sz w:val="26"/>
          <w:szCs w:val="26"/>
        </w:rPr>
        <w:t>Reclamación</w:t>
      </w:r>
      <w:r w:rsidR="00A43ACB" w:rsidRPr="00F12289">
        <w:rPr>
          <w:rFonts w:ascii="Arial" w:hAnsi="Arial" w:cs="Arial"/>
          <w:b/>
          <w:sz w:val="26"/>
          <w:szCs w:val="26"/>
        </w:rPr>
        <w:t xml:space="preserve"> </w:t>
      </w:r>
      <w:r w:rsidR="00B071E0" w:rsidRPr="00B071E0">
        <w:rPr>
          <w:rFonts w:ascii="Arial" w:hAnsi="Arial" w:cs="Arial"/>
          <w:b/>
          <w:sz w:val="26"/>
          <w:szCs w:val="26"/>
        </w:rPr>
        <w:t>**********</w:t>
      </w:r>
      <w:r w:rsidRPr="00B071E0">
        <w:rPr>
          <w:rFonts w:ascii="Arial" w:hAnsi="Arial" w:cs="Arial"/>
          <w:b/>
          <w:sz w:val="26"/>
          <w:szCs w:val="26"/>
        </w:rPr>
        <w:t>.</w:t>
      </w:r>
      <w:r w:rsidRPr="00F12289">
        <w:rPr>
          <w:rFonts w:ascii="Arial" w:hAnsi="Arial" w:cs="Arial"/>
          <w:b/>
          <w:sz w:val="26"/>
          <w:szCs w:val="26"/>
        </w:rPr>
        <w:t xml:space="preserve"> </w:t>
      </w:r>
      <w:r w:rsidRPr="00F12289">
        <w:rPr>
          <w:rFonts w:ascii="Arial" w:hAnsi="Arial" w:cs="Arial"/>
          <w:sz w:val="26"/>
          <w:szCs w:val="26"/>
        </w:rPr>
        <w:t xml:space="preserve">El </w:t>
      </w:r>
      <w:proofErr w:type="gramStart"/>
      <w:r w:rsidRPr="00F12289">
        <w:rPr>
          <w:rFonts w:ascii="Arial" w:hAnsi="Arial" w:cs="Arial"/>
          <w:sz w:val="26"/>
          <w:szCs w:val="26"/>
        </w:rPr>
        <w:t>P</w:t>
      </w:r>
      <w:r w:rsidR="001A308A" w:rsidRPr="00F12289">
        <w:rPr>
          <w:rFonts w:ascii="Arial" w:hAnsi="Arial" w:cs="Arial"/>
          <w:sz w:val="26"/>
          <w:szCs w:val="26"/>
        </w:rPr>
        <w:t>residente</w:t>
      </w:r>
      <w:proofErr w:type="gramEnd"/>
      <w:r w:rsidR="001A308A" w:rsidRPr="00F12289">
        <w:rPr>
          <w:rFonts w:ascii="Arial" w:hAnsi="Arial" w:cs="Arial"/>
          <w:sz w:val="26"/>
          <w:szCs w:val="26"/>
        </w:rPr>
        <w:t xml:space="preserve"> de este Alto Tribunal</w:t>
      </w:r>
      <w:r w:rsidRPr="00F12289">
        <w:rPr>
          <w:rFonts w:ascii="Arial" w:hAnsi="Arial" w:cs="Arial"/>
          <w:sz w:val="26"/>
          <w:szCs w:val="26"/>
        </w:rPr>
        <w:t xml:space="preserve"> por acuerdo de </w:t>
      </w:r>
      <w:r w:rsidR="00A43ACB" w:rsidRPr="00F12289">
        <w:rPr>
          <w:rFonts w:ascii="Arial" w:hAnsi="Arial" w:cs="Arial"/>
          <w:sz w:val="26"/>
          <w:szCs w:val="26"/>
          <w:lang w:val="es-ES"/>
        </w:rPr>
        <w:t>diecinueve de marzo</w:t>
      </w:r>
      <w:r w:rsidR="00727179" w:rsidRPr="00F12289">
        <w:rPr>
          <w:rFonts w:ascii="Arial" w:hAnsi="Arial" w:cs="Arial"/>
          <w:sz w:val="26"/>
          <w:szCs w:val="26"/>
          <w:lang w:val="es-ES"/>
        </w:rPr>
        <w:t xml:space="preserve"> de dos mil </w:t>
      </w:r>
      <w:r w:rsidR="007D2ADC" w:rsidRPr="00F12289">
        <w:rPr>
          <w:rFonts w:ascii="Arial" w:hAnsi="Arial" w:cs="Arial"/>
          <w:sz w:val="26"/>
          <w:szCs w:val="26"/>
        </w:rPr>
        <w:t>diecinueve</w:t>
      </w:r>
      <w:r w:rsidR="00A43ACB" w:rsidRPr="00F12289">
        <w:rPr>
          <w:rFonts w:ascii="Arial" w:hAnsi="Arial" w:cs="Arial"/>
          <w:sz w:val="26"/>
          <w:szCs w:val="26"/>
        </w:rPr>
        <w:t>, lo registró con el toca 1739/2019 y lo desechó al estimar que al asunto no le revestía el carácter de importancia y trascendencia en términos de la fracción IX d</w:t>
      </w:r>
      <w:r w:rsidR="001A308A" w:rsidRPr="00F12289">
        <w:rPr>
          <w:rFonts w:ascii="Arial" w:hAnsi="Arial" w:cs="Arial"/>
          <w:sz w:val="26"/>
          <w:szCs w:val="26"/>
        </w:rPr>
        <w:t xml:space="preserve">el artículo 107, </w:t>
      </w:r>
      <w:r w:rsidR="00A43ACB" w:rsidRPr="00F12289">
        <w:rPr>
          <w:rFonts w:ascii="Arial" w:hAnsi="Arial" w:cs="Arial"/>
          <w:sz w:val="26"/>
          <w:szCs w:val="26"/>
        </w:rPr>
        <w:t>de la Constitución Política de los Estados Unidos Mexicanos.</w:t>
      </w:r>
      <w:r w:rsidR="007D2ADC" w:rsidRPr="00F12289">
        <w:rPr>
          <w:rFonts w:ascii="Arial" w:hAnsi="Arial" w:cs="Arial"/>
          <w:sz w:val="26"/>
          <w:szCs w:val="26"/>
        </w:rPr>
        <w:t xml:space="preserve"> </w:t>
      </w:r>
    </w:p>
    <w:p w14:paraId="5E710433" w14:textId="77777777" w:rsidR="00407F97" w:rsidRPr="00F12289" w:rsidRDefault="00407F97" w:rsidP="00A43ACB">
      <w:pPr>
        <w:spacing w:line="360" w:lineRule="auto"/>
        <w:rPr>
          <w:rFonts w:ascii="Arial" w:hAnsi="Arial" w:cs="Arial"/>
          <w:sz w:val="26"/>
          <w:szCs w:val="26"/>
        </w:rPr>
      </w:pPr>
    </w:p>
    <w:p w14:paraId="5BB589B6" w14:textId="062C08CA" w:rsidR="00407F97" w:rsidRPr="00F12289" w:rsidRDefault="00407F97"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 xml:space="preserve">En contra de </w:t>
      </w:r>
      <w:r w:rsidR="00786E93" w:rsidRPr="00F12289">
        <w:rPr>
          <w:rFonts w:ascii="Arial" w:hAnsi="Arial" w:cs="Arial"/>
          <w:sz w:val="26"/>
          <w:szCs w:val="26"/>
        </w:rPr>
        <w:t>la</w:t>
      </w:r>
      <w:r w:rsidRPr="00F12289">
        <w:rPr>
          <w:rFonts w:ascii="Arial" w:hAnsi="Arial" w:cs="Arial"/>
          <w:sz w:val="26"/>
          <w:szCs w:val="26"/>
        </w:rPr>
        <w:t xml:space="preserve"> determinación del </w:t>
      </w:r>
      <w:r w:rsidR="00786E93" w:rsidRPr="00F12289">
        <w:rPr>
          <w:rFonts w:ascii="Arial" w:hAnsi="Arial" w:cs="Arial"/>
          <w:sz w:val="26"/>
          <w:szCs w:val="26"/>
        </w:rPr>
        <w:t>p</w:t>
      </w:r>
      <w:r w:rsidRPr="00F12289">
        <w:rPr>
          <w:rFonts w:ascii="Arial" w:hAnsi="Arial" w:cs="Arial"/>
          <w:sz w:val="26"/>
          <w:szCs w:val="26"/>
        </w:rPr>
        <w:t xml:space="preserve">residente de este Alto Tribunal, </w:t>
      </w:r>
      <w:r w:rsidR="00DA55AB" w:rsidRPr="00F12289">
        <w:rPr>
          <w:rFonts w:ascii="Arial" w:hAnsi="Arial" w:cs="Arial"/>
          <w:sz w:val="26"/>
          <w:szCs w:val="26"/>
          <w:u w:color="FFFFFF" w:themeColor="background1"/>
        </w:rPr>
        <w:t>el autorizado de la parte quejosa</w:t>
      </w:r>
      <w:r w:rsidRPr="00F12289">
        <w:rPr>
          <w:rFonts w:ascii="Arial" w:hAnsi="Arial" w:cs="Arial"/>
          <w:sz w:val="26"/>
          <w:szCs w:val="26"/>
        </w:rPr>
        <w:t xml:space="preserve"> in</w:t>
      </w:r>
      <w:r w:rsidR="006C5C2B" w:rsidRPr="00F12289">
        <w:rPr>
          <w:rFonts w:ascii="Arial" w:hAnsi="Arial" w:cs="Arial"/>
          <w:sz w:val="26"/>
          <w:szCs w:val="26"/>
        </w:rPr>
        <w:t xml:space="preserve">terpuso recurso de reclamación –registrado con el número </w:t>
      </w:r>
      <w:r w:rsidR="00B071E0">
        <w:rPr>
          <w:rFonts w:ascii="Arial" w:hAnsi="Arial" w:cs="Arial"/>
          <w:color w:val="FF0000"/>
          <w:sz w:val="26"/>
          <w:szCs w:val="26"/>
        </w:rPr>
        <w:t>**********</w:t>
      </w:r>
      <w:r w:rsidR="006C5C2B" w:rsidRPr="00F12289">
        <w:rPr>
          <w:rFonts w:ascii="Arial" w:hAnsi="Arial" w:cs="Arial"/>
          <w:sz w:val="26"/>
          <w:szCs w:val="26"/>
        </w:rPr>
        <w:t>–</w:t>
      </w:r>
      <w:r w:rsidRPr="00F12289">
        <w:rPr>
          <w:rFonts w:ascii="Arial" w:hAnsi="Arial" w:cs="Arial"/>
          <w:sz w:val="26"/>
          <w:szCs w:val="26"/>
        </w:rPr>
        <w:t xml:space="preserve">, el cual fue resuelto </w:t>
      </w:r>
      <w:r w:rsidR="001A308A" w:rsidRPr="00F12289">
        <w:rPr>
          <w:rFonts w:ascii="Arial" w:hAnsi="Arial" w:cs="Arial"/>
          <w:sz w:val="26"/>
          <w:szCs w:val="26"/>
        </w:rPr>
        <w:t>por la</w:t>
      </w:r>
      <w:r w:rsidRPr="00F12289">
        <w:rPr>
          <w:rFonts w:ascii="Arial" w:hAnsi="Arial" w:cs="Arial"/>
          <w:sz w:val="26"/>
          <w:szCs w:val="26"/>
        </w:rPr>
        <w:t xml:space="preserve"> </w:t>
      </w:r>
      <w:r w:rsidR="00DA55AB" w:rsidRPr="00F12289">
        <w:rPr>
          <w:rFonts w:ascii="Arial" w:hAnsi="Arial" w:cs="Arial"/>
          <w:sz w:val="26"/>
          <w:szCs w:val="26"/>
        </w:rPr>
        <w:t>Primera</w:t>
      </w:r>
      <w:r w:rsidRPr="00F12289">
        <w:rPr>
          <w:rFonts w:ascii="Arial" w:hAnsi="Arial" w:cs="Arial"/>
          <w:sz w:val="26"/>
          <w:szCs w:val="26"/>
        </w:rPr>
        <w:t xml:space="preserve"> Sala </w:t>
      </w:r>
      <w:r w:rsidR="001A308A" w:rsidRPr="00F12289">
        <w:rPr>
          <w:rFonts w:ascii="Arial" w:hAnsi="Arial" w:cs="Arial"/>
          <w:sz w:val="26"/>
          <w:szCs w:val="26"/>
        </w:rPr>
        <w:t xml:space="preserve">en sesión </w:t>
      </w:r>
      <w:r w:rsidRPr="00F12289">
        <w:rPr>
          <w:rFonts w:ascii="Arial" w:hAnsi="Arial" w:cs="Arial"/>
          <w:sz w:val="26"/>
          <w:szCs w:val="26"/>
        </w:rPr>
        <w:t xml:space="preserve">de </w:t>
      </w:r>
      <w:r w:rsidR="00DA55AB" w:rsidRPr="00F12289">
        <w:rPr>
          <w:rFonts w:ascii="Arial" w:hAnsi="Arial" w:cs="Arial"/>
          <w:sz w:val="26"/>
          <w:szCs w:val="26"/>
        </w:rPr>
        <w:t>diez de julio</w:t>
      </w:r>
      <w:r w:rsidRPr="00F12289">
        <w:rPr>
          <w:rFonts w:ascii="Arial" w:hAnsi="Arial" w:cs="Arial"/>
          <w:sz w:val="26"/>
          <w:szCs w:val="26"/>
        </w:rPr>
        <w:t xml:space="preserve"> de dos mil diecinueve, por </w:t>
      </w:r>
      <w:r w:rsidR="00DA55AB" w:rsidRPr="00F12289">
        <w:rPr>
          <w:rFonts w:ascii="Arial" w:hAnsi="Arial" w:cs="Arial"/>
          <w:sz w:val="26"/>
          <w:szCs w:val="26"/>
        </w:rPr>
        <w:t>mayoría de cuatro</w:t>
      </w:r>
      <w:r w:rsidRPr="00F12289">
        <w:rPr>
          <w:rFonts w:ascii="Arial" w:hAnsi="Arial" w:cs="Arial"/>
          <w:sz w:val="26"/>
          <w:szCs w:val="26"/>
        </w:rPr>
        <w:t xml:space="preserve"> votos, en el se</w:t>
      </w:r>
      <w:r w:rsidR="00DA55AB" w:rsidRPr="00F12289">
        <w:rPr>
          <w:rFonts w:ascii="Arial" w:hAnsi="Arial" w:cs="Arial"/>
          <w:sz w:val="26"/>
          <w:szCs w:val="26"/>
        </w:rPr>
        <w:t xml:space="preserve">ntido de declararlo </w:t>
      </w:r>
      <w:r w:rsidRPr="00F12289">
        <w:rPr>
          <w:rFonts w:ascii="Arial" w:hAnsi="Arial" w:cs="Arial"/>
          <w:sz w:val="26"/>
          <w:szCs w:val="26"/>
        </w:rPr>
        <w:t xml:space="preserve">fundado y </w:t>
      </w:r>
      <w:r w:rsidR="00DA55AB" w:rsidRPr="00F12289">
        <w:rPr>
          <w:rFonts w:ascii="Arial" w:hAnsi="Arial" w:cs="Arial"/>
          <w:sz w:val="26"/>
          <w:szCs w:val="26"/>
        </w:rPr>
        <w:t xml:space="preserve">revocar el acuerdo de </w:t>
      </w:r>
      <w:proofErr w:type="spellStart"/>
      <w:r w:rsidR="00DA55AB" w:rsidRPr="00F12289">
        <w:rPr>
          <w:rFonts w:ascii="Arial" w:hAnsi="Arial" w:cs="Arial"/>
          <w:sz w:val="26"/>
          <w:szCs w:val="26"/>
        </w:rPr>
        <w:t>desechamiento</w:t>
      </w:r>
      <w:proofErr w:type="spellEnd"/>
      <w:r w:rsidRPr="00F12289">
        <w:rPr>
          <w:rFonts w:ascii="Arial" w:hAnsi="Arial" w:cs="Arial"/>
          <w:sz w:val="26"/>
          <w:szCs w:val="26"/>
        </w:rPr>
        <w:t xml:space="preserve"> recurrido. </w:t>
      </w:r>
    </w:p>
    <w:p w14:paraId="49EAFD52" w14:textId="77777777" w:rsidR="00A43ACB" w:rsidRPr="00F12289" w:rsidRDefault="00A43ACB" w:rsidP="00A43ACB">
      <w:pPr>
        <w:pStyle w:val="Prrafodelista"/>
        <w:widowControl w:val="0"/>
        <w:spacing w:line="360" w:lineRule="auto"/>
        <w:ind w:left="0"/>
        <w:jc w:val="both"/>
        <w:rPr>
          <w:rFonts w:ascii="Arial" w:hAnsi="Arial" w:cs="Arial"/>
          <w:sz w:val="26"/>
          <w:szCs w:val="26"/>
        </w:rPr>
      </w:pPr>
    </w:p>
    <w:p w14:paraId="47F6CD5B" w14:textId="74C3B02B" w:rsidR="000151C1" w:rsidRPr="00F12289" w:rsidRDefault="00A43ACB" w:rsidP="00A43ACB">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b/>
          <w:sz w:val="26"/>
          <w:szCs w:val="26"/>
        </w:rPr>
        <w:t xml:space="preserve">SEXTO. </w:t>
      </w:r>
      <w:r w:rsidR="00DA55AB" w:rsidRPr="00F12289">
        <w:rPr>
          <w:rFonts w:ascii="Arial" w:hAnsi="Arial" w:cs="Arial"/>
          <w:b/>
          <w:sz w:val="26"/>
          <w:szCs w:val="26"/>
        </w:rPr>
        <w:t xml:space="preserve">Admisión. </w:t>
      </w:r>
      <w:r w:rsidR="00DA55AB" w:rsidRPr="00F12289">
        <w:rPr>
          <w:rFonts w:ascii="Arial" w:hAnsi="Arial" w:cs="Arial"/>
          <w:sz w:val="26"/>
          <w:szCs w:val="26"/>
        </w:rPr>
        <w:t xml:space="preserve">En cumplimiento a lo anterior el </w:t>
      </w:r>
      <w:proofErr w:type="gramStart"/>
      <w:r w:rsidR="00DA55AB" w:rsidRPr="00F12289">
        <w:rPr>
          <w:rFonts w:ascii="Arial" w:hAnsi="Arial" w:cs="Arial"/>
          <w:sz w:val="26"/>
          <w:szCs w:val="26"/>
        </w:rPr>
        <w:t>Presidente</w:t>
      </w:r>
      <w:proofErr w:type="gramEnd"/>
      <w:r w:rsidR="00DA55AB" w:rsidRPr="00F12289">
        <w:rPr>
          <w:rFonts w:ascii="Arial" w:hAnsi="Arial" w:cs="Arial"/>
          <w:sz w:val="26"/>
          <w:szCs w:val="26"/>
        </w:rPr>
        <w:t xml:space="preserve"> de este Alto Tribunal, por acuerdo de veintiocho de octubre de do</w:t>
      </w:r>
      <w:r w:rsidR="000C3734" w:rsidRPr="00F12289">
        <w:rPr>
          <w:rFonts w:ascii="Arial" w:hAnsi="Arial" w:cs="Arial"/>
          <w:sz w:val="26"/>
          <w:szCs w:val="26"/>
        </w:rPr>
        <w:t xml:space="preserve">s mil diecinueve ordenó admitir </w:t>
      </w:r>
      <w:r w:rsidRPr="00F12289">
        <w:rPr>
          <w:rFonts w:ascii="Arial" w:hAnsi="Arial" w:cs="Arial"/>
          <w:sz w:val="26"/>
          <w:szCs w:val="26"/>
        </w:rPr>
        <w:t>el recurso de revisión; turnó el asunto para su estudio a</w:t>
      </w:r>
      <w:r w:rsidR="00DA55AB" w:rsidRPr="00F12289">
        <w:rPr>
          <w:rFonts w:ascii="Arial" w:hAnsi="Arial" w:cs="Arial"/>
          <w:sz w:val="26"/>
          <w:szCs w:val="26"/>
        </w:rPr>
        <w:t>l</w:t>
      </w:r>
      <w:r w:rsidR="001A308A" w:rsidRPr="00F12289">
        <w:rPr>
          <w:rFonts w:ascii="Arial" w:hAnsi="Arial" w:cs="Arial"/>
          <w:sz w:val="26"/>
          <w:szCs w:val="26"/>
        </w:rPr>
        <w:t xml:space="preserve"> M</w:t>
      </w:r>
      <w:r w:rsidR="00DA55AB" w:rsidRPr="00F12289">
        <w:rPr>
          <w:rFonts w:ascii="Arial" w:hAnsi="Arial" w:cs="Arial"/>
          <w:sz w:val="26"/>
          <w:szCs w:val="26"/>
        </w:rPr>
        <w:t>inistro</w:t>
      </w:r>
      <w:r w:rsidRPr="00F12289">
        <w:rPr>
          <w:rFonts w:ascii="Arial" w:hAnsi="Arial" w:cs="Arial"/>
          <w:sz w:val="26"/>
          <w:szCs w:val="26"/>
        </w:rPr>
        <w:t xml:space="preserve"> </w:t>
      </w:r>
      <w:r w:rsidR="00DA55AB" w:rsidRPr="00F12289">
        <w:rPr>
          <w:rFonts w:ascii="Arial" w:hAnsi="Arial" w:cs="Arial"/>
          <w:sz w:val="26"/>
          <w:szCs w:val="26"/>
        </w:rPr>
        <w:t>Luis María Aguilar Morales</w:t>
      </w:r>
      <w:r w:rsidRPr="00F12289">
        <w:rPr>
          <w:rFonts w:ascii="Arial" w:hAnsi="Arial" w:cs="Arial"/>
          <w:sz w:val="26"/>
          <w:szCs w:val="26"/>
        </w:rPr>
        <w:t>, y ordenó su radicación en la S</w:t>
      </w:r>
      <w:r w:rsidR="00DA55AB" w:rsidRPr="00F12289">
        <w:rPr>
          <w:rFonts w:ascii="Arial" w:hAnsi="Arial" w:cs="Arial"/>
          <w:sz w:val="26"/>
          <w:szCs w:val="26"/>
        </w:rPr>
        <w:t>ala de su adscripción. Asimismo</w:t>
      </w:r>
      <w:r w:rsidRPr="00F12289">
        <w:rPr>
          <w:rFonts w:ascii="Arial" w:hAnsi="Arial" w:cs="Arial"/>
          <w:sz w:val="26"/>
          <w:szCs w:val="26"/>
        </w:rPr>
        <w:t>, mandó notificar a la parte quejosa, a la autoridad responsable, al Agente del Ministerio Público y al tribunal colegiado del conocimiento.</w:t>
      </w:r>
    </w:p>
    <w:p w14:paraId="00F8F7E8" w14:textId="77777777" w:rsidR="00A43ACB" w:rsidRPr="00F12289" w:rsidRDefault="00A43ACB" w:rsidP="00A43ACB">
      <w:pPr>
        <w:pStyle w:val="Prrafodelista"/>
        <w:widowControl w:val="0"/>
        <w:spacing w:line="360" w:lineRule="auto"/>
        <w:ind w:left="0"/>
        <w:jc w:val="both"/>
        <w:rPr>
          <w:rFonts w:ascii="Arial" w:hAnsi="Arial" w:cs="Arial"/>
          <w:sz w:val="26"/>
          <w:szCs w:val="26"/>
        </w:rPr>
      </w:pPr>
    </w:p>
    <w:p w14:paraId="2DF55D7F" w14:textId="4CE159A2" w:rsidR="001904B2" w:rsidRPr="00571404" w:rsidRDefault="00FB0165" w:rsidP="00571404">
      <w:pPr>
        <w:pStyle w:val="Prrafodelista"/>
        <w:numPr>
          <w:ilvl w:val="0"/>
          <w:numId w:val="1"/>
        </w:numPr>
        <w:spacing w:line="360" w:lineRule="auto"/>
        <w:ind w:left="0" w:hanging="567"/>
        <w:jc w:val="both"/>
        <w:rPr>
          <w:rFonts w:ascii="Arial" w:hAnsi="Arial" w:cs="Arial"/>
          <w:b/>
          <w:bCs/>
          <w:sz w:val="26"/>
          <w:szCs w:val="26"/>
          <w:lang w:eastAsia="es-ES"/>
        </w:rPr>
      </w:pPr>
      <w:r w:rsidRPr="00571404">
        <w:rPr>
          <w:rFonts w:ascii="Arial" w:hAnsi="Arial" w:cs="Arial"/>
          <w:b/>
          <w:sz w:val="26"/>
          <w:szCs w:val="26"/>
          <w:lang w:val="es-ES"/>
        </w:rPr>
        <w:t>SÉPTIMO</w:t>
      </w:r>
      <w:r w:rsidR="009E475B" w:rsidRPr="00571404">
        <w:rPr>
          <w:rFonts w:ascii="Arial" w:hAnsi="Arial" w:cs="Arial"/>
          <w:b/>
          <w:sz w:val="26"/>
          <w:szCs w:val="26"/>
          <w:lang w:val="es-ES"/>
        </w:rPr>
        <w:t xml:space="preserve">. Avocamiento. </w:t>
      </w:r>
      <w:r w:rsidR="008B5301" w:rsidRPr="00571404">
        <w:rPr>
          <w:rFonts w:ascii="Arial" w:hAnsi="Arial" w:cs="Arial"/>
          <w:sz w:val="26"/>
          <w:szCs w:val="26"/>
          <w:lang w:val="es-ES"/>
        </w:rPr>
        <w:t xml:space="preserve">Por acuerdo de </w:t>
      </w:r>
      <w:r w:rsidR="001F11D9" w:rsidRPr="00571404">
        <w:rPr>
          <w:rFonts w:ascii="Arial" w:hAnsi="Arial" w:cs="Arial"/>
          <w:sz w:val="26"/>
          <w:szCs w:val="26"/>
          <w:lang w:val="es-ES"/>
        </w:rPr>
        <w:t>diez de diciembre</w:t>
      </w:r>
      <w:r w:rsidR="0052275C" w:rsidRPr="00571404">
        <w:rPr>
          <w:rFonts w:ascii="Arial" w:hAnsi="Arial" w:cs="Arial"/>
          <w:sz w:val="26"/>
          <w:szCs w:val="26"/>
          <w:lang w:val="es-ES"/>
        </w:rPr>
        <w:t xml:space="preserve"> de dos mil diecinueve</w:t>
      </w:r>
      <w:r w:rsidR="008B5301" w:rsidRPr="00571404">
        <w:rPr>
          <w:rFonts w:ascii="Arial" w:hAnsi="Arial" w:cs="Arial"/>
          <w:sz w:val="26"/>
          <w:szCs w:val="26"/>
          <w:lang w:val="es-ES"/>
        </w:rPr>
        <w:t xml:space="preserve">, el </w:t>
      </w:r>
      <w:r w:rsidR="00786E93" w:rsidRPr="00571404">
        <w:rPr>
          <w:rFonts w:ascii="Arial" w:hAnsi="Arial" w:cs="Arial"/>
          <w:sz w:val="26"/>
          <w:szCs w:val="26"/>
          <w:lang w:val="es-ES"/>
        </w:rPr>
        <w:t>p</w:t>
      </w:r>
      <w:r w:rsidR="008B5301" w:rsidRPr="00571404">
        <w:rPr>
          <w:rFonts w:ascii="Arial" w:hAnsi="Arial" w:cs="Arial"/>
          <w:sz w:val="26"/>
          <w:szCs w:val="26"/>
          <w:lang w:val="es-ES"/>
        </w:rPr>
        <w:t xml:space="preserve">residente de esta </w:t>
      </w:r>
      <w:r w:rsidR="001F11D9" w:rsidRPr="00571404">
        <w:rPr>
          <w:rFonts w:ascii="Arial" w:hAnsi="Arial" w:cs="Arial"/>
          <w:sz w:val="26"/>
          <w:szCs w:val="26"/>
          <w:lang w:val="es-ES"/>
        </w:rPr>
        <w:t>Primera</w:t>
      </w:r>
      <w:r w:rsidR="008B5301" w:rsidRPr="00571404">
        <w:rPr>
          <w:rFonts w:ascii="Arial" w:hAnsi="Arial" w:cs="Arial"/>
          <w:sz w:val="26"/>
          <w:szCs w:val="26"/>
          <w:lang w:val="es-ES"/>
        </w:rPr>
        <w:t xml:space="preserve"> Sala de la Suprema Corte de Justicia de la Nación determinó que ésta se avocaba al conocimiento del presente asunto; hizo el registro correspondiente y ordenó que una vez que se encontrara debidamente integrado el expediente, se devolvieran los autos </w:t>
      </w:r>
      <w:r w:rsidR="008B5301" w:rsidRPr="00571404">
        <w:rPr>
          <w:rFonts w:ascii="Arial" w:hAnsi="Arial" w:cs="Arial"/>
          <w:sz w:val="26"/>
          <w:szCs w:val="26"/>
          <w:lang w:val="es-ES"/>
        </w:rPr>
        <w:lastRenderedPageBreak/>
        <w:t xml:space="preserve">a la </w:t>
      </w:r>
      <w:r w:rsidR="001A308A" w:rsidRPr="00571404">
        <w:rPr>
          <w:rFonts w:ascii="Arial" w:hAnsi="Arial" w:cs="Arial"/>
          <w:sz w:val="26"/>
          <w:szCs w:val="26"/>
          <w:lang w:val="es-ES"/>
        </w:rPr>
        <w:t xml:space="preserve">ponencia del </w:t>
      </w:r>
      <w:r w:rsidR="001A308A" w:rsidRPr="00571404">
        <w:rPr>
          <w:rFonts w:ascii="Arial" w:hAnsi="Arial" w:cs="Arial"/>
          <w:b/>
          <w:sz w:val="26"/>
          <w:szCs w:val="26"/>
          <w:lang w:val="es-ES"/>
        </w:rPr>
        <w:t>M</w:t>
      </w:r>
      <w:r w:rsidR="00786E93" w:rsidRPr="00571404">
        <w:rPr>
          <w:rFonts w:ascii="Arial" w:hAnsi="Arial" w:cs="Arial"/>
          <w:b/>
          <w:sz w:val="26"/>
          <w:szCs w:val="26"/>
          <w:lang w:val="es-ES"/>
        </w:rPr>
        <w:t>inistr</w:t>
      </w:r>
      <w:r w:rsidR="001F11D9" w:rsidRPr="00571404">
        <w:rPr>
          <w:rFonts w:ascii="Arial" w:hAnsi="Arial" w:cs="Arial"/>
          <w:b/>
          <w:sz w:val="26"/>
          <w:szCs w:val="26"/>
          <w:lang w:val="es-ES"/>
        </w:rPr>
        <w:t>o</w:t>
      </w:r>
      <w:r w:rsidR="00786E93" w:rsidRPr="00571404">
        <w:rPr>
          <w:rFonts w:ascii="Arial" w:hAnsi="Arial" w:cs="Arial"/>
          <w:b/>
          <w:sz w:val="26"/>
          <w:szCs w:val="26"/>
          <w:lang w:val="es-ES"/>
        </w:rPr>
        <w:t xml:space="preserve"> </w:t>
      </w:r>
      <w:r w:rsidR="001F11D9" w:rsidRPr="00571404">
        <w:rPr>
          <w:rFonts w:ascii="Arial" w:hAnsi="Arial" w:cs="Arial"/>
          <w:b/>
          <w:sz w:val="26"/>
          <w:szCs w:val="26"/>
          <w:lang w:val="es-ES"/>
        </w:rPr>
        <w:t>Luis María Aguilar Morales</w:t>
      </w:r>
      <w:r w:rsidR="008B5301" w:rsidRPr="00571404">
        <w:rPr>
          <w:rFonts w:ascii="Arial" w:hAnsi="Arial" w:cs="Arial"/>
          <w:sz w:val="26"/>
          <w:szCs w:val="26"/>
          <w:lang w:val="es-ES"/>
        </w:rPr>
        <w:t>, para la elaboración del proyecto de resolución correspondiente</w:t>
      </w:r>
      <w:r w:rsidR="001F11D9" w:rsidRPr="00571404">
        <w:rPr>
          <w:rFonts w:cs="Arial"/>
          <w:bCs/>
          <w:sz w:val="26"/>
          <w:szCs w:val="26"/>
          <w:lang w:eastAsia="es-ES"/>
        </w:rPr>
        <w:t xml:space="preserve"> </w:t>
      </w:r>
      <w:r w:rsidR="001F11D9" w:rsidRPr="00571404">
        <w:rPr>
          <w:rFonts w:ascii="Arial" w:hAnsi="Arial" w:cs="Arial"/>
          <w:bCs/>
          <w:sz w:val="26"/>
          <w:szCs w:val="26"/>
          <w:lang w:eastAsia="es-ES"/>
        </w:rPr>
        <w:t xml:space="preserve">posteriormente por auto de ocho de enero de dos mil veinte se </w:t>
      </w:r>
      <w:proofErr w:type="spellStart"/>
      <w:r w:rsidR="001F11D9" w:rsidRPr="00571404">
        <w:rPr>
          <w:rFonts w:ascii="Arial" w:hAnsi="Arial" w:cs="Arial"/>
          <w:bCs/>
          <w:sz w:val="26"/>
          <w:szCs w:val="26"/>
          <w:lang w:eastAsia="es-ES"/>
        </w:rPr>
        <w:t>returnó</w:t>
      </w:r>
      <w:proofErr w:type="spellEnd"/>
      <w:r w:rsidR="001F11D9" w:rsidRPr="00571404">
        <w:rPr>
          <w:rFonts w:ascii="Arial" w:hAnsi="Arial" w:cs="Arial"/>
          <w:bCs/>
          <w:sz w:val="26"/>
          <w:szCs w:val="26"/>
          <w:lang w:eastAsia="es-ES"/>
        </w:rPr>
        <w:t xml:space="preserve"> a la </w:t>
      </w:r>
      <w:r w:rsidR="001F11D9" w:rsidRPr="00571404">
        <w:rPr>
          <w:rFonts w:ascii="Arial" w:hAnsi="Arial" w:cs="Arial"/>
          <w:b/>
          <w:bCs/>
          <w:sz w:val="26"/>
          <w:szCs w:val="26"/>
          <w:lang w:eastAsia="es-ES"/>
        </w:rPr>
        <w:t xml:space="preserve">Ministra Ana Margarita Ríos </w:t>
      </w:r>
      <w:proofErr w:type="spellStart"/>
      <w:r w:rsidR="001F11D9" w:rsidRPr="00571404">
        <w:rPr>
          <w:rFonts w:ascii="Arial" w:hAnsi="Arial" w:cs="Arial"/>
          <w:b/>
          <w:bCs/>
          <w:sz w:val="26"/>
          <w:szCs w:val="26"/>
          <w:lang w:eastAsia="es-ES"/>
        </w:rPr>
        <w:t>Farjat</w:t>
      </w:r>
      <w:proofErr w:type="spellEnd"/>
      <w:r w:rsidR="001F11D9" w:rsidRPr="00571404">
        <w:rPr>
          <w:rFonts w:ascii="Arial" w:hAnsi="Arial" w:cs="Arial"/>
          <w:b/>
          <w:bCs/>
          <w:sz w:val="26"/>
          <w:szCs w:val="26"/>
          <w:lang w:eastAsia="es-ES"/>
        </w:rPr>
        <w:t>.</w:t>
      </w:r>
    </w:p>
    <w:p w14:paraId="0F81FB22" w14:textId="77777777" w:rsidR="001904B2" w:rsidRPr="00F12289" w:rsidRDefault="001904B2" w:rsidP="00802E6A">
      <w:pPr>
        <w:pStyle w:val="Prrafodelista"/>
        <w:widowControl w:val="0"/>
        <w:spacing w:line="360" w:lineRule="auto"/>
        <w:ind w:left="0"/>
        <w:jc w:val="both"/>
        <w:rPr>
          <w:rFonts w:ascii="Arial" w:hAnsi="Arial" w:cs="Arial"/>
          <w:sz w:val="26"/>
          <w:szCs w:val="26"/>
        </w:rPr>
      </w:pPr>
    </w:p>
    <w:p w14:paraId="65D73D5E" w14:textId="09B481A7" w:rsidR="001904B2" w:rsidRPr="00F12289" w:rsidRDefault="001904B2"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b/>
          <w:sz w:val="26"/>
          <w:szCs w:val="26"/>
          <w:lang w:val="es-ES"/>
        </w:rPr>
        <w:t>OCTAVO.</w:t>
      </w:r>
      <w:r w:rsidRPr="00F12289">
        <w:rPr>
          <w:rFonts w:ascii="Arial" w:hAnsi="Arial" w:cs="Arial"/>
          <w:sz w:val="26"/>
          <w:szCs w:val="26"/>
        </w:rPr>
        <w:t xml:space="preserve"> </w:t>
      </w:r>
      <w:r w:rsidR="001F11D9" w:rsidRPr="00F12289">
        <w:rPr>
          <w:rFonts w:ascii="Arial" w:hAnsi="Arial" w:cs="Arial"/>
          <w:b/>
          <w:sz w:val="26"/>
          <w:szCs w:val="26"/>
        </w:rPr>
        <w:t>Revisión</w:t>
      </w:r>
      <w:r w:rsidRPr="00F12289">
        <w:rPr>
          <w:rFonts w:ascii="Arial" w:hAnsi="Arial" w:cs="Arial"/>
          <w:b/>
          <w:sz w:val="26"/>
          <w:szCs w:val="26"/>
        </w:rPr>
        <w:t xml:space="preserve"> adhesiva.</w:t>
      </w:r>
      <w:r w:rsidRPr="00F12289">
        <w:rPr>
          <w:rFonts w:ascii="Arial" w:hAnsi="Arial" w:cs="Arial"/>
          <w:sz w:val="26"/>
          <w:szCs w:val="26"/>
        </w:rPr>
        <w:t xml:space="preserve"> </w:t>
      </w:r>
      <w:r w:rsidR="001C2581" w:rsidRPr="00F12289">
        <w:rPr>
          <w:rFonts w:ascii="Arial" w:hAnsi="Arial" w:cs="Arial"/>
          <w:sz w:val="26"/>
          <w:szCs w:val="26"/>
        </w:rPr>
        <w:t xml:space="preserve">Mediante auto de </w:t>
      </w:r>
      <w:r w:rsidR="001F11D9" w:rsidRPr="00F12289">
        <w:rPr>
          <w:rFonts w:ascii="Arial" w:hAnsi="Arial" w:cs="Arial"/>
          <w:sz w:val="26"/>
          <w:szCs w:val="26"/>
        </w:rPr>
        <w:t>diez de diciembre</w:t>
      </w:r>
      <w:r w:rsidR="001C2581" w:rsidRPr="00F12289">
        <w:rPr>
          <w:rFonts w:ascii="Arial" w:hAnsi="Arial" w:cs="Arial"/>
          <w:sz w:val="26"/>
          <w:szCs w:val="26"/>
        </w:rPr>
        <w:t xml:space="preserve"> de dos mil diecinueve</w:t>
      </w:r>
      <w:r w:rsidR="001F11D9" w:rsidRPr="00F12289">
        <w:rPr>
          <w:rFonts w:ascii="Arial" w:hAnsi="Arial" w:cs="Arial"/>
          <w:sz w:val="26"/>
          <w:szCs w:val="26"/>
        </w:rPr>
        <w:t xml:space="preserve"> del ministro presidente de la Primera</w:t>
      </w:r>
      <w:r w:rsidR="00792D64" w:rsidRPr="00F12289">
        <w:rPr>
          <w:rFonts w:ascii="Arial" w:hAnsi="Arial" w:cs="Arial"/>
          <w:sz w:val="26"/>
          <w:szCs w:val="26"/>
        </w:rPr>
        <w:t xml:space="preserve"> Sala</w:t>
      </w:r>
      <w:r w:rsidR="001F11D9" w:rsidRPr="00F12289">
        <w:rPr>
          <w:rFonts w:ascii="Arial" w:hAnsi="Arial" w:cs="Arial"/>
          <w:sz w:val="26"/>
          <w:szCs w:val="26"/>
        </w:rPr>
        <w:t>, fue</w:t>
      </w:r>
      <w:r w:rsidR="001C2581" w:rsidRPr="00F12289">
        <w:rPr>
          <w:rFonts w:ascii="Arial" w:hAnsi="Arial" w:cs="Arial"/>
          <w:sz w:val="26"/>
          <w:szCs w:val="26"/>
        </w:rPr>
        <w:t xml:space="preserve"> admitid</w:t>
      </w:r>
      <w:r w:rsidR="004A4927" w:rsidRPr="00F12289">
        <w:rPr>
          <w:rFonts w:ascii="Arial" w:hAnsi="Arial" w:cs="Arial"/>
          <w:sz w:val="26"/>
          <w:szCs w:val="26"/>
        </w:rPr>
        <w:t>a</w:t>
      </w:r>
      <w:r w:rsidR="001C2581" w:rsidRPr="00F12289">
        <w:rPr>
          <w:rFonts w:ascii="Arial" w:hAnsi="Arial" w:cs="Arial"/>
          <w:sz w:val="26"/>
          <w:szCs w:val="26"/>
        </w:rPr>
        <w:t xml:space="preserve"> </w:t>
      </w:r>
      <w:r w:rsidR="001F11D9" w:rsidRPr="00F12289">
        <w:rPr>
          <w:rFonts w:ascii="Arial" w:hAnsi="Arial" w:cs="Arial"/>
          <w:sz w:val="26"/>
          <w:szCs w:val="26"/>
        </w:rPr>
        <w:t>la revisión adhesiva interpuesta</w:t>
      </w:r>
      <w:r w:rsidR="001C2581" w:rsidRPr="00F12289">
        <w:rPr>
          <w:rFonts w:ascii="Arial" w:hAnsi="Arial" w:cs="Arial"/>
          <w:sz w:val="26"/>
          <w:szCs w:val="26"/>
        </w:rPr>
        <w:t xml:space="preserve"> por </w:t>
      </w:r>
      <w:r w:rsidR="001F11D9" w:rsidRPr="00F12289">
        <w:rPr>
          <w:rFonts w:ascii="Arial" w:hAnsi="Arial" w:cs="Arial"/>
          <w:sz w:val="26"/>
          <w:szCs w:val="26"/>
        </w:rPr>
        <w:t>la</w:t>
      </w:r>
      <w:r w:rsidR="001C2581" w:rsidRPr="00F12289">
        <w:rPr>
          <w:rFonts w:ascii="Arial" w:hAnsi="Arial" w:cs="Arial"/>
          <w:sz w:val="26"/>
          <w:szCs w:val="26"/>
        </w:rPr>
        <w:t xml:space="preserve"> </w:t>
      </w:r>
      <w:r w:rsidR="001F11D9" w:rsidRPr="00F12289">
        <w:rPr>
          <w:rFonts w:ascii="Arial" w:hAnsi="Arial" w:cs="Arial"/>
          <w:b/>
          <w:sz w:val="26"/>
          <w:szCs w:val="26"/>
          <w:u w:color="FFFFFF" w:themeColor="background1"/>
        </w:rPr>
        <w:t>Secretaría de Hacienda y Crédito Público.</w:t>
      </w:r>
    </w:p>
    <w:p w14:paraId="63B7F736" w14:textId="77777777" w:rsidR="00233A84" w:rsidRPr="00F12289" w:rsidRDefault="00233A84" w:rsidP="00802E6A">
      <w:pPr>
        <w:pStyle w:val="Prrafodelista"/>
        <w:spacing w:line="360" w:lineRule="auto"/>
        <w:rPr>
          <w:rFonts w:ascii="Arial" w:hAnsi="Arial" w:cs="Arial"/>
          <w:sz w:val="26"/>
          <w:szCs w:val="26"/>
          <w:highlight w:val="yellow"/>
        </w:rPr>
      </w:pPr>
    </w:p>
    <w:p w14:paraId="2F6B9AEF" w14:textId="7CC642EC" w:rsidR="00233A84" w:rsidRPr="00F12289" w:rsidRDefault="001904B2"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b/>
          <w:sz w:val="26"/>
          <w:szCs w:val="26"/>
        </w:rPr>
        <w:t>NOVENO</w:t>
      </w:r>
      <w:r w:rsidR="00233A84" w:rsidRPr="00F12289">
        <w:rPr>
          <w:rFonts w:ascii="Arial" w:hAnsi="Arial" w:cs="Arial"/>
          <w:b/>
          <w:sz w:val="26"/>
          <w:szCs w:val="26"/>
        </w:rPr>
        <w:t xml:space="preserve">. </w:t>
      </w:r>
      <w:r w:rsidR="007D0869" w:rsidRPr="00F12289">
        <w:rPr>
          <w:rFonts w:ascii="Arial" w:hAnsi="Arial" w:cs="Arial"/>
          <w:b/>
          <w:sz w:val="26"/>
          <w:szCs w:val="26"/>
        </w:rPr>
        <w:t xml:space="preserve">Publicación del proyecto en versión pública. </w:t>
      </w:r>
      <w:r w:rsidR="007D0869" w:rsidRPr="00F12289">
        <w:rPr>
          <w:rFonts w:ascii="Arial" w:hAnsi="Arial" w:cs="Arial"/>
          <w:sz w:val="26"/>
          <w:szCs w:val="26"/>
        </w:rPr>
        <w:t xml:space="preserve">El proyecto de sentencia con el que se propuso resolver el presente </w:t>
      </w:r>
      <w:proofErr w:type="gramStart"/>
      <w:r w:rsidR="007D0869" w:rsidRPr="00F12289">
        <w:rPr>
          <w:rFonts w:ascii="Arial" w:hAnsi="Arial" w:cs="Arial"/>
          <w:sz w:val="26"/>
          <w:szCs w:val="26"/>
        </w:rPr>
        <w:t>asunto,</w:t>
      </w:r>
      <w:proofErr w:type="gramEnd"/>
      <w:r w:rsidR="007D0869" w:rsidRPr="00F12289">
        <w:rPr>
          <w:rFonts w:ascii="Arial" w:hAnsi="Arial" w:cs="Arial"/>
          <w:sz w:val="26"/>
          <w:szCs w:val="26"/>
        </w:rPr>
        <w:t xml:space="preserve"> fue publicado dentro del plazo y con las formalidades previstas en los artículos 73 y </w:t>
      </w:r>
      <w:r w:rsidR="001A308A" w:rsidRPr="00F12289">
        <w:rPr>
          <w:rFonts w:ascii="Arial" w:hAnsi="Arial" w:cs="Arial"/>
          <w:sz w:val="26"/>
          <w:szCs w:val="26"/>
        </w:rPr>
        <w:t>184 de la Ley de Amparo vigente</w:t>
      </w:r>
      <w:r w:rsidR="007D0869" w:rsidRPr="00F12289">
        <w:rPr>
          <w:rFonts w:ascii="Arial" w:hAnsi="Arial" w:cs="Arial"/>
          <w:sz w:val="26"/>
          <w:szCs w:val="26"/>
        </w:rPr>
        <w:t xml:space="preserve"> por versar sobre</w:t>
      </w:r>
      <w:r w:rsidR="00786E93" w:rsidRPr="00F12289">
        <w:rPr>
          <w:rFonts w:ascii="Arial" w:hAnsi="Arial" w:cs="Arial"/>
          <w:sz w:val="26"/>
          <w:szCs w:val="26"/>
        </w:rPr>
        <w:t xml:space="preserve"> la</w:t>
      </w:r>
      <w:r w:rsidR="007D0869" w:rsidRPr="00F12289">
        <w:rPr>
          <w:rFonts w:ascii="Arial" w:hAnsi="Arial" w:cs="Arial"/>
          <w:sz w:val="26"/>
          <w:szCs w:val="26"/>
        </w:rPr>
        <w:t xml:space="preserve"> constitucionalidad de normas de carácter general.</w:t>
      </w:r>
    </w:p>
    <w:p w14:paraId="1B41948A" w14:textId="77777777" w:rsidR="009E475B" w:rsidRPr="00BC4AF2" w:rsidRDefault="009E475B" w:rsidP="00802E6A">
      <w:pPr>
        <w:spacing w:line="360" w:lineRule="auto"/>
        <w:rPr>
          <w:rFonts w:ascii="Arial" w:hAnsi="Arial" w:cs="Arial"/>
          <w:b/>
          <w:sz w:val="24"/>
          <w:szCs w:val="24"/>
        </w:rPr>
      </w:pPr>
    </w:p>
    <w:p w14:paraId="3DEC2CBA" w14:textId="77777777" w:rsidR="009E475B" w:rsidRPr="00F12289" w:rsidRDefault="009E475B" w:rsidP="00802E6A">
      <w:pPr>
        <w:pStyle w:val="Prrafodelista"/>
        <w:widowControl w:val="0"/>
        <w:spacing w:line="360" w:lineRule="auto"/>
        <w:ind w:left="0"/>
        <w:jc w:val="center"/>
        <w:rPr>
          <w:rFonts w:ascii="Arial" w:hAnsi="Arial" w:cs="Arial"/>
          <w:sz w:val="28"/>
          <w:szCs w:val="28"/>
        </w:rPr>
      </w:pPr>
      <w:r w:rsidRPr="00F12289">
        <w:rPr>
          <w:rFonts w:ascii="Arial" w:hAnsi="Arial" w:cs="Arial"/>
          <w:b/>
          <w:sz w:val="28"/>
          <w:szCs w:val="28"/>
        </w:rPr>
        <w:t>C O N S I D E R A N D O:</w:t>
      </w:r>
    </w:p>
    <w:p w14:paraId="287CB70F" w14:textId="77777777" w:rsidR="009E475B" w:rsidRPr="00BC4AF2" w:rsidRDefault="009E475B" w:rsidP="00802E6A">
      <w:pPr>
        <w:pStyle w:val="Prrafodelista"/>
        <w:spacing w:line="360" w:lineRule="auto"/>
        <w:rPr>
          <w:rFonts w:ascii="Arial" w:hAnsi="Arial" w:cs="Arial"/>
          <w:b/>
          <w:sz w:val="24"/>
          <w:szCs w:val="24"/>
        </w:rPr>
      </w:pPr>
    </w:p>
    <w:p w14:paraId="12119AEA" w14:textId="3CCC512E" w:rsidR="009E475B" w:rsidRPr="00F12289" w:rsidRDefault="009E475B"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b/>
          <w:sz w:val="26"/>
          <w:szCs w:val="26"/>
        </w:rPr>
        <w:t xml:space="preserve">PRIMERO. Competencia. </w:t>
      </w:r>
      <w:r w:rsidRPr="00F12289">
        <w:rPr>
          <w:rFonts w:ascii="Arial" w:eastAsia="Calibri" w:hAnsi="Arial" w:cs="Arial"/>
          <w:sz w:val="26"/>
          <w:szCs w:val="26"/>
          <w:lang w:val="es-MX"/>
        </w:rPr>
        <w:t xml:space="preserve">Esta </w:t>
      </w:r>
      <w:r w:rsidR="001F11D9" w:rsidRPr="00F12289">
        <w:rPr>
          <w:rFonts w:ascii="Arial" w:eastAsia="Calibri" w:hAnsi="Arial" w:cs="Arial"/>
          <w:sz w:val="26"/>
          <w:szCs w:val="26"/>
          <w:lang w:val="es-MX"/>
        </w:rPr>
        <w:t>Primera</w:t>
      </w:r>
      <w:r w:rsidRPr="00F12289">
        <w:rPr>
          <w:rFonts w:ascii="Arial" w:eastAsia="Calibri" w:hAnsi="Arial" w:cs="Arial"/>
          <w:sz w:val="26"/>
          <w:szCs w:val="26"/>
          <w:lang w:val="es-MX"/>
        </w:rPr>
        <w:t xml:space="preserve"> Sala de la Suprema Corte de Justicia de la Nación es competente para resolver el presente recurso de revisión de conformidad con lo previsto en los artículos 107, fracción IX, de la Constitución Política de los Estados Unidos Mexicanos; 81, fracción II, y 96 de la Ley de </w:t>
      </w:r>
      <w:r w:rsidR="007741E3" w:rsidRPr="00F12289">
        <w:rPr>
          <w:rFonts w:ascii="Arial" w:eastAsia="Calibri" w:hAnsi="Arial" w:cs="Arial"/>
          <w:sz w:val="26"/>
          <w:szCs w:val="26"/>
          <w:lang w:val="es-MX"/>
        </w:rPr>
        <w:t>Amparo; 10, fracción III, 11, fracción V y</w:t>
      </w:r>
      <w:r w:rsidR="001A308A" w:rsidRPr="00F12289">
        <w:rPr>
          <w:rFonts w:ascii="Arial" w:eastAsia="Calibri" w:hAnsi="Arial" w:cs="Arial"/>
          <w:sz w:val="26"/>
          <w:szCs w:val="26"/>
          <w:lang w:val="es-MX"/>
        </w:rPr>
        <w:t xml:space="preserve"> 21, fracción XI, </w:t>
      </w:r>
      <w:r w:rsidRPr="00F12289">
        <w:rPr>
          <w:rFonts w:ascii="Arial" w:eastAsia="Calibri" w:hAnsi="Arial" w:cs="Arial"/>
          <w:sz w:val="26"/>
          <w:szCs w:val="26"/>
          <w:lang w:val="es-MX"/>
        </w:rPr>
        <w:t>de la Ley Orgánica del Poder Judicial de la Federaci</w:t>
      </w:r>
      <w:r w:rsidR="007741E3" w:rsidRPr="00F12289">
        <w:rPr>
          <w:rFonts w:ascii="Arial" w:eastAsia="Calibri" w:hAnsi="Arial" w:cs="Arial"/>
          <w:sz w:val="26"/>
          <w:szCs w:val="26"/>
          <w:lang w:val="es-MX"/>
        </w:rPr>
        <w:t>ón, en relación con los puntos P</w:t>
      </w:r>
      <w:r w:rsidRPr="00F12289">
        <w:rPr>
          <w:rFonts w:ascii="Arial" w:eastAsia="Calibri" w:hAnsi="Arial" w:cs="Arial"/>
          <w:sz w:val="26"/>
          <w:szCs w:val="26"/>
          <w:lang w:val="es-MX"/>
        </w:rPr>
        <w:t xml:space="preserve">rimero y </w:t>
      </w:r>
      <w:r w:rsidR="007741E3" w:rsidRPr="00F12289">
        <w:rPr>
          <w:rFonts w:ascii="Arial" w:eastAsia="Calibri" w:hAnsi="Arial" w:cs="Arial"/>
          <w:sz w:val="26"/>
          <w:szCs w:val="26"/>
          <w:lang w:val="es-MX"/>
        </w:rPr>
        <w:t>T</w:t>
      </w:r>
      <w:r w:rsidRPr="00F12289">
        <w:rPr>
          <w:rFonts w:ascii="Arial" w:eastAsia="Calibri" w:hAnsi="Arial" w:cs="Arial"/>
          <w:sz w:val="26"/>
          <w:szCs w:val="26"/>
          <w:lang w:val="es-MX"/>
        </w:rPr>
        <w:t xml:space="preserve">ercero del Acuerdo </w:t>
      </w:r>
      <w:r w:rsidR="007741E3" w:rsidRPr="00F12289">
        <w:rPr>
          <w:rFonts w:ascii="Arial" w:eastAsia="Calibri" w:hAnsi="Arial" w:cs="Arial"/>
          <w:sz w:val="26"/>
          <w:szCs w:val="26"/>
          <w:lang w:val="es-MX"/>
        </w:rPr>
        <w:t xml:space="preserve">General </w:t>
      </w:r>
      <w:r w:rsidRPr="00F12289">
        <w:rPr>
          <w:rFonts w:ascii="Arial" w:eastAsia="Calibri" w:hAnsi="Arial" w:cs="Arial"/>
          <w:sz w:val="26"/>
          <w:szCs w:val="26"/>
          <w:lang w:val="es-MX"/>
        </w:rPr>
        <w:t>5/2013; y los p</w:t>
      </w:r>
      <w:r w:rsidR="007741E3" w:rsidRPr="00F12289">
        <w:rPr>
          <w:rFonts w:ascii="Arial" w:eastAsia="Calibri" w:hAnsi="Arial" w:cs="Arial"/>
          <w:sz w:val="26"/>
          <w:szCs w:val="26"/>
          <w:lang w:val="es-MX"/>
        </w:rPr>
        <w:t>untos P</w:t>
      </w:r>
      <w:r w:rsidRPr="00F12289">
        <w:rPr>
          <w:rFonts w:ascii="Arial" w:eastAsia="Calibri" w:hAnsi="Arial" w:cs="Arial"/>
          <w:sz w:val="26"/>
          <w:szCs w:val="26"/>
          <w:lang w:val="es-MX"/>
        </w:rPr>
        <w:t xml:space="preserve">rimero y </w:t>
      </w:r>
      <w:r w:rsidR="007741E3" w:rsidRPr="00F12289">
        <w:rPr>
          <w:rFonts w:ascii="Arial" w:eastAsia="Calibri" w:hAnsi="Arial" w:cs="Arial"/>
          <w:sz w:val="26"/>
          <w:szCs w:val="26"/>
          <w:lang w:val="es-MX"/>
        </w:rPr>
        <w:t>S</w:t>
      </w:r>
      <w:r w:rsidRPr="00F12289">
        <w:rPr>
          <w:rFonts w:ascii="Arial" w:eastAsia="Calibri" w:hAnsi="Arial" w:cs="Arial"/>
          <w:sz w:val="26"/>
          <w:szCs w:val="26"/>
          <w:lang w:val="es-MX"/>
        </w:rPr>
        <w:t xml:space="preserve">egundo del Acuerdo </w:t>
      </w:r>
      <w:r w:rsidR="007741E3" w:rsidRPr="00F12289">
        <w:rPr>
          <w:rFonts w:ascii="Arial" w:eastAsia="Calibri" w:hAnsi="Arial" w:cs="Arial"/>
          <w:sz w:val="26"/>
          <w:szCs w:val="26"/>
          <w:lang w:val="es-MX"/>
        </w:rPr>
        <w:t xml:space="preserve">General </w:t>
      </w:r>
      <w:r w:rsidRPr="00F12289">
        <w:rPr>
          <w:rFonts w:ascii="Arial" w:eastAsia="Calibri" w:hAnsi="Arial" w:cs="Arial"/>
          <w:sz w:val="26"/>
          <w:szCs w:val="26"/>
          <w:lang w:val="es-MX"/>
        </w:rPr>
        <w:t xml:space="preserve">9/2015, ambos del Tribunal Pleno de la Suprema Corte de Justicia de la Nación. </w:t>
      </w:r>
    </w:p>
    <w:p w14:paraId="4870B31D" w14:textId="77777777" w:rsidR="009E475B" w:rsidRPr="00F12289" w:rsidRDefault="009E475B" w:rsidP="00802E6A">
      <w:pPr>
        <w:pStyle w:val="Prrafodelista"/>
        <w:widowControl w:val="0"/>
        <w:spacing w:line="360" w:lineRule="auto"/>
        <w:ind w:left="0"/>
        <w:jc w:val="both"/>
        <w:rPr>
          <w:rFonts w:ascii="Arial" w:hAnsi="Arial" w:cs="Arial"/>
          <w:sz w:val="26"/>
          <w:szCs w:val="26"/>
        </w:rPr>
      </w:pPr>
    </w:p>
    <w:p w14:paraId="26942A8A" w14:textId="63082E67" w:rsidR="009E475B" w:rsidRPr="00F12289" w:rsidRDefault="009E475B"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eastAsia="Calibri" w:hAnsi="Arial" w:cs="Arial"/>
          <w:sz w:val="26"/>
          <w:szCs w:val="26"/>
          <w:lang w:val="es-MX"/>
        </w:rPr>
        <w:t xml:space="preserve">Lo anterior, ya que el recurso se interpone contra una sentencia dictada por </w:t>
      </w:r>
      <w:r w:rsidRPr="00F12289">
        <w:rPr>
          <w:rFonts w:ascii="Arial" w:eastAsia="Calibri" w:hAnsi="Arial" w:cs="Arial"/>
          <w:sz w:val="26"/>
          <w:szCs w:val="26"/>
          <w:lang w:val="es-MX"/>
        </w:rPr>
        <w:lastRenderedPageBreak/>
        <w:t xml:space="preserve">un </w:t>
      </w:r>
      <w:r w:rsidR="00A32057" w:rsidRPr="00F12289">
        <w:rPr>
          <w:rFonts w:ascii="Arial" w:eastAsia="Calibri" w:hAnsi="Arial" w:cs="Arial"/>
          <w:sz w:val="26"/>
          <w:szCs w:val="26"/>
          <w:lang w:val="es-MX"/>
        </w:rPr>
        <w:t xml:space="preserve">tribunal colegiado de circuito </w:t>
      </w:r>
      <w:r w:rsidRPr="00F12289">
        <w:rPr>
          <w:rFonts w:ascii="Arial" w:eastAsia="Calibri" w:hAnsi="Arial" w:cs="Arial"/>
          <w:sz w:val="26"/>
          <w:szCs w:val="26"/>
          <w:lang w:val="es-MX"/>
        </w:rPr>
        <w:t xml:space="preserve">en un juicio de amparo directo </w:t>
      </w:r>
      <w:r w:rsidR="001F11D9" w:rsidRPr="00F12289">
        <w:rPr>
          <w:rFonts w:ascii="Arial" w:eastAsia="Calibri" w:hAnsi="Arial" w:cs="Arial"/>
          <w:sz w:val="26"/>
          <w:szCs w:val="26"/>
          <w:lang w:val="es-MX"/>
        </w:rPr>
        <w:t>en materia penal</w:t>
      </w:r>
      <w:r w:rsidRPr="00F12289">
        <w:rPr>
          <w:rFonts w:ascii="Arial" w:eastAsia="Calibri" w:hAnsi="Arial" w:cs="Arial"/>
          <w:sz w:val="26"/>
          <w:szCs w:val="26"/>
          <w:lang w:val="es-MX"/>
        </w:rPr>
        <w:t xml:space="preserve">, </w:t>
      </w:r>
      <w:r w:rsidR="00541F05" w:rsidRPr="00F12289">
        <w:rPr>
          <w:rFonts w:ascii="Arial" w:eastAsia="Calibri" w:hAnsi="Arial" w:cs="Arial"/>
          <w:sz w:val="26"/>
          <w:szCs w:val="26"/>
          <w:lang w:val="es-MX"/>
        </w:rPr>
        <w:t>temática</w:t>
      </w:r>
      <w:r w:rsidRPr="00F12289">
        <w:rPr>
          <w:rFonts w:ascii="Arial" w:eastAsia="Calibri" w:hAnsi="Arial" w:cs="Arial"/>
          <w:sz w:val="26"/>
          <w:szCs w:val="26"/>
          <w:lang w:val="es-MX"/>
        </w:rPr>
        <w:t xml:space="preserve"> que corresponde</w:t>
      </w:r>
      <w:r w:rsidR="001A308A" w:rsidRPr="00F12289">
        <w:rPr>
          <w:rFonts w:ascii="Arial" w:eastAsia="Calibri" w:hAnsi="Arial" w:cs="Arial"/>
          <w:sz w:val="26"/>
          <w:szCs w:val="26"/>
          <w:lang w:val="es-MX"/>
        </w:rPr>
        <w:t xml:space="preserve"> a la especialidad de esta Sala</w:t>
      </w:r>
      <w:r w:rsidRPr="00F12289">
        <w:rPr>
          <w:rFonts w:ascii="Arial" w:eastAsia="Calibri" w:hAnsi="Arial" w:cs="Arial"/>
          <w:sz w:val="26"/>
          <w:szCs w:val="26"/>
          <w:lang w:val="es-MX"/>
        </w:rPr>
        <w:t xml:space="preserve"> sin que se considere necesaria la intervención del Tribunal Pleno para su resolución. </w:t>
      </w:r>
    </w:p>
    <w:p w14:paraId="1D30C328" w14:textId="77777777" w:rsidR="009E475B" w:rsidRPr="00F12289" w:rsidRDefault="009E475B" w:rsidP="00802E6A">
      <w:pPr>
        <w:pStyle w:val="Prrafodelista"/>
        <w:spacing w:line="360" w:lineRule="auto"/>
        <w:rPr>
          <w:rFonts w:ascii="Arial" w:hAnsi="Arial" w:cs="Arial"/>
          <w:b/>
          <w:sz w:val="26"/>
          <w:szCs w:val="26"/>
        </w:rPr>
      </w:pPr>
    </w:p>
    <w:p w14:paraId="064E4AF6" w14:textId="12D74EC7" w:rsidR="004F5A6A" w:rsidRPr="00F12289" w:rsidRDefault="009E475B"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b/>
          <w:sz w:val="26"/>
          <w:szCs w:val="26"/>
        </w:rPr>
        <w:t xml:space="preserve">SEGUNDO. </w:t>
      </w:r>
      <w:r w:rsidR="004F5A6A" w:rsidRPr="00F12289">
        <w:rPr>
          <w:rFonts w:ascii="Arial" w:hAnsi="Arial" w:cs="Arial"/>
          <w:b/>
          <w:sz w:val="26"/>
          <w:szCs w:val="26"/>
        </w:rPr>
        <w:t xml:space="preserve">Legitimación. </w:t>
      </w:r>
      <w:r w:rsidR="004F5A6A" w:rsidRPr="00F12289">
        <w:rPr>
          <w:rFonts w:ascii="Arial" w:hAnsi="Arial" w:cs="Arial"/>
          <w:sz w:val="26"/>
          <w:szCs w:val="26"/>
        </w:rPr>
        <w:t>Con fundamento en los artículos 107, fracción I, de la Constitución Política de los Estados Unid</w:t>
      </w:r>
      <w:r w:rsidR="001A308A" w:rsidRPr="00F12289">
        <w:rPr>
          <w:rFonts w:ascii="Arial" w:hAnsi="Arial" w:cs="Arial"/>
          <w:sz w:val="26"/>
          <w:szCs w:val="26"/>
        </w:rPr>
        <w:t>os Mexicanos; 5, fracción</w:t>
      </w:r>
      <w:r w:rsidR="004F5A6A" w:rsidRPr="00F12289">
        <w:rPr>
          <w:rFonts w:ascii="Arial" w:hAnsi="Arial" w:cs="Arial"/>
          <w:sz w:val="26"/>
          <w:szCs w:val="26"/>
        </w:rPr>
        <w:t xml:space="preserve"> I y 6 de la Ley de Amparo, </w:t>
      </w:r>
      <w:r w:rsidR="001F11D9" w:rsidRPr="00F12289">
        <w:rPr>
          <w:rFonts w:ascii="Arial" w:hAnsi="Arial" w:cs="Arial"/>
          <w:sz w:val="26"/>
          <w:szCs w:val="26"/>
        </w:rPr>
        <w:t>el recurrente principal cuenta</w:t>
      </w:r>
      <w:r w:rsidR="004F5A6A" w:rsidRPr="00F12289">
        <w:rPr>
          <w:rFonts w:ascii="Arial" w:hAnsi="Arial" w:cs="Arial"/>
          <w:sz w:val="26"/>
          <w:szCs w:val="26"/>
        </w:rPr>
        <w:t xml:space="preserve"> con legitimación para actuar en el presente asunto, en tanto se trata de</w:t>
      </w:r>
      <w:r w:rsidR="001F11D9" w:rsidRPr="00F12289">
        <w:rPr>
          <w:rFonts w:ascii="Arial" w:hAnsi="Arial" w:cs="Arial"/>
          <w:sz w:val="26"/>
          <w:szCs w:val="26"/>
        </w:rPr>
        <w:t xml:space="preserve">l quejoso en el </w:t>
      </w:r>
      <w:r w:rsidR="000C3734" w:rsidRPr="00F12289">
        <w:rPr>
          <w:rFonts w:ascii="Arial" w:hAnsi="Arial" w:cs="Arial"/>
          <w:sz w:val="26"/>
          <w:szCs w:val="26"/>
        </w:rPr>
        <w:t>juicio</w:t>
      </w:r>
      <w:r w:rsidR="001F11D9" w:rsidRPr="00F12289">
        <w:rPr>
          <w:rFonts w:ascii="Arial" w:hAnsi="Arial" w:cs="Arial"/>
          <w:sz w:val="26"/>
          <w:szCs w:val="26"/>
        </w:rPr>
        <w:t xml:space="preserve"> de amparo directo</w:t>
      </w:r>
      <w:r w:rsidR="004F5A6A" w:rsidRPr="00F12289">
        <w:rPr>
          <w:rFonts w:ascii="Arial" w:hAnsi="Arial" w:cs="Arial"/>
          <w:sz w:val="26"/>
          <w:szCs w:val="26"/>
        </w:rPr>
        <w:t xml:space="preserve">; además de que </w:t>
      </w:r>
      <w:r w:rsidR="001F11D9" w:rsidRPr="00F12289">
        <w:rPr>
          <w:rFonts w:ascii="Arial" w:hAnsi="Arial" w:cs="Arial"/>
          <w:sz w:val="26"/>
          <w:szCs w:val="26"/>
        </w:rPr>
        <w:t>en la sentencia recurrida se le</w:t>
      </w:r>
      <w:r w:rsidR="004F5A6A" w:rsidRPr="00F12289">
        <w:rPr>
          <w:rFonts w:ascii="Arial" w:hAnsi="Arial" w:cs="Arial"/>
          <w:sz w:val="26"/>
          <w:szCs w:val="26"/>
        </w:rPr>
        <w:t xml:space="preserve"> negó la protección co</w:t>
      </w:r>
      <w:r w:rsidR="001F11D9" w:rsidRPr="00F12289">
        <w:rPr>
          <w:rFonts w:ascii="Arial" w:hAnsi="Arial" w:cs="Arial"/>
          <w:sz w:val="26"/>
          <w:szCs w:val="26"/>
        </w:rPr>
        <w:t>nstitucional, y por ello, tiene</w:t>
      </w:r>
      <w:r w:rsidR="004F5A6A" w:rsidRPr="00F12289">
        <w:rPr>
          <w:rFonts w:ascii="Arial" w:hAnsi="Arial" w:cs="Arial"/>
          <w:sz w:val="26"/>
          <w:szCs w:val="26"/>
        </w:rPr>
        <w:t xml:space="preserve"> interés en que esa determinación sea modificada o revocada.</w:t>
      </w:r>
    </w:p>
    <w:p w14:paraId="049E764B" w14:textId="77777777" w:rsidR="004F5A6A" w:rsidRPr="00F12289" w:rsidRDefault="004F5A6A" w:rsidP="004F5A6A">
      <w:pPr>
        <w:spacing w:line="360" w:lineRule="auto"/>
        <w:rPr>
          <w:rFonts w:ascii="Arial" w:hAnsi="Arial" w:cs="Arial"/>
          <w:b/>
          <w:sz w:val="26"/>
          <w:szCs w:val="26"/>
        </w:rPr>
      </w:pPr>
    </w:p>
    <w:p w14:paraId="4E2CD431" w14:textId="2EFFB37B" w:rsidR="004F5A6A" w:rsidRPr="00F12289" w:rsidRDefault="004F5A6A"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 xml:space="preserve">Al respecto, el escrito de expresión de agravios fue firmado por </w:t>
      </w:r>
      <w:r w:rsidR="00B071E0">
        <w:rPr>
          <w:rFonts w:ascii="Arial" w:hAnsi="Arial" w:cs="Arial"/>
          <w:color w:val="FF0000"/>
          <w:sz w:val="26"/>
          <w:szCs w:val="26"/>
        </w:rPr>
        <w:t>**********</w:t>
      </w:r>
      <w:r w:rsidRPr="00F12289">
        <w:rPr>
          <w:rFonts w:ascii="Arial" w:hAnsi="Arial" w:cs="Arial"/>
          <w:sz w:val="26"/>
          <w:szCs w:val="26"/>
        </w:rPr>
        <w:t xml:space="preserve">, </w:t>
      </w:r>
      <w:r w:rsidR="007C4586" w:rsidRPr="00F12289">
        <w:rPr>
          <w:rFonts w:ascii="Arial" w:hAnsi="Arial" w:cs="Arial"/>
          <w:sz w:val="26"/>
          <w:szCs w:val="26"/>
        </w:rPr>
        <w:t>autorizado en términos amplios del artículo 12 de la Ley de Amparo</w:t>
      </w:r>
      <w:r w:rsidRPr="00F12289">
        <w:rPr>
          <w:rFonts w:ascii="Arial" w:hAnsi="Arial" w:cs="Arial"/>
          <w:sz w:val="26"/>
          <w:szCs w:val="26"/>
        </w:rPr>
        <w:t xml:space="preserve">, carácter que le fue reconocido por acuerdo dictado el </w:t>
      </w:r>
      <w:r w:rsidR="007C4586" w:rsidRPr="00F12289">
        <w:rPr>
          <w:rFonts w:ascii="Arial" w:hAnsi="Arial" w:cs="Arial"/>
          <w:sz w:val="26"/>
          <w:szCs w:val="26"/>
        </w:rPr>
        <w:t>diecinueve de abril de dos mil diecisiete</w:t>
      </w:r>
      <w:r w:rsidRPr="00F12289">
        <w:rPr>
          <w:rStyle w:val="Refdenotaalpie"/>
          <w:rFonts w:cs="Arial"/>
          <w:sz w:val="26"/>
          <w:szCs w:val="26"/>
        </w:rPr>
        <w:footnoteReference w:id="5"/>
      </w:r>
      <w:r w:rsidRPr="00F12289">
        <w:rPr>
          <w:rFonts w:ascii="Arial" w:hAnsi="Arial" w:cs="Arial"/>
          <w:color w:val="FF0000"/>
          <w:sz w:val="26"/>
          <w:szCs w:val="26"/>
        </w:rPr>
        <w:t xml:space="preserve"> </w:t>
      </w:r>
      <w:r w:rsidR="007C4586" w:rsidRPr="00F12289">
        <w:rPr>
          <w:rFonts w:ascii="Arial" w:hAnsi="Arial" w:cs="Arial"/>
          <w:sz w:val="26"/>
          <w:szCs w:val="26"/>
        </w:rPr>
        <w:t>por el</w:t>
      </w:r>
      <w:r w:rsidRPr="00F12289">
        <w:rPr>
          <w:rFonts w:ascii="Arial" w:hAnsi="Arial" w:cs="Arial"/>
          <w:sz w:val="26"/>
          <w:szCs w:val="26"/>
        </w:rPr>
        <w:t xml:space="preserve"> </w:t>
      </w:r>
      <w:r w:rsidR="00342F75" w:rsidRPr="00F12289">
        <w:rPr>
          <w:rFonts w:ascii="Arial" w:hAnsi="Arial" w:cs="Arial"/>
          <w:sz w:val="26"/>
          <w:szCs w:val="26"/>
        </w:rPr>
        <w:t>p</w:t>
      </w:r>
      <w:r w:rsidR="007C4586" w:rsidRPr="00F12289">
        <w:rPr>
          <w:rFonts w:ascii="Arial" w:hAnsi="Arial" w:cs="Arial"/>
          <w:sz w:val="26"/>
          <w:szCs w:val="26"/>
        </w:rPr>
        <w:t>residente</w:t>
      </w:r>
      <w:r w:rsidRPr="00F12289">
        <w:rPr>
          <w:rFonts w:ascii="Arial" w:hAnsi="Arial" w:cs="Arial"/>
          <w:sz w:val="26"/>
          <w:szCs w:val="26"/>
        </w:rPr>
        <w:t xml:space="preserve"> del </w:t>
      </w:r>
      <w:r w:rsidR="00342F75" w:rsidRPr="00F12289">
        <w:rPr>
          <w:rFonts w:ascii="Arial" w:hAnsi="Arial" w:cs="Arial"/>
          <w:sz w:val="26"/>
          <w:szCs w:val="26"/>
        </w:rPr>
        <w:t>t</w:t>
      </w:r>
      <w:r w:rsidRPr="00F12289">
        <w:rPr>
          <w:rFonts w:ascii="Arial" w:hAnsi="Arial" w:cs="Arial"/>
          <w:sz w:val="26"/>
          <w:szCs w:val="26"/>
        </w:rPr>
        <w:t xml:space="preserve">ribunal </w:t>
      </w:r>
      <w:r w:rsidR="00342F75" w:rsidRPr="00F12289">
        <w:rPr>
          <w:rFonts w:ascii="Arial" w:hAnsi="Arial" w:cs="Arial"/>
          <w:sz w:val="26"/>
          <w:szCs w:val="26"/>
        </w:rPr>
        <w:t>c</w:t>
      </w:r>
      <w:r w:rsidRPr="00F12289">
        <w:rPr>
          <w:rFonts w:ascii="Arial" w:hAnsi="Arial" w:cs="Arial"/>
          <w:sz w:val="26"/>
          <w:szCs w:val="26"/>
        </w:rPr>
        <w:t>olegiado del conocimiento.</w:t>
      </w:r>
    </w:p>
    <w:p w14:paraId="28D53771" w14:textId="77777777" w:rsidR="004F5A6A" w:rsidRPr="00F12289" w:rsidRDefault="004F5A6A" w:rsidP="004F5A6A">
      <w:pPr>
        <w:pStyle w:val="Prrafodelista"/>
        <w:spacing w:line="360" w:lineRule="auto"/>
        <w:rPr>
          <w:rFonts w:ascii="Arial" w:hAnsi="Arial" w:cs="Arial"/>
          <w:sz w:val="26"/>
          <w:szCs w:val="26"/>
        </w:rPr>
      </w:pPr>
    </w:p>
    <w:p w14:paraId="16BCA326" w14:textId="49186E2D" w:rsidR="004F5A6A" w:rsidRPr="00F12289" w:rsidRDefault="004F5A6A"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Por lo que hace a la revisión adhesiva presentada por</w:t>
      </w:r>
      <w:r w:rsidR="007C4586" w:rsidRPr="00F12289">
        <w:rPr>
          <w:rFonts w:ascii="Arial" w:hAnsi="Arial" w:cs="Arial"/>
          <w:sz w:val="26"/>
          <w:szCs w:val="26"/>
        </w:rPr>
        <w:t xml:space="preserve"> el</w:t>
      </w:r>
      <w:r w:rsidRPr="00F12289">
        <w:rPr>
          <w:rFonts w:ascii="Arial" w:hAnsi="Arial" w:cs="Arial"/>
          <w:sz w:val="26"/>
          <w:szCs w:val="26"/>
        </w:rPr>
        <w:t xml:space="preserve"> </w:t>
      </w:r>
      <w:r w:rsidR="00F34FB1" w:rsidRPr="00F12289">
        <w:rPr>
          <w:rFonts w:ascii="Arial" w:hAnsi="Arial" w:cs="Arial"/>
          <w:sz w:val="26"/>
          <w:szCs w:val="26"/>
          <w:u w:color="FFFFFF" w:themeColor="background1"/>
          <w:lang w:val="es-ES"/>
        </w:rPr>
        <w:t>D</w:t>
      </w:r>
      <w:r w:rsidR="007C4586" w:rsidRPr="00F12289">
        <w:rPr>
          <w:rFonts w:ascii="Arial" w:hAnsi="Arial" w:cs="Arial"/>
          <w:sz w:val="26"/>
          <w:szCs w:val="26"/>
          <w:u w:color="FFFFFF" w:themeColor="background1"/>
          <w:lang w:val="es-ES"/>
        </w:rPr>
        <w:t xml:space="preserve">irector de Investigaciones por ausencia del </w:t>
      </w:r>
      <w:r w:rsidR="00F34FB1" w:rsidRPr="00F12289">
        <w:rPr>
          <w:rFonts w:ascii="Arial" w:hAnsi="Arial" w:cs="Arial"/>
          <w:sz w:val="26"/>
          <w:szCs w:val="26"/>
          <w:u w:color="FFFFFF" w:themeColor="background1"/>
          <w:lang w:val="es-ES"/>
        </w:rPr>
        <w:t>D</w:t>
      </w:r>
      <w:r w:rsidR="007C4586" w:rsidRPr="00F12289">
        <w:rPr>
          <w:rFonts w:ascii="Arial" w:hAnsi="Arial" w:cs="Arial"/>
          <w:sz w:val="26"/>
          <w:szCs w:val="26"/>
          <w:u w:color="FFFFFF" w:themeColor="background1"/>
          <w:lang w:val="es-ES"/>
        </w:rPr>
        <w:t xml:space="preserve">irector de Control Procedimental de la Subprocuraduría Fiscal de Investigaciones, </w:t>
      </w:r>
      <w:r w:rsidR="00E86218" w:rsidRPr="00F12289">
        <w:rPr>
          <w:rFonts w:ascii="Arial" w:hAnsi="Arial" w:cs="Arial"/>
          <w:sz w:val="26"/>
          <w:szCs w:val="26"/>
          <w:u w:color="FFFFFF" w:themeColor="background1"/>
          <w:lang w:val="es-ES"/>
        </w:rPr>
        <w:t>haciéndola valer</w:t>
      </w:r>
      <w:r w:rsidR="007C4586" w:rsidRPr="00F12289">
        <w:rPr>
          <w:rFonts w:ascii="Arial" w:hAnsi="Arial" w:cs="Arial"/>
          <w:sz w:val="26"/>
          <w:szCs w:val="26"/>
          <w:u w:color="FFFFFF" w:themeColor="background1"/>
          <w:lang w:val="es-ES"/>
        </w:rPr>
        <w:t xml:space="preserve"> por la Secretaría de Hacienda y Crédito Público</w:t>
      </w:r>
      <w:r w:rsidRPr="00F12289">
        <w:rPr>
          <w:rFonts w:ascii="Arial" w:hAnsi="Arial" w:cs="Arial"/>
          <w:sz w:val="26"/>
          <w:szCs w:val="26"/>
        </w:rPr>
        <w:t xml:space="preserve">, </w:t>
      </w:r>
      <w:r w:rsidR="0087745D" w:rsidRPr="00F12289">
        <w:rPr>
          <w:rFonts w:ascii="Arial" w:hAnsi="Arial" w:cs="Arial"/>
          <w:sz w:val="26"/>
          <w:szCs w:val="26"/>
        </w:rPr>
        <w:t xml:space="preserve">ésta </w:t>
      </w:r>
      <w:r w:rsidRPr="00F12289">
        <w:rPr>
          <w:rFonts w:ascii="Arial" w:hAnsi="Arial" w:cs="Arial"/>
          <w:sz w:val="26"/>
          <w:szCs w:val="26"/>
        </w:rPr>
        <w:t xml:space="preserve">tiene legitimación para interponer dicho medio de impugnación, en virtud de que tuvo el carácter de </w:t>
      </w:r>
      <w:r w:rsidR="007C4586" w:rsidRPr="00F12289">
        <w:rPr>
          <w:rFonts w:ascii="Arial" w:hAnsi="Arial" w:cs="Arial"/>
          <w:sz w:val="26"/>
          <w:szCs w:val="26"/>
        </w:rPr>
        <w:t>tercera interesada</w:t>
      </w:r>
      <w:r w:rsidRPr="00F12289">
        <w:rPr>
          <w:rFonts w:ascii="Arial" w:hAnsi="Arial" w:cs="Arial"/>
          <w:sz w:val="26"/>
          <w:szCs w:val="26"/>
        </w:rPr>
        <w:t xml:space="preserve"> en el juicio de amparo de origen, además de que al haberle favorecido la sentencia tiene interés en que subsista dicha resolución.</w:t>
      </w:r>
    </w:p>
    <w:p w14:paraId="6CB3555C" w14:textId="77777777" w:rsidR="004F5A6A" w:rsidRPr="00F12289" w:rsidRDefault="004F5A6A" w:rsidP="00802E6A">
      <w:pPr>
        <w:spacing w:line="360" w:lineRule="auto"/>
        <w:rPr>
          <w:rFonts w:ascii="Arial" w:hAnsi="Arial" w:cs="Arial"/>
          <w:b/>
          <w:sz w:val="26"/>
          <w:szCs w:val="26"/>
        </w:rPr>
      </w:pPr>
    </w:p>
    <w:p w14:paraId="2DC45F45" w14:textId="77777777" w:rsidR="004F5A6A" w:rsidRPr="00F12289" w:rsidRDefault="009E475B" w:rsidP="00974774">
      <w:pPr>
        <w:pStyle w:val="Prrafodelista"/>
        <w:widowControl w:val="0"/>
        <w:numPr>
          <w:ilvl w:val="0"/>
          <w:numId w:val="1"/>
        </w:numPr>
        <w:spacing w:line="360" w:lineRule="auto"/>
        <w:ind w:left="0" w:hanging="567"/>
        <w:jc w:val="both"/>
        <w:rPr>
          <w:rFonts w:ascii="Arial" w:hAnsi="Arial" w:cs="Arial"/>
          <w:sz w:val="26"/>
          <w:szCs w:val="26"/>
          <w:lang w:val="es-MX" w:eastAsia="es-ES"/>
        </w:rPr>
      </w:pPr>
      <w:r w:rsidRPr="00F12289">
        <w:rPr>
          <w:rFonts w:ascii="Arial" w:hAnsi="Arial" w:cs="Arial"/>
          <w:b/>
          <w:sz w:val="26"/>
          <w:szCs w:val="26"/>
        </w:rPr>
        <w:t xml:space="preserve">TERCERO. </w:t>
      </w:r>
      <w:r w:rsidR="004F5A6A" w:rsidRPr="00F12289">
        <w:rPr>
          <w:rFonts w:ascii="Arial" w:hAnsi="Arial" w:cs="Arial"/>
          <w:b/>
          <w:sz w:val="26"/>
          <w:szCs w:val="26"/>
        </w:rPr>
        <w:t xml:space="preserve">Oportunidad. </w:t>
      </w:r>
      <w:r w:rsidR="004F5A6A" w:rsidRPr="00F12289">
        <w:rPr>
          <w:rFonts w:ascii="Arial" w:hAnsi="Arial" w:cs="Arial"/>
          <w:sz w:val="26"/>
          <w:szCs w:val="26"/>
        </w:rPr>
        <w:t>El recurso de revisión principal se presentó en el plazo de diez días que establece el artículo 86 de la Ley de Amparo.</w:t>
      </w:r>
    </w:p>
    <w:p w14:paraId="6187B208" w14:textId="77777777" w:rsidR="004F5A6A" w:rsidRPr="00F12289" w:rsidRDefault="004F5A6A" w:rsidP="004F5A6A">
      <w:pPr>
        <w:pStyle w:val="Prrafodelista"/>
        <w:spacing w:line="360" w:lineRule="auto"/>
        <w:rPr>
          <w:rFonts w:ascii="Arial Narrow" w:hAnsi="Arial Narrow" w:cs="Arial"/>
          <w:sz w:val="26"/>
          <w:szCs w:val="26"/>
          <w:lang w:eastAsia="es-ES"/>
        </w:rPr>
      </w:pPr>
    </w:p>
    <w:p w14:paraId="2DC5C030" w14:textId="1704B5C2" w:rsidR="004F5A6A" w:rsidRPr="00F12289" w:rsidRDefault="004F5A6A"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lastRenderedPageBreak/>
        <w:t xml:space="preserve">La sentencia recurrida de </w:t>
      </w:r>
      <w:r w:rsidR="00C93310" w:rsidRPr="00F12289">
        <w:rPr>
          <w:rFonts w:ascii="Arial" w:hAnsi="Arial" w:cs="Arial"/>
          <w:sz w:val="26"/>
          <w:szCs w:val="26"/>
        </w:rPr>
        <w:t>catorce de febrero de dos mil diecinueve</w:t>
      </w:r>
      <w:r w:rsidRPr="00F12289">
        <w:rPr>
          <w:rFonts w:ascii="Arial" w:hAnsi="Arial" w:cs="Arial"/>
          <w:sz w:val="26"/>
          <w:szCs w:val="26"/>
        </w:rPr>
        <w:t xml:space="preserve">, se notificó a la ahora recurrente por medio de lista el </w:t>
      </w:r>
      <w:r w:rsidR="00C93310" w:rsidRPr="00F12289">
        <w:rPr>
          <w:rFonts w:ascii="Arial" w:hAnsi="Arial" w:cs="Arial"/>
          <w:b/>
          <w:sz w:val="26"/>
          <w:szCs w:val="26"/>
          <w:lang w:val="es-MX" w:eastAsia="es-ES"/>
        </w:rPr>
        <w:t>veintiuno de febrero</w:t>
      </w:r>
      <w:r w:rsidRPr="00F12289">
        <w:rPr>
          <w:rFonts w:ascii="Arial" w:hAnsi="Arial" w:cs="Arial"/>
          <w:b/>
          <w:sz w:val="26"/>
          <w:szCs w:val="26"/>
          <w:lang w:val="es-MX" w:eastAsia="es-ES"/>
        </w:rPr>
        <w:t xml:space="preserve"> de dos mil diecinueve</w:t>
      </w:r>
      <w:r w:rsidRPr="00F12289">
        <w:rPr>
          <w:rFonts w:ascii="Arial" w:hAnsi="Arial" w:cs="Arial"/>
          <w:sz w:val="26"/>
          <w:szCs w:val="26"/>
        </w:rPr>
        <w:t xml:space="preserve"> por lo que el plazo legal para la interposición del recurso transcurrió del </w:t>
      </w:r>
      <w:r w:rsidR="00C93310" w:rsidRPr="00F12289">
        <w:rPr>
          <w:rFonts w:ascii="Arial" w:hAnsi="Arial" w:cs="Arial"/>
          <w:b/>
          <w:sz w:val="26"/>
          <w:szCs w:val="26"/>
        </w:rPr>
        <w:t>veinticinco de febrero al ocho de marzo</w:t>
      </w:r>
      <w:r w:rsidRPr="00F12289">
        <w:rPr>
          <w:rFonts w:ascii="Arial" w:hAnsi="Arial" w:cs="Arial"/>
          <w:b/>
          <w:sz w:val="26"/>
          <w:szCs w:val="26"/>
        </w:rPr>
        <w:t xml:space="preserve"> de dos mil diecinueve</w:t>
      </w:r>
      <w:r w:rsidRPr="00F12289">
        <w:rPr>
          <w:rFonts w:ascii="Arial" w:hAnsi="Arial" w:cs="Arial"/>
          <w:sz w:val="26"/>
          <w:szCs w:val="26"/>
        </w:rPr>
        <w:t xml:space="preserve"> sin contar los </w:t>
      </w:r>
      <w:r w:rsidRPr="00F12289">
        <w:rPr>
          <w:rFonts w:ascii="Arial" w:hAnsi="Arial" w:cs="Arial"/>
          <w:sz w:val="26"/>
          <w:szCs w:val="26"/>
          <w:lang w:val="es-MX"/>
        </w:rPr>
        <w:t xml:space="preserve">días </w:t>
      </w:r>
      <w:r w:rsidR="00C93310" w:rsidRPr="00F12289">
        <w:rPr>
          <w:rFonts w:ascii="Arial" w:hAnsi="Arial" w:cs="Arial"/>
          <w:sz w:val="26"/>
          <w:szCs w:val="26"/>
          <w:lang w:val="es-MX"/>
        </w:rPr>
        <w:t>veintitrés y veinticuatro de febrero y dos y tres de marzo</w:t>
      </w:r>
      <w:r w:rsidRPr="00F12289">
        <w:rPr>
          <w:rFonts w:ascii="Arial" w:hAnsi="Arial" w:cs="Arial"/>
          <w:sz w:val="26"/>
          <w:szCs w:val="26"/>
          <w:lang w:val="es-MX"/>
        </w:rPr>
        <w:t xml:space="preserve">, </w:t>
      </w:r>
      <w:r w:rsidRPr="00F12289">
        <w:rPr>
          <w:rFonts w:ascii="Arial" w:hAnsi="Arial" w:cs="Arial"/>
          <w:sz w:val="26"/>
          <w:szCs w:val="26"/>
        </w:rPr>
        <w:t>por ser inhábiles con fundamento en los artículos 19 de la Ley de Amparo, así como 3, 70 y 163 de la Ley Orgánica del Poder Judicial de la Federación.</w:t>
      </w:r>
    </w:p>
    <w:p w14:paraId="166ABEC4" w14:textId="77777777" w:rsidR="004F5A6A" w:rsidRPr="00F12289" w:rsidRDefault="004F5A6A" w:rsidP="004F5A6A">
      <w:pPr>
        <w:pStyle w:val="Prrafodelista"/>
        <w:spacing w:line="360" w:lineRule="auto"/>
        <w:rPr>
          <w:rFonts w:ascii="Arial" w:hAnsi="Arial" w:cs="Arial"/>
          <w:sz w:val="26"/>
          <w:szCs w:val="26"/>
        </w:rPr>
      </w:pPr>
    </w:p>
    <w:p w14:paraId="18252A11" w14:textId="5F4508DB" w:rsidR="004F5A6A" w:rsidRPr="00F12289" w:rsidRDefault="004F5A6A"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 xml:space="preserve">Si el escrito de expresión de agravios se presentó en la Oficialía de Correspondencia Común de los Tribunales Colegiados en Materia </w:t>
      </w:r>
      <w:r w:rsidR="00C93310" w:rsidRPr="00F12289">
        <w:rPr>
          <w:rFonts w:ascii="Arial" w:hAnsi="Arial" w:cs="Arial"/>
          <w:sz w:val="26"/>
          <w:szCs w:val="26"/>
        </w:rPr>
        <w:t>Penal</w:t>
      </w:r>
      <w:r w:rsidRPr="00F12289">
        <w:rPr>
          <w:rFonts w:ascii="Arial" w:hAnsi="Arial" w:cs="Arial"/>
          <w:sz w:val="26"/>
          <w:szCs w:val="26"/>
        </w:rPr>
        <w:t xml:space="preserve"> del Primer Circuito, el </w:t>
      </w:r>
      <w:r w:rsidR="00C93310" w:rsidRPr="00F12289">
        <w:rPr>
          <w:rFonts w:ascii="Arial" w:hAnsi="Arial" w:cs="Arial"/>
          <w:b/>
          <w:sz w:val="26"/>
          <w:szCs w:val="26"/>
          <w:lang w:val="es-MX" w:eastAsia="es-ES"/>
        </w:rPr>
        <w:t>ocho de marzo</w:t>
      </w:r>
      <w:r w:rsidRPr="00F12289">
        <w:rPr>
          <w:rFonts w:ascii="Arial" w:hAnsi="Arial" w:cs="Arial"/>
          <w:b/>
          <w:sz w:val="26"/>
          <w:szCs w:val="26"/>
          <w:lang w:val="es-MX" w:eastAsia="es-ES"/>
        </w:rPr>
        <w:t xml:space="preserve"> de dos mil diecinueve</w:t>
      </w:r>
      <w:r w:rsidRPr="00F12289">
        <w:rPr>
          <w:rFonts w:ascii="Arial" w:hAnsi="Arial" w:cs="Arial"/>
          <w:sz w:val="26"/>
          <w:szCs w:val="26"/>
        </w:rPr>
        <w:t>,</w:t>
      </w:r>
      <w:r w:rsidRPr="00F12289">
        <w:rPr>
          <w:rFonts w:ascii="Arial" w:hAnsi="Arial" w:cs="Arial"/>
          <w:b/>
          <w:sz w:val="26"/>
          <w:szCs w:val="26"/>
        </w:rPr>
        <w:t xml:space="preserve"> </w:t>
      </w:r>
      <w:r w:rsidRPr="00F12289">
        <w:rPr>
          <w:rFonts w:ascii="Arial" w:hAnsi="Arial" w:cs="Arial"/>
          <w:sz w:val="26"/>
          <w:szCs w:val="26"/>
        </w:rPr>
        <w:t xml:space="preserve">es claro que se presentó de forma </w:t>
      </w:r>
      <w:r w:rsidRPr="00F12289">
        <w:rPr>
          <w:rFonts w:ascii="Arial" w:hAnsi="Arial" w:cs="Arial"/>
          <w:b/>
          <w:sz w:val="26"/>
          <w:szCs w:val="26"/>
        </w:rPr>
        <w:t>oportuna</w:t>
      </w:r>
      <w:r w:rsidRPr="00F12289">
        <w:rPr>
          <w:rFonts w:ascii="Arial" w:hAnsi="Arial" w:cs="Arial"/>
          <w:sz w:val="26"/>
          <w:szCs w:val="26"/>
        </w:rPr>
        <w:t>.</w:t>
      </w:r>
    </w:p>
    <w:p w14:paraId="64CB7EE1" w14:textId="77777777" w:rsidR="004F5A6A" w:rsidRPr="00F12289" w:rsidRDefault="004F5A6A" w:rsidP="004F5A6A">
      <w:pPr>
        <w:pStyle w:val="Prrafodelista"/>
        <w:spacing w:line="360" w:lineRule="auto"/>
        <w:rPr>
          <w:rFonts w:ascii="Arial" w:hAnsi="Arial" w:cs="Arial"/>
          <w:sz w:val="26"/>
          <w:szCs w:val="26"/>
        </w:rPr>
      </w:pPr>
    </w:p>
    <w:p w14:paraId="6DCF5A1F" w14:textId="04706E50" w:rsidR="004F5A6A" w:rsidRPr="00F12289" w:rsidRDefault="004F5A6A"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 xml:space="preserve">Por su parte, </w:t>
      </w:r>
      <w:r w:rsidR="004A4927" w:rsidRPr="00F12289">
        <w:rPr>
          <w:rFonts w:ascii="Arial" w:hAnsi="Arial" w:cs="Arial"/>
          <w:sz w:val="26"/>
          <w:szCs w:val="26"/>
        </w:rPr>
        <w:t>la</w:t>
      </w:r>
      <w:r w:rsidRPr="00F12289">
        <w:rPr>
          <w:rFonts w:ascii="Arial" w:hAnsi="Arial" w:cs="Arial"/>
          <w:sz w:val="26"/>
          <w:szCs w:val="26"/>
        </w:rPr>
        <w:t xml:space="preserve"> re</w:t>
      </w:r>
      <w:r w:rsidR="00342F75" w:rsidRPr="00F12289">
        <w:rPr>
          <w:rFonts w:ascii="Arial" w:hAnsi="Arial" w:cs="Arial"/>
          <w:sz w:val="26"/>
          <w:szCs w:val="26"/>
        </w:rPr>
        <w:t>visión adhesiva se interpuso</w:t>
      </w:r>
      <w:r w:rsidRPr="00F12289">
        <w:rPr>
          <w:rFonts w:ascii="Arial" w:hAnsi="Arial" w:cs="Arial"/>
          <w:sz w:val="26"/>
          <w:szCs w:val="26"/>
        </w:rPr>
        <w:t xml:space="preserve"> de manera oportuna</w:t>
      </w:r>
      <w:r w:rsidR="00342F75" w:rsidRPr="00F12289">
        <w:rPr>
          <w:rFonts w:ascii="Arial" w:hAnsi="Arial" w:cs="Arial"/>
          <w:sz w:val="26"/>
          <w:szCs w:val="26"/>
        </w:rPr>
        <w:t>,</w:t>
      </w:r>
      <w:r w:rsidRPr="00F12289">
        <w:rPr>
          <w:rFonts w:ascii="Arial" w:hAnsi="Arial" w:cs="Arial"/>
          <w:sz w:val="26"/>
          <w:szCs w:val="26"/>
        </w:rPr>
        <w:t xml:space="preserve"> en el plazo de cinco días previsto en el artículo 82 de la Ley de Amparo. </w:t>
      </w:r>
    </w:p>
    <w:p w14:paraId="46C1560A" w14:textId="77777777" w:rsidR="004F5A6A" w:rsidRPr="00F12289" w:rsidRDefault="004F5A6A" w:rsidP="004F5A6A">
      <w:pPr>
        <w:pStyle w:val="Prrafodelista"/>
        <w:spacing w:line="360" w:lineRule="auto"/>
        <w:rPr>
          <w:rFonts w:ascii="Arial" w:hAnsi="Arial" w:cs="Arial"/>
          <w:sz w:val="26"/>
          <w:szCs w:val="26"/>
        </w:rPr>
      </w:pPr>
    </w:p>
    <w:p w14:paraId="020EA45D" w14:textId="3FF24B68" w:rsidR="004F5A6A" w:rsidRPr="00F12289" w:rsidRDefault="004F5A6A"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El auto por el que se admitió la revisión principal fue notificado a</w:t>
      </w:r>
      <w:r w:rsidR="00173D1D" w:rsidRPr="00F12289">
        <w:rPr>
          <w:rFonts w:ascii="Arial" w:hAnsi="Arial" w:cs="Arial"/>
          <w:sz w:val="26"/>
          <w:szCs w:val="26"/>
        </w:rPr>
        <w:t xml:space="preserve"> la</w:t>
      </w:r>
      <w:r w:rsidRPr="00F12289">
        <w:rPr>
          <w:rFonts w:ascii="Arial" w:hAnsi="Arial" w:cs="Arial"/>
          <w:sz w:val="26"/>
          <w:szCs w:val="26"/>
        </w:rPr>
        <w:t xml:space="preserve"> </w:t>
      </w:r>
      <w:r w:rsidR="00C93310" w:rsidRPr="00F12289">
        <w:rPr>
          <w:rFonts w:ascii="Arial" w:hAnsi="Arial" w:cs="Arial"/>
          <w:sz w:val="26"/>
          <w:szCs w:val="26"/>
          <w:u w:color="FFFFFF" w:themeColor="background1"/>
        </w:rPr>
        <w:t>Dirección de Control Procedimental de la Subprocuraduría Fiscal Federal de Investigaciones de la Procuraduría Fiscal de la Federación de la Secretaría de Hacienda y Crédito Público</w:t>
      </w:r>
      <w:r w:rsidRPr="00F12289">
        <w:rPr>
          <w:rFonts w:ascii="Arial" w:hAnsi="Arial" w:cs="Arial"/>
          <w:sz w:val="26"/>
          <w:szCs w:val="26"/>
        </w:rPr>
        <w:t>,</w:t>
      </w:r>
      <w:r w:rsidR="00C93310" w:rsidRPr="00F12289">
        <w:rPr>
          <w:rFonts w:ascii="Arial" w:hAnsi="Arial" w:cs="Arial"/>
          <w:sz w:val="26"/>
          <w:szCs w:val="26"/>
        </w:rPr>
        <w:t xml:space="preserve"> por oficio</w:t>
      </w:r>
      <w:r w:rsidR="00342F75" w:rsidRPr="00F12289">
        <w:rPr>
          <w:rFonts w:ascii="Arial" w:hAnsi="Arial" w:cs="Arial"/>
          <w:sz w:val="26"/>
          <w:szCs w:val="26"/>
        </w:rPr>
        <w:t>,</w:t>
      </w:r>
      <w:r w:rsidRPr="00F12289">
        <w:rPr>
          <w:rFonts w:ascii="Arial" w:hAnsi="Arial" w:cs="Arial"/>
          <w:sz w:val="26"/>
          <w:szCs w:val="26"/>
        </w:rPr>
        <w:t xml:space="preserve"> el </w:t>
      </w:r>
      <w:r w:rsidR="00C93310" w:rsidRPr="00F12289">
        <w:rPr>
          <w:rFonts w:ascii="Arial" w:hAnsi="Arial" w:cs="Arial"/>
          <w:sz w:val="26"/>
          <w:szCs w:val="26"/>
        </w:rPr>
        <w:t>veintiocho de noviembre</w:t>
      </w:r>
      <w:r w:rsidRPr="00F12289">
        <w:rPr>
          <w:rFonts w:ascii="Arial" w:hAnsi="Arial" w:cs="Arial"/>
          <w:sz w:val="26"/>
          <w:szCs w:val="26"/>
        </w:rPr>
        <w:t xml:space="preserve"> de dos mil diecinueve.</w:t>
      </w:r>
    </w:p>
    <w:p w14:paraId="06C43863" w14:textId="77777777" w:rsidR="004F5A6A" w:rsidRPr="00F12289" w:rsidRDefault="004F5A6A" w:rsidP="004F5A6A">
      <w:pPr>
        <w:pStyle w:val="Prrafodelista"/>
        <w:widowControl w:val="0"/>
        <w:spacing w:line="360" w:lineRule="auto"/>
        <w:ind w:left="0"/>
        <w:jc w:val="both"/>
        <w:rPr>
          <w:rFonts w:ascii="Arial" w:hAnsi="Arial" w:cs="Arial"/>
          <w:sz w:val="26"/>
          <w:szCs w:val="26"/>
        </w:rPr>
      </w:pPr>
    </w:p>
    <w:p w14:paraId="5CE65956" w14:textId="45873DF3" w:rsidR="00BF5BBD" w:rsidRPr="00F12289" w:rsidRDefault="004F5A6A" w:rsidP="00974774">
      <w:pPr>
        <w:pStyle w:val="Prrafodelista"/>
        <w:widowControl w:val="0"/>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 xml:space="preserve">El plazo para interponer </w:t>
      </w:r>
      <w:r w:rsidR="004A4927" w:rsidRPr="00F12289">
        <w:rPr>
          <w:rFonts w:ascii="Arial" w:hAnsi="Arial" w:cs="Arial"/>
          <w:sz w:val="26"/>
          <w:szCs w:val="26"/>
        </w:rPr>
        <w:t>la revisión adhesiva</w:t>
      </w:r>
      <w:r w:rsidRPr="00F12289">
        <w:rPr>
          <w:rFonts w:ascii="Arial" w:hAnsi="Arial" w:cs="Arial"/>
          <w:sz w:val="26"/>
          <w:szCs w:val="26"/>
        </w:rPr>
        <w:t xml:space="preserve"> transcurrió del </w:t>
      </w:r>
      <w:r w:rsidR="00C93310" w:rsidRPr="00F12289">
        <w:rPr>
          <w:rFonts w:ascii="Arial" w:hAnsi="Arial" w:cs="Arial"/>
          <w:b/>
          <w:sz w:val="26"/>
          <w:szCs w:val="26"/>
        </w:rPr>
        <w:t>veintinueve de noviembre al cinco de diciembre</w:t>
      </w:r>
      <w:r w:rsidRPr="00F12289">
        <w:rPr>
          <w:rFonts w:ascii="Arial" w:hAnsi="Arial" w:cs="Arial"/>
          <w:b/>
          <w:sz w:val="26"/>
          <w:szCs w:val="26"/>
        </w:rPr>
        <w:t xml:space="preserve"> de dos mil diecinueve</w:t>
      </w:r>
      <w:r w:rsidRPr="00F12289">
        <w:rPr>
          <w:rFonts w:ascii="Arial" w:hAnsi="Arial" w:cs="Arial"/>
          <w:sz w:val="26"/>
          <w:szCs w:val="26"/>
        </w:rPr>
        <w:t xml:space="preserve">; descontando por ser inhábiles los días </w:t>
      </w:r>
      <w:r w:rsidR="00173D1D" w:rsidRPr="00F12289">
        <w:rPr>
          <w:rFonts w:ascii="Arial" w:hAnsi="Arial" w:cs="Arial"/>
          <w:sz w:val="26"/>
          <w:szCs w:val="26"/>
        </w:rPr>
        <w:t>treinta de noviembre y uno de diciembre de</w:t>
      </w:r>
      <w:r w:rsidRPr="00F12289">
        <w:rPr>
          <w:rFonts w:ascii="Arial" w:hAnsi="Arial" w:cs="Arial"/>
          <w:sz w:val="26"/>
          <w:szCs w:val="26"/>
        </w:rPr>
        <w:t xml:space="preserve"> dos mil diecinueve, por lo </w:t>
      </w:r>
      <w:proofErr w:type="gramStart"/>
      <w:r w:rsidRPr="00F12289">
        <w:rPr>
          <w:rFonts w:ascii="Arial" w:hAnsi="Arial" w:cs="Arial"/>
          <w:sz w:val="26"/>
          <w:szCs w:val="26"/>
        </w:rPr>
        <w:t>que</w:t>
      </w:r>
      <w:proofErr w:type="gramEnd"/>
      <w:r w:rsidRPr="00F12289">
        <w:rPr>
          <w:rFonts w:ascii="Arial" w:hAnsi="Arial" w:cs="Arial"/>
          <w:sz w:val="26"/>
          <w:szCs w:val="26"/>
        </w:rPr>
        <w:t xml:space="preserve"> si el escrito de revisión adhesiva fue presentado el </w:t>
      </w:r>
      <w:r w:rsidR="00173D1D" w:rsidRPr="00F12289">
        <w:rPr>
          <w:rFonts w:ascii="Arial" w:hAnsi="Arial" w:cs="Arial"/>
          <w:b/>
          <w:sz w:val="26"/>
          <w:szCs w:val="26"/>
        </w:rPr>
        <w:t>cinco</w:t>
      </w:r>
      <w:r w:rsidRPr="00F12289">
        <w:rPr>
          <w:rFonts w:ascii="Arial" w:hAnsi="Arial" w:cs="Arial"/>
          <w:sz w:val="26"/>
          <w:szCs w:val="26"/>
        </w:rPr>
        <w:t xml:space="preserve"> </w:t>
      </w:r>
      <w:r w:rsidR="00173D1D" w:rsidRPr="00F12289">
        <w:rPr>
          <w:rFonts w:ascii="Arial" w:hAnsi="Arial" w:cs="Arial"/>
          <w:sz w:val="26"/>
          <w:szCs w:val="26"/>
        </w:rPr>
        <w:t>de diciembre del año antes indicado</w:t>
      </w:r>
      <w:r w:rsidRPr="00F12289">
        <w:rPr>
          <w:rFonts w:ascii="Arial" w:hAnsi="Arial" w:cs="Arial"/>
          <w:sz w:val="26"/>
          <w:szCs w:val="26"/>
        </w:rPr>
        <w:t xml:space="preserve"> en la Oficina de Certificación Judicial y Correspondencia de esta Suprema Corte de Justicia de la Nación, </w:t>
      </w:r>
      <w:r w:rsidRPr="00F12289">
        <w:rPr>
          <w:rFonts w:ascii="Arial" w:hAnsi="Arial" w:cs="Arial"/>
          <w:sz w:val="26"/>
          <w:szCs w:val="26"/>
        </w:rPr>
        <w:lastRenderedPageBreak/>
        <w:t xml:space="preserve">se concluye que se hizo de manera </w:t>
      </w:r>
      <w:r w:rsidRPr="00F12289">
        <w:rPr>
          <w:rFonts w:ascii="Arial" w:hAnsi="Arial" w:cs="Arial"/>
          <w:b/>
          <w:sz w:val="26"/>
          <w:szCs w:val="26"/>
        </w:rPr>
        <w:t>oportuna</w:t>
      </w:r>
      <w:r w:rsidRPr="00F12289">
        <w:rPr>
          <w:rFonts w:ascii="Arial" w:hAnsi="Arial" w:cs="Arial"/>
          <w:sz w:val="26"/>
          <w:szCs w:val="26"/>
        </w:rPr>
        <w:t xml:space="preserve">. </w:t>
      </w:r>
    </w:p>
    <w:p w14:paraId="55FFD5A5" w14:textId="77777777" w:rsidR="009962DD" w:rsidRPr="00F12289" w:rsidRDefault="009962DD" w:rsidP="00802E6A">
      <w:pPr>
        <w:pStyle w:val="Prrafodelista"/>
        <w:widowControl w:val="0"/>
        <w:tabs>
          <w:tab w:val="left" w:pos="5103"/>
        </w:tabs>
        <w:spacing w:line="360" w:lineRule="auto"/>
        <w:ind w:left="0"/>
        <w:jc w:val="both"/>
        <w:rPr>
          <w:color w:val="000000"/>
          <w:sz w:val="26"/>
          <w:szCs w:val="26"/>
        </w:rPr>
      </w:pPr>
    </w:p>
    <w:p w14:paraId="0E39EF6D" w14:textId="77777777" w:rsidR="00C52DB9" w:rsidRPr="00F12289" w:rsidRDefault="009A50AF" w:rsidP="00C52DB9">
      <w:pPr>
        <w:pStyle w:val="Prrafodelista"/>
        <w:widowControl w:val="0"/>
        <w:numPr>
          <w:ilvl w:val="0"/>
          <w:numId w:val="1"/>
        </w:numPr>
        <w:suppressAutoHyphens/>
        <w:spacing w:line="360" w:lineRule="auto"/>
        <w:ind w:left="0" w:hanging="567"/>
        <w:jc w:val="both"/>
        <w:rPr>
          <w:rFonts w:ascii="Arial" w:hAnsi="Arial" w:cs="Arial"/>
          <w:b/>
          <w:sz w:val="26"/>
          <w:szCs w:val="26"/>
        </w:rPr>
      </w:pPr>
      <w:r w:rsidRPr="00F12289">
        <w:rPr>
          <w:rFonts w:ascii="Arial" w:hAnsi="Arial" w:cs="Arial"/>
          <w:b/>
          <w:sz w:val="26"/>
          <w:szCs w:val="26"/>
        </w:rPr>
        <w:t>CUARTO. Antecedentes</w:t>
      </w:r>
      <w:r w:rsidRPr="00F12289">
        <w:rPr>
          <w:rFonts w:ascii="Arial" w:hAnsi="Arial" w:cs="Arial"/>
          <w:sz w:val="26"/>
          <w:szCs w:val="26"/>
        </w:rPr>
        <w:t xml:space="preserve">. </w:t>
      </w:r>
      <w:r w:rsidR="004111F1" w:rsidRPr="00F12289">
        <w:rPr>
          <w:rFonts w:ascii="Arial" w:hAnsi="Arial" w:cs="Arial"/>
          <w:sz w:val="26"/>
          <w:szCs w:val="26"/>
        </w:rPr>
        <w:t>Para una mejor comprensión del asunto</w:t>
      </w:r>
      <w:r w:rsidR="004111F1" w:rsidRPr="00F12289">
        <w:rPr>
          <w:rFonts w:ascii="Arial" w:hAnsi="Arial"/>
          <w:color w:val="000000"/>
          <w:sz w:val="26"/>
          <w:szCs w:val="26"/>
        </w:rPr>
        <w:t xml:space="preserve">, se realizará una narrativa de los antecedentes que le dieron </w:t>
      </w:r>
      <w:r w:rsidR="00342F75" w:rsidRPr="00F12289">
        <w:rPr>
          <w:rFonts w:ascii="Arial" w:hAnsi="Arial"/>
          <w:color w:val="000000"/>
          <w:sz w:val="26"/>
          <w:szCs w:val="26"/>
        </w:rPr>
        <w:t xml:space="preserve">origen, señalando </w:t>
      </w:r>
      <w:r w:rsidR="004111F1" w:rsidRPr="00F12289">
        <w:rPr>
          <w:rFonts w:ascii="Arial" w:hAnsi="Arial"/>
          <w:color w:val="000000"/>
          <w:sz w:val="26"/>
          <w:szCs w:val="26"/>
        </w:rPr>
        <w:t xml:space="preserve">la síntesis de los conceptos de violación </w:t>
      </w:r>
      <w:r w:rsidR="00342F75" w:rsidRPr="00F12289">
        <w:rPr>
          <w:rFonts w:ascii="Arial" w:hAnsi="Arial"/>
          <w:color w:val="000000"/>
          <w:sz w:val="26"/>
          <w:szCs w:val="26"/>
        </w:rPr>
        <w:t>de</w:t>
      </w:r>
      <w:r w:rsidR="004111F1" w:rsidRPr="00F12289">
        <w:rPr>
          <w:rFonts w:ascii="Arial" w:hAnsi="Arial"/>
          <w:color w:val="000000"/>
          <w:sz w:val="26"/>
          <w:szCs w:val="26"/>
        </w:rPr>
        <w:t xml:space="preserve"> la demanda de amparo, las consideraciones del </w:t>
      </w:r>
      <w:r w:rsidR="00342F75" w:rsidRPr="00F12289">
        <w:rPr>
          <w:rFonts w:ascii="Arial" w:hAnsi="Arial"/>
          <w:color w:val="000000"/>
          <w:sz w:val="26"/>
          <w:szCs w:val="26"/>
        </w:rPr>
        <w:t>tribunal colegiado del conocimiento</w:t>
      </w:r>
      <w:r w:rsidR="004111F1" w:rsidRPr="00F12289">
        <w:rPr>
          <w:rFonts w:ascii="Arial" w:hAnsi="Arial"/>
          <w:color w:val="000000"/>
          <w:sz w:val="26"/>
          <w:szCs w:val="26"/>
        </w:rPr>
        <w:t xml:space="preserve"> y los agravios de los recurrentes </w:t>
      </w:r>
      <w:r w:rsidR="00342F75" w:rsidRPr="00F12289">
        <w:rPr>
          <w:rFonts w:ascii="Arial" w:hAnsi="Arial"/>
          <w:color w:val="000000"/>
          <w:sz w:val="26"/>
          <w:szCs w:val="26"/>
        </w:rPr>
        <w:t xml:space="preserve">principales y adhesivo, </w:t>
      </w:r>
      <w:r w:rsidR="004111F1" w:rsidRPr="00F12289">
        <w:rPr>
          <w:rFonts w:ascii="Arial" w:hAnsi="Arial"/>
          <w:color w:val="000000"/>
          <w:sz w:val="26"/>
          <w:szCs w:val="26"/>
        </w:rPr>
        <w:t>vertidos en su</w:t>
      </w:r>
      <w:r w:rsidR="00342F75" w:rsidRPr="00F12289">
        <w:rPr>
          <w:rFonts w:ascii="Arial" w:hAnsi="Arial"/>
          <w:color w:val="000000"/>
          <w:sz w:val="26"/>
          <w:szCs w:val="26"/>
        </w:rPr>
        <w:t>s respectivos</w:t>
      </w:r>
      <w:r w:rsidR="004111F1" w:rsidRPr="00F12289">
        <w:rPr>
          <w:rFonts w:ascii="Arial" w:hAnsi="Arial"/>
          <w:color w:val="000000"/>
          <w:sz w:val="26"/>
          <w:szCs w:val="26"/>
        </w:rPr>
        <w:t xml:space="preserve"> escrito</w:t>
      </w:r>
      <w:r w:rsidR="00342F75" w:rsidRPr="00F12289">
        <w:rPr>
          <w:rFonts w:ascii="Arial" w:hAnsi="Arial"/>
          <w:color w:val="000000"/>
          <w:sz w:val="26"/>
          <w:szCs w:val="26"/>
        </w:rPr>
        <w:t>s</w:t>
      </w:r>
      <w:r w:rsidR="004111F1" w:rsidRPr="00F12289">
        <w:rPr>
          <w:rFonts w:ascii="Arial" w:hAnsi="Arial"/>
          <w:color w:val="000000"/>
          <w:sz w:val="26"/>
          <w:szCs w:val="26"/>
        </w:rPr>
        <w:t xml:space="preserve"> de revisión.</w:t>
      </w:r>
    </w:p>
    <w:p w14:paraId="082EDC11" w14:textId="77777777" w:rsidR="00C52DB9" w:rsidRPr="00F12289" w:rsidRDefault="00C52DB9" w:rsidP="00C52DB9">
      <w:pPr>
        <w:pStyle w:val="Prrafodelista"/>
        <w:rPr>
          <w:rFonts w:cs="Arial"/>
          <w:sz w:val="26"/>
          <w:szCs w:val="26"/>
        </w:rPr>
      </w:pPr>
    </w:p>
    <w:p w14:paraId="5FAB334A" w14:textId="52E81292" w:rsidR="00C52DB9" w:rsidRPr="00F12289" w:rsidRDefault="00732AD0" w:rsidP="00A57A8D">
      <w:pPr>
        <w:pStyle w:val="Prrafodelista"/>
        <w:widowControl w:val="0"/>
        <w:numPr>
          <w:ilvl w:val="0"/>
          <w:numId w:val="1"/>
        </w:numPr>
        <w:suppressAutoHyphens/>
        <w:spacing w:line="360" w:lineRule="auto"/>
        <w:ind w:left="0" w:hanging="567"/>
        <w:jc w:val="both"/>
        <w:rPr>
          <w:rFonts w:ascii="Arial" w:hAnsi="Arial" w:cs="Arial"/>
          <w:b/>
          <w:sz w:val="26"/>
          <w:szCs w:val="26"/>
        </w:rPr>
      </w:pPr>
      <w:r w:rsidRPr="00F12289">
        <w:rPr>
          <w:rFonts w:ascii="Arial" w:hAnsi="Arial" w:cs="Arial"/>
          <w:b/>
          <w:sz w:val="26"/>
          <w:szCs w:val="26"/>
        </w:rPr>
        <w:t>Causa Penal.</w:t>
      </w:r>
      <w:r w:rsidRPr="00F12289">
        <w:rPr>
          <w:rFonts w:ascii="Arial" w:hAnsi="Arial" w:cs="Arial"/>
          <w:color w:val="FF0000"/>
          <w:sz w:val="26"/>
          <w:szCs w:val="26"/>
        </w:rPr>
        <w:t xml:space="preserve"> </w:t>
      </w:r>
      <w:r w:rsidR="00C52DB9" w:rsidRPr="00F12289">
        <w:rPr>
          <w:rFonts w:ascii="Arial" w:hAnsi="Arial" w:cs="Arial"/>
          <w:color w:val="FF0000"/>
          <w:sz w:val="26"/>
          <w:szCs w:val="26"/>
        </w:rPr>
        <w:t>Néstor Felipe Estrada García</w:t>
      </w:r>
      <w:r w:rsidR="00C52DB9" w:rsidRPr="00F12289">
        <w:rPr>
          <w:rFonts w:ascii="Arial" w:hAnsi="Arial" w:cs="Arial"/>
          <w:b/>
          <w:sz w:val="26"/>
          <w:szCs w:val="26"/>
        </w:rPr>
        <w:t xml:space="preserve"> </w:t>
      </w:r>
      <w:r w:rsidR="00C52DB9" w:rsidRPr="00F12289">
        <w:rPr>
          <w:rFonts w:ascii="Arial" w:hAnsi="Arial" w:cs="Arial"/>
          <w:sz w:val="26"/>
          <w:szCs w:val="26"/>
        </w:rPr>
        <w:t>fue procesado por el Juez Primero de Distrito de Procesos Penales F</w:t>
      </w:r>
      <w:r w:rsidR="001A308A" w:rsidRPr="00F12289">
        <w:rPr>
          <w:rFonts w:ascii="Arial" w:hAnsi="Arial" w:cs="Arial"/>
          <w:sz w:val="26"/>
          <w:szCs w:val="26"/>
        </w:rPr>
        <w:t>ederales en la Ciudad de México</w:t>
      </w:r>
      <w:r w:rsidR="00C52DB9" w:rsidRPr="00F12289">
        <w:rPr>
          <w:rFonts w:ascii="Arial" w:hAnsi="Arial" w:cs="Arial"/>
          <w:sz w:val="26"/>
          <w:szCs w:val="26"/>
        </w:rPr>
        <w:t xml:space="preserve"> dentro de la causa penal </w:t>
      </w:r>
      <w:r w:rsidR="00B071E0">
        <w:rPr>
          <w:rFonts w:ascii="Arial" w:hAnsi="Arial" w:cs="Arial"/>
          <w:color w:val="FF0000"/>
          <w:sz w:val="26"/>
          <w:szCs w:val="26"/>
        </w:rPr>
        <w:t>**********</w:t>
      </w:r>
      <w:r w:rsidR="00C52DB9" w:rsidRPr="00F12289">
        <w:rPr>
          <w:rFonts w:ascii="Arial" w:hAnsi="Arial" w:cs="Arial"/>
          <w:sz w:val="26"/>
          <w:szCs w:val="26"/>
        </w:rPr>
        <w:t>, seguida en su contra por el delito de defraudación fiscal, previsto en el artículo 109, fracción V y sancionado en el numeral 108, fracción I, ambos del Código Fiscal de la Federación.</w:t>
      </w:r>
    </w:p>
    <w:p w14:paraId="118F4EBC" w14:textId="77777777" w:rsidR="00C52DB9" w:rsidRPr="00F12289" w:rsidRDefault="00C52DB9" w:rsidP="00A57A8D">
      <w:pPr>
        <w:pStyle w:val="Prrafodelista"/>
        <w:spacing w:line="360" w:lineRule="auto"/>
        <w:rPr>
          <w:rFonts w:ascii="Arial" w:hAnsi="Arial" w:cs="Arial"/>
          <w:sz w:val="26"/>
          <w:szCs w:val="26"/>
        </w:rPr>
      </w:pPr>
    </w:p>
    <w:p w14:paraId="15173A95" w14:textId="77777777" w:rsidR="00C52DB9" w:rsidRPr="00F12289" w:rsidRDefault="00C52DB9" w:rsidP="00A57A8D">
      <w:pPr>
        <w:pStyle w:val="Prrafodelista"/>
        <w:widowControl w:val="0"/>
        <w:numPr>
          <w:ilvl w:val="0"/>
          <w:numId w:val="1"/>
        </w:numPr>
        <w:suppressAutoHyphens/>
        <w:spacing w:line="360" w:lineRule="auto"/>
        <w:ind w:left="0" w:hanging="567"/>
        <w:jc w:val="both"/>
        <w:rPr>
          <w:rFonts w:ascii="Arial" w:hAnsi="Arial" w:cs="Arial"/>
          <w:b/>
          <w:sz w:val="26"/>
          <w:szCs w:val="26"/>
        </w:rPr>
      </w:pPr>
      <w:r w:rsidRPr="00F12289">
        <w:rPr>
          <w:rFonts w:ascii="Arial" w:hAnsi="Arial" w:cs="Arial"/>
          <w:sz w:val="26"/>
          <w:szCs w:val="26"/>
        </w:rPr>
        <w:t xml:space="preserve">Posteriormente, el veintinueve de septiembre de dos mil dieciséis el juez de la causa dictó sentencia, en la que consideró que </w:t>
      </w:r>
      <w:r w:rsidRPr="00F12289">
        <w:rPr>
          <w:rFonts w:ascii="Arial" w:hAnsi="Arial" w:cs="Arial"/>
          <w:color w:val="FF0000"/>
          <w:sz w:val="26"/>
          <w:szCs w:val="26"/>
        </w:rPr>
        <w:t>Néstor Felipe Estrada García</w:t>
      </w:r>
      <w:r w:rsidRPr="00F12289">
        <w:rPr>
          <w:rFonts w:ascii="Arial" w:hAnsi="Arial" w:cs="Arial"/>
          <w:color w:val="0070C0"/>
          <w:sz w:val="26"/>
          <w:szCs w:val="26"/>
        </w:rPr>
        <w:t xml:space="preserve"> </w:t>
      </w:r>
      <w:r w:rsidRPr="00F12289">
        <w:rPr>
          <w:rFonts w:ascii="Arial" w:hAnsi="Arial" w:cs="Arial"/>
          <w:sz w:val="26"/>
          <w:szCs w:val="26"/>
        </w:rPr>
        <w:t>era penalmente responsable de la comisión del delito de defraudación fiscal equiparada agravada, previsto en el artículo 109, fracción V y sancionado por el numeral 108, fracción I, en relación el diverso 97, del Código Fiscal de la Federación, por lo que fue condenado a una pena de tres años y tres meses de prisión, a la reparación del daño, la suspensión de sus derechos políticos y civiles, a una amonestación y le negó los sustitutivos de prisión y el beneficio de la condena condicional.</w:t>
      </w:r>
    </w:p>
    <w:p w14:paraId="2BF9A1F0" w14:textId="77777777" w:rsidR="00C52DB9" w:rsidRPr="00F12289" w:rsidRDefault="00C52DB9" w:rsidP="00A57A8D">
      <w:pPr>
        <w:pStyle w:val="Prrafodelista"/>
        <w:widowControl w:val="0"/>
        <w:suppressAutoHyphens/>
        <w:spacing w:line="360" w:lineRule="auto"/>
        <w:ind w:left="0"/>
        <w:jc w:val="both"/>
        <w:rPr>
          <w:rFonts w:ascii="Arial" w:hAnsi="Arial" w:cs="Arial"/>
          <w:b/>
          <w:sz w:val="26"/>
          <w:szCs w:val="26"/>
        </w:rPr>
      </w:pPr>
    </w:p>
    <w:p w14:paraId="434D1BDC" w14:textId="26751825" w:rsidR="00DA1CD0" w:rsidRPr="00F12289" w:rsidRDefault="00C52DB9" w:rsidP="00A57A8D">
      <w:pPr>
        <w:pStyle w:val="Prrafodelista"/>
        <w:widowControl w:val="0"/>
        <w:numPr>
          <w:ilvl w:val="0"/>
          <w:numId w:val="1"/>
        </w:numPr>
        <w:suppressAutoHyphens/>
        <w:spacing w:line="360" w:lineRule="auto"/>
        <w:ind w:left="0" w:hanging="567"/>
        <w:jc w:val="both"/>
        <w:rPr>
          <w:rFonts w:ascii="Arial" w:hAnsi="Arial" w:cs="Arial"/>
          <w:b/>
          <w:sz w:val="26"/>
          <w:szCs w:val="26"/>
        </w:rPr>
      </w:pPr>
      <w:r w:rsidRPr="00F12289">
        <w:rPr>
          <w:rFonts w:ascii="Arial" w:hAnsi="Arial" w:cs="Arial"/>
          <w:b/>
          <w:sz w:val="26"/>
          <w:szCs w:val="26"/>
        </w:rPr>
        <w:t>Apelación</w:t>
      </w:r>
      <w:r w:rsidR="00467450" w:rsidRPr="00F12289">
        <w:rPr>
          <w:rFonts w:ascii="Arial" w:hAnsi="Arial" w:cs="Arial"/>
          <w:b/>
          <w:sz w:val="26"/>
          <w:szCs w:val="26"/>
        </w:rPr>
        <w:t>.</w:t>
      </w:r>
      <w:r w:rsidR="00AC1013" w:rsidRPr="00F12289">
        <w:rPr>
          <w:rFonts w:ascii="Arial" w:hAnsi="Arial" w:cs="Arial"/>
          <w:b/>
          <w:sz w:val="26"/>
          <w:szCs w:val="26"/>
        </w:rPr>
        <w:t xml:space="preserve"> </w:t>
      </w:r>
      <w:r w:rsidR="006D5D2D" w:rsidRPr="00F12289">
        <w:rPr>
          <w:rFonts w:ascii="Arial" w:hAnsi="Arial" w:cs="Arial"/>
          <w:sz w:val="26"/>
          <w:szCs w:val="26"/>
        </w:rPr>
        <w:t>Inconforme con la anterior resolución, el Agente del Ministerio Públic</w:t>
      </w:r>
      <w:r w:rsidR="006D5D2D" w:rsidRPr="00F12289">
        <w:rPr>
          <w:rFonts w:ascii="Arial" w:hAnsi="Arial" w:cs="Arial"/>
          <w:color w:val="000000" w:themeColor="text1"/>
          <w:sz w:val="26"/>
          <w:szCs w:val="26"/>
        </w:rPr>
        <w:t xml:space="preserve">o adscrito al juzgado de origen, el defensor particular del sentenciado </w:t>
      </w:r>
      <w:r w:rsidR="006D5D2D" w:rsidRPr="00F12289">
        <w:rPr>
          <w:rFonts w:ascii="Arial" w:hAnsi="Arial" w:cs="Arial"/>
          <w:color w:val="FF0000"/>
          <w:sz w:val="26"/>
          <w:szCs w:val="26"/>
        </w:rPr>
        <w:t>Néstor Felipe Estrada García</w:t>
      </w:r>
      <w:r w:rsidR="006D5D2D" w:rsidRPr="00F12289">
        <w:rPr>
          <w:rFonts w:ascii="Arial" w:hAnsi="Arial" w:cs="Arial"/>
          <w:color w:val="000000" w:themeColor="text1"/>
          <w:sz w:val="26"/>
          <w:szCs w:val="26"/>
        </w:rPr>
        <w:t xml:space="preserve"> y el representante de la Secretaría de Hacienda y Crédito Público, en su calidad de ofendida y coadyuvante de la </w:t>
      </w:r>
      <w:r w:rsidR="006D5D2D" w:rsidRPr="00F12289">
        <w:rPr>
          <w:rFonts w:ascii="Arial" w:hAnsi="Arial" w:cs="Arial"/>
          <w:color w:val="000000" w:themeColor="text1"/>
          <w:sz w:val="26"/>
          <w:szCs w:val="26"/>
        </w:rPr>
        <w:lastRenderedPageBreak/>
        <w:t>representación social, interpusieron</w:t>
      </w:r>
      <w:r w:rsidR="006D5D2D" w:rsidRPr="00F12289">
        <w:rPr>
          <w:rFonts w:ascii="Arial" w:hAnsi="Arial" w:cs="Arial"/>
          <w:sz w:val="26"/>
          <w:szCs w:val="26"/>
        </w:rPr>
        <w:t xml:space="preserve"> recurso de apelación, que fue tramitado por el Primer Tribunal Unitario en Materia Penal del Primer Circuito, con el número de toca </w:t>
      </w:r>
      <w:r w:rsidR="00B071E0">
        <w:rPr>
          <w:rFonts w:ascii="Arial" w:hAnsi="Arial" w:cs="Arial"/>
          <w:color w:val="FF0000"/>
          <w:sz w:val="26"/>
          <w:szCs w:val="26"/>
        </w:rPr>
        <w:t>**********</w:t>
      </w:r>
      <w:r w:rsidR="00426D17" w:rsidRPr="00F12289">
        <w:rPr>
          <w:rFonts w:ascii="Arial" w:hAnsi="Arial" w:cs="Arial"/>
          <w:bCs/>
          <w:sz w:val="26"/>
          <w:szCs w:val="26"/>
          <w:lang w:val="es-ES"/>
        </w:rPr>
        <w:t xml:space="preserve">, aduciendo </w:t>
      </w:r>
      <w:r w:rsidR="00C65345" w:rsidRPr="00F12289">
        <w:rPr>
          <w:rFonts w:ascii="Arial" w:hAnsi="Arial" w:cs="Arial"/>
          <w:bCs/>
          <w:sz w:val="26"/>
          <w:szCs w:val="26"/>
          <w:lang w:val="es-ES"/>
        </w:rPr>
        <w:t xml:space="preserve">en síntesis </w:t>
      </w:r>
      <w:r w:rsidR="00426D17" w:rsidRPr="00F12289">
        <w:rPr>
          <w:rFonts w:ascii="Arial" w:hAnsi="Arial" w:cs="Arial"/>
          <w:bCs/>
          <w:sz w:val="26"/>
          <w:szCs w:val="26"/>
          <w:lang w:val="es-ES"/>
        </w:rPr>
        <w:t>lo</w:t>
      </w:r>
      <w:r w:rsidR="006D5D2D" w:rsidRPr="00F12289">
        <w:rPr>
          <w:rFonts w:ascii="Arial" w:hAnsi="Arial" w:cs="Arial"/>
          <w:bCs/>
          <w:sz w:val="26"/>
          <w:szCs w:val="26"/>
          <w:lang w:val="es-ES"/>
        </w:rPr>
        <w:t>s</w:t>
      </w:r>
      <w:r w:rsidR="00426D17" w:rsidRPr="00F12289">
        <w:rPr>
          <w:rFonts w:ascii="Arial" w:hAnsi="Arial" w:cs="Arial"/>
          <w:bCs/>
          <w:sz w:val="26"/>
          <w:szCs w:val="26"/>
          <w:lang w:val="es-ES"/>
        </w:rPr>
        <w:t xml:space="preserve"> siguiente</w:t>
      </w:r>
      <w:r w:rsidR="006D5D2D" w:rsidRPr="00F12289">
        <w:rPr>
          <w:rFonts w:ascii="Arial" w:hAnsi="Arial" w:cs="Arial"/>
          <w:bCs/>
          <w:sz w:val="26"/>
          <w:szCs w:val="26"/>
          <w:lang w:val="es-ES"/>
        </w:rPr>
        <w:t>s agravios</w:t>
      </w:r>
      <w:r w:rsidR="00426D17" w:rsidRPr="00F12289">
        <w:rPr>
          <w:rFonts w:ascii="Arial" w:hAnsi="Arial" w:cs="Arial"/>
          <w:bCs/>
          <w:sz w:val="26"/>
          <w:szCs w:val="26"/>
          <w:lang w:val="es-ES"/>
        </w:rPr>
        <w:t xml:space="preserve">: </w:t>
      </w:r>
    </w:p>
    <w:p w14:paraId="410425DB" w14:textId="77777777" w:rsidR="00426D17" w:rsidRPr="00426D17" w:rsidRDefault="00426D17" w:rsidP="00802E6A">
      <w:pPr>
        <w:pStyle w:val="Prrafodelista"/>
        <w:spacing w:line="360" w:lineRule="auto"/>
        <w:rPr>
          <w:rFonts w:ascii="Arial" w:hAnsi="Arial" w:cs="Arial"/>
          <w:sz w:val="26"/>
          <w:szCs w:val="26"/>
        </w:rPr>
      </w:pPr>
    </w:p>
    <w:p w14:paraId="7E093573" w14:textId="7268EF14" w:rsidR="00DD3BD8" w:rsidRPr="00F12289" w:rsidRDefault="006D5D2D" w:rsidP="006D5D2D">
      <w:pPr>
        <w:pStyle w:val="Prrafodelista"/>
        <w:widowControl w:val="0"/>
        <w:numPr>
          <w:ilvl w:val="1"/>
          <w:numId w:val="1"/>
        </w:numPr>
        <w:suppressAutoHyphens/>
        <w:spacing w:after="120" w:line="276" w:lineRule="auto"/>
        <w:ind w:left="851" w:hanging="851"/>
        <w:jc w:val="both"/>
        <w:rPr>
          <w:rFonts w:ascii="Arial" w:hAnsi="Arial" w:cs="Arial"/>
          <w:color w:val="FF0000"/>
          <w:sz w:val="24"/>
          <w:szCs w:val="24"/>
        </w:rPr>
      </w:pPr>
      <w:r w:rsidRPr="00F12289">
        <w:rPr>
          <w:rFonts w:ascii="Arial" w:hAnsi="Arial" w:cs="Arial"/>
          <w:b/>
          <w:bCs/>
          <w:sz w:val="24"/>
          <w:szCs w:val="24"/>
          <w:lang w:val="es-ES"/>
        </w:rPr>
        <w:t>[i]. Las partes apelantes:</w:t>
      </w:r>
      <w:r w:rsidRPr="00F12289">
        <w:rPr>
          <w:rFonts w:ascii="Arial" w:hAnsi="Arial" w:cs="Arial"/>
          <w:bCs/>
          <w:sz w:val="24"/>
          <w:szCs w:val="24"/>
          <w:lang w:val="es-ES"/>
        </w:rPr>
        <w:t xml:space="preserve"> </w:t>
      </w:r>
      <w:r w:rsidRPr="00F12289">
        <w:rPr>
          <w:rFonts w:ascii="Arial" w:hAnsi="Arial" w:cs="Arial"/>
          <w:b/>
          <w:bCs/>
          <w:sz w:val="24"/>
          <w:szCs w:val="24"/>
          <w:lang w:val="es-ES"/>
        </w:rPr>
        <w:t>a)</w:t>
      </w:r>
      <w:r w:rsidRPr="00F12289">
        <w:rPr>
          <w:rFonts w:ascii="Arial" w:hAnsi="Arial" w:cs="Arial"/>
          <w:bCs/>
          <w:sz w:val="24"/>
          <w:szCs w:val="24"/>
          <w:lang w:val="es-ES"/>
        </w:rPr>
        <w:t xml:space="preserve"> representación social de la Federación y, </w:t>
      </w:r>
      <w:r w:rsidRPr="00F12289">
        <w:rPr>
          <w:rFonts w:ascii="Arial" w:hAnsi="Arial" w:cs="Arial"/>
          <w:b/>
          <w:bCs/>
          <w:sz w:val="24"/>
          <w:szCs w:val="24"/>
          <w:lang w:val="es-ES"/>
        </w:rPr>
        <w:t>b)</w:t>
      </w:r>
      <w:r w:rsidRPr="00F12289">
        <w:rPr>
          <w:rFonts w:ascii="Arial" w:hAnsi="Arial" w:cs="Arial"/>
          <w:bCs/>
          <w:sz w:val="24"/>
          <w:szCs w:val="24"/>
          <w:lang w:val="es-ES"/>
        </w:rPr>
        <w:t xml:space="preserve"> Secretaría de Hacienda y Crédito Público, esta última como ofendida y coadyuvante de la primera, sostuvieron que el juez de la causa incurrió en falta de aplicación de los artículos 30 del Código Penal Federal, 17-A y 21, estos del Código Fiscal de la Federación, porque aun cuando fincó condena al pago de la reparación del daño, no tomó en consideración las actualizaciones y recargos que fueron calculados conforme a la nota número </w:t>
      </w:r>
      <w:r w:rsidR="00B071E0">
        <w:rPr>
          <w:rFonts w:ascii="Arial" w:hAnsi="Arial" w:cs="Arial"/>
          <w:bCs/>
          <w:color w:val="FF0000"/>
          <w:sz w:val="24"/>
          <w:szCs w:val="24"/>
          <w:lang w:val="es-ES"/>
        </w:rPr>
        <w:t>**********</w:t>
      </w:r>
      <w:r w:rsidRPr="00F12289">
        <w:rPr>
          <w:rFonts w:ascii="Arial" w:hAnsi="Arial" w:cs="Arial"/>
          <w:bCs/>
          <w:color w:val="FF0000"/>
          <w:sz w:val="24"/>
          <w:szCs w:val="24"/>
          <w:lang w:val="es-ES"/>
        </w:rPr>
        <w:t xml:space="preserve"> </w:t>
      </w:r>
      <w:r w:rsidRPr="00F12289">
        <w:rPr>
          <w:rFonts w:ascii="Arial" w:hAnsi="Arial" w:cs="Arial"/>
          <w:bCs/>
          <w:sz w:val="24"/>
          <w:szCs w:val="24"/>
          <w:lang w:val="es-ES"/>
        </w:rPr>
        <w:t xml:space="preserve">de </w:t>
      </w:r>
      <w:r w:rsidR="001A308A" w:rsidRPr="00F12289">
        <w:rPr>
          <w:rFonts w:ascii="Arial" w:hAnsi="Arial" w:cs="Arial"/>
          <w:bCs/>
          <w:sz w:val="24"/>
          <w:szCs w:val="24"/>
          <w:lang w:val="es-ES"/>
        </w:rPr>
        <w:t xml:space="preserve">veintiocho de junio de dos mil </w:t>
      </w:r>
      <w:r w:rsidR="00B071E0" w:rsidRPr="00F12289">
        <w:rPr>
          <w:rFonts w:ascii="Arial" w:hAnsi="Arial" w:cs="Arial"/>
          <w:bCs/>
          <w:sz w:val="24"/>
          <w:szCs w:val="24"/>
          <w:lang w:val="es-ES"/>
        </w:rPr>
        <w:t>dieciséis</w:t>
      </w:r>
      <w:r w:rsidRPr="00F12289">
        <w:rPr>
          <w:rFonts w:ascii="Arial" w:hAnsi="Arial" w:cs="Arial"/>
          <w:bCs/>
          <w:sz w:val="24"/>
          <w:szCs w:val="24"/>
          <w:lang w:val="es-ES"/>
        </w:rPr>
        <w:t xml:space="preserve">, signada por el experto </w:t>
      </w:r>
      <w:r w:rsidR="00B071E0">
        <w:rPr>
          <w:rFonts w:ascii="Arial" w:hAnsi="Arial" w:cs="Arial"/>
          <w:bCs/>
          <w:color w:val="FF0000"/>
          <w:sz w:val="24"/>
          <w:szCs w:val="24"/>
          <w:lang w:val="es-ES"/>
        </w:rPr>
        <w:t>**********</w:t>
      </w:r>
      <w:r w:rsidRPr="00F12289">
        <w:rPr>
          <w:rFonts w:ascii="Arial" w:hAnsi="Arial" w:cs="Arial"/>
          <w:bCs/>
          <w:color w:val="FF0000"/>
          <w:sz w:val="24"/>
          <w:szCs w:val="24"/>
          <w:lang w:val="es-ES"/>
        </w:rPr>
        <w:t xml:space="preserve">, </w:t>
      </w:r>
      <w:r w:rsidRPr="00F12289">
        <w:rPr>
          <w:rFonts w:ascii="Arial" w:hAnsi="Arial" w:cs="Arial"/>
          <w:bCs/>
          <w:sz w:val="24"/>
          <w:szCs w:val="24"/>
          <w:lang w:val="es-ES"/>
        </w:rPr>
        <w:t>misma que fue ofrecida, admitida y desahogada como documental pública, y que posteriormente el juez de Distrito desestimó aduciendo que la misma debió desahogarse conforme a las normas que regulan la prueba pericial, de tal suerte que con todo ello se dejó de cumplir con la determinación de una condena integral respecto de la reparación del daño.</w:t>
      </w:r>
      <w:r w:rsidR="00AF34B5" w:rsidRPr="00F12289">
        <w:rPr>
          <w:rFonts w:ascii="Arial" w:hAnsi="Arial" w:cs="Arial"/>
          <w:bCs/>
          <w:color w:val="000000" w:themeColor="text1"/>
          <w:sz w:val="24"/>
          <w:szCs w:val="24"/>
          <w:lang w:val="es-ES"/>
        </w:rPr>
        <w:t>.</w:t>
      </w:r>
    </w:p>
    <w:p w14:paraId="64AE8828" w14:textId="156D91DC" w:rsidR="003522EE" w:rsidRPr="00F12289" w:rsidRDefault="003522EE" w:rsidP="003522EE">
      <w:pPr>
        <w:pStyle w:val="Prrafodelista"/>
        <w:widowControl w:val="0"/>
        <w:numPr>
          <w:ilvl w:val="1"/>
          <w:numId w:val="1"/>
        </w:numPr>
        <w:suppressAutoHyphens/>
        <w:spacing w:after="120" w:line="276" w:lineRule="auto"/>
        <w:ind w:left="851" w:hanging="851"/>
        <w:jc w:val="both"/>
        <w:rPr>
          <w:rFonts w:ascii="Arial" w:hAnsi="Arial" w:cs="Arial"/>
          <w:bCs/>
          <w:sz w:val="24"/>
          <w:szCs w:val="24"/>
          <w:lang w:val="es-MX"/>
        </w:rPr>
      </w:pPr>
      <w:r w:rsidRPr="00F12289">
        <w:rPr>
          <w:rFonts w:ascii="Arial" w:hAnsi="Arial" w:cs="Arial"/>
          <w:bCs/>
          <w:color w:val="000000" w:themeColor="text1"/>
          <w:sz w:val="24"/>
          <w:szCs w:val="24"/>
          <w:lang w:val="es-MX"/>
        </w:rPr>
        <w:t>[</w:t>
      </w:r>
      <w:proofErr w:type="spellStart"/>
      <w:r w:rsidRPr="00F12289">
        <w:rPr>
          <w:rFonts w:ascii="Arial" w:hAnsi="Arial" w:cs="Arial"/>
          <w:b/>
          <w:bCs/>
          <w:color w:val="000000" w:themeColor="text1"/>
          <w:sz w:val="24"/>
          <w:szCs w:val="24"/>
          <w:lang w:val="es-MX"/>
        </w:rPr>
        <w:t>ii</w:t>
      </w:r>
      <w:proofErr w:type="spellEnd"/>
      <w:r w:rsidRPr="00F12289">
        <w:rPr>
          <w:rFonts w:ascii="Arial" w:hAnsi="Arial" w:cs="Arial"/>
          <w:bCs/>
          <w:color w:val="000000" w:themeColor="text1"/>
          <w:sz w:val="24"/>
          <w:szCs w:val="24"/>
          <w:lang w:val="es-MX"/>
        </w:rPr>
        <w:t xml:space="preserve">]. </w:t>
      </w:r>
      <w:r w:rsidRPr="00F12289">
        <w:rPr>
          <w:rFonts w:ascii="Arial" w:hAnsi="Arial" w:cs="Arial"/>
          <w:b/>
          <w:bCs/>
          <w:color w:val="000000" w:themeColor="text1"/>
          <w:sz w:val="24"/>
          <w:szCs w:val="24"/>
          <w:lang w:val="es-MX"/>
        </w:rPr>
        <w:t>Por su parte, la defensa del procesado sostuvo</w:t>
      </w:r>
      <w:r w:rsidRPr="00F12289">
        <w:rPr>
          <w:rFonts w:ascii="Arial" w:hAnsi="Arial" w:cs="Arial"/>
          <w:bCs/>
          <w:color w:val="000000" w:themeColor="text1"/>
          <w:sz w:val="24"/>
          <w:szCs w:val="24"/>
          <w:lang w:val="es-MX"/>
        </w:rPr>
        <w:t xml:space="preserve">, que las pruebas aportadas por la representación social de la Federación fueron obtenidas </w:t>
      </w:r>
      <w:r w:rsidRPr="00F12289">
        <w:rPr>
          <w:rFonts w:ascii="Arial" w:hAnsi="Arial" w:cs="Arial"/>
          <w:bCs/>
          <w:sz w:val="24"/>
          <w:szCs w:val="24"/>
          <w:lang w:val="es-MX"/>
        </w:rPr>
        <w:t>ilícitamente.</w:t>
      </w:r>
    </w:p>
    <w:p w14:paraId="71AC7773" w14:textId="3EAF409E" w:rsidR="003522EE" w:rsidRPr="00F12289" w:rsidRDefault="003522EE" w:rsidP="003522EE">
      <w:pPr>
        <w:pStyle w:val="Prrafodelista"/>
        <w:widowControl w:val="0"/>
        <w:numPr>
          <w:ilvl w:val="1"/>
          <w:numId w:val="1"/>
        </w:numPr>
        <w:suppressAutoHyphens/>
        <w:spacing w:after="120" w:line="276" w:lineRule="auto"/>
        <w:ind w:left="851" w:hanging="851"/>
        <w:jc w:val="both"/>
        <w:rPr>
          <w:rFonts w:ascii="Arial" w:hAnsi="Arial" w:cs="Arial"/>
          <w:bCs/>
          <w:sz w:val="24"/>
          <w:szCs w:val="24"/>
          <w:lang w:val="es-MX"/>
        </w:rPr>
      </w:pPr>
      <w:r w:rsidRPr="00F12289">
        <w:rPr>
          <w:rFonts w:ascii="Arial" w:hAnsi="Arial" w:cs="Arial"/>
          <w:bCs/>
          <w:sz w:val="24"/>
          <w:szCs w:val="24"/>
          <w:lang w:val="es-MX"/>
        </w:rPr>
        <w:t>Que es inconstitucional el artículo 59 del</w:t>
      </w:r>
      <w:r w:rsidR="001A308A" w:rsidRPr="00F12289">
        <w:rPr>
          <w:rFonts w:ascii="Arial" w:hAnsi="Arial" w:cs="Arial"/>
          <w:bCs/>
          <w:sz w:val="24"/>
          <w:szCs w:val="24"/>
          <w:lang w:val="es-MX"/>
        </w:rPr>
        <w:t xml:space="preserve"> Código Fiscal de la Federación</w:t>
      </w:r>
      <w:r w:rsidRPr="00F12289">
        <w:rPr>
          <w:rFonts w:ascii="Arial" w:hAnsi="Arial" w:cs="Arial"/>
          <w:bCs/>
          <w:sz w:val="24"/>
          <w:szCs w:val="24"/>
          <w:lang w:val="es-MX"/>
        </w:rPr>
        <w:t xml:space="preserve"> porque el referido texto legal establece </w:t>
      </w:r>
      <w:r w:rsidRPr="00F12289">
        <w:rPr>
          <w:rFonts w:ascii="Arial" w:hAnsi="Arial" w:cs="Arial"/>
          <w:bCs/>
          <w:iCs/>
          <w:sz w:val="24"/>
          <w:szCs w:val="24"/>
          <w:lang w:val="es-MX"/>
        </w:rPr>
        <w:t xml:space="preserve">"las autoridades fiscales presumirán, salvo prueba en contrario", </w:t>
      </w:r>
      <w:r w:rsidRPr="00F12289">
        <w:rPr>
          <w:rFonts w:ascii="Arial" w:hAnsi="Arial" w:cs="Arial"/>
          <w:bCs/>
          <w:sz w:val="24"/>
          <w:szCs w:val="24"/>
          <w:lang w:val="es-MX"/>
        </w:rPr>
        <w:t>de manera que no se trata de una presunción legal (obra del legislador), ni de una presunción judicial (obra del juez), entonces ¿de qué presunción se trata?</w:t>
      </w:r>
    </w:p>
    <w:p w14:paraId="4E2DE644" w14:textId="39B6CDD0" w:rsidR="00D8632F" w:rsidRPr="00F12289" w:rsidRDefault="003522EE" w:rsidP="004A3642">
      <w:pPr>
        <w:pStyle w:val="Prrafodelista"/>
        <w:widowControl w:val="0"/>
        <w:numPr>
          <w:ilvl w:val="1"/>
          <w:numId w:val="1"/>
        </w:numPr>
        <w:suppressAutoHyphens/>
        <w:spacing w:after="120" w:line="276" w:lineRule="auto"/>
        <w:ind w:left="851" w:hanging="851"/>
        <w:jc w:val="both"/>
        <w:rPr>
          <w:rFonts w:ascii="Arial" w:hAnsi="Arial" w:cs="Arial"/>
          <w:bCs/>
          <w:color w:val="000000" w:themeColor="text1"/>
          <w:sz w:val="24"/>
          <w:szCs w:val="24"/>
          <w:lang w:val="es-MX"/>
        </w:rPr>
      </w:pPr>
      <w:r w:rsidRPr="00F12289">
        <w:rPr>
          <w:rFonts w:ascii="Arial" w:hAnsi="Arial" w:cs="Arial"/>
          <w:bCs/>
          <w:color w:val="000000" w:themeColor="text1"/>
          <w:sz w:val="24"/>
          <w:szCs w:val="24"/>
          <w:lang w:val="es-MX"/>
        </w:rPr>
        <w:t>Que no debió estimarse acreditada la agravante prevista por el artículo 97 del Código Fis</w:t>
      </w:r>
      <w:r w:rsidR="001A308A" w:rsidRPr="00F12289">
        <w:rPr>
          <w:rFonts w:ascii="Arial" w:hAnsi="Arial" w:cs="Arial"/>
          <w:bCs/>
          <w:color w:val="000000" w:themeColor="text1"/>
          <w:sz w:val="24"/>
          <w:szCs w:val="24"/>
          <w:lang w:val="es-MX"/>
        </w:rPr>
        <w:t>cal de la Federación</w:t>
      </w:r>
      <w:r w:rsidRPr="00F12289">
        <w:rPr>
          <w:rFonts w:ascii="Arial" w:hAnsi="Arial" w:cs="Arial"/>
          <w:bCs/>
          <w:color w:val="000000" w:themeColor="text1"/>
          <w:sz w:val="24"/>
          <w:szCs w:val="24"/>
          <w:lang w:val="es-MX"/>
        </w:rPr>
        <w:t xml:space="preserve"> debido a que en el diverso juicio de amparo directo </w:t>
      </w:r>
      <w:r w:rsidR="00B071E0">
        <w:rPr>
          <w:rFonts w:ascii="Arial" w:hAnsi="Arial" w:cs="Arial"/>
          <w:bCs/>
          <w:color w:val="FF0000"/>
          <w:sz w:val="24"/>
          <w:szCs w:val="24"/>
          <w:lang w:val="es-MX"/>
        </w:rPr>
        <w:t>**********</w:t>
      </w:r>
      <w:r w:rsidRPr="00F12289">
        <w:rPr>
          <w:rFonts w:ascii="Arial" w:hAnsi="Arial" w:cs="Arial"/>
          <w:bCs/>
          <w:color w:val="FF0000"/>
          <w:sz w:val="24"/>
          <w:szCs w:val="24"/>
          <w:lang w:val="es-MX"/>
        </w:rPr>
        <w:t xml:space="preserve"> </w:t>
      </w:r>
      <w:r w:rsidRPr="00F12289">
        <w:rPr>
          <w:rFonts w:ascii="Arial" w:hAnsi="Arial" w:cs="Arial"/>
          <w:bCs/>
          <w:color w:val="000000" w:themeColor="text1"/>
          <w:sz w:val="24"/>
          <w:szCs w:val="24"/>
          <w:lang w:val="es-MX"/>
        </w:rPr>
        <w:t>que en su momento promovió el sentenciado en contra de la también sentencia definiti</w:t>
      </w:r>
      <w:r w:rsidR="001A308A" w:rsidRPr="00F12289">
        <w:rPr>
          <w:rFonts w:ascii="Arial" w:hAnsi="Arial" w:cs="Arial"/>
          <w:bCs/>
          <w:color w:val="000000" w:themeColor="text1"/>
          <w:sz w:val="24"/>
          <w:szCs w:val="24"/>
          <w:lang w:val="es-MX"/>
        </w:rPr>
        <w:t>va condenatoria dictada por el T</w:t>
      </w:r>
      <w:r w:rsidRPr="00F12289">
        <w:rPr>
          <w:rFonts w:ascii="Arial" w:hAnsi="Arial" w:cs="Arial"/>
          <w:bCs/>
          <w:color w:val="000000" w:themeColor="text1"/>
          <w:sz w:val="24"/>
          <w:szCs w:val="24"/>
          <w:lang w:val="es-MX"/>
        </w:rPr>
        <w:t xml:space="preserve">ribunal Unitario de conocimiento el cinco de marzo del año dos mil quince, dentro del toca penal </w:t>
      </w:r>
      <w:r w:rsidR="00B071E0">
        <w:rPr>
          <w:rFonts w:ascii="Arial" w:hAnsi="Arial" w:cs="Arial"/>
          <w:bCs/>
          <w:color w:val="FF0000"/>
          <w:sz w:val="24"/>
          <w:szCs w:val="24"/>
          <w:lang w:val="es-MX"/>
        </w:rPr>
        <w:t>**********</w:t>
      </w:r>
      <w:r w:rsidRPr="00F12289">
        <w:rPr>
          <w:rFonts w:ascii="Arial" w:hAnsi="Arial" w:cs="Arial"/>
          <w:bCs/>
          <w:color w:val="000000" w:themeColor="text1"/>
          <w:sz w:val="24"/>
          <w:szCs w:val="24"/>
          <w:lang w:val="es-MX"/>
        </w:rPr>
        <w:t xml:space="preserve">, se determinó que no bastaba con que objetivamente se tuviera la calidad de servidor público, sino también que la conducta que se hubiese </w:t>
      </w:r>
      <w:r w:rsidR="001A308A" w:rsidRPr="00F12289">
        <w:rPr>
          <w:rFonts w:ascii="Arial" w:hAnsi="Arial" w:cs="Arial"/>
          <w:bCs/>
          <w:color w:val="000000" w:themeColor="text1"/>
          <w:sz w:val="24"/>
          <w:szCs w:val="24"/>
          <w:lang w:val="es-MX"/>
        </w:rPr>
        <w:t>desplegado</w:t>
      </w:r>
      <w:r w:rsidRPr="00F12289">
        <w:rPr>
          <w:rFonts w:ascii="Arial" w:hAnsi="Arial" w:cs="Arial"/>
          <w:bCs/>
          <w:color w:val="000000" w:themeColor="text1"/>
          <w:sz w:val="24"/>
          <w:szCs w:val="24"/>
          <w:lang w:val="es-MX"/>
        </w:rPr>
        <w:t xml:space="preserve"> estuviera teleológicamente vinculada con la función, de tal suerte que ese criterio debió imperar como reflejo de la cosa juzgada.</w:t>
      </w:r>
    </w:p>
    <w:p w14:paraId="23C7CB53" w14:textId="77777777" w:rsidR="004A3642" w:rsidRPr="004A3642" w:rsidRDefault="004A3642" w:rsidP="004A3642">
      <w:pPr>
        <w:pStyle w:val="Prrafodelista"/>
        <w:widowControl w:val="0"/>
        <w:suppressAutoHyphens/>
        <w:spacing w:after="120" w:line="276" w:lineRule="auto"/>
        <w:ind w:left="851"/>
        <w:jc w:val="both"/>
        <w:rPr>
          <w:rFonts w:ascii="Arial" w:hAnsi="Arial" w:cs="Arial"/>
          <w:bCs/>
          <w:color w:val="000000" w:themeColor="text1"/>
          <w:sz w:val="24"/>
          <w:szCs w:val="24"/>
          <w:lang w:val="es-MX"/>
        </w:rPr>
      </w:pPr>
    </w:p>
    <w:p w14:paraId="6C897395" w14:textId="66F80B4A" w:rsidR="003050F3" w:rsidRPr="00F12289" w:rsidRDefault="000173C7" w:rsidP="00735B16">
      <w:pPr>
        <w:pStyle w:val="Prrafodelista"/>
        <w:widowControl w:val="0"/>
        <w:numPr>
          <w:ilvl w:val="0"/>
          <w:numId w:val="1"/>
        </w:numPr>
        <w:suppressAutoHyphens/>
        <w:spacing w:line="360" w:lineRule="auto"/>
        <w:ind w:left="0" w:hanging="567"/>
        <w:contextualSpacing/>
        <w:jc w:val="both"/>
        <w:rPr>
          <w:rFonts w:ascii="Arial" w:hAnsi="Arial" w:cs="Arial"/>
          <w:sz w:val="26"/>
          <w:szCs w:val="26"/>
          <w:lang w:val="es-MX"/>
        </w:rPr>
      </w:pPr>
      <w:r w:rsidRPr="00F12289">
        <w:rPr>
          <w:rFonts w:ascii="Arial" w:hAnsi="Arial" w:cs="Arial"/>
          <w:sz w:val="26"/>
          <w:szCs w:val="26"/>
        </w:rPr>
        <w:lastRenderedPageBreak/>
        <w:t xml:space="preserve">Seguida la secuela procesal, el </w:t>
      </w:r>
      <w:r w:rsidR="004A3642" w:rsidRPr="00F12289">
        <w:rPr>
          <w:rFonts w:ascii="Arial" w:hAnsi="Arial" w:cs="Arial"/>
          <w:sz w:val="26"/>
          <w:szCs w:val="26"/>
        </w:rPr>
        <w:t>dieciséis de marzo de dos mil dieciséis</w:t>
      </w:r>
      <w:r w:rsidRPr="00F12289">
        <w:rPr>
          <w:rFonts w:ascii="Arial" w:hAnsi="Arial" w:cs="Arial"/>
          <w:sz w:val="26"/>
          <w:szCs w:val="26"/>
        </w:rPr>
        <w:t xml:space="preserve">, </w:t>
      </w:r>
      <w:r w:rsidR="004A3642" w:rsidRPr="00F12289">
        <w:rPr>
          <w:rFonts w:ascii="Arial" w:hAnsi="Arial" w:cs="Arial"/>
          <w:sz w:val="26"/>
          <w:szCs w:val="26"/>
        </w:rPr>
        <w:t>el Primer</w:t>
      </w:r>
      <w:r w:rsidR="001A308A" w:rsidRPr="00F12289">
        <w:rPr>
          <w:rFonts w:ascii="Arial" w:hAnsi="Arial" w:cs="Arial"/>
          <w:sz w:val="26"/>
          <w:szCs w:val="26"/>
        </w:rPr>
        <w:t xml:space="preserve"> Tribunal</w:t>
      </w:r>
      <w:r w:rsidR="004A3642" w:rsidRPr="00F12289">
        <w:rPr>
          <w:rFonts w:ascii="Arial" w:hAnsi="Arial" w:cs="Arial"/>
          <w:sz w:val="26"/>
          <w:szCs w:val="26"/>
        </w:rPr>
        <w:t xml:space="preserve"> Unitario en Materia Penal del Primer Circuito, emitió sentencia</w:t>
      </w:r>
      <w:r w:rsidR="00B80F95" w:rsidRPr="00F12289">
        <w:rPr>
          <w:rFonts w:ascii="Arial" w:hAnsi="Arial" w:cs="Arial"/>
          <w:sz w:val="26"/>
          <w:szCs w:val="26"/>
        </w:rPr>
        <w:t xml:space="preserve"> en</w:t>
      </w:r>
      <w:r w:rsidR="004A3642" w:rsidRPr="00F12289">
        <w:rPr>
          <w:rFonts w:ascii="Arial" w:hAnsi="Arial" w:cs="Arial"/>
          <w:sz w:val="26"/>
          <w:szCs w:val="26"/>
        </w:rPr>
        <w:t xml:space="preserve"> la que</w:t>
      </w:r>
      <w:r w:rsidR="009D19C1" w:rsidRPr="00F12289">
        <w:rPr>
          <w:rFonts w:ascii="Arial" w:hAnsi="Arial" w:cs="Arial"/>
          <w:iCs/>
          <w:sz w:val="26"/>
          <w:szCs w:val="26"/>
          <w:lang w:val="es-MX"/>
        </w:rPr>
        <w:t>: a) modificó  la</w:t>
      </w:r>
      <w:r w:rsidR="001A308A" w:rsidRPr="00F12289">
        <w:rPr>
          <w:rFonts w:ascii="Arial" w:hAnsi="Arial" w:cs="Arial"/>
          <w:iCs/>
          <w:sz w:val="26"/>
          <w:szCs w:val="26"/>
          <w:lang w:val="es-MX"/>
        </w:rPr>
        <w:t xml:space="preserve"> sentencia de primera instancia; </w:t>
      </w:r>
      <w:r w:rsidR="009D19C1" w:rsidRPr="00F12289">
        <w:rPr>
          <w:rFonts w:ascii="Arial" w:hAnsi="Arial" w:cs="Arial"/>
          <w:iCs/>
          <w:sz w:val="26"/>
          <w:szCs w:val="26"/>
          <w:lang w:val="es-MX"/>
        </w:rPr>
        <w:t>b) consideró al peticionario penalmente responsable de la comisión del delito de defraudación fiscal equiparable; c) le fijó como grado de culpabilidad el mínimo del rango de punibilidad y le impuso tres meses de prisión y ordenó su inmediata libertad; d) lo condenó a la reparación del daño; e) le negó cualquier sustitutivo o beneficio; f) ordenó se restituyeran sus</w:t>
      </w:r>
      <w:r w:rsidR="001A308A" w:rsidRPr="00F12289">
        <w:rPr>
          <w:rFonts w:ascii="Arial" w:hAnsi="Arial" w:cs="Arial"/>
          <w:iCs/>
          <w:sz w:val="26"/>
          <w:szCs w:val="26"/>
          <w:lang w:val="es-MX"/>
        </w:rPr>
        <w:t xml:space="preserve"> derechos políticos y civiles y; </w:t>
      </w:r>
      <w:r w:rsidR="009D19C1" w:rsidRPr="00F12289">
        <w:rPr>
          <w:rFonts w:ascii="Arial" w:hAnsi="Arial" w:cs="Arial"/>
          <w:iCs/>
          <w:sz w:val="26"/>
          <w:szCs w:val="26"/>
          <w:lang w:val="es-MX"/>
        </w:rPr>
        <w:t>g) lo amonestó a fin de prevenir su reincidencia.</w:t>
      </w:r>
    </w:p>
    <w:p w14:paraId="541E2637" w14:textId="77777777" w:rsidR="00735B16" w:rsidRPr="00F12289" w:rsidRDefault="00735B16" w:rsidP="00735B16">
      <w:pPr>
        <w:pStyle w:val="Prrafodelista"/>
        <w:widowControl w:val="0"/>
        <w:suppressAutoHyphens/>
        <w:spacing w:line="360" w:lineRule="auto"/>
        <w:ind w:left="0"/>
        <w:contextualSpacing/>
        <w:jc w:val="both"/>
        <w:rPr>
          <w:rFonts w:ascii="Arial" w:hAnsi="Arial" w:cs="Arial"/>
          <w:sz w:val="26"/>
          <w:szCs w:val="26"/>
          <w:lang w:val="es-MX"/>
        </w:rPr>
      </w:pPr>
    </w:p>
    <w:p w14:paraId="6D71A2E9" w14:textId="54D614F6" w:rsidR="003F009B" w:rsidRPr="00F12289" w:rsidRDefault="001E5A23" w:rsidP="003F009B">
      <w:pPr>
        <w:pStyle w:val="Prrafodelista"/>
        <w:widowControl w:val="0"/>
        <w:numPr>
          <w:ilvl w:val="0"/>
          <w:numId w:val="1"/>
        </w:numPr>
        <w:suppressAutoHyphens/>
        <w:spacing w:line="360" w:lineRule="auto"/>
        <w:ind w:left="0" w:hanging="567"/>
        <w:contextualSpacing/>
        <w:jc w:val="both"/>
        <w:rPr>
          <w:rFonts w:ascii="Arial" w:hAnsi="Arial" w:cs="Arial"/>
          <w:b/>
          <w:sz w:val="26"/>
          <w:szCs w:val="26"/>
        </w:rPr>
      </w:pPr>
      <w:r w:rsidRPr="00F12289">
        <w:rPr>
          <w:rFonts w:ascii="Arial" w:hAnsi="Arial" w:cs="Arial"/>
          <w:b/>
          <w:sz w:val="26"/>
          <w:szCs w:val="26"/>
        </w:rPr>
        <w:t xml:space="preserve">Demanda de amparo. </w:t>
      </w:r>
      <w:r w:rsidR="00F65009" w:rsidRPr="00F12289">
        <w:rPr>
          <w:rFonts w:ascii="Arial" w:hAnsi="Arial" w:cs="Arial"/>
          <w:color w:val="FF0000"/>
          <w:sz w:val="26"/>
          <w:szCs w:val="26"/>
          <w:u w:color="FFFFFF" w:themeColor="background1"/>
        </w:rPr>
        <w:t>Néstor</w:t>
      </w:r>
      <w:r w:rsidR="00914EAC" w:rsidRPr="00F12289">
        <w:rPr>
          <w:rFonts w:ascii="Arial" w:hAnsi="Arial" w:cs="Arial"/>
          <w:color w:val="FF0000"/>
          <w:sz w:val="26"/>
          <w:szCs w:val="26"/>
          <w:u w:color="FFFFFF" w:themeColor="background1"/>
        </w:rPr>
        <w:t xml:space="preserve"> Felipe Estrada García</w:t>
      </w:r>
      <w:r w:rsidRPr="00F12289">
        <w:rPr>
          <w:rFonts w:ascii="Arial" w:hAnsi="Arial" w:cs="Arial"/>
          <w:sz w:val="26"/>
          <w:szCs w:val="26"/>
        </w:rPr>
        <w:t xml:space="preserve"> inconforme con </w:t>
      </w:r>
      <w:r w:rsidR="00914EAC" w:rsidRPr="00F12289">
        <w:rPr>
          <w:rFonts w:ascii="Arial" w:hAnsi="Arial" w:cs="Arial"/>
          <w:sz w:val="26"/>
          <w:szCs w:val="26"/>
        </w:rPr>
        <w:t>la sentencia</w:t>
      </w:r>
      <w:r w:rsidRPr="00F12289">
        <w:rPr>
          <w:rFonts w:ascii="Arial" w:hAnsi="Arial" w:cs="Arial"/>
          <w:sz w:val="26"/>
          <w:szCs w:val="26"/>
        </w:rPr>
        <w:t xml:space="preserve"> antes señalad</w:t>
      </w:r>
      <w:r w:rsidR="00914EAC" w:rsidRPr="00F12289">
        <w:rPr>
          <w:rFonts w:ascii="Arial" w:hAnsi="Arial" w:cs="Arial"/>
          <w:sz w:val="26"/>
          <w:szCs w:val="26"/>
        </w:rPr>
        <w:t>a</w:t>
      </w:r>
      <w:r w:rsidRPr="00F12289">
        <w:rPr>
          <w:rFonts w:ascii="Arial" w:hAnsi="Arial" w:cs="Arial"/>
          <w:sz w:val="26"/>
          <w:szCs w:val="26"/>
        </w:rPr>
        <w:t>, promovió</w:t>
      </w:r>
      <w:r w:rsidR="00B16063" w:rsidRPr="00F12289">
        <w:rPr>
          <w:rFonts w:ascii="Arial" w:hAnsi="Arial" w:cs="Arial"/>
          <w:sz w:val="26"/>
          <w:szCs w:val="26"/>
        </w:rPr>
        <w:t xml:space="preserve"> juicio de amparo, argumentando</w:t>
      </w:r>
      <w:r w:rsidR="00735E23" w:rsidRPr="00F12289">
        <w:rPr>
          <w:rFonts w:ascii="Arial" w:hAnsi="Arial" w:cs="Arial"/>
          <w:sz w:val="26"/>
          <w:szCs w:val="26"/>
        </w:rPr>
        <w:t xml:space="preserve"> respecto a la materia de constitucionalidad</w:t>
      </w:r>
      <w:r w:rsidR="003F009B" w:rsidRPr="00F12289">
        <w:rPr>
          <w:rFonts w:ascii="Arial" w:hAnsi="Arial" w:cs="Arial"/>
          <w:sz w:val="26"/>
          <w:szCs w:val="26"/>
        </w:rPr>
        <w:t xml:space="preserve"> lo siguiente:</w:t>
      </w:r>
    </w:p>
    <w:p w14:paraId="47E19910" w14:textId="77777777" w:rsidR="003F009B" w:rsidRPr="00F12289" w:rsidRDefault="003F009B" w:rsidP="003F009B">
      <w:pPr>
        <w:pStyle w:val="Prrafodelista"/>
        <w:rPr>
          <w:rFonts w:cs="Arial"/>
          <w:sz w:val="26"/>
          <w:szCs w:val="26"/>
          <w:lang w:val="es-ES" w:eastAsia="es-ES"/>
        </w:rPr>
      </w:pPr>
    </w:p>
    <w:p w14:paraId="665675EA" w14:textId="7ABF83A5" w:rsidR="003F009B" w:rsidRPr="00F12289" w:rsidRDefault="003F009B" w:rsidP="003F009B">
      <w:pPr>
        <w:pStyle w:val="Prrafodelista"/>
        <w:widowControl w:val="0"/>
        <w:numPr>
          <w:ilvl w:val="0"/>
          <w:numId w:val="1"/>
        </w:numPr>
        <w:suppressAutoHyphens/>
        <w:spacing w:line="360" w:lineRule="auto"/>
        <w:ind w:left="0" w:hanging="567"/>
        <w:contextualSpacing/>
        <w:jc w:val="both"/>
        <w:rPr>
          <w:rFonts w:ascii="Arial" w:hAnsi="Arial" w:cs="Arial"/>
          <w:b/>
          <w:sz w:val="26"/>
          <w:szCs w:val="26"/>
        </w:rPr>
      </w:pPr>
      <w:r w:rsidRPr="00F12289">
        <w:rPr>
          <w:rFonts w:ascii="Arial" w:hAnsi="Arial" w:cs="Arial"/>
          <w:sz w:val="26"/>
          <w:szCs w:val="26"/>
          <w:lang w:val="es-ES" w:eastAsia="es-ES"/>
        </w:rPr>
        <w:t>El quejoso refiere que el artículo 59, fracción III</w:t>
      </w:r>
      <w:r w:rsidR="001A308A" w:rsidRPr="00F12289">
        <w:rPr>
          <w:rFonts w:ascii="Arial" w:hAnsi="Arial" w:cs="Arial"/>
          <w:sz w:val="26"/>
          <w:szCs w:val="26"/>
          <w:lang w:val="es-ES" w:eastAsia="es-ES"/>
        </w:rPr>
        <w:t xml:space="preserve">, </w:t>
      </w:r>
      <w:r w:rsidRPr="00F12289">
        <w:rPr>
          <w:rFonts w:ascii="Arial" w:hAnsi="Arial" w:cs="Arial"/>
          <w:sz w:val="26"/>
          <w:szCs w:val="26"/>
          <w:lang w:val="es-ES" w:eastAsia="es-ES"/>
        </w:rPr>
        <w:t xml:space="preserve">del Código Fiscal de la Federación, es inconstitucional por lo siguiente: </w:t>
      </w:r>
    </w:p>
    <w:p w14:paraId="2597F4B4" w14:textId="3C511E5A" w:rsidR="00B16063" w:rsidRPr="00BC4AF2" w:rsidRDefault="00B16063" w:rsidP="00802E6A">
      <w:pPr>
        <w:pStyle w:val="Prrafodelista"/>
        <w:widowControl w:val="0"/>
        <w:suppressAutoHyphens/>
        <w:spacing w:line="360" w:lineRule="auto"/>
        <w:ind w:left="1080"/>
        <w:contextualSpacing/>
        <w:jc w:val="both"/>
        <w:rPr>
          <w:rFonts w:ascii="Arial" w:hAnsi="Arial" w:cs="Arial"/>
          <w:b/>
          <w:sz w:val="24"/>
          <w:szCs w:val="24"/>
        </w:rPr>
      </w:pPr>
    </w:p>
    <w:p w14:paraId="50EB2833" w14:textId="321F6267" w:rsidR="00812753" w:rsidRPr="00F12289" w:rsidRDefault="003F009B" w:rsidP="003F009B">
      <w:pPr>
        <w:pStyle w:val="Prrafodelista"/>
        <w:widowControl w:val="0"/>
        <w:numPr>
          <w:ilvl w:val="1"/>
          <w:numId w:val="1"/>
        </w:numPr>
        <w:suppressAutoHyphens/>
        <w:spacing w:line="276" w:lineRule="auto"/>
        <w:ind w:left="851" w:hanging="851"/>
        <w:jc w:val="both"/>
        <w:rPr>
          <w:rFonts w:ascii="Arial" w:hAnsi="Arial" w:cs="Arial"/>
          <w:sz w:val="24"/>
          <w:szCs w:val="24"/>
          <w:lang w:val="es-ES"/>
        </w:rPr>
      </w:pPr>
      <w:r w:rsidRPr="00F12289">
        <w:rPr>
          <w:rFonts w:ascii="Arial" w:hAnsi="Arial" w:cs="Arial"/>
          <w:b/>
          <w:sz w:val="24"/>
          <w:szCs w:val="24"/>
          <w:lang w:val="es-ES"/>
        </w:rPr>
        <w:t xml:space="preserve">a) </w:t>
      </w:r>
      <w:r w:rsidRPr="00F12289">
        <w:rPr>
          <w:rFonts w:ascii="Arial" w:hAnsi="Arial" w:cs="Arial"/>
          <w:sz w:val="24"/>
          <w:szCs w:val="24"/>
          <w:lang w:val="es-ES"/>
        </w:rPr>
        <w:t xml:space="preserve">El precepto establece que </w:t>
      </w:r>
      <w:r w:rsidRPr="00F12289">
        <w:rPr>
          <w:rFonts w:ascii="Arial" w:hAnsi="Arial" w:cs="Arial"/>
          <w:i/>
          <w:sz w:val="24"/>
          <w:szCs w:val="24"/>
          <w:lang w:val="es-ES"/>
        </w:rPr>
        <w:t>“las autoridades fiscales presumirán</w:t>
      </w:r>
      <w:r w:rsidRPr="00F12289">
        <w:rPr>
          <w:rFonts w:ascii="Arial" w:hAnsi="Arial" w:cs="Arial"/>
          <w:sz w:val="24"/>
          <w:szCs w:val="24"/>
          <w:lang w:val="es-ES"/>
        </w:rPr>
        <w:t>,</w:t>
      </w:r>
      <w:r w:rsidRPr="00F12289">
        <w:rPr>
          <w:rFonts w:ascii="Arial" w:hAnsi="Arial" w:cs="Arial"/>
          <w:i/>
          <w:sz w:val="24"/>
          <w:szCs w:val="24"/>
          <w:lang w:val="es-ES"/>
        </w:rPr>
        <w:t xml:space="preserve"> salvo prueba en contrario”</w:t>
      </w:r>
      <w:r w:rsidRPr="00F12289">
        <w:rPr>
          <w:rFonts w:ascii="Arial" w:hAnsi="Arial" w:cs="Arial"/>
          <w:sz w:val="24"/>
          <w:szCs w:val="24"/>
          <w:lang w:val="es-ES"/>
        </w:rPr>
        <w:t xml:space="preserve">, de manera que serán las autoridades fiscales las que dirán cuándo tiene lugar la presunción; es decir, en qué casos el contribuyente ha obtenido ingresos y en qué casos no. Lo anterior, a su consideración, viola el principio de </w:t>
      </w:r>
      <w:r w:rsidRPr="00F12289">
        <w:rPr>
          <w:rFonts w:ascii="Arial" w:hAnsi="Arial" w:cs="Arial"/>
          <w:b/>
          <w:sz w:val="24"/>
          <w:szCs w:val="24"/>
          <w:lang w:val="es-ES"/>
        </w:rPr>
        <w:t>legalidad tributaria</w:t>
      </w:r>
      <w:r w:rsidRPr="00F12289">
        <w:rPr>
          <w:rFonts w:ascii="Arial" w:hAnsi="Arial" w:cs="Arial"/>
          <w:sz w:val="24"/>
          <w:szCs w:val="24"/>
          <w:lang w:val="es-ES"/>
        </w:rPr>
        <w:t xml:space="preserve"> consagrado en el artículo </w:t>
      </w:r>
      <w:r w:rsidR="00A57A8D" w:rsidRPr="00F12289">
        <w:rPr>
          <w:rFonts w:ascii="Arial" w:hAnsi="Arial" w:cs="Arial"/>
          <w:sz w:val="24"/>
          <w:szCs w:val="24"/>
          <w:lang w:val="es-ES"/>
        </w:rPr>
        <w:t>31, fracción IV, constitucional.</w:t>
      </w:r>
    </w:p>
    <w:p w14:paraId="129E5ECC" w14:textId="0EB20408" w:rsidR="00B16063" w:rsidRPr="00F12289" w:rsidRDefault="003F009B" w:rsidP="003F009B">
      <w:pPr>
        <w:pStyle w:val="Prrafodelista"/>
        <w:widowControl w:val="0"/>
        <w:numPr>
          <w:ilvl w:val="1"/>
          <w:numId w:val="1"/>
        </w:numPr>
        <w:suppressAutoHyphens/>
        <w:spacing w:line="276" w:lineRule="auto"/>
        <w:ind w:left="851" w:hanging="851"/>
        <w:jc w:val="both"/>
        <w:rPr>
          <w:rFonts w:ascii="Arial" w:hAnsi="Arial" w:cs="Arial"/>
          <w:sz w:val="24"/>
          <w:szCs w:val="24"/>
          <w:lang w:val="es-ES"/>
        </w:rPr>
      </w:pPr>
      <w:r w:rsidRPr="00F12289">
        <w:rPr>
          <w:rFonts w:ascii="Arial" w:hAnsi="Arial" w:cs="Arial"/>
          <w:b/>
          <w:sz w:val="24"/>
          <w:szCs w:val="24"/>
          <w:lang w:val="es-ES"/>
        </w:rPr>
        <w:t xml:space="preserve">b) </w:t>
      </w:r>
      <w:r w:rsidRPr="00F12289">
        <w:rPr>
          <w:rFonts w:ascii="Arial" w:hAnsi="Arial" w:cs="Arial"/>
          <w:sz w:val="24"/>
          <w:szCs w:val="24"/>
          <w:lang w:val="es-ES"/>
        </w:rPr>
        <w:t>El artículo</w:t>
      </w:r>
      <w:r w:rsidRPr="00F12289">
        <w:rPr>
          <w:rFonts w:ascii="Arial" w:hAnsi="Arial" w:cs="Arial"/>
          <w:b/>
          <w:sz w:val="24"/>
          <w:szCs w:val="24"/>
          <w:lang w:val="es-ES"/>
        </w:rPr>
        <w:t xml:space="preserve"> </w:t>
      </w:r>
      <w:r w:rsidRPr="00F12289">
        <w:rPr>
          <w:rFonts w:ascii="Arial" w:hAnsi="Arial" w:cs="Arial"/>
          <w:sz w:val="24"/>
          <w:szCs w:val="24"/>
          <w:lang w:val="es-ES"/>
        </w:rPr>
        <w:t xml:space="preserve">vulnera los principios tributarios de </w:t>
      </w:r>
      <w:r w:rsidRPr="00F12289">
        <w:rPr>
          <w:rFonts w:ascii="Arial" w:hAnsi="Arial" w:cs="Arial"/>
          <w:b/>
          <w:sz w:val="24"/>
          <w:szCs w:val="24"/>
          <w:lang w:val="es-ES"/>
        </w:rPr>
        <w:t>legalidad y reserva de ley absoluta</w:t>
      </w:r>
      <w:r w:rsidRPr="00F12289">
        <w:rPr>
          <w:rFonts w:ascii="Arial" w:hAnsi="Arial" w:cs="Arial"/>
          <w:sz w:val="24"/>
          <w:szCs w:val="24"/>
          <w:lang w:val="es-ES"/>
        </w:rPr>
        <w:t xml:space="preserve"> en materia fiscal, sustentados por el artículo 73, fracción VII constitucional, ya que gracias al sist</w:t>
      </w:r>
      <w:r w:rsidR="001A308A" w:rsidRPr="00F12289">
        <w:rPr>
          <w:rFonts w:ascii="Arial" w:hAnsi="Arial" w:cs="Arial"/>
          <w:sz w:val="24"/>
          <w:szCs w:val="24"/>
          <w:lang w:val="es-ES"/>
        </w:rPr>
        <w:t>ema de determinación presuntiva</w:t>
      </w:r>
      <w:r w:rsidRPr="00F12289">
        <w:rPr>
          <w:rFonts w:ascii="Arial" w:hAnsi="Arial" w:cs="Arial"/>
          <w:sz w:val="24"/>
          <w:szCs w:val="24"/>
          <w:lang w:val="es-ES"/>
        </w:rPr>
        <w:t xml:space="preserve"> las autoridades fiscales pueden presumir el hecho imponible (obtención de ingresos) y, por tanto, la base gravable y el impuesto a pagarse, lo que está reservado exclusivamente al legislador (configuración y determinación).</w:t>
      </w:r>
    </w:p>
    <w:p w14:paraId="339ADBB7" w14:textId="65D9CAFC" w:rsidR="00812753" w:rsidRPr="00F12289" w:rsidRDefault="003F009B" w:rsidP="003F009B">
      <w:pPr>
        <w:pStyle w:val="Prrafodelista"/>
        <w:widowControl w:val="0"/>
        <w:numPr>
          <w:ilvl w:val="1"/>
          <w:numId w:val="1"/>
        </w:numPr>
        <w:suppressAutoHyphens/>
        <w:spacing w:line="276" w:lineRule="auto"/>
        <w:ind w:left="851" w:hanging="851"/>
        <w:jc w:val="both"/>
        <w:rPr>
          <w:rFonts w:ascii="Arial" w:hAnsi="Arial" w:cs="Arial"/>
          <w:sz w:val="24"/>
          <w:szCs w:val="24"/>
          <w:lang w:val="es-ES"/>
        </w:rPr>
      </w:pPr>
      <w:r w:rsidRPr="00F12289">
        <w:rPr>
          <w:rFonts w:ascii="Arial" w:hAnsi="Arial" w:cs="Arial"/>
          <w:b/>
          <w:sz w:val="24"/>
          <w:szCs w:val="24"/>
          <w:lang w:val="es-ES"/>
        </w:rPr>
        <w:t xml:space="preserve">c) </w:t>
      </w:r>
      <w:r w:rsidRPr="00F12289">
        <w:rPr>
          <w:rFonts w:ascii="Arial" w:hAnsi="Arial" w:cs="Arial"/>
          <w:sz w:val="24"/>
          <w:szCs w:val="24"/>
          <w:lang w:val="es-ES"/>
        </w:rPr>
        <w:t xml:space="preserve">Vulnera el principio de presunción de inocencia porque contempla una presunción relativa o </w:t>
      </w:r>
      <w:r w:rsidRPr="00F12289">
        <w:rPr>
          <w:rFonts w:ascii="Arial" w:hAnsi="Arial" w:cs="Arial"/>
          <w:i/>
          <w:sz w:val="24"/>
          <w:szCs w:val="24"/>
          <w:lang w:val="es-ES"/>
        </w:rPr>
        <w:t>iuris tantum</w:t>
      </w:r>
      <w:r w:rsidRPr="00F12289">
        <w:rPr>
          <w:rFonts w:ascii="Arial" w:hAnsi="Arial" w:cs="Arial"/>
          <w:sz w:val="24"/>
          <w:szCs w:val="24"/>
          <w:lang w:val="es-ES"/>
        </w:rPr>
        <w:t xml:space="preserve"> (tan sólo de derecho), pues así lo deja ver la expresión </w:t>
      </w:r>
      <w:r w:rsidRPr="00F12289">
        <w:rPr>
          <w:rFonts w:ascii="Arial" w:hAnsi="Arial" w:cs="Arial"/>
          <w:i/>
          <w:sz w:val="24"/>
          <w:szCs w:val="24"/>
          <w:lang w:val="es-ES"/>
        </w:rPr>
        <w:t>“salvo prueba en contrario”</w:t>
      </w:r>
      <w:r w:rsidRPr="00F12289">
        <w:rPr>
          <w:rFonts w:ascii="Arial" w:hAnsi="Arial" w:cs="Arial"/>
          <w:sz w:val="24"/>
          <w:szCs w:val="24"/>
          <w:lang w:val="es-ES"/>
        </w:rPr>
        <w:t xml:space="preserve">. Al ser una presunción relativa, admite prueba en contrario por parte del contribuyente, la cual puede ofrecerse ante la misma autoridad fiscal dentro del ejercicio de sus </w:t>
      </w:r>
      <w:r w:rsidRPr="00F12289">
        <w:rPr>
          <w:rFonts w:ascii="Arial" w:hAnsi="Arial" w:cs="Arial"/>
          <w:sz w:val="24"/>
          <w:szCs w:val="24"/>
          <w:lang w:val="es-ES"/>
        </w:rPr>
        <w:lastRenderedPageBreak/>
        <w:t>facultades en sede administrativa, pero no así en un procedimiento penal como el legislador lo pret</w:t>
      </w:r>
      <w:r w:rsidR="001A308A" w:rsidRPr="00F12289">
        <w:rPr>
          <w:rFonts w:ascii="Arial" w:hAnsi="Arial" w:cs="Arial"/>
          <w:sz w:val="24"/>
          <w:szCs w:val="24"/>
          <w:lang w:val="es-ES"/>
        </w:rPr>
        <w:t>ende trasladar, ya que obliga -como sucedió en el caso-</w:t>
      </w:r>
      <w:r w:rsidRPr="00F12289">
        <w:rPr>
          <w:rFonts w:ascii="Arial" w:hAnsi="Arial" w:cs="Arial"/>
          <w:sz w:val="24"/>
          <w:szCs w:val="24"/>
          <w:lang w:val="es-ES"/>
        </w:rPr>
        <w:t xml:space="preserve"> a que el contribuyente acusado por un delito fiscal despliegue actividad probatoria para evitar que se le considere culpable, cuando gracias a dicho principio constitucional, el obligado a probar </w:t>
      </w:r>
      <w:r w:rsidR="001A308A" w:rsidRPr="00F12289">
        <w:rPr>
          <w:rFonts w:ascii="Arial" w:hAnsi="Arial" w:cs="Arial"/>
          <w:sz w:val="24"/>
          <w:szCs w:val="24"/>
          <w:lang w:val="es-ES"/>
        </w:rPr>
        <w:t>dicha</w:t>
      </w:r>
      <w:r w:rsidRPr="00F12289">
        <w:rPr>
          <w:rFonts w:ascii="Arial" w:hAnsi="Arial" w:cs="Arial"/>
          <w:sz w:val="24"/>
          <w:szCs w:val="24"/>
          <w:lang w:val="es-ES"/>
        </w:rPr>
        <w:t xml:space="preserve"> situación es el órgano acusador</w:t>
      </w:r>
      <w:r w:rsidR="00812753" w:rsidRPr="00F12289">
        <w:rPr>
          <w:rFonts w:ascii="Arial" w:hAnsi="Arial" w:cs="Arial"/>
          <w:sz w:val="24"/>
          <w:szCs w:val="24"/>
        </w:rPr>
        <w:t>.</w:t>
      </w:r>
    </w:p>
    <w:p w14:paraId="5C875A7B" w14:textId="77777777" w:rsidR="00760783" w:rsidRPr="00BC4AF2" w:rsidRDefault="00760783" w:rsidP="00802E6A">
      <w:pPr>
        <w:pStyle w:val="Prrafodelista"/>
        <w:widowControl w:val="0"/>
        <w:suppressAutoHyphens/>
        <w:spacing w:line="360" w:lineRule="auto"/>
        <w:ind w:left="0"/>
        <w:contextualSpacing/>
        <w:jc w:val="both"/>
        <w:rPr>
          <w:rFonts w:ascii="Arial" w:hAnsi="Arial" w:cs="Arial"/>
          <w:sz w:val="23"/>
          <w:szCs w:val="23"/>
        </w:rPr>
      </w:pPr>
    </w:p>
    <w:p w14:paraId="13BBE79C" w14:textId="38F7C6C7" w:rsidR="003F009B" w:rsidRPr="00F12289" w:rsidRDefault="00760783" w:rsidP="00293EFD">
      <w:pPr>
        <w:pStyle w:val="Prrafodelista"/>
        <w:widowControl w:val="0"/>
        <w:numPr>
          <w:ilvl w:val="0"/>
          <w:numId w:val="1"/>
        </w:numPr>
        <w:suppressAutoHyphens/>
        <w:spacing w:line="360" w:lineRule="auto"/>
        <w:ind w:left="0" w:hanging="567"/>
        <w:contextualSpacing/>
        <w:jc w:val="both"/>
        <w:rPr>
          <w:rFonts w:ascii="Arial" w:hAnsi="Arial" w:cs="Arial"/>
          <w:sz w:val="26"/>
          <w:szCs w:val="26"/>
        </w:rPr>
      </w:pPr>
      <w:r w:rsidRPr="00F12289">
        <w:rPr>
          <w:rFonts w:ascii="Arial" w:hAnsi="Arial" w:cs="Arial"/>
          <w:sz w:val="26"/>
          <w:szCs w:val="26"/>
        </w:rPr>
        <w:t>Una vez seguido el trámite de ley</w:t>
      </w:r>
      <w:r w:rsidR="001A308A" w:rsidRPr="00F12289">
        <w:rPr>
          <w:rFonts w:ascii="Arial" w:hAnsi="Arial" w:cs="Arial"/>
          <w:sz w:val="26"/>
          <w:szCs w:val="26"/>
        </w:rPr>
        <w:t>,</w:t>
      </w:r>
      <w:r w:rsidRPr="00F12289">
        <w:rPr>
          <w:rFonts w:ascii="Arial" w:hAnsi="Arial" w:cs="Arial"/>
          <w:sz w:val="26"/>
          <w:szCs w:val="26"/>
        </w:rPr>
        <w:t xml:space="preserve"> el </w:t>
      </w:r>
      <w:r w:rsidR="00CF5E3B" w:rsidRPr="00F12289">
        <w:rPr>
          <w:rFonts w:ascii="Arial" w:hAnsi="Arial" w:cs="Arial"/>
          <w:sz w:val="26"/>
          <w:szCs w:val="26"/>
        </w:rPr>
        <w:t>Séptimo Tribun</w:t>
      </w:r>
      <w:r w:rsidR="00E2618F" w:rsidRPr="00F12289">
        <w:rPr>
          <w:rFonts w:ascii="Arial" w:hAnsi="Arial" w:cs="Arial"/>
          <w:sz w:val="26"/>
          <w:szCs w:val="26"/>
        </w:rPr>
        <w:t>al Colegiado en Materia Penal</w:t>
      </w:r>
      <w:r w:rsidRPr="00F12289">
        <w:rPr>
          <w:rFonts w:ascii="Arial" w:hAnsi="Arial" w:cs="Arial"/>
          <w:sz w:val="26"/>
          <w:szCs w:val="26"/>
        </w:rPr>
        <w:t xml:space="preserve"> del Primer Circuito dictó sentencia</w:t>
      </w:r>
      <w:r w:rsidR="00F52099" w:rsidRPr="00F12289">
        <w:rPr>
          <w:rFonts w:ascii="Arial" w:hAnsi="Arial" w:cs="Arial"/>
          <w:sz w:val="26"/>
          <w:szCs w:val="26"/>
        </w:rPr>
        <w:t xml:space="preserve"> (en el juicio de amparo </w:t>
      </w:r>
      <w:r w:rsidR="00B071E0">
        <w:rPr>
          <w:rFonts w:ascii="Arial" w:hAnsi="Arial" w:cs="Arial"/>
          <w:color w:val="FF0000"/>
          <w:sz w:val="26"/>
          <w:szCs w:val="26"/>
        </w:rPr>
        <w:t>*********</w:t>
      </w:r>
      <w:r w:rsidR="00F52099" w:rsidRPr="00F12289">
        <w:rPr>
          <w:rFonts w:ascii="Arial" w:hAnsi="Arial" w:cs="Arial"/>
          <w:sz w:val="26"/>
          <w:szCs w:val="26"/>
        </w:rPr>
        <w:t>)</w:t>
      </w:r>
      <w:r w:rsidRPr="00F12289">
        <w:rPr>
          <w:rFonts w:ascii="Arial" w:hAnsi="Arial" w:cs="Arial"/>
          <w:sz w:val="26"/>
          <w:szCs w:val="26"/>
        </w:rPr>
        <w:t xml:space="preserve"> en la que </w:t>
      </w:r>
      <w:r w:rsidR="003F009B" w:rsidRPr="00F12289">
        <w:rPr>
          <w:rFonts w:ascii="Arial" w:hAnsi="Arial" w:cs="Arial"/>
          <w:b/>
          <w:sz w:val="26"/>
          <w:szCs w:val="26"/>
        </w:rPr>
        <w:t>negó</w:t>
      </w:r>
      <w:r w:rsidRPr="00F12289">
        <w:rPr>
          <w:rFonts w:ascii="Arial" w:hAnsi="Arial" w:cs="Arial"/>
          <w:b/>
          <w:sz w:val="26"/>
          <w:szCs w:val="26"/>
        </w:rPr>
        <w:t xml:space="preserve"> </w:t>
      </w:r>
      <w:r w:rsidRPr="00F12289">
        <w:rPr>
          <w:rFonts w:ascii="Arial" w:hAnsi="Arial" w:cs="Arial"/>
          <w:sz w:val="26"/>
          <w:szCs w:val="26"/>
        </w:rPr>
        <w:t xml:space="preserve">el amparo principal, </w:t>
      </w:r>
      <w:r w:rsidR="003F009B" w:rsidRPr="00F12289">
        <w:rPr>
          <w:rFonts w:ascii="Arial" w:hAnsi="Arial" w:cs="Arial"/>
          <w:sz w:val="26"/>
          <w:szCs w:val="26"/>
        </w:rPr>
        <w:t xml:space="preserve">utilizando el criterio de esta Primera Sala al resolver los amparos directos en revisión </w:t>
      </w:r>
      <w:r w:rsidR="00A50B04" w:rsidRPr="00F12289">
        <w:rPr>
          <w:rFonts w:ascii="Arial" w:hAnsi="Arial" w:cs="Arial"/>
          <w:b/>
          <w:sz w:val="26"/>
          <w:szCs w:val="26"/>
        </w:rPr>
        <w:t>4119/2016</w:t>
      </w:r>
      <w:r w:rsidR="003F009B" w:rsidRPr="00F12289">
        <w:rPr>
          <w:rFonts w:ascii="Arial" w:hAnsi="Arial" w:cs="Arial"/>
          <w:sz w:val="26"/>
          <w:szCs w:val="26"/>
        </w:rPr>
        <w:t xml:space="preserve">, </w:t>
      </w:r>
      <w:r w:rsidR="003F009B" w:rsidRPr="00F12289">
        <w:rPr>
          <w:rFonts w:ascii="Arial" w:hAnsi="Arial" w:cs="Arial"/>
          <w:b/>
          <w:sz w:val="26"/>
          <w:szCs w:val="26"/>
          <w:lang w:val="es-ES"/>
        </w:rPr>
        <w:t>2876/2015</w:t>
      </w:r>
      <w:r w:rsidR="003F009B" w:rsidRPr="00F12289">
        <w:rPr>
          <w:rFonts w:ascii="Arial" w:hAnsi="Arial" w:cs="Arial"/>
          <w:sz w:val="26"/>
          <w:szCs w:val="26"/>
          <w:lang w:val="es-ES"/>
        </w:rPr>
        <w:t xml:space="preserve"> y </w:t>
      </w:r>
      <w:r w:rsidR="003F009B" w:rsidRPr="00F12289">
        <w:rPr>
          <w:rFonts w:ascii="Arial" w:hAnsi="Arial" w:cs="Arial"/>
          <w:b/>
          <w:sz w:val="26"/>
          <w:szCs w:val="26"/>
          <w:lang w:val="es-ES"/>
        </w:rPr>
        <w:t>1726/2013</w:t>
      </w:r>
      <w:r w:rsidR="003F009B" w:rsidRPr="00F12289">
        <w:rPr>
          <w:rFonts w:ascii="Arial" w:hAnsi="Arial" w:cs="Arial"/>
          <w:sz w:val="26"/>
          <w:szCs w:val="26"/>
          <w:lang w:val="es-MX"/>
        </w:rPr>
        <w:t>,</w:t>
      </w:r>
      <w:r w:rsidR="003F009B" w:rsidRPr="00F12289">
        <w:rPr>
          <w:rFonts w:ascii="Arial" w:hAnsi="Arial" w:cs="Arial"/>
          <w:sz w:val="26"/>
          <w:szCs w:val="26"/>
          <w:lang w:val="es-ES"/>
        </w:rPr>
        <w:t xml:space="preserve"> en sesiones dieciocho de enero de dos mil diecisiete, veintisiete de enero de dos mil dieciséis y veintiséis de junio de dos mil trece, respectivamente</w:t>
      </w:r>
      <w:r w:rsidR="00293EFD" w:rsidRPr="00F12289">
        <w:rPr>
          <w:rFonts w:ascii="Arial" w:hAnsi="Arial" w:cs="Arial"/>
          <w:sz w:val="26"/>
          <w:szCs w:val="26"/>
          <w:lang w:val="es-ES"/>
        </w:rPr>
        <w:t>.</w:t>
      </w:r>
    </w:p>
    <w:p w14:paraId="7FEDA7F9" w14:textId="77777777" w:rsidR="00760783" w:rsidRPr="003718C8" w:rsidRDefault="00760783" w:rsidP="00802E6A">
      <w:pPr>
        <w:pStyle w:val="Prrafodelista"/>
        <w:spacing w:line="360" w:lineRule="auto"/>
        <w:rPr>
          <w:rFonts w:ascii="Arial" w:hAnsi="Arial" w:cs="Arial"/>
          <w:sz w:val="24"/>
          <w:szCs w:val="24"/>
        </w:rPr>
      </w:pPr>
    </w:p>
    <w:p w14:paraId="31D1C2A8" w14:textId="1433E1A2" w:rsidR="00293EFD" w:rsidRPr="00F12289" w:rsidRDefault="00293EFD" w:rsidP="00293EFD">
      <w:pPr>
        <w:pStyle w:val="Prrafodelista"/>
        <w:widowControl w:val="0"/>
        <w:numPr>
          <w:ilvl w:val="1"/>
          <w:numId w:val="1"/>
        </w:numPr>
        <w:suppressAutoHyphens/>
        <w:spacing w:line="276" w:lineRule="auto"/>
        <w:ind w:left="851" w:hanging="851"/>
        <w:jc w:val="both"/>
        <w:rPr>
          <w:rFonts w:ascii="Arial" w:hAnsi="Arial" w:cs="Arial"/>
          <w:sz w:val="24"/>
          <w:szCs w:val="24"/>
          <w:lang w:val="es-MX"/>
        </w:rPr>
      </w:pPr>
      <w:r w:rsidRPr="00F12289">
        <w:rPr>
          <w:rFonts w:ascii="Arial" w:hAnsi="Arial" w:cs="Arial"/>
          <w:sz w:val="24"/>
          <w:szCs w:val="24"/>
        </w:rPr>
        <w:t xml:space="preserve">En principio, señaló que esta Primera Sala, </w:t>
      </w:r>
      <w:r w:rsidRPr="00F12289">
        <w:rPr>
          <w:rFonts w:ascii="Arial" w:hAnsi="Arial" w:cs="Arial"/>
          <w:bCs/>
          <w:sz w:val="24"/>
          <w:szCs w:val="24"/>
          <w:lang w:val="es-ES"/>
        </w:rPr>
        <w:t xml:space="preserve">al resolver el amparo directo en revisión </w:t>
      </w:r>
      <w:r w:rsidRPr="00F12289">
        <w:rPr>
          <w:rFonts w:ascii="Arial" w:hAnsi="Arial" w:cs="Arial"/>
          <w:b/>
          <w:bCs/>
          <w:sz w:val="24"/>
          <w:szCs w:val="24"/>
          <w:lang w:val="es-ES"/>
        </w:rPr>
        <w:t>4119/2016</w:t>
      </w:r>
      <w:r w:rsidRPr="00F12289">
        <w:rPr>
          <w:rFonts w:ascii="Arial" w:hAnsi="Arial" w:cs="Arial"/>
          <w:bCs/>
          <w:sz w:val="24"/>
          <w:szCs w:val="24"/>
          <w:lang w:val="es-ES"/>
        </w:rPr>
        <w:t xml:space="preserve">, determinó que </w:t>
      </w:r>
      <w:r w:rsidRPr="00F12289">
        <w:rPr>
          <w:rFonts w:ascii="Arial" w:hAnsi="Arial" w:cs="Arial"/>
          <w:sz w:val="24"/>
          <w:szCs w:val="24"/>
          <w:lang w:val="es-MX"/>
        </w:rPr>
        <w:t>la presunción de ingresos acumulables prevista en</w:t>
      </w:r>
      <w:r w:rsidRPr="00F12289">
        <w:rPr>
          <w:rFonts w:ascii="Arial" w:hAnsi="Arial" w:cs="Arial"/>
          <w:sz w:val="24"/>
          <w:szCs w:val="24"/>
          <w:lang w:val="es-ES"/>
        </w:rPr>
        <w:t xml:space="preserve"> el artículo 59, fracción III del Código Fiscal de la Federación</w:t>
      </w:r>
      <w:r w:rsidRPr="00F12289">
        <w:rPr>
          <w:rFonts w:ascii="Arial" w:hAnsi="Arial" w:cs="Arial"/>
          <w:sz w:val="24"/>
          <w:szCs w:val="24"/>
          <w:vertAlign w:val="superscript"/>
          <w:lang w:val="es-ES"/>
        </w:rPr>
        <w:footnoteReference w:id="6"/>
      </w:r>
      <w:r w:rsidRPr="00F12289">
        <w:rPr>
          <w:rFonts w:ascii="Arial" w:hAnsi="Arial" w:cs="Arial"/>
          <w:sz w:val="24"/>
          <w:szCs w:val="24"/>
          <w:lang w:val="es-ES"/>
        </w:rPr>
        <w:t>,</w:t>
      </w:r>
      <w:r w:rsidRPr="00F12289">
        <w:rPr>
          <w:rFonts w:ascii="Arial" w:hAnsi="Arial" w:cs="Arial"/>
          <w:sz w:val="24"/>
          <w:szCs w:val="24"/>
          <w:lang w:val="es-MX"/>
        </w:rPr>
        <w:t xml:space="preserve"> es consecuencia del ejercicio de la facultad de fiscalización llevada a cabo por la autoridad hacendaria; caso en el cual, cuando se descubran depósitos bancarios no</w:t>
      </w:r>
      <w:r w:rsidR="001A308A" w:rsidRPr="00F12289">
        <w:rPr>
          <w:rFonts w:ascii="Arial" w:hAnsi="Arial" w:cs="Arial"/>
          <w:sz w:val="24"/>
          <w:szCs w:val="24"/>
          <w:lang w:val="es-MX"/>
        </w:rPr>
        <w:t xml:space="preserve"> registrados en la contabilidad</w:t>
      </w:r>
      <w:r w:rsidRPr="00F12289">
        <w:rPr>
          <w:rFonts w:ascii="Arial" w:hAnsi="Arial" w:cs="Arial"/>
          <w:sz w:val="24"/>
          <w:szCs w:val="24"/>
          <w:lang w:val="es-MX"/>
        </w:rPr>
        <w:t xml:space="preserve"> se pres</w:t>
      </w:r>
      <w:r w:rsidR="001A308A" w:rsidRPr="00F12289">
        <w:rPr>
          <w:rFonts w:ascii="Arial" w:hAnsi="Arial" w:cs="Arial"/>
          <w:sz w:val="24"/>
          <w:szCs w:val="24"/>
          <w:lang w:val="es-MX"/>
        </w:rPr>
        <w:t>umirá la existencia de ingresos</w:t>
      </w:r>
      <w:r w:rsidRPr="00F12289">
        <w:rPr>
          <w:rFonts w:ascii="Arial" w:hAnsi="Arial" w:cs="Arial"/>
          <w:sz w:val="24"/>
          <w:szCs w:val="24"/>
          <w:lang w:val="es-MX"/>
        </w:rPr>
        <w:t xml:space="preserve"> remitiéndolos a la legislación  tributaria correspondiente para la determinación del gravamen.</w:t>
      </w:r>
    </w:p>
    <w:p w14:paraId="572561EC" w14:textId="7F209BCE" w:rsidR="00293EFD" w:rsidRPr="00F12289" w:rsidRDefault="00293EFD" w:rsidP="00293EFD">
      <w:pPr>
        <w:pStyle w:val="Prrafodelista"/>
        <w:widowControl w:val="0"/>
        <w:numPr>
          <w:ilvl w:val="1"/>
          <w:numId w:val="1"/>
        </w:numPr>
        <w:suppressAutoHyphens/>
        <w:spacing w:line="276" w:lineRule="auto"/>
        <w:ind w:left="851" w:hanging="851"/>
        <w:jc w:val="both"/>
        <w:rPr>
          <w:rFonts w:ascii="Arial" w:hAnsi="Arial" w:cs="Arial"/>
          <w:sz w:val="24"/>
          <w:szCs w:val="24"/>
          <w:lang w:val="es-MX"/>
        </w:rPr>
      </w:pPr>
      <w:r w:rsidRPr="00F12289">
        <w:rPr>
          <w:rFonts w:ascii="Arial" w:hAnsi="Arial" w:cs="Arial"/>
          <w:sz w:val="24"/>
          <w:szCs w:val="24"/>
          <w:lang w:val="es-MX"/>
        </w:rPr>
        <w:t>En concordancia con lo establecido por esta sala, determinó que la norma combatida no establece los elementos de una contribución, ni fija los elementos esenciales de una obligación tributaria, sino que únicamente permite dar el carácter de ingresos o valores de actos, actividades o activos a los depósitos bancarios no registrados en la contabilidad del contribuyente que se encuentra sujeto al ejercicio de las facultades de comprobación, así como un supue</w:t>
      </w:r>
      <w:r w:rsidR="001A308A" w:rsidRPr="00F12289">
        <w:rPr>
          <w:rFonts w:ascii="Arial" w:hAnsi="Arial" w:cs="Arial"/>
          <w:sz w:val="24"/>
          <w:szCs w:val="24"/>
          <w:lang w:val="es-MX"/>
        </w:rPr>
        <w:t>sto de determinación presuntiva</w:t>
      </w:r>
      <w:r w:rsidRPr="00F12289">
        <w:rPr>
          <w:rFonts w:ascii="Arial" w:hAnsi="Arial" w:cs="Arial"/>
          <w:sz w:val="24"/>
          <w:szCs w:val="24"/>
          <w:lang w:val="es-MX"/>
        </w:rPr>
        <w:t xml:space="preserve"> como es que los depósitos bancarios no estén registrados en contabilidad.</w:t>
      </w:r>
    </w:p>
    <w:p w14:paraId="502A9218" w14:textId="21062204" w:rsidR="00293EFD" w:rsidRPr="00F12289" w:rsidRDefault="00293EFD" w:rsidP="00293EFD">
      <w:pPr>
        <w:pStyle w:val="Prrafodelista"/>
        <w:widowControl w:val="0"/>
        <w:numPr>
          <w:ilvl w:val="1"/>
          <w:numId w:val="1"/>
        </w:numPr>
        <w:suppressAutoHyphens/>
        <w:spacing w:line="276" w:lineRule="auto"/>
        <w:ind w:left="851" w:hanging="851"/>
        <w:jc w:val="both"/>
        <w:rPr>
          <w:rFonts w:ascii="Arial" w:hAnsi="Arial" w:cs="Arial"/>
          <w:sz w:val="24"/>
          <w:szCs w:val="24"/>
          <w:lang w:val="es-MX"/>
        </w:rPr>
      </w:pPr>
      <w:r w:rsidRPr="00F12289">
        <w:rPr>
          <w:rFonts w:ascii="Arial" w:hAnsi="Arial" w:cs="Arial"/>
          <w:sz w:val="24"/>
          <w:szCs w:val="24"/>
          <w:lang w:val="es-MX"/>
        </w:rPr>
        <w:t xml:space="preserve">En consecuencia, determinó que el artículo analizado </w:t>
      </w:r>
      <w:r w:rsidRPr="00F12289">
        <w:rPr>
          <w:rFonts w:ascii="Arial" w:hAnsi="Arial" w:cs="Arial"/>
          <w:b/>
          <w:sz w:val="24"/>
          <w:szCs w:val="24"/>
          <w:lang w:val="es-MX"/>
        </w:rPr>
        <w:t xml:space="preserve">no vulnera los principios de legalidad tributaria y reserva de ley </w:t>
      </w:r>
      <w:r w:rsidRPr="00F12289">
        <w:rPr>
          <w:rFonts w:ascii="Arial" w:hAnsi="Arial" w:cs="Arial"/>
          <w:sz w:val="24"/>
          <w:szCs w:val="24"/>
          <w:lang w:val="es-MX"/>
        </w:rPr>
        <w:t>porque no configura un impuesto ni establece alguno de sus elementos esenciales, dado que los ingresos acumulables o el procedimiento del cálculo del gravamen a pagar se regulan por las leyes de la materia, como puede ser –a manera de ejemplo– la Ley del Impuesto sobre la Renta.</w:t>
      </w:r>
    </w:p>
    <w:p w14:paraId="0C338A20" w14:textId="3C010115" w:rsidR="00293EFD" w:rsidRPr="00F12289" w:rsidRDefault="00293EFD" w:rsidP="00293EFD">
      <w:pPr>
        <w:pStyle w:val="Prrafodelista"/>
        <w:widowControl w:val="0"/>
        <w:numPr>
          <w:ilvl w:val="1"/>
          <w:numId w:val="1"/>
        </w:numPr>
        <w:suppressAutoHyphens/>
        <w:spacing w:line="276" w:lineRule="auto"/>
        <w:ind w:left="851" w:hanging="851"/>
        <w:jc w:val="both"/>
        <w:rPr>
          <w:rFonts w:ascii="Arial" w:hAnsi="Arial" w:cs="Arial"/>
          <w:sz w:val="24"/>
          <w:szCs w:val="24"/>
          <w:lang w:val="es-ES"/>
        </w:rPr>
      </w:pPr>
      <w:r w:rsidRPr="00F12289">
        <w:rPr>
          <w:rFonts w:ascii="Arial" w:hAnsi="Arial" w:cs="Arial"/>
          <w:sz w:val="24"/>
          <w:szCs w:val="24"/>
          <w:lang w:val="es-ES"/>
        </w:rPr>
        <w:t xml:space="preserve">Por otra parte, consideró que la norma </w:t>
      </w:r>
      <w:r w:rsidRPr="00F12289">
        <w:rPr>
          <w:rFonts w:ascii="Arial" w:hAnsi="Arial" w:cs="Arial"/>
          <w:b/>
          <w:sz w:val="24"/>
          <w:szCs w:val="24"/>
          <w:lang w:val="es-ES"/>
        </w:rPr>
        <w:t>tampoco vulnera el principio de presunción de inocencia</w:t>
      </w:r>
      <w:r w:rsidRPr="00F12289">
        <w:rPr>
          <w:rFonts w:ascii="Arial" w:hAnsi="Arial" w:cs="Arial"/>
          <w:sz w:val="24"/>
          <w:szCs w:val="24"/>
          <w:lang w:val="es-ES"/>
        </w:rPr>
        <w:t xml:space="preserve">, ya que ésta establece una presunción relativa o </w:t>
      </w:r>
      <w:r w:rsidRPr="00F12289">
        <w:rPr>
          <w:rFonts w:ascii="Arial" w:hAnsi="Arial" w:cs="Arial"/>
          <w:i/>
          <w:sz w:val="24"/>
          <w:szCs w:val="24"/>
          <w:lang w:val="es-ES"/>
        </w:rPr>
        <w:t>iuris tantum</w:t>
      </w:r>
      <w:r w:rsidRPr="00F12289">
        <w:rPr>
          <w:rFonts w:ascii="Arial" w:hAnsi="Arial" w:cs="Arial"/>
          <w:sz w:val="24"/>
          <w:szCs w:val="24"/>
          <w:lang w:val="es-ES"/>
        </w:rPr>
        <w:t xml:space="preserve"> ideada esencialmente para efectos fiscales, lo que no puede transgredir un principio propio del derecho penal, como lo es el de presunción de inocencia, ya que a quien corresponde respetar el derecho fundamental a la presunció</w:t>
      </w:r>
      <w:r w:rsidR="001A308A" w:rsidRPr="00F12289">
        <w:rPr>
          <w:rFonts w:ascii="Arial" w:hAnsi="Arial" w:cs="Arial"/>
          <w:sz w:val="24"/>
          <w:szCs w:val="24"/>
          <w:lang w:val="es-ES"/>
        </w:rPr>
        <w:t>n de inocencia es al juez penal</w:t>
      </w:r>
      <w:r w:rsidRPr="00F12289">
        <w:rPr>
          <w:rFonts w:ascii="Arial" w:hAnsi="Arial" w:cs="Arial"/>
          <w:sz w:val="24"/>
          <w:szCs w:val="24"/>
          <w:lang w:val="es-ES"/>
        </w:rPr>
        <w:t xml:space="preserve"> con independencia de que el órgano acusador se prevalga o no de las leyes tributarias para tener por acreditados los elementos del tipo</w:t>
      </w:r>
      <w:r w:rsidRPr="00F12289">
        <w:rPr>
          <w:rFonts w:ascii="Arial" w:hAnsi="Arial" w:cs="Arial"/>
          <w:sz w:val="24"/>
          <w:szCs w:val="24"/>
          <w:vertAlign w:val="superscript"/>
          <w:lang w:val="es-ES"/>
        </w:rPr>
        <w:footnoteReference w:id="7"/>
      </w:r>
      <w:r w:rsidRPr="00F12289">
        <w:rPr>
          <w:rFonts w:ascii="Arial" w:hAnsi="Arial" w:cs="Arial"/>
          <w:sz w:val="24"/>
          <w:szCs w:val="24"/>
          <w:lang w:val="es-ES"/>
        </w:rPr>
        <w:t>.</w:t>
      </w:r>
    </w:p>
    <w:p w14:paraId="377E1968" w14:textId="77F6B520" w:rsidR="00760783" w:rsidRPr="00F12289" w:rsidRDefault="00293EFD" w:rsidP="00293EFD">
      <w:pPr>
        <w:pStyle w:val="Prrafodelista"/>
        <w:widowControl w:val="0"/>
        <w:numPr>
          <w:ilvl w:val="1"/>
          <w:numId w:val="1"/>
        </w:numPr>
        <w:suppressAutoHyphens/>
        <w:spacing w:line="276" w:lineRule="auto"/>
        <w:ind w:left="851" w:hanging="851"/>
        <w:jc w:val="both"/>
        <w:rPr>
          <w:rFonts w:ascii="Arial" w:hAnsi="Arial" w:cs="Arial"/>
          <w:sz w:val="24"/>
          <w:szCs w:val="24"/>
          <w:lang w:val="es-ES"/>
        </w:rPr>
      </w:pPr>
      <w:r w:rsidRPr="00F12289">
        <w:rPr>
          <w:rFonts w:ascii="Arial" w:hAnsi="Arial" w:cs="Arial"/>
          <w:sz w:val="24"/>
          <w:szCs w:val="24"/>
          <w:lang w:val="es-ES"/>
        </w:rPr>
        <w:t xml:space="preserve">Finalmente, consideró que el artículo combatido tampoco vulnera el principio aludido en su vertiente de </w:t>
      </w:r>
      <w:r w:rsidRPr="00F12289">
        <w:rPr>
          <w:rFonts w:ascii="Arial" w:hAnsi="Arial" w:cs="Arial"/>
          <w:b/>
          <w:sz w:val="24"/>
          <w:szCs w:val="24"/>
          <w:lang w:val="es-ES"/>
        </w:rPr>
        <w:t xml:space="preserve">regla de tratamiento </w:t>
      </w:r>
      <w:r w:rsidRPr="00F12289">
        <w:rPr>
          <w:rFonts w:ascii="Arial" w:hAnsi="Arial" w:cs="Arial"/>
          <w:sz w:val="24"/>
          <w:szCs w:val="24"/>
          <w:lang w:val="es-ES"/>
        </w:rPr>
        <w:t>porque el órgano acusador no se limita a considerar culpable de un delito fiscal a una persona que no cumple con las obligaciones formales previstas en tales numerales, pues es necesario que judicialmente se rompa el estatus de inocente que tiene el contribuyente y demostrar que en adición a ese incumplimiento ha causado un perjuici</w:t>
      </w:r>
      <w:r w:rsidR="001A308A" w:rsidRPr="00F12289">
        <w:rPr>
          <w:rFonts w:ascii="Arial" w:hAnsi="Arial" w:cs="Arial"/>
          <w:sz w:val="24"/>
          <w:szCs w:val="24"/>
          <w:lang w:val="es-ES"/>
        </w:rPr>
        <w:t>o patrimonial al erario público</w:t>
      </w:r>
      <w:r w:rsidRPr="00F12289">
        <w:rPr>
          <w:rFonts w:ascii="Arial" w:hAnsi="Arial" w:cs="Arial"/>
          <w:sz w:val="24"/>
          <w:szCs w:val="24"/>
          <w:lang w:val="es-ES"/>
        </w:rPr>
        <w:t xml:space="preserve"> con apoyo en una presunción cuyas premisas también debe probar</w:t>
      </w:r>
      <w:r w:rsidRPr="00F12289">
        <w:rPr>
          <w:rFonts w:ascii="Arial" w:hAnsi="Arial" w:cs="Arial"/>
          <w:sz w:val="24"/>
          <w:szCs w:val="24"/>
          <w:vertAlign w:val="superscript"/>
          <w:lang w:val="es-ES"/>
        </w:rPr>
        <w:footnoteReference w:id="8"/>
      </w:r>
      <w:r w:rsidR="00760783" w:rsidRPr="00F12289">
        <w:rPr>
          <w:rFonts w:ascii="Arial" w:hAnsi="Arial" w:cs="Arial"/>
          <w:sz w:val="24"/>
          <w:szCs w:val="24"/>
        </w:rPr>
        <w:t>.</w:t>
      </w:r>
      <w:r w:rsidR="00802E6A" w:rsidRPr="00F12289">
        <w:rPr>
          <w:rFonts w:ascii="Arial" w:hAnsi="Arial" w:cs="Arial"/>
          <w:sz w:val="24"/>
          <w:szCs w:val="24"/>
        </w:rPr>
        <w:t xml:space="preserve"> </w:t>
      </w:r>
    </w:p>
    <w:p w14:paraId="22216BDA" w14:textId="77777777" w:rsidR="00802E6A" w:rsidRDefault="00802E6A" w:rsidP="00802E6A">
      <w:pPr>
        <w:pStyle w:val="Prrafodelista"/>
        <w:widowControl w:val="0"/>
        <w:suppressAutoHyphens/>
        <w:spacing w:line="360" w:lineRule="auto"/>
        <w:ind w:left="709"/>
        <w:contextualSpacing/>
        <w:jc w:val="both"/>
        <w:rPr>
          <w:rFonts w:ascii="Arial" w:hAnsi="Arial" w:cs="Arial"/>
          <w:sz w:val="26"/>
          <w:szCs w:val="26"/>
        </w:rPr>
      </w:pPr>
    </w:p>
    <w:p w14:paraId="21BC0B5F" w14:textId="57FC39E1" w:rsidR="00802E6A" w:rsidRPr="00F12289" w:rsidRDefault="00802E6A" w:rsidP="00A57A8D">
      <w:pPr>
        <w:pStyle w:val="Prrafodelista"/>
        <w:widowControl w:val="0"/>
        <w:numPr>
          <w:ilvl w:val="0"/>
          <w:numId w:val="1"/>
        </w:numPr>
        <w:suppressAutoHyphens/>
        <w:spacing w:line="360" w:lineRule="auto"/>
        <w:ind w:left="-142" w:hanging="425"/>
        <w:contextualSpacing/>
        <w:jc w:val="both"/>
        <w:rPr>
          <w:rFonts w:ascii="Arial" w:hAnsi="Arial" w:cs="Arial"/>
          <w:sz w:val="26"/>
          <w:szCs w:val="26"/>
        </w:rPr>
      </w:pPr>
      <w:r w:rsidRPr="00F12289">
        <w:rPr>
          <w:rFonts w:ascii="Arial" w:hAnsi="Arial" w:cs="Arial"/>
          <w:b/>
          <w:sz w:val="26"/>
          <w:szCs w:val="26"/>
        </w:rPr>
        <w:t xml:space="preserve">Recurso de revisión. </w:t>
      </w:r>
      <w:r w:rsidR="00293EFD" w:rsidRPr="00F12289">
        <w:rPr>
          <w:rFonts w:ascii="Arial" w:hAnsi="Arial" w:cs="Arial"/>
          <w:bCs/>
          <w:iCs/>
          <w:sz w:val="26"/>
          <w:szCs w:val="26"/>
          <w:lang w:val="es-MX"/>
        </w:rPr>
        <w:t>En su escrito de expresión de agravios, la quejosa, ahora recurrente, plantea los siguientes argumentos</w:t>
      </w:r>
      <w:r w:rsidR="00EE592C" w:rsidRPr="00F12289">
        <w:rPr>
          <w:rFonts w:ascii="Arial" w:hAnsi="Arial" w:cs="Arial"/>
          <w:sz w:val="26"/>
          <w:szCs w:val="26"/>
        </w:rPr>
        <w:t>:</w:t>
      </w:r>
    </w:p>
    <w:p w14:paraId="1F5DA938" w14:textId="77777777" w:rsidR="00802E6A" w:rsidRPr="00F12289" w:rsidRDefault="00802E6A" w:rsidP="00A57A8D">
      <w:pPr>
        <w:pStyle w:val="Prrafodelista"/>
        <w:widowControl w:val="0"/>
        <w:suppressAutoHyphens/>
        <w:spacing w:line="360" w:lineRule="auto"/>
        <w:ind w:left="-142"/>
        <w:contextualSpacing/>
        <w:jc w:val="both"/>
        <w:rPr>
          <w:rFonts w:ascii="Arial" w:hAnsi="Arial" w:cs="Arial"/>
          <w:sz w:val="26"/>
          <w:szCs w:val="26"/>
        </w:rPr>
      </w:pPr>
    </w:p>
    <w:p w14:paraId="6C4D35B6" w14:textId="63C48381" w:rsidR="00A57A8D" w:rsidRPr="00F12289" w:rsidRDefault="00802E6A" w:rsidP="00A57A8D">
      <w:pPr>
        <w:pStyle w:val="Prrafodelista"/>
        <w:numPr>
          <w:ilvl w:val="0"/>
          <w:numId w:val="1"/>
        </w:numPr>
        <w:spacing w:line="360" w:lineRule="auto"/>
        <w:ind w:left="-142" w:hanging="425"/>
        <w:contextualSpacing/>
        <w:jc w:val="both"/>
        <w:rPr>
          <w:rFonts w:ascii="Arial" w:hAnsi="Arial" w:cs="Arial"/>
          <w:bCs/>
          <w:iCs/>
          <w:sz w:val="26"/>
          <w:szCs w:val="26"/>
          <w:lang w:val="es-MX"/>
        </w:rPr>
      </w:pPr>
      <w:r w:rsidRPr="00F12289">
        <w:rPr>
          <w:rFonts w:ascii="Arial" w:hAnsi="Arial" w:cs="Arial"/>
          <w:sz w:val="26"/>
          <w:szCs w:val="26"/>
        </w:rPr>
        <w:t xml:space="preserve">En </w:t>
      </w:r>
      <w:r w:rsidR="00293EFD" w:rsidRPr="00F12289">
        <w:rPr>
          <w:rFonts w:ascii="Arial" w:hAnsi="Arial" w:cs="Arial"/>
          <w:bCs/>
          <w:iCs/>
          <w:sz w:val="26"/>
          <w:szCs w:val="26"/>
          <w:lang w:val="es-MX"/>
        </w:rPr>
        <w:t xml:space="preserve">su </w:t>
      </w:r>
      <w:r w:rsidR="00293EFD" w:rsidRPr="00F12289">
        <w:rPr>
          <w:rFonts w:ascii="Arial" w:hAnsi="Arial" w:cs="Arial"/>
          <w:b/>
          <w:bCs/>
          <w:iCs/>
          <w:sz w:val="26"/>
          <w:szCs w:val="26"/>
          <w:lang w:val="es-MX"/>
        </w:rPr>
        <w:t>primer agravio</w:t>
      </w:r>
      <w:r w:rsidR="00293EFD" w:rsidRPr="00F12289">
        <w:rPr>
          <w:rFonts w:ascii="Arial" w:hAnsi="Arial" w:cs="Arial"/>
          <w:bCs/>
          <w:iCs/>
          <w:sz w:val="26"/>
          <w:szCs w:val="26"/>
          <w:lang w:val="es-MX"/>
        </w:rPr>
        <w:t xml:space="preserve">, combate la determinación del tribunal colegiado de declarar </w:t>
      </w:r>
      <w:r w:rsidR="00293EFD" w:rsidRPr="00F12289">
        <w:rPr>
          <w:rFonts w:ascii="Arial" w:hAnsi="Arial" w:cs="Arial"/>
          <w:b/>
          <w:bCs/>
          <w:iCs/>
          <w:sz w:val="26"/>
          <w:szCs w:val="26"/>
          <w:lang w:val="es-MX"/>
        </w:rPr>
        <w:t>infundados</w:t>
      </w:r>
      <w:r w:rsidR="00293EFD" w:rsidRPr="00F12289">
        <w:rPr>
          <w:rFonts w:ascii="Arial" w:hAnsi="Arial" w:cs="Arial"/>
          <w:bCs/>
          <w:iCs/>
          <w:sz w:val="26"/>
          <w:szCs w:val="26"/>
          <w:lang w:val="es-MX"/>
        </w:rPr>
        <w:t xml:space="preserve"> los conceptos de violación en los que alega la inconstitucionalida</w:t>
      </w:r>
      <w:r w:rsidR="001A308A" w:rsidRPr="00F12289">
        <w:rPr>
          <w:rFonts w:ascii="Arial" w:hAnsi="Arial" w:cs="Arial"/>
          <w:bCs/>
          <w:iCs/>
          <w:sz w:val="26"/>
          <w:szCs w:val="26"/>
          <w:lang w:val="es-MX"/>
        </w:rPr>
        <w:t xml:space="preserve">d del artículo 59, fracción III, </w:t>
      </w:r>
      <w:r w:rsidR="00293EFD" w:rsidRPr="00F12289">
        <w:rPr>
          <w:rFonts w:ascii="Arial" w:hAnsi="Arial" w:cs="Arial"/>
          <w:bCs/>
          <w:iCs/>
          <w:sz w:val="26"/>
          <w:szCs w:val="26"/>
          <w:lang w:val="es-MX"/>
        </w:rPr>
        <w:t>del</w:t>
      </w:r>
      <w:r w:rsidR="001A308A" w:rsidRPr="00F12289">
        <w:rPr>
          <w:rFonts w:ascii="Arial" w:hAnsi="Arial" w:cs="Arial"/>
          <w:bCs/>
          <w:iCs/>
          <w:sz w:val="26"/>
          <w:szCs w:val="26"/>
          <w:lang w:val="es-MX"/>
        </w:rPr>
        <w:t xml:space="preserve"> Código Fiscal de la Federación</w:t>
      </w:r>
      <w:r w:rsidR="00293EFD" w:rsidRPr="00F12289">
        <w:rPr>
          <w:rFonts w:ascii="Arial" w:hAnsi="Arial" w:cs="Arial"/>
          <w:bCs/>
          <w:iCs/>
          <w:sz w:val="26"/>
          <w:szCs w:val="26"/>
          <w:lang w:val="es-MX"/>
        </w:rPr>
        <w:t xml:space="preserve"> vigente en dos mil ocho –con base en el criterio sustentado por esta Primera Sala al resolver el amparo directo en revisión </w:t>
      </w:r>
      <w:r w:rsidR="00293EFD" w:rsidRPr="00F12289">
        <w:rPr>
          <w:rFonts w:ascii="Arial" w:hAnsi="Arial" w:cs="Arial"/>
          <w:b/>
          <w:bCs/>
          <w:iCs/>
          <w:sz w:val="26"/>
          <w:szCs w:val="26"/>
          <w:lang w:val="es-MX"/>
        </w:rPr>
        <w:t>4119/2016</w:t>
      </w:r>
      <w:r w:rsidR="00293EFD" w:rsidRPr="00F12289">
        <w:rPr>
          <w:rFonts w:ascii="Arial" w:hAnsi="Arial" w:cs="Arial"/>
          <w:bCs/>
          <w:iCs/>
          <w:sz w:val="26"/>
          <w:szCs w:val="26"/>
          <w:lang w:val="es-MX"/>
        </w:rPr>
        <w:t>–, pues considera que el órgano jurisdiccional no resolvió el p</w:t>
      </w:r>
      <w:r w:rsidR="001A308A" w:rsidRPr="00F12289">
        <w:rPr>
          <w:rFonts w:ascii="Arial" w:hAnsi="Arial" w:cs="Arial"/>
          <w:bCs/>
          <w:iCs/>
          <w:sz w:val="26"/>
          <w:szCs w:val="26"/>
          <w:lang w:val="es-MX"/>
        </w:rPr>
        <w:t>roblema efectivamente planteado</w:t>
      </w:r>
      <w:r w:rsidR="00293EFD" w:rsidRPr="00F12289">
        <w:rPr>
          <w:rFonts w:ascii="Arial" w:hAnsi="Arial" w:cs="Arial"/>
          <w:bCs/>
          <w:iCs/>
          <w:sz w:val="26"/>
          <w:szCs w:val="26"/>
          <w:lang w:val="es-MX"/>
        </w:rPr>
        <w:t xml:space="preserve"> consistente en que dicha norma </w:t>
      </w:r>
      <w:r w:rsidR="001A308A" w:rsidRPr="00F12289">
        <w:rPr>
          <w:rFonts w:ascii="Arial" w:hAnsi="Arial" w:cs="Arial"/>
          <w:bCs/>
          <w:iCs/>
          <w:sz w:val="26"/>
          <w:szCs w:val="26"/>
          <w:lang w:val="es-MX"/>
        </w:rPr>
        <w:t>faculta a la autoridad fiscal al</w:t>
      </w:r>
      <w:r w:rsidR="00293EFD" w:rsidRPr="00F12289">
        <w:rPr>
          <w:rFonts w:ascii="Arial" w:hAnsi="Arial" w:cs="Arial"/>
          <w:bCs/>
          <w:iCs/>
          <w:sz w:val="26"/>
          <w:szCs w:val="26"/>
          <w:lang w:val="es-MX"/>
        </w:rPr>
        <w:t xml:space="preserve"> considerar que los depósitos bancarios no registrados en la contabilidad de un contribuyente puedan ser considerados como ingresos acumulables respecto de los cuales debe pagarse impuesto sobre la renta. A su consideración, tal facultad le corresponde únicamente al legislador.</w:t>
      </w:r>
    </w:p>
    <w:p w14:paraId="4A02E663" w14:textId="77777777" w:rsidR="00A57A8D" w:rsidRPr="00F12289" w:rsidRDefault="00A57A8D" w:rsidP="00A57A8D">
      <w:pPr>
        <w:pStyle w:val="Prrafodelista"/>
        <w:spacing w:line="360" w:lineRule="auto"/>
        <w:ind w:left="-142"/>
        <w:contextualSpacing/>
        <w:jc w:val="both"/>
        <w:rPr>
          <w:rFonts w:ascii="Arial" w:hAnsi="Arial" w:cs="Arial"/>
          <w:bCs/>
          <w:iCs/>
          <w:sz w:val="26"/>
          <w:szCs w:val="26"/>
          <w:lang w:val="es-MX"/>
        </w:rPr>
      </w:pPr>
    </w:p>
    <w:p w14:paraId="280485FA" w14:textId="31987D0A" w:rsidR="00293EFD" w:rsidRPr="00F12289" w:rsidRDefault="00293EFD" w:rsidP="00A57A8D">
      <w:pPr>
        <w:pStyle w:val="Prrafodelista"/>
        <w:numPr>
          <w:ilvl w:val="0"/>
          <w:numId w:val="1"/>
        </w:numPr>
        <w:spacing w:line="360" w:lineRule="auto"/>
        <w:ind w:left="-142" w:hanging="425"/>
        <w:contextualSpacing/>
        <w:jc w:val="both"/>
        <w:rPr>
          <w:rFonts w:ascii="Arial" w:hAnsi="Arial" w:cs="Arial"/>
          <w:bCs/>
          <w:iCs/>
          <w:sz w:val="26"/>
          <w:szCs w:val="26"/>
          <w:lang w:val="es-MX"/>
        </w:rPr>
      </w:pPr>
      <w:r w:rsidRPr="00F12289">
        <w:rPr>
          <w:rFonts w:ascii="Arial" w:hAnsi="Arial" w:cs="Arial"/>
          <w:bCs/>
          <w:iCs/>
          <w:sz w:val="26"/>
          <w:szCs w:val="26"/>
          <w:lang w:val="es-MX"/>
        </w:rPr>
        <w:t xml:space="preserve">Señala que en su demanda de amparo no combatió el hecho de que los depósitos bancarios no registrados en la contabilidad de un </w:t>
      </w:r>
      <w:r w:rsidR="001A308A" w:rsidRPr="00F12289">
        <w:rPr>
          <w:rFonts w:ascii="Arial" w:hAnsi="Arial" w:cs="Arial"/>
          <w:bCs/>
          <w:iCs/>
          <w:sz w:val="26"/>
          <w:szCs w:val="26"/>
          <w:lang w:val="es-MX"/>
        </w:rPr>
        <w:t>contribuyente sean considerados</w:t>
      </w:r>
      <w:r w:rsidRPr="00F12289">
        <w:rPr>
          <w:rFonts w:ascii="Arial" w:hAnsi="Arial" w:cs="Arial"/>
          <w:bCs/>
          <w:iCs/>
          <w:sz w:val="26"/>
          <w:szCs w:val="26"/>
          <w:lang w:val="es-MX"/>
        </w:rPr>
        <w:t xml:space="preserve"> a tr</w:t>
      </w:r>
      <w:r w:rsidR="001A308A" w:rsidRPr="00F12289">
        <w:rPr>
          <w:rFonts w:ascii="Arial" w:hAnsi="Arial" w:cs="Arial"/>
          <w:bCs/>
          <w:iCs/>
          <w:sz w:val="26"/>
          <w:szCs w:val="26"/>
          <w:lang w:val="es-MX"/>
        </w:rPr>
        <w:t>avés de una presunción relativa</w:t>
      </w:r>
      <w:r w:rsidRPr="00F12289">
        <w:rPr>
          <w:rFonts w:ascii="Arial" w:hAnsi="Arial" w:cs="Arial"/>
          <w:bCs/>
          <w:iCs/>
          <w:sz w:val="26"/>
          <w:szCs w:val="26"/>
          <w:lang w:val="es-MX"/>
        </w:rPr>
        <w:t xml:space="preserve"> ingresos acumulables afectos al pago del impuesto sobre la renta; sino el hecho de que sea justamente la autoridad fiscal quien los valide como ingresos, y no el legislador.  </w:t>
      </w:r>
    </w:p>
    <w:p w14:paraId="7E3476BA" w14:textId="77777777" w:rsidR="00293EFD" w:rsidRPr="00F12289" w:rsidRDefault="00293EFD" w:rsidP="00A57A8D">
      <w:pPr>
        <w:spacing w:line="360" w:lineRule="auto"/>
        <w:contextualSpacing/>
        <w:jc w:val="both"/>
        <w:rPr>
          <w:rFonts w:ascii="Arial" w:hAnsi="Arial" w:cs="Arial"/>
          <w:bCs/>
          <w:iCs/>
          <w:sz w:val="26"/>
          <w:szCs w:val="26"/>
        </w:rPr>
      </w:pPr>
    </w:p>
    <w:p w14:paraId="50948290" w14:textId="77777777" w:rsidR="00293EFD" w:rsidRPr="00F12289" w:rsidRDefault="00293EFD" w:rsidP="00A57A8D">
      <w:pPr>
        <w:pStyle w:val="Prrafodelista"/>
        <w:numPr>
          <w:ilvl w:val="0"/>
          <w:numId w:val="1"/>
        </w:numPr>
        <w:spacing w:line="360" w:lineRule="auto"/>
        <w:ind w:left="-142" w:hanging="425"/>
        <w:contextualSpacing/>
        <w:jc w:val="both"/>
        <w:rPr>
          <w:rFonts w:ascii="Arial" w:hAnsi="Arial" w:cs="Arial"/>
          <w:bCs/>
          <w:iCs/>
          <w:sz w:val="26"/>
          <w:szCs w:val="26"/>
          <w:lang w:val="es-MX"/>
        </w:rPr>
      </w:pPr>
      <w:r w:rsidRPr="00F12289">
        <w:rPr>
          <w:rFonts w:ascii="Arial" w:hAnsi="Arial" w:cs="Arial"/>
          <w:bCs/>
          <w:iCs/>
          <w:sz w:val="26"/>
          <w:szCs w:val="26"/>
          <w:lang w:val="es-MX"/>
        </w:rPr>
        <w:t xml:space="preserve">Por otra parte, solicita que sea el Pleno de este Alto Tribunal quien resuelva el problema de constitucionalidad planteado, pues considera </w:t>
      </w:r>
      <w:proofErr w:type="gramStart"/>
      <w:r w:rsidRPr="00F12289">
        <w:rPr>
          <w:rFonts w:ascii="Arial" w:hAnsi="Arial" w:cs="Arial"/>
          <w:bCs/>
          <w:iCs/>
          <w:sz w:val="26"/>
          <w:szCs w:val="26"/>
          <w:lang w:val="es-MX"/>
        </w:rPr>
        <w:t>que</w:t>
      </w:r>
      <w:proofErr w:type="gramEnd"/>
      <w:r w:rsidRPr="00F12289">
        <w:rPr>
          <w:rFonts w:ascii="Arial" w:hAnsi="Arial" w:cs="Arial"/>
          <w:bCs/>
          <w:iCs/>
          <w:sz w:val="26"/>
          <w:szCs w:val="26"/>
          <w:lang w:val="es-MX"/>
        </w:rPr>
        <w:t xml:space="preserve"> si bien esta Primera Sala es competente para conocer del asunto por cuestión de la materia del asunto, también lo es que el asunto deriva de la inconstitucionalidad de una ley fiscal, por lo que sería más idóneo que sea la Segunda Sala la que conociera del asunto. Sin embargo, considera que por la relevancia jurídica que implica la resolución del asunto debería ser el Pleno de esta Suprema Corte quien analice la problemática planteada.</w:t>
      </w:r>
    </w:p>
    <w:p w14:paraId="1CEF2212" w14:textId="77777777" w:rsidR="00293EFD" w:rsidRPr="00F12289" w:rsidRDefault="00293EFD" w:rsidP="00A57A8D">
      <w:pPr>
        <w:spacing w:line="360" w:lineRule="auto"/>
        <w:contextualSpacing/>
        <w:jc w:val="both"/>
        <w:rPr>
          <w:rFonts w:ascii="Arial" w:hAnsi="Arial" w:cs="Arial"/>
          <w:bCs/>
          <w:iCs/>
          <w:sz w:val="26"/>
          <w:szCs w:val="26"/>
        </w:rPr>
      </w:pPr>
    </w:p>
    <w:p w14:paraId="7BD296F0" w14:textId="70591584" w:rsidR="00293EFD" w:rsidRPr="00F12289" w:rsidRDefault="00293EFD" w:rsidP="00F27DBC">
      <w:pPr>
        <w:pStyle w:val="Prrafodelista"/>
        <w:numPr>
          <w:ilvl w:val="0"/>
          <w:numId w:val="1"/>
        </w:numPr>
        <w:spacing w:line="360" w:lineRule="auto"/>
        <w:ind w:left="-142" w:hanging="425"/>
        <w:contextualSpacing/>
        <w:jc w:val="both"/>
        <w:rPr>
          <w:rFonts w:ascii="Arial" w:hAnsi="Arial" w:cs="Arial"/>
          <w:bCs/>
          <w:iCs/>
          <w:sz w:val="26"/>
          <w:szCs w:val="26"/>
          <w:lang w:val="es-MX"/>
        </w:rPr>
      </w:pPr>
      <w:r w:rsidRPr="00F12289">
        <w:rPr>
          <w:rFonts w:ascii="Arial" w:hAnsi="Arial" w:cs="Arial"/>
          <w:bCs/>
          <w:iCs/>
          <w:sz w:val="26"/>
          <w:szCs w:val="26"/>
          <w:lang w:val="es-MX"/>
        </w:rPr>
        <w:t xml:space="preserve">En su </w:t>
      </w:r>
      <w:r w:rsidRPr="00F12289">
        <w:rPr>
          <w:rFonts w:ascii="Arial" w:hAnsi="Arial" w:cs="Arial"/>
          <w:b/>
          <w:bCs/>
          <w:iCs/>
          <w:sz w:val="26"/>
          <w:szCs w:val="26"/>
          <w:lang w:val="es-MX"/>
        </w:rPr>
        <w:t>segundo agravio</w:t>
      </w:r>
      <w:r w:rsidRPr="00F12289">
        <w:rPr>
          <w:rFonts w:ascii="Arial" w:hAnsi="Arial" w:cs="Arial"/>
          <w:bCs/>
          <w:iCs/>
          <w:sz w:val="26"/>
          <w:szCs w:val="26"/>
          <w:lang w:val="es-MX"/>
        </w:rPr>
        <w:t xml:space="preserve"> alega que fue incorrecto que el</w:t>
      </w:r>
      <w:r w:rsidR="001A308A" w:rsidRPr="00F12289">
        <w:rPr>
          <w:rFonts w:ascii="Arial" w:hAnsi="Arial" w:cs="Arial"/>
          <w:bCs/>
          <w:iCs/>
          <w:sz w:val="26"/>
          <w:szCs w:val="26"/>
          <w:lang w:val="es-MX"/>
        </w:rPr>
        <w:t xml:space="preserve"> tribunal colegiado haya declarado</w:t>
      </w:r>
      <w:r w:rsidRPr="00F12289">
        <w:rPr>
          <w:rFonts w:ascii="Arial" w:hAnsi="Arial" w:cs="Arial"/>
          <w:bCs/>
          <w:iCs/>
          <w:sz w:val="26"/>
          <w:szCs w:val="26"/>
          <w:lang w:val="es-MX"/>
        </w:rPr>
        <w:t xml:space="preserve"> </w:t>
      </w:r>
      <w:r w:rsidRPr="00F12289">
        <w:rPr>
          <w:rFonts w:ascii="Arial" w:hAnsi="Arial" w:cs="Arial"/>
          <w:b/>
          <w:bCs/>
          <w:iCs/>
          <w:sz w:val="26"/>
          <w:szCs w:val="26"/>
          <w:lang w:val="es-MX"/>
        </w:rPr>
        <w:t>inoperante</w:t>
      </w:r>
      <w:r w:rsidRPr="00F12289">
        <w:rPr>
          <w:rFonts w:ascii="Arial" w:hAnsi="Arial" w:cs="Arial"/>
          <w:bCs/>
          <w:iCs/>
          <w:sz w:val="26"/>
          <w:szCs w:val="26"/>
          <w:lang w:val="es-MX"/>
        </w:rPr>
        <w:t xml:space="preserve"> el concepto de violación en el que se hizo valer la cosa juzgada refleja</w:t>
      </w:r>
      <w:r w:rsidR="001A308A" w:rsidRPr="00F12289">
        <w:rPr>
          <w:rFonts w:ascii="Arial" w:hAnsi="Arial" w:cs="Arial"/>
          <w:bCs/>
          <w:iCs/>
          <w:sz w:val="26"/>
          <w:szCs w:val="26"/>
          <w:lang w:val="es-MX"/>
        </w:rPr>
        <w:t>da</w:t>
      </w:r>
      <w:r w:rsidRPr="00F12289">
        <w:rPr>
          <w:rFonts w:ascii="Arial" w:hAnsi="Arial" w:cs="Arial"/>
          <w:bCs/>
          <w:iCs/>
          <w:sz w:val="26"/>
          <w:szCs w:val="26"/>
          <w:lang w:val="es-MX"/>
        </w:rPr>
        <w:t xml:space="preserve">. Considera que no fue correcto que el órgano colegiado haya determinado que en el caso no era aplicable el criterio sustentado por un diverso tribunal </w:t>
      </w:r>
      <w:r w:rsidR="001A308A" w:rsidRPr="00F12289">
        <w:rPr>
          <w:rFonts w:ascii="Arial" w:hAnsi="Arial" w:cs="Arial"/>
          <w:bCs/>
          <w:iCs/>
          <w:sz w:val="26"/>
          <w:szCs w:val="26"/>
          <w:lang w:val="es-MX"/>
        </w:rPr>
        <w:t>en relación, a su consideración</w:t>
      </w:r>
      <w:r w:rsidRPr="00F12289">
        <w:rPr>
          <w:rFonts w:ascii="Arial" w:hAnsi="Arial" w:cs="Arial"/>
          <w:bCs/>
          <w:iCs/>
          <w:sz w:val="26"/>
          <w:szCs w:val="26"/>
          <w:lang w:val="es-MX"/>
        </w:rPr>
        <w:t xml:space="preserve"> </w:t>
      </w:r>
      <w:proofErr w:type="gramStart"/>
      <w:r w:rsidRPr="00F12289">
        <w:rPr>
          <w:rFonts w:ascii="Arial" w:hAnsi="Arial" w:cs="Arial"/>
          <w:bCs/>
          <w:iCs/>
          <w:sz w:val="26"/>
          <w:szCs w:val="26"/>
          <w:lang w:val="es-MX"/>
        </w:rPr>
        <w:t>de  la</w:t>
      </w:r>
      <w:proofErr w:type="gramEnd"/>
      <w:r w:rsidRPr="00F12289">
        <w:rPr>
          <w:rFonts w:ascii="Arial" w:hAnsi="Arial" w:cs="Arial"/>
          <w:bCs/>
          <w:iCs/>
          <w:sz w:val="26"/>
          <w:szCs w:val="26"/>
          <w:lang w:val="es-MX"/>
        </w:rPr>
        <w:t xml:space="preserve"> “</w:t>
      </w:r>
      <w:r w:rsidRPr="00F12289">
        <w:rPr>
          <w:rFonts w:ascii="Arial" w:hAnsi="Arial" w:cs="Arial"/>
          <w:bCs/>
          <w:i/>
          <w:iCs/>
          <w:sz w:val="26"/>
          <w:szCs w:val="26"/>
          <w:lang w:val="es-MX"/>
        </w:rPr>
        <w:t>ilicitud de pruebas incriminatorias</w:t>
      </w:r>
      <w:r w:rsidRPr="00F12289">
        <w:rPr>
          <w:rFonts w:ascii="Arial" w:hAnsi="Arial" w:cs="Arial"/>
          <w:bCs/>
          <w:iCs/>
          <w:sz w:val="26"/>
          <w:szCs w:val="26"/>
          <w:lang w:val="es-MX"/>
        </w:rPr>
        <w:t>”, alegando que un criterio plasmado en una sentencia diversa de otro tribunal no lo vinculaba.</w:t>
      </w:r>
      <w:r w:rsidR="00F27DBC" w:rsidRPr="00F12289">
        <w:rPr>
          <w:rFonts w:ascii="Arial" w:hAnsi="Arial" w:cs="Arial"/>
          <w:bCs/>
          <w:iCs/>
          <w:sz w:val="26"/>
          <w:szCs w:val="26"/>
          <w:lang w:val="es-MX"/>
        </w:rPr>
        <w:t xml:space="preserve"> </w:t>
      </w:r>
      <w:r w:rsidRPr="00F12289">
        <w:rPr>
          <w:rFonts w:ascii="Arial" w:hAnsi="Arial" w:cs="Arial"/>
          <w:bCs/>
          <w:iCs/>
          <w:sz w:val="26"/>
          <w:szCs w:val="26"/>
          <w:lang w:val="es-MX"/>
        </w:rPr>
        <w:t>Considera que lo anterior fue incorrecto, toda vez que se trata de asuntos conexos a los que debe ser aplicado el mismo criterio jurídico.</w:t>
      </w:r>
    </w:p>
    <w:p w14:paraId="58794E5D" w14:textId="22F5CF55" w:rsidR="00802E6A" w:rsidRPr="00F12289" w:rsidRDefault="00802E6A" w:rsidP="00802E6A">
      <w:pPr>
        <w:pStyle w:val="Prrafodelista"/>
        <w:spacing w:after="160" w:line="360" w:lineRule="auto"/>
        <w:ind w:left="0"/>
        <w:contextualSpacing/>
        <w:jc w:val="both"/>
        <w:rPr>
          <w:rFonts w:ascii="Arial" w:hAnsi="Arial" w:cs="Arial"/>
          <w:sz w:val="26"/>
          <w:szCs w:val="26"/>
        </w:rPr>
      </w:pPr>
    </w:p>
    <w:p w14:paraId="13C41763" w14:textId="249B6629" w:rsidR="00693E61" w:rsidRPr="00F12289" w:rsidRDefault="00360045" w:rsidP="00693E61">
      <w:pPr>
        <w:pStyle w:val="Prrafodelista"/>
        <w:widowControl w:val="0"/>
        <w:numPr>
          <w:ilvl w:val="0"/>
          <w:numId w:val="1"/>
        </w:numPr>
        <w:suppressAutoHyphens/>
        <w:spacing w:line="360" w:lineRule="auto"/>
        <w:ind w:left="0" w:hanging="567"/>
        <w:contextualSpacing/>
        <w:jc w:val="both"/>
        <w:rPr>
          <w:rFonts w:ascii="Arial" w:hAnsi="Arial" w:cs="Arial"/>
          <w:sz w:val="26"/>
          <w:szCs w:val="26"/>
        </w:rPr>
      </w:pPr>
      <w:r w:rsidRPr="00F12289">
        <w:rPr>
          <w:rFonts w:ascii="Arial" w:hAnsi="Arial" w:cs="Arial"/>
          <w:b/>
          <w:sz w:val="26"/>
          <w:szCs w:val="26"/>
        </w:rPr>
        <w:t>QUINTO. Análisis de los requisitos de procedencia.</w:t>
      </w:r>
      <w:r w:rsidRPr="00F12289">
        <w:rPr>
          <w:rFonts w:ascii="Arial" w:hAnsi="Arial" w:cs="Arial"/>
          <w:sz w:val="26"/>
          <w:szCs w:val="26"/>
        </w:rPr>
        <w:t xml:space="preserve"> </w:t>
      </w:r>
      <w:r w:rsidR="00693E61" w:rsidRPr="00F12289">
        <w:rPr>
          <w:rFonts w:ascii="Arial" w:hAnsi="Arial" w:cs="Arial"/>
          <w:sz w:val="26"/>
          <w:szCs w:val="26"/>
        </w:rPr>
        <w:t xml:space="preserve">Los artículos 107, fracción IX, de la Constitución Política de los Estados Unidos Mexicanos, y 81, fracción II, de la Ley de Amparo </w:t>
      </w:r>
      <w:r w:rsidR="001A308A" w:rsidRPr="00F12289">
        <w:rPr>
          <w:rFonts w:ascii="Arial" w:hAnsi="Arial" w:cs="Arial"/>
          <w:sz w:val="26"/>
          <w:szCs w:val="26"/>
        </w:rPr>
        <w:t xml:space="preserve">que </w:t>
      </w:r>
      <w:r w:rsidR="00693E61" w:rsidRPr="00F12289">
        <w:rPr>
          <w:rFonts w:ascii="Arial" w:hAnsi="Arial" w:cs="Arial"/>
          <w:sz w:val="26"/>
          <w:szCs w:val="26"/>
        </w:rPr>
        <w:t>establecen los requisitos genéricos de procedencia del recurso de revisión tratándose de amparo directo, que son los siguientes:</w:t>
      </w:r>
    </w:p>
    <w:p w14:paraId="64C1EF87" w14:textId="77777777" w:rsidR="00693E61" w:rsidRPr="00842D76" w:rsidRDefault="00693E61" w:rsidP="00693E61">
      <w:pPr>
        <w:pStyle w:val="Prrafodelista"/>
        <w:widowControl w:val="0"/>
        <w:suppressAutoHyphens/>
        <w:spacing w:line="360" w:lineRule="auto"/>
        <w:ind w:left="0"/>
        <w:jc w:val="both"/>
        <w:rPr>
          <w:rFonts w:ascii="Arial" w:hAnsi="Arial" w:cs="Arial"/>
          <w:sz w:val="26"/>
          <w:szCs w:val="26"/>
        </w:rPr>
      </w:pPr>
    </w:p>
    <w:p w14:paraId="7F0F0194" w14:textId="77777777" w:rsidR="00693E61" w:rsidRPr="00F12289" w:rsidRDefault="00693E61" w:rsidP="00693E61">
      <w:pPr>
        <w:pStyle w:val="Prrafodelista"/>
        <w:widowControl w:val="0"/>
        <w:numPr>
          <w:ilvl w:val="1"/>
          <w:numId w:val="1"/>
        </w:numPr>
        <w:overflowPunct w:val="0"/>
        <w:adjustRightInd w:val="0"/>
        <w:spacing w:after="120" w:line="276" w:lineRule="auto"/>
        <w:ind w:left="1077"/>
        <w:jc w:val="both"/>
        <w:rPr>
          <w:rStyle w:val="corte4fondoCar1"/>
          <w:sz w:val="24"/>
          <w:szCs w:val="24"/>
        </w:rPr>
      </w:pPr>
      <w:r w:rsidRPr="00F12289">
        <w:rPr>
          <w:rStyle w:val="corte4fondoCar1"/>
          <w:b/>
          <w:sz w:val="24"/>
          <w:szCs w:val="24"/>
        </w:rPr>
        <w:t xml:space="preserve">A. </w:t>
      </w:r>
      <w:r w:rsidRPr="00F12289">
        <w:rPr>
          <w:rStyle w:val="corte4fondoCar1"/>
          <w:sz w:val="24"/>
          <w:szCs w:val="24"/>
        </w:rPr>
        <w:t>Si en la sentencia de amparo existió un pronunciamiento sobre la constitucionalidad de una norma general o la interpretación directa de un precepto de la Constitución o de los derechos humanos reconocidos en los tratados internacionales de los que el Estado mexicano sea parte; o bien, si en dicha sentencia se omitió el estudio de esas cuestiones cuando se hubieren planteado en la demanda de amparo (</w:t>
      </w:r>
      <w:r w:rsidRPr="00F12289">
        <w:rPr>
          <w:rStyle w:val="corte4fondoCar1"/>
          <w:b/>
          <w:i/>
          <w:sz w:val="24"/>
          <w:szCs w:val="24"/>
        </w:rPr>
        <w:t>cuestión de constitucionalidad</w:t>
      </w:r>
      <w:r w:rsidRPr="00F12289">
        <w:rPr>
          <w:rStyle w:val="corte4fondoCar1"/>
          <w:sz w:val="24"/>
          <w:szCs w:val="24"/>
        </w:rPr>
        <w:t>).</w:t>
      </w:r>
    </w:p>
    <w:p w14:paraId="42E27117" w14:textId="2B3184C6" w:rsidR="00693E61" w:rsidRPr="00F12289" w:rsidRDefault="00693E61" w:rsidP="00693E61">
      <w:pPr>
        <w:pStyle w:val="Prrafodelista"/>
        <w:widowControl w:val="0"/>
        <w:numPr>
          <w:ilvl w:val="1"/>
          <w:numId w:val="1"/>
        </w:numPr>
        <w:overflowPunct w:val="0"/>
        <w:adjustRightInd w:val="0"/>
        <w:spacing w:after="120" w:line="276" w:lineRule="auto"/>
        <w:ind w:left="1077"/>
        <w:jc w:val="both"/>
        <w:rPr>
          <w:rStyle w:val="corte4fondoCar1"/>
          <w:sz w:val="24"/>
          <w:szCs w:val="24"/>
        </w:rPr>
      </w:pPr>
      <w:r w:rsidRPr="00F12289">
        <w:rPr>
          <w:rStyle w:val="corte4fondoCar1"/>
          <w:b/>
          <w:sz w:val="24"/>
          <w:szCs w:val="24"/>
        </w:rPr>
        <w:t xml:space="preserve">B. </w:t>
      </w:r>
      <w:r w:rsidRPr="00F12289">
        <w:rPr>
          <w:rStyle w:val="corte4fondoCar1"/>
          <w:sz w:val="24"/>
          <w:szCs w:val="24"/>
        </w:rPr>
        <w:t>Que el análisis del problema de constitucionalidad referido, de conformidad con el Acuerdo General número 9/2015 del Tribunal Pleno de esta Suprema Corte de Justicia de la Nación, de lugar a un pronunciamiento novedoso o de relevancia para el orden jurídico nacional, o lo decidido en la sentencia recurrida implique el desconocimiento de un criterio sostenido por esta Suprema Corte de Justicia de la Nación (</w:t>
      </w:r>
      <w:r w:rsidRPr="00F12289">
        <w:rPr>
          <w:rStyle w:val="corte4fondoCar1"/>
          <w:b/>
          <w:i/>
          <w:sz w:val="24"/>
          <w:szCs w:val="24"/>
        </w:rPr>
        <w:t>criterio de importancia y trascendencia)</w:t>
      </w:r>
      <w:r w:rsidR="00F12289" w:rsidRPr="00F12289">
        <w:rPr>
          <w:rStyle w:val="corte4fondoCar1"/>
          <w:b/>
          <w:i/>
          <w:sz w:val="24"/>
          <w:szCs w:val="24"/>
        </w:rPr>
        <w:t>.</w:t>
      </w:r>
    </w:p>
    <w:p w14:paraId="5A0F1FB2" w14:textId="77777777" w:rsidR="00693E61" w:rsidRPr="00BC4AF2" w:rsidRDefault="00693E61" w:rsidP="00693E61">
      <w:pPr>
        <w:pStyle w:val="Prrafodelista"/>
        <w:widowControl w:val="0"/>
        <w:overflowPunct w:val="0"/>
        <w:adjustRightInd w:val="0"/>
        <w:spacing w:after="120" w:line="276" w:lineRule="auto"/>
        <w:ind w:left="1077"/>
        <w:jc w:val="both"/>
        <w:rPr>
          <w:rFonts w:ascii="Arial" w:hAnsi="Arial" w:cs="Arial"/>
          <w:sz w:val="23"/>
          <w:szCs w:val="23"/>
          <w:lang w:eastAsia="es-ES"/>
        </w:rPr>
      </w:pPr>
    </w:p>
    <w:p w14:paraId="55B4346F" w14:textId="19FF6A1B" w:rsidR="00F96CFC" w:rsidRPr="00F12289" w:rsidRDefault="00F96CFC" w:rsidP="00B852E3">
      <w:pPr>
        <w:pStyle w:val="Prrafodelista"/>
        <w:widowControl w:val="0"/>
        <w:numPr>
          <w:ilvl w:val="0"/>
          <w:numId w:val="1"/>
        </w:numPr>
        <w:suppressAutoHyphens/>
        <w:spacing w:line="360" w:lineRule="auto"/>
        <w:ind w:left="0" w:hanging="567"/>
        <w:contextualSpacing/>
        <w:jc w:val="both"/>
        <w:rPr>
          <w:rFonts w:ascii="Arial" w:hAnsi="Arial" w:cs="Arial"/>
          <w:bCs/>
          <w:sz w:val="26"/>
          <w:szCs w:val="26"/>
          <w:lang w:val="es-MX"/>
        </w:rPr>
      </w:pPr>
      <w:r w:rsidRPr="00F12289">
        <w:rPr>
          <w:rFonts w:ascii="Arial" w:hAnsi="Arial" w:cs="Arial"/>
          <w:bCs/>
          <w:sz w:val="26"/>
          <w:szCs w:val="26"/>
          <w:lang w:val="es-MX"/>
        </w:rPr>
        <w:t>En el caso, se advie</w:t>
      </w:r>
      <w:r w:rsidR="001A308A" w:rsidRPr="00F12289">
        <w:rPr>
          <w:rFonts w:ascii="Arial" w:hAnsi="Arial" w:cs="Arial"/>
          <w:bCs/>
          <w:sz w:val="26"/>
          <w:szCs w:val="26"/>
          <w:lang w:val="es-MX"/>
        </w:rPr>
        <w:t>rte que en la demanda de amparo</w:t>
      </w:r>
      <w:r w:rsidRPr="00F12289">
        <w:rPr>
          <w:rFonts w:ascii="Arial" w:hAnsi="Arial" w:cs="Arial"/>
          <w:bCs/>
          <w:sz w:val="26"/>
          <w:szCs w:val="26"/>
          <w:lang w:val="es-MX"/>
        </w:rPr>
        <w:t xml:space="preserve"> el contribuyente quejoso planteó la inconstitucionalidad del artículo 59, fracción III, del</w:t>
      </w:r>
      <w:r w:rsidR="001A308A" w:rsidRPr="00F12289">
        <w:rPr>
          <w:rFonts w:ascii="Arial" w:hAnsi="Arial" w:cs="Arial"/>
          <w:bCs/>
          <w:sz w:val="26"/>
          <w:szCs w:val="26"/>
          <w:lang w:val="es-MX"/>
        </w:rPr>
        <w:t xml:space="preserve"> Código Fiscal de la Federación</w:t>
      </w:r>
      <w:r w:rsidRPr="00F12289">
        <w:rPr>
          <w:rFonts w:ascii="Arial" w:hAnsi="Arial" w:cs="Arial"/>
          <w:bCs/>
          <w:sz w:val="26"/>
          <w:szCs w:val="26"/>
          <w:lang w:val="es-MX"/>
        </w:rPr>
        <w:t xml:space="preserve"> aplicable a</w:t>
      </w:r>
      <w:r w:rsidR="001A308A" w:rsidRPr="00F12289">
        <w:rPr>
          <w:rFonts w:ascii="Arial" w:hAnsi="Arial" w:cs="Arial"/>
          <w:bCs/>
          <w:sz w:val="26"/>
          <w:szCs w:val="26"/>
          <w:lang w:val="es-MX"/>
        </w:rPr>
        <w:t>l ejercicio fiscal dos mil ocho</w:t>
      </w:r>
      <w:r w:rsidRPr="00F12289">
        <w:rPr>
          <w:rFonts w:ascii="Arial" w:hAnsi="Arial" w:cs="Arial"/>
          <w:bCs/>
          <w:sz w:val="26"/>
          <w:szCs w:val="26"/>
          <w:lang w:val="es-MX"/>
        </w:rPr>
        <w:t xml:space="preserve"> por considerarlo violatorio de los principios de legalidad tributaria, reserva de ley y presunción de inocencia, cuestión que fue analizada y desestimada por el Tribunal Colegiado del conocimiento. </w:t>
      </w:r>
      <w:r w:rsidR="00366383" w:rsidRPr="00F12289">
        <w:rPr>
          <w:rFonts w:ascii="Arial" w:hAnsi="Arial" w:cs="Arial"/>
          <w:bCs/>
          <w:sz w:val="26"/>
          <w:szCs w:val="26"/>
          <w:lang w:val="es-MX"/>
        </w:rPr>
        <w:t>Y e</w:t>
      </w:r>
      <w:r w:rsidRPr="00F12289">
        <w:rPr>
          <w:rFonts w:ascii="Arial" w:hAnsi="Arial" w:cs="Arial"/>
          <w:bCs/>
          <w:sz w:val="26"/>
          <w:szCs w:val="26"/>
          <w:lang w:val="es-MX"/>
        </w:rPr>
        <w:t xml:space="preserve">n su escrito de expresión de agravios, el recurrente alega que </w:t>
      </w:r>
      <w:r w:rsidR="00366383" w:rsidRPr="00F12289">
        <w:rPr>
          <w:rFonts w:ascii="Arial" w:hAnsi="Arial" w:cs="Arial"/>
          <w:bCs/>
          <w:sz w:val="26"/>
          <w:szCs w:val="26"/>
          <w:lang w:val="es-MX"/>
        </w:rPr>
        <w:t xml:space="preserve">no se atendió su causa eficiente de inconformidad en torno a la alegada </w:t>
      </w:r>
      <w:r w:rsidR="00FC012C" w:rsidRPr="00F12289">
        <w:rPr>
          <w:rFonts w:ascii="Arial" w:hAnsi="Arial" w:cs="Arial"/>
          <w:bCs/>
          <w:sz w:val="26"/>
          <w:szCs w:val="26"/>
          <w:lang w:val="es-MX"/>
        </w:rPr>
        <w:t xml:space="preserve">violación a los principios de legalidad tributaria y reserva de ley. </w:t>
      </w:r>
    </w:p>
    <w:p w14:paraId="52347A3B" w14:textId="77777777" w:rsidR="00366383" w:rsidRPr="00F12289" w:rsidRDefault="00366383" w:rsidP="00366383">
      <w:pPr>
        <w:pStyle w:val="Prrafodelista"/>
        <w:widowControl w:val="0"/>
        <w:suppressAutoHyphens/>
        <w:spacing w:line="360" w:lineRule="auto"/>
        <w:ind w:left="0"/>
        <w:contextualSpacing/>
        <w:jc w:val="both"/>
        <w:rPr>
          <w:rFonts w:ascii="Arial" w:hAnsi="Arial" w:cs="Arial"/>
          <w:bCs/>
          <w:sz w:val="26"/>
          <w:szCs w:val="26"/>
          <w:lang w:val="es-MX"/>
        </w:rPr>
      </w:pPr>
    </w:p>
    <w:p w14:paraId="7D4C6EB2" w14:textId="2C23FB05" w:rsidR="00F96CFC" w:rsidRPr="00F12289" w:rsidRDefault="00F96CFC" w:rsidP="00A57A8D">
      <w:pPr>
        <w:pStyle w:val="Prrafodelista"/>
        <w:widowControl w:val="0"/>
        <w:numPr>
          <w:ilvl w:val="0"/>
          <w:numId w:val="1"/>
        </w:numPr>
        <w:suppressAutoHyphens/>
        <w:spacing w:line="360" w:lineRule="auto"/>
        <w:ind w:left="0" w:hanging="567"/>
        <w:contextualSpacing/>
        <w:jc w:val="both"/>
        <w:rPr>
          <w:rFonts w:ascii="Arial" w:hAnsi="Arial" w:cs="Arial"/>
          <w:bCs/>
          <w:sz w:val="26"/>
          <w:szCs w:val="26"/>
          <w:lang w:val="es-ES"/>
        </w:rPr>
      </w:pPr>
      <w:r w:rsidRPr="00F12289">
        <w:rPr>
          <w:rFonts w:ascii="Arial" w:hAnsi="Arial" w:cs="Arial"/>
          <w:bCs/>
          <w:sz w:val="26"/>
          <w:szCs w:val="26"/>
          <w:lang w:val="es-ES"/>
        </w:rPr>
        <w:t>Además, el recurso de revisión que nos ocupa reviste el interés y la trascendencia necesarios para la procedencia del recurs</w:t>
      </w:r>
      <w:r w:rsidR="001A308A" w:rsidRPr="00F12289">
        <w:rPr>
          <w:rFonts w:ascii="Arial" w:hAnsi="Arial" w:cs="Arial"/>
          <w:bCs/>
          <w:sz w:val="26"/>
          <w:szCs w:val="26"/>
          <w:lang w:val="es-ES"/>
        </w:rPr>
        <w:t>o de revisión en amparo directo</w:t>
      </w:r>
      <w:r w:rsidRPr="00F12289">
        <w:rPr>
          <w:rFonts w:ascii="Arial" w:hAnsi="Arial" w:cs="Arial"/>
          <w:bCs/>
          <w:sz w:val="26"/>
          <w:szCs w:val="26"/>
          <w:lang w:val="es-ES"/>
        </w:rPr>
        <w:t xml:space="preserve"> a que se refieren los artículos 107, fracción IX, de la Constitución Federal, 81, fracción II, </w:t>
      </w:r>
      <w:r w:rsidR="001A308A" w:rsidRPr="00F12289">
        <w:rPr>
          <w:rFonts w:ascii="Arial" w:hAnsi="Arial" w:cs="Arial"/>
          <w:bCs/>
          <w:sz w:val="26"/>
          <w:szCs w:val="26"/>
          <w:lang w:val="es-ES"/>
        </w:rPr>
        <w:t xml:space="preserve">de la Ley de Amparo, </w:t>
      </w:r>
      <w:r w:rsidRPr="00F12289">
        <w:rPr>
          <w:rFonts w:ascii="Arial" w:hAnsi="Arial" w:cs="Arial"/>
          <w:bCs/>
          <w:sz w:val="26"/>
          <w:szCs w:val="26"/>
          <w:lang w:val="es-ES"/>
        </w:rPr>
        <w:t>así como el Acuerdo General Plenario 9/2015. Lo anterior en virtud de que, al emprender el análisi</w:t>
      </w:r>
      <w:r w:rsidR="001A308A" w:rsidRPr="00F12289">
        <w:rPr>
          <w:rFonts w:ascii="Arial" w:hAnsi="Arial" w:cs="Arial"/>
          <w:bCs/>
          <w:sz w:val="26"/>
          <w:szCs w:val="26"/>
          <w:lang w:val="es-ES"/>
        </w:rPr>
        <w:t xml:space="preserve">s del artículo 59, fracción III, </w:t>
      </w:r>
      <w:r w:rsidRPr="00F12289">
        <w:rPr>
          <w:rFonts w:ascii="Arial" w:hAnsi="Arial" w:cs="Arial"/>
          <w:bCs/>
          <w:sz w:val="26"/>
          <w:szCs w:val="26"/>
          <w:lang w:val="es-ES"/>
        </w:rPr>
        <w:t xml:space="preserve">del Código Fiscal de la Federación, </w:t>
      </w:r>
      <w:r w:rsidRPr="00F12289">
        <w:rPr>
          <w:rFonts w:ascii="Arial" w:hAnsi="Arial" w:cs="Arial"/>
          <w:sz w:val="26"/>
          <w:szCs w:val="26"/>
          <w:lang w:val="x-none"/>
        </w:rPr>
        <w:t>permitiría la emisión de un criterio novedoso para el orden jurídico nacional, pues el caso que se plantea ha sido abordado por esta Sala únicamente en tres precedentes, por lo que su análisis, en este caso, permitiría contribuir a la integración de jurisprudencia</w:t>
      </w:r>
      <w:r w:rsidRPr="00F12289">
        <w:rPr>
          <w:rFonts w:ascii="Arial" w:hAnsi="Arial" w:cs="Arial"/>
          <w:sz w:val="26"/>
          <w:szCs w:val="26"/>
          <w:lang w:val="es-MX"/>
        </w:rPr>
        <w:t>.</w:t>
      </w:r>
    </w:p>
    <w:p w14:paraId="783FA3D6" w14:textId="77777777" w:rsidR="00F96CFC" w:rsidRPr="00F12289" w:rsidRDefault="00F96CFC" w:rsidP="00A57A8D">
      <w:pPr>
        <w:pStyle w:val="Prrafodelista"/>
        <w:widowControl w:val="0"/>
        <w:suppressAutoHyphens/>
        <w:spacing w:line="360" w:lineRule="auto"/>
        <w:ind w:left="0"/>
        <w:jc w:val="both"/>
        <w:rPr>
          <w:rFonts w:ascii="Arial" w:hAnsi="Arial" w:cs="Arial"/>
          <w:bCs/>
          <w:sz w:val="26"/>
          <w:szCs w:val="26"/>
          <w:lang w:val="es-ES"/>
        </w:rPr>
      </w:pPr>
    </w:p>
    <w:p w14:paraId="2E3EB3D5" w14:textId="70FF2893" w:rsidR="00F96CFC" w:rsidRPr="00F12289" w:rsidRDefault="00FC012C" w:rsidP="00A57A8D">
      <w:pPr>
        <w:pStyle w:val="Prrafodelista"/>
        <w:widowControl w:val="0"/>
        <w:numPr>
          <w:ilvl w:val="0"/>
          <w:numId w:val="1"/>
        </w:numPr>
        <w:suppressAutoHyphens/>
        <w:spacing w:line="360" w:lineRule="auto"/>
        <w:ind w:left="0" w:hanging="567"/>
        <w:contextualSpacing/>
        <w:jc w:val="both"/>
        <w:rPr>
          <w:rFonts w:ascii="Arial" w:hAnsi="Arial" w:cs="Arial"/>
          <w:bCs/>
          <w:sz w:val="26"/>
          <w:szCs w:val="26"/>
        </w:rPr>
      </w:pPr>
      <w:r w:rsidRPr="00F12289">
        <w:rPr>
          <w:rFonts w:ascii="Arial" w:hAnsi="Arial" w:cs="Arial"/>
          <w:bCs/>
          <w:sz w:val="26"/>
          <w:szCs w:val="26"/>
          <w:lang w:val="es-ES"/>
        </w:rPr>
        <w:t>Lo anterior encuentra sustento en lo resuelto</w:t>
      </w:r>
      <w:r w:rsidR="00F96CFC" w:rsidRPr="00F12289">
        <w:rPr>
          <w:rFonts w:ascii="Arial" w:hAnsi="Arial" w:cs="Arial"/>
          <w:bCs/>
          <w:sz w:val="26"/>
          <w:szCs w:val="26"/>
          <w:lang w:val="es-ES"/>
        </w:rPr>
        <w:t xml:space="preserve"> </w:t>
      </w:r>
      <w:r w:rsidR="00F27F9F" w:rsidRPr="00F12289">
        <w:rPr>
          <w:rFonts w:ascii="Arial" w:hAnsi="Arial" w:cs="Arial"/>
          <w:bCs/>
          <w:sz w:val="26"/>
          <w:szCs w:val="26"/>
          <w:lang w:val="es-ES"/>
        </w:rPr>
        <w:t xml:space="preserve">en el </w:t>
      </w:r>
      <w:r w:rsidR="00F96CFC" w:rsidRPr="00F12289">
        <w:rPr>
          <w:rFonts w:ascii="Arial" w:hAnsi="Arial" w:cs="Arial"/>
          <w:b/>
          <w:bCs/>
          <w:sz w:val="26"/>
          <w:szCs w:val="26"/>
          <w:lang w:val="es-ES"/>
        </w:rPr>
        <w:t>recurso de reclamación 941/2019</w:t>
      </w:r>
      <w:r w:rsidRPr="00F12289">
        <w:rPr>
          <w:rFonts w:ascii="Arial" w:hAnsi="Arial" w:cs="Arial"/>
          <w:bCs/>
          <w:sz w:val="26"/>
          <w:szCs w:val="26"/>
          <w:lang w:val="es-ES"/>
        </w:rPr>
        <w:t xml:space="preserve">, donde se indicó </w:t>
      </w:r>
      <w:proofErr w:type="gramStart"/>
      <w:r w:rsidRPr="00F12289">
        <w:rPr>
          <w:rFonts w:ascii="Arial" w:hAnsi="Arial" w:cs="Arial"/>
          <w:bCs/>
          <w:sz w:val="26"/>
          <w:szCs w:val="26"/>
          <w:lang w:val="es-ES"/>
        </w:rPr>
        <w:t>que</w:t>
      </w:r>
      <w:proofErr w:type="gramEnd"/>
      <w:r w:rsidRPr="00F12289">
        <w:rPr>
          <w:rFonts w:ascii="Arial" w:hAnsi="Arial" w:cs="Arial"/>
          <w:bCs/>
          <w:sz w:val="26"/>
          <w:szCs w:val="26"/>
          <w:lang w:val="es-ES"/>
        </w:rPr>
        <w:t xml:space="preserve"> si</w:t>
      </w:r>
      <w:r w:rsidR="00F96CFC" w:rsidRPr="00F12289">
        <w:rPr>
          <w:rFonts w:ascii="Arial" w:hAnsi="Arial" w:cs="Arial"/>
          <w:bCs/>
          <w:sz w:val="26"/>
          <w:szCs w:val="26"/>
          <w:lang w:val="es-ES"/>
        </w:rPr>
        <w:t xml:space="preserve"> bien esta Primera Sala</w:t>
      </w:r>
      <w:r w:rsidR="00F96CFC" w:rsidRPr="00F12289">
        <w:rPr>
          <w:rFonts w:ascii="Arial" w:hAnsi="Arial" w:cs="Arial"/>
          <w:bCs/>
          <w:sz w:val="26"/>
          <w:szCs w:val="26"/>
          <w:lang w:val="es-MX"/>
        </w:rPr>
        <w:t xml:space="preserve"> ya ha analizado la constitucionalidad del artículo 59, fracción III, del Código Fiscal de la Federación en diversas ocasiones, lo cierto es que lo ha hecho analizando si la norma es válida a la luz de los principios de proporcionalidad tributaria, seguridad jurídica y presunción de inocencia –en todos estos casos, </w:t>
      </w:r>
      <w:r w:rsidR="00F96CFC" w:rsidRPr="00F12289">
        <w:rPr>
          <w:rFonts w:ascii="Arial" w:hAnsi="Arial" w:cs="Arial"/>
          <w:bCs/>
          <w:sz w:val="26"/>
          <w:szCs w:val="26"/>
        </w:rPr>
        <w:t>se ha concluido que el precepto es constitucional</w:t>
      </w:r>
      <w:r w:rsidR="00F96CFC" w:rsidRPr="00F12289">
        <w:rPr>
          <w:rFonts w:ascii="Arial" w:hAnsi="Arial" w:cs="Arial"/>
          <w:bCs/>
          <w:sz w:val="26"/>
          <w:szCs w:val="26"/>
          <w:lang w:val="es-MX"/>
        </w:rPr>
        <w:t>–</w:t>
      </w:r>
      <w:r w:rsidR="00F96CFC" w:rsidRPr="00F12289">
        <w:rPr>
          <w:rFonts w:ascii="Arial" w:hAnsi="Arial" w:cs="Arial"/>
          <w:bCs/>
          <w:sz w:val="26"/>
          <w:szCs w:val="26"/>
        </w:rPr>
        <w:t>.</w:t>
      </w:r>
    </w:p>
    <w:p w14:paraId="07C48DF6" w14:textId="77777777" w:rsidR="00F27F9F" w:rsidRPr="00F12289" w:rsidRDefault="00F27F9F" w:rsidP="00F27F9F">
      <w:pPr>
        <w:pStyle w:val="Prrafodelista"/>
        <w:widowControl w:val="0"/>
        <w:suppressAutoHyphens/>
        <w:spacing w:line="360" w:lineRule="auto"/>
        <w:ind w:left="0"/>
        <w:contextualSpacing/>
        <w:jc w:val="both"/>
        <w:rPr>
          <w:rFonts w:ascii="Arial" w:hAnsi="Arial" w:cs="Arial"/>
          <w:bCs/>
          <w:sz w:val="26"/>
          <w:szCs w:val="26"/>
        </w:rPr>
      </w:pPr>
    </w:p>
    <w:p w14:paraId="0713D5BD" w14:textId="67118613" w:rsidR="00F96CFC" w:rsidRPr="00F12289" w:rsidRDefault="00F96CFC" w:rsidP="00F27F9F">
      <w:pPr>
        <w:pStyle w:val="Prrafodelista"/>
        <w:widowControl w:val="0"/>
        <w:numPr>
          <w:ilvl w:val="0"/>
          <w:numId w:val="1"/>
        </w:numPr>
        <w:suppressAutoHyphens/>
        <w:spacing w:after="240" w:line="360" w:lineRule="auto"/>
        <w:ind w:left="0" w:hanging="567"/>
        <w:contextualSpacing/>
        <w:jc w:val="both"/>
        <w:rPr>
          <w:rFonts w:ascii="Arial" w:hAnsi="Arial" w:cs="Arial"/>
          <w:bCs/>
          <w:sz w:val="26"/>
          <w:szCs w:val="26"/>
          <w:lang w:val="x-none"/>
        </w:rPr>
      </w:pPr>
      <w:r w:rsidRPr="00F12289">
        <w:rPr>
          <w:rFonts w:ascii="Arial" w:hAnsi="Arial" w:cs="Arial"/>
          <w:bCs/>
          <w:sz w:val="26"/>
          <w:szCs w:val="26"/>
        </w:rPr>
        <w:t xml:space="preserve">Por tanto, </w:t>
      </w:r>
      <w:r w:rsidRPr="00F12289">
        <w:rPr>
          <w:rFonts w:ascii="Arial" w:hAnsi="Arial" w:cs="Arial"/>
          <w:bCs/>
          <w:sz w:val="26"/>
          <w:szCs w:val="26"/>
          <w:lang w:val="x-none"/>
        </w:rPr>
        <w:t>la interpretación constitucional que pretende la parte recurrente no ha sido abordada por esta Primera Sala en cinco precedentes, por lo que es necesario que, en este caso, este Alto Tribunal se pronuncie sobre la constitucionalidad del artículo 59, fracción III, del</w:t>
      </w:r>
      <w:r w:rsidR="00F27F9F" w:rsidRPr="00F12289">
        <w:rPr>
          <w:rFonts w:ascii="Arial" w:hAnsi="Arial" w:cs="Arial"/>
          <w:bCs/>
          <w:sz w:val="26"/>
          <w:szCs w:val="26"/>
          <w:lang w:val="x-none"/>
        </w:rPr>
        <w:t xml:space="preserve"> Código Fiscal de la Federación</w:t>
      </w:r>
      <w:r w:rsidRPr="00F12289">
        <w:rPr>
          <w:rFonts w:ascii="Arial" w:hAnsi="Arial" w:cs="Arial"/>
          <w:bCs/>
          <w:sz w:val="26"/>
          <w:szCs w:val="26"/>
          <w:lang w:val="x-none"/>
        </w:rPr>
        <w:t xml:space="preserve"> desde el análisis de los principios de legali</w:t>
      </w:r>
      <w:r w:rsidR="00F27F9F" w:rsidRPr="00F12289">
        <w:rPr>
          <w:rFonts w:ascii="Arial" w:hAnsi="Arial" w:cs="Arial"/>
          <w:bCs/>
          <w:sz w:val="26"/>
          <w:szCs w:val="26"/>
          <w:lang w:val="x-none"/>
        </w:rPr>
        <w:t>dad y reserva de ley tributaria</w:t>
      </w:r>
      <w:r w:rsidRPr="00F12289">
        <w:rPr>
          <w:rFonts w:ascii="Arial" w:hAnsi="Arial" w:cs="Arial"/>
          <w:bCs/>
          <w:sz w:val="26"/>
          <w:szCs w:val="26"/>
          <w:lang w:val="x-none"/>
        </w:rPr>
        <w:t xml:space="preserve"> a efecto de dar certeza jurídica y permitir generar jurisprudencia obligatoria.</w:t>
      </w:r>
    </w:p>
    <w:p w14:paraId="2DDE7952" w14:textId="77777777" w:rsidR="00F96CFC" w:rsidRPr="00F12289" w:rsidRDefault="00F96CFC" w:rsidP="00F27F9F">
      <w:pPr>
        <w:pStyle w:val="Prrafodelista"/>
        <w:spacing w:after="240"/>
        <w:rPr>
          <w:rFonts w:ascii="Arial" w:hAnsi="Arial" w:cs="Arial"/>
          <w:b/>
          <w:sz w:val="26"/>
          <w:szCs w:val="26"/>
        </w:rPr>
      </w:pPr>
    </w:p>
    <w:p w14:paraId="101E2632" w14:textId="1EFB6856" w:rsidR="00F96CFC" w:rsidRPr="00F12289" w:rsidRDefault="00DA3B13" w:rsidP="00F27F9F">
      <w:pPr>
        <w:pStyle w:val="Prrafodelista"/>
        <w:widowControl w:val="0"/>
        <w:numPr>
          <w:ilvl w:val="0"/>
          <w:numId w:val="1"/>
        </w:numPr>
        <w:suppressAutoHyphens/>
        <w:spacing w:before="240" w:after="240" w:line="360" w:lineRule="auto"/>
        <w:ind w:left="0" w:hanging="567"/>
        <w:contextualSpacing/>
        <w:jc w:val="both"/>
        <w:rPr>
          <w:rFonts w:ascii="Arial" w:hAnsi="Arial" w:cs="Arial"/>
          <w:bCs/>
          <w:sz w:val="26"/>
          <w:szCs w:val="26"/>
          <w:lang w:val="x-none"/>
        </w:rPr>
      </w:pPr>
      <w:r w:rsidRPr="00F12289">
        <w:rPr>
          <w:rFonts w:ascii="Arial" w:hAnsi="Arial" w:cs="Arial"/>
          <w:b/>
          <w:sz w:val="26"/>
          <w:szCs w:val="26"/>
        </w:rPr>
        <w:t>SEXTO. Estudio.</w:t>
      </w:r>
      <w:r w:rsidRPr="00F12289">
        <w:rPr>
          <w:rFonts w:ascii="Arial" w:hAnsi="Arial" w:cs="Arial"/>
          <w:sz w:val="26"/>
          <w:szCs w:val="26"/>
        </w:rPr>
        <w:t xml:space="preserve"> </w:t>
      </w:r>
      <w:r w:rsidR="00F96CFC" w:rsidRPr="00F12289">
        <w:rPr>
          <w:rFonts w:ascii="Arial" w:eastAsia="Calibri" w:hAnsi="Arial" w:cs="Arial"/>
          <w:bCs/>
          <w:sz w:val="26"/>
          <w:szCs w:val="26"/>
          <w:lang w:val="es-MX"/>
        </w:rPr>
        <w:t xml:space="preserve">Una vez sintetizados los agravios planteados por el recurrente, esta Primera Sala procede a realizar el estudio de </w:t>
      </w:r>
      <w:proofErr w:type="gramStart"/>
      <w:r w:rsidR="00F96CFC" w:rsidRPr="00F12289">
        <w:rPr>
          <w:rFonts w:ascii="Arial" w:eastAsia="Calibri" w:hAnsi="Arial" w:cs="Arial"/>
          <w:bCs/>
          <w:sz w:val="26"/>
          <w:szCs w:val="26"/>
          <w:lang w:val="es-MX"/>
        </w:rPr>
        <w:t>los mismos</w:t>
      </w:r>
      <w:proofErr w:type="gramEnd"/>
      <w:r w:rsidR="00F96CFC" w:rsidRPr="00F12289">
        <w:rPr>
          <w:rFonts w:ascii="Arial" w:eastAsia="Calibri" w:hAnsi="Arial" w:cs="Arial"/>
          <w:bCs/>
          <w:sz w:val="26"/>
          <w:szCs w:val="26"/>
          <w:lang w:val="es-MX"/>
        </w:rPr>
        <w:t>.</w:t>
      </w:r>
    </w:p>
    <w:p w14:paraId="69A4614A" w14:textId="77777777" w:rsidR="00F96CFC" w:rsidRPr="00F12289" w:rsidRDefault="00F96CFC" w:rsidP="00F27F9F">
      <w:pPr>
        <w:pStyle w:val="Prrafodelista"/>
        <w:spacing w:before="240"/>
        <w:rPr>
          <w:rFonts w:ascii="Arial" w:hAnsi="Arial" w:cs="Arial"/>
          <w:bCs/>
          <w:sz w:val="26"/>
          <w:szCs w:val="26"/>
          <w:lang w:val="x-none"/>
        </w:rPr>
      </w:pPr>
    </w:p>
    <w:p w14:paraId="6FAC0E40" w14:textId="1E5A63C5" w:rsidR="00F96CFC" w:rsidRPr="00F12289" w:rsidRDefault="00F96CFC" w:rsidP="00F27F9F">
      <w:pPr>
        <w:pStyle w:val="Prrafodelista"/>
        <w:widowControl w:val="0"/>
        <w:numPr>
          <w:ilvl w:val="0"/>
          <w:numId w:val="1"/>
        </w:numPr>
        <w:suppressAutoHyphens/>
        <w:spacing w:before="240" w:line="360" w:lineRule="auto"/>
        <w:ind w:left="0" w:hanging="567"/>
        <w:contextualSpacing/>
        <w:jc w:val="both"/>
        <w:rPr>
          <w:rFonts w:ascii="Arial" w:hAnsi="Arial" w:cs="Arial"/>
          <w:bCs/>
          <w:sz w:val="26"/>
          <w:szCs w:val="26"/>
          <w:lang w:val="x-none"/>
        </w:rPr>
      </w:pPr>
      <w:r w:rsidRPr="00F12289">
        <w:rPr>
          <w:rFonts w:ascii="Arial" w:hAnsi="Arial" w:cs="Arial"/>
          <w:sz w:val="26"/>
          <w:szCs w:val="26"/>
          <w:lang w:val="es-MX"/>
        </w:rPr>
        <w:t xml:space="preserve">Es </w:t>
      </w:r>
      <w:r w:rsidRPr="00F12289">
        <w:rPr>
          <w:rFonts w:ascii="Arial" w:hAnsi="Arial" w:cs="Arial"/>
          <w:b/>
          <w:sz w:val="26"/>
          <w:szCs w:val="26"/>
          <w:lang w:val="es-MX"/>
        </w:rPr>
        <w:t>infundado</w:t>
      </w:r>
      <w:r w:rsidRPr="00F12289">
        <w:rPr>
          <w:rFonts w:ascii="Arial" w:hAnsi="Arial" w:cs="Arial"/>
          <w:sz w:val="26"/>
          <w:szCs w:val="26"/>
          <w:lang w:val="es-MX"/>
        </w:rPr>
        <w:t xml:space="preserve"> el primer agravio del recurrente en el que se sostiene que el tribunal colegiado no analizó la problemática efectivamente planteada en la demanda de amparo, </w:t>
      </w:r>
      <w:proofErr w:type="gramStart"/>
      <w:r w:rsidRPr="00F12289">
        <w:rPr>
          <w:rFonts w:ascii="Arial" w:hAnsi="Arial" w:cs="Arial"/>
          <w:sz w:val="26"/>
          <w:szCs w:val="26"/>
          <w:lang w:val="es-MX"/>
        </w:rPr>
        <w:t>en relación a</w:t>
      </w:r>
      <w:proofErr w:type="gramEnd"/>
      <w:r w:rsidRPr="00F12289">
        <w:rPr>
          <w:rFonts w:ascii="Arial" w:hAnsi="Arial" w:cs="Arial"/>
          <w:sz w:val="26"/>
          <w:szCs w:val="26"/>
          <w:lang w:val="es-MX"/>
        </w:rPr>
        <w:t xml:space="preserve"> la inconstitucionalidad del artículo </w:t>
      </w:r>
      <w:r w:rsidR="00F27F9F" w:rsidRPr="00F12289">
        <w:rPr>
          <w:rFonts w:ascii="Arial" w:eastAsia="Calibri" w:hAnsi="Arial" w:cs="Arial"/>
          <w:bCs/>
          <w:iCs/>
          <w:sz w:val="26"/>
          <w:szCs w:val="26"/>
        </w:rPr>
        <w:t xml:space="preserve">59, fracción III, </w:t>
      </w:r>
      <w:r w:rsidRPr="00F12289">
        <w:rPr>
          <w:rFonts w:ascii="Arial" w:eastAsia="Calibri" w:hAnsi="Arial" w:cs="Arial"/>
          <w:bCs/>
          <w:iCs/>
          <w:sz w:val="26"/>
          <w:szCs w:val="26"/>
        </w:rPr>
        <w:t>del Código Fiscal de la Federación.</w:t>
      </w:r>
    </w:p>
    <w:p w14:paraId="36AB8F08" w14:textId="161ADE8E" w:rsidR="00F96CFC" w:rsidRPr="00F12289" w:rsidRDefault="00F96CFC" w:rsidP="00F96CFC">
      <w:pPr>
        <w:pStyle w:val="corte4fondo"/>
        <w:numPr>
          <w:ilvl w:val="0"/>
          <w:numId w:val="1"/>
        </w:numPr>
        <w:spacing w:before="240" w:after="120"/>
        <w:ind w:left="0" w:hanging="567"/>
        <w:rPr>
          <w:b/>
          <w:sz w:val="26"/>
          <w:szCs w:val="26"/>
        </w:rPr>
      </w:pPr>
      <w:r w:rsidRPr="00F12289">
        <w:rPr>
          <w:rFonts w:eastAsia="Calibri"/>
          <w:bCs/>
          <w:iCs/>
          <w:sz w:val="26"/>
          <w:szCs w:val="26"/>
        </w:rPr>
        <w:t>El recurrente alega que el tribunal colegiado no respondió el concepto de violación en el que planteó que la norma combatida es contraria al pri</w:t>
      </w:r>
      <w:r w:rsidR="00E92C60" w:rsidRPr="00F12289">
        <w:rPr>
          <w:rFonts w:eastAsia="Calibri"/>
          <w:bCs/>
          <w:iCs/>
          <w:sz w:val="26"/>
          <w:szCs w:val="26"/>
        </w:rPr>
        <w:t xml:space="preserve">ncipio de legalidad tributaria </w:t>
      </w:r>
      <w:r w:rsidRPr="00F12289">
        <w:rPr>
          <w:rFonts w:eastAsia="Calibri"/>
          <w:bCs/>
          <w:iCs/>
          <w:sz w:val="26"/>
          <w:szCs w:val="26"/>
        </w:rPr>
        <w:t xml:space="preserve">al conferir a la autoridad fiscal la facultad de considerar a los depósitos bancarios no registrados en la contabilidad del contribuyente como ingresos gravables del impuesto sobre la renta.  </w:t>
      </w:r>
    </w:p>
    <w:p w14:paraId="6E9B0164" w14:textId="2EACDC58" w:rsidR="00F96CFC" w:rsidRPr="00F12289" w:rsidRDefault="00F96CFC" w:rsidP="00F96CFC">
      <w:pPr>
        <w:pStyle w:val="corte4fondo"/>
        <w:numPr>
          <w:ilvl w:val="0"/>
          <w:numId w:val="1"/>
        </w:numPr>
        <w:spacing w:before="240" w:after="120"/>
        <w:ind w:left="0" w:hanging="567"/>
        <w:rPr>
          <w:b/>
          <w:sz w:val="26"/>
          <w:szCs w:val="26"/>
        </w:rPr>
      </w:pPr>
      <w:r w:rsidRPr="00F12289">
        <w:rPr>
          <w:rFonts w:eastAsia="Calibri"/>
          <w:bCs/>
          <w:iCs/>
          <w:sz w:val="26"/>
          <w:szCs w:val="26"/>
        </w:rPr>
        <w:t>Del estudio de la sentencia del tribunal colegiado, esta Primer</w:t>
      </w:r>
      <w:r w:rsidR="00F27F9F" w:rsidRPr="00F12289">
        <w:rPr>
          <w:rFonts w:eastAsia="Calibri"/>
          <w:bCs/>
          <w:iCs/>
          <w:sz w:val="26"/>
          <w:szCs w:val="26"/>
        </w:rPr>
        <w:t xml:space="preserve">a Sala advierte que </w:t>
      </w:r>
      <w:r w:rsidRPr="00F12289">
        <w:rPr>
          <w:rFonts w:eastAsia="Calibri"/>
          <w:bCs/>
          <w:iCs/>
          <w:sz w:val="26"/>
          <w:szCs w:val="26"/>
        </w:rPr>
        <w:t>contrario a lo alegado por el recurrente, el órgano jurisdiccional sí atendió al planteamiento de constitucionalidad alegado en la demanda de amparo.</w:t>
      </w:r>
    </w:p>
    <w:p w14:paraId="4B915137" w14:textId="39AB0C5E" w:rsidR="00F96CFC" w:rsidRPr="00F12289" w:rsidRDefault="00F96CFC" w:rsidP="00F96CFC">
      <w:pPr>
        <w:pStyle w:val="corte4fondo"/>
        <w:numPr>
          <w:ilvl w:val="0"/>
          <w:numId w:val="1"/>
        </w:numPr>
        <w:spacing w:before="240" w:after="120"/>
        <w:ind w:left="0" w:hanging="567"/>
        <w:rPr>
          <w:b/>
          <w:sz w:val="26"/>
          <w:szCs w:val="26"/>
        </w:rPr>
      </w:pPr>
      <w:r w:rsidRPr="00F12289">
        <w:rPr>
          <w:sz w:val="26"/>
          <w:szCs w:val="26"/>
          <w:lang w:val="es-MX"/>
        </w:rPr>
        <w:t>En las fojas 27 y 28 de la sentencia del tribunal colegiado, se advierte que, en efecto, dicho órgano jurisdiccional atendió al planteamiento de inconstitucionalidad alegado en la demanda de amparo, relativo a que sea la autoridad fiscal la que considere a los depósitos bancarios como ingresos acumulables a los que les es aplicable el impuesto sobre la renta.</w:t>
      </w:r>
    </w:p>
    <w:p w14:paraId="20E5766F" w14:textId="77777777" w:rsidR="00F96CFC" w:rsidRPr="00F12289" w:rsidRDefault="00F96CFC" w:rsidP="00F96CFC">
      <w:pPr>
        <w:pStyle w:val="corte4fondo"/>
        <w:numPr>
          <w:ilvl w:val="0"/>
          <w:numId w:val="1"/>
        </w:numPr>
        <w:spacing w:before="240" w:after="120"/>
        <w:ind w:left="0" w:hanging="567"/>
        <w:rPr>
          <w:b/>
          <w:sz w:val="26"/>
          <w:szCs w:val="26"/>
        </w:rPr>
      </w:pPr>
      <w:r w:rsidRPr="00F12289">
        <w:rPr>
          <w:sz w:val="26"/>
          <w:szCs w:val="26"/>
          <w:lang w:val="es-MX"/>
        </w:rPr>
        <w:t>Para sustentar lo anterior, el tribunal colegiado determinó, de manera textual, lo siguiente:</w:t>
      </w:r>
    </w:p>
    <w:p w14:paraId="2E3A5357" w14:textId="77777777" w:rsidR="00F96CFC" w:rsidRPr="00F12289" w:rsidRDefault="00F96CFC" w:rsidP="00A57A8D">
      <w:pPr>
        <w:pStyle w:val="corte4fondo"/>
        <w:spacing w:line="276" w:lineRule="auto"/>
        <w:ind w:left="851" w:firstLine="0"/>
        <w:rPr>
          <w:i/>
          <w:sz w:val="24"/>
          <w:szCs w:val="24"/>
        </w:rPr>
      </w:pPr>
      <w:r w:rsidRPr="00F12289">
        <w:rPr>
          <w:sz w:val="24"/>
          <w:szCs w:val="24"/>
        </w:rPr>
        <w:t>“</w:t>
      </w:r>
      <w:r w:rsidRPr="00F12289">
        <w:rPr>
          <w:i/>
          <w:sz w:val="24"/>
          <w:szCs w:val="24"/>
          <w:lang w:val="es-MX"/>
        </w:rPr>
        <w:t>[…]</w:t>
      </w:r>
      <w:r w:rsidRPr="00F12289">
        <w:rPr>
          <w:i/>
          <w:sz w:val="24"/>
          <w:szCs w:val="24"/>
        </w:rPr>
        <w:t xml:space="preserve"> </w:t>
      </w:r>
      <w:r w:rsidRPr="00F12289">
        <w:rPr>
          <w:b/>
          <w:i/>
          <w:sz w:val="24"/>
          <w:szCs w:val="24"/>
        </w:rPr>
        <w:t>la presunción de ingresos acumulables</w:t>
      </w:r>
      <w:r w:rsidRPr="00F12289">
        <w:rPr>
          <w:i/>
          <w:sz w:val="24"/>
          <w:szCs w:val="24"/>
        </w:rPr>
        <w:t xml:space="preserve"> prevista en la porción normativa impugnada, </w:t>
      </w:r>
      <w:r w:rsidRPr="00F12289">
        <w:rPr>
          <w:b/>
          <w:i/>
          <w:sz w:val="24"/>
          <w:szCs w:val="24"/>
        </w:rPr>
        <w:t>es consecuencia del ejercicio de la facultad de fiscalización llevada a cabo por la autoridad hacendaria</w:t>
      </w:r>
      <w:r w:rsidRPr="00F12289">
        <w:rPr>
          <w:i/>
          <w:sz w:val="24"/>
          <w:szCs w:val="24"/>
        </w:rPr>
        <w:t xml:space="preserve">; caso en el cual, cuando se descubran depósitos bancarios no registrados en la contabilidad, se presumirá la existencia de ingresos, remitiéndolos a la </w:t>
      </w:r>
      <w:proofErr w:type="gramStart"/>
      <w:r w:rsidRPr="00F12289">
        <w:rPr>
          <w:i/>
          <w:sz w:val="24"/>
          <w:szCs w:val="24"/>
        </w:rPr>
        <w:t>legislación  tributaria</w:t>
      </w:r>
      <w:proofErr w:type="gramEnd"/>
      <w:r w:rsidRPr="00F12289">
        <w:rPr>
          <w:i/>
          <w:sz w:val="24"/>
          <w:szCs w:val="24"/>
        </w:rPr>
        <w:t xml:space="preserve"> correspondiente para la determinación del gravamen.</w:t>
      </w:r>
    </w:p>
    <w:p w14:paraId="5E4AAF0D" w14:textId="77777777" w:rsidR="00F96CFC" w:rsidRPr="00F12289" w:rsidRDefault="00F96CFC" w:rsidP="00A57A8D">
      <w:pPr>
        <w:pStyle w:val="corte4fondo"/>
        <w:spacing w:line="276" w:lineRule="auto"/>
        <w:ind w:left="851" w:firstLine="0"/>
        <w:rPr>
          <w:i/>
          <w:sz w:val="24"/>
          <w:szCs w:val="24"/>
        </w:rPr>
      </w:pPr>
      <w:r w:rsidRPr="00F12289">
        <w:rPr>
          <w:i/>
          <w:sz w:val="24"/>
          <w:szCs w:val="24"/>
        </w:rPr>
        <w:t xml:space="preserve">Lo anterior significa que cuando el contribuyente revisado o visitado no pruebe que los depósitos descubiertos no correspondan a ingresos </w:t>
      </w:r>
      <w:r w:rsidRPr="00F12289">
        <w:rPr>
          <w:i/>
          <w:sz w:val="24"/>
          <w:szCs w:val="24"/>
          <w:lang w:val="es-MX"/>
        </w:rPr>
        <w:t>–</w:t>
      </w:r>
      <w:r w:rsidRPr="00F12289">
        <w:rPr>
          <w:i/>
          <w:sz w:val="24"/>
          <w:szCs w:val="24"/>
        </w:rPr>
        <w:t>en materia de impuesto sobre la renta</w:t>
      </w:r>
      <w:r w:rsidRPr="00F12289">
        <w:rPr>
          <w:i/>
          <w:sz w:val="24"/>
          <w:szCs w:val="24"/>
          <w:lang w:val="es-MX"/>
        </w:rPr>
        <w:t>–</w:t>
      </w:r>
      <w:r w:rsidRPr="00F12289">
        <w:rPr>
          <w:i/>
          <w:sz w:val="24"/>
          <w:szCs w:val="24"/>
        </w:rPr>
        <w:t xml:space="preserve"> o a valores de actos, actividades o activos, deberá dar efecto de acumulación o de impuesto causado, respectivamente, sin que se traduzca en una configuración o modificación de un tributo a cargo del particular distinto de aquellos que conforman sus obligaciones fiscales.</w:t>
      </w:r>
    </w:p>
    <w:p w14:paraId="2696276A" w14:textId="77777777" w:rsidR="00F96CFC" w:rsidRPr="00F12289" w:rsidRDefault="00F96CFC" w:rsidP="00A57A8D">
      <w:pPr>
        <w:pStyle w:val="corte4fondo"/>
        <w:spacing w:line="276" w:lineRule="auto"/>
        <w:ind w:left="851" w:firstLine="0"/>
        <w:rPr>
          <w:i/>
          <w:sz w:val="24"/>
          <w:szCs w:val="24"/>
        </w:rPr>
      </w:pPr>
      <w:r w:rsidRPr="00F12289">
        <w:rPr>
          <w:i/>
          <w:sz w:val="24"/>
          <w:szCs w:val="24"/>
          <w:lang w:val="es-MX"/>
        </w:rPr>
        <w:t>[…]</w:t>
      </w:r>
      <w:r w:rsidRPr="00F12289">
        <w:rPr>
          <w:i/>
          <w:sz w:val="24"/>
          <w:szCs w:val="24"/>
        </w:rPr>
        <w:t xml:space="preserve"> la fracción en estudio </w:t>
      </w:r>
      <w:r w:rsidRPr="00F12289">
        <w:rPr>
          <w:b/>
          <w:i/>
          <w:sz w:val="24"/>
          <w:szCs w:val="24"/>
        </w:rPr>
        <w:t>no establece los elementos de una contribución, como el objeto del impuesto sobre la renta, ni fija los elementos esenciales de una obligación tributaria</w:t>
      </w:r>
      <w:r w:rsidRPr="00F12289">
        <w:rPr>
          <w:i/>
          <w:sz w:val="24"/>
          <w:szCs w:val="24"/>
        </w:rPr>
        <w:t>, ya que el alcance de la presunción contenida únicamente permite dar el carácter de ingresos o valores de actos, actividades o activos a los depósitos bancarios no registrados en la contabilidad del contribuyente que se encuentra sujeto al ejercicio de las facultades de comprobación, así como un supuesto de determinación presuntiva, como es que los depósitos bancarios no estén registrados en contabilidad.</w:t>
      </w:r>
    </w:p>
    <w:p w14:paraId="1FFF2F66" w14:textId="6972E459" w:rsidR="00F96CFC" w:rsidRPr="00F12289" w:rsidRDefault="00F96CFC" w:rsidP="00A57A8D">
      <w:pPr>
        <w:pStyle w:val="corte4fondo"/>
        <w:spacing w:line="276" w:lineRule="auto"/>
        <w:ind w:left="851" w:firstLine="0"/>
        <w:rPr>
          <w:i/>
          <w:sz w:val="24"/>
          <w:szCs w:val="24"/>
        </w:rPr>
      </w:pPr>
      <w:r w:rsidRPr="00F12289">
        <w:rPr>
          <w:i/>
          <w:sz w:val="24"/>
          <w:szCs w:val="24"/>
        </w:rPr>
        <w:t xml:space="preserve">En ese tenor, </w:t>
      </w:r>
      <w:r w:rsidRPr="00F12289">
        <w:rPr>
          <w:i/>
          <w:sz w:val="24"/>
          <w:szCs w:val="24"/>
          <w:lang w:val="es-MX"/>
        </w:rPr>
        <w:t>[…]</w:t>
      </w:r>
      <w:r w:rsidRPr="00F12289">
        <w:rPr>
          <w:i/>
          <w:sz w:val="24"/>
          <w:szCs w:val="24"/>
        </w:rPr>
        <w:t xml:space="preserve"> </w:t>
      </w:r>
      <w:r w:rsidRPr="00F12289">
        <w:rPr>
          <w:b/>
          <w:i/>
          <w:sz w:val="24"/>
          <w:szCs w:val="24"/>
        </w:rPr>
        <w:t>tal disposición no vulnera los principios de legalidad tributaria y reserva de ley</w:t>
      </w:r>
      <w:r w:rsidRPr="00F12289">
        <w:rPr>
          <w:i/>
          <w:sz w:val="24"/>
          <w:szCs w:val="24"/>
        </w:rPr>
        <w:t>, porque no configura un impuesto ni establece alguno de sus elementos esenciales, dado que los ingresos acumulables o el procedimiento del cálculo del gravamen a pagar se regulan por las leyes de la materia, como puede ser, por ejemplo, la Ley del Impuesto sobre la Renta</w:t>
      </w:r>
      <w:r w:rsidRPr="00F12289">
        <w:rPr>
          <w:sz w:val="24"/>
          <w:szCs w:val="24"/>
        </w:rPr>
        <w:t>”.</w:t>
      </w:r>
    </w:p>
    <w:p w14:paraId="1BCA2350" w14:textId="1FD89A52" w:rsidR="00F96CFC" w:rsidRPr="00F12289" w:rsidRDefault="00F96CFC" w:rsidP="00F96CFC">
      <w:pPr>
        <w:pStyle w:val="corte4fondo"/>
        <w:numPr>
          <w:ilvl w:val="0"/>
          <w:numId w:val="1"/>
        </w:numPr>
        <w:spacing w:before="240" w:after="120"/>
        <w:ind w:left="0" w:hanging="567"/>
        <w:rPr>
          <w:sz w:val="26"/>
          <w:szCs w:val="26"/>
        </w:rPr>
      </w:pPr>
      <w:r w:rsidRPr="00F12289">
        <w:rPr>
          <w:sz w:val="26"/>
          <w:szCs w:val="26"/>
          <w:lang w:val="es-MX"/>
        </w:rPr>
        <w:t xml:space="preserve">De la transcripción anterior se advierte que el tribunal colegiado sí atendió a la problemática planteada, y estableció que el hecho de que la norma combatida faculte a la autoridad tributaria a determinar que los depósitos bancarios no registrados en la contabilidad de los contribuyentes configuran ingresos acumulables a los que les es aplicable el impuesto sobre la renta, </w:t>
      </w:r>
      <w:r w:rsidRPr="00F12289">
        <w:rPr>
          <w:i/>
          <w:sz w:val="26"/>
          <w:szCs w:val="26"/>
        </w:rPr>
        <w:t>es consecuencia del ejercicio de la facultad de fiscalización llevada a cabo por la autoridad hacendaria.</w:t>
      </w:r>
    </w:p>
    <w:p w14:paraId="34B983F0" w14:textId="391EB7BE" w:rsidR="00F96CFC" w:rsidRPr="00F12289" w:rsidRDefault="00F27F9F" w:rsidP="00F96CFC">
      <w:pPr>
        <w:pStyle w:val="corte4fondo"/>
        <w:numPr>
          <w:ilvl w:val="0"/>
          <w:numId w:val="1"/>
        </w:numPr>
        <w:spacing w:before="240" w:after="120"/>
        <w:ind w:left="0" w:hanging="567"/>
        <w:rPr>
          <w:sz w:val="26"/>
          <w:szCs w:val="26"/>
          <w:lang w:val="es-MX"/>
        </w:rPr>
      </w:pPr>
      <w:r w:rsidRPr="00F12289">
        <w:rPr>
          <w:sz w:val="26"/>
          <w:szCs w:val="26"/>
          <w:lang w:val="es-MX"/>
        </w:rPr>
        <w:t>No obstante, para</w:t>
      </w:r>
      <w:r w:rsidR="00F96CFC" w:rsidRPr="00F12289">
        <w:rPr>
          <w:sz w:val="26"/>
          <w:szCs w:val="26"/>
          <w:lang w:val="es-MX"/>
        </w:rPr>
        <w:t xml:space="preserve"> mayor abundamiento, </w:t>
      </w:r>
      <w:r w:rsidR="00E92C60" w:rsidRPr="00F12289">
        <w:rPr>
          <w:sz w:val="26"/>
          <w:szCs w:val="26"/>
          <w:lang w:val="es-MX"/>
        </w:rPr>
        <w:t xml:space="preserve">y atendiendo a la causa de pedir del recurrente, </w:t>
      </w:r>
      <w:r w:rsidR="00F96CFC" w:rsidRPr="00F12289">
        <w:rPr>
          <w:sz w:val="26"/>
          <w:szCs w:val="26"/>
          <w:lang w:val="es-MX"/>
        </w:rPr>
        <w:t xml:space="preserve">esta Primera Sala reitera las consideraciones sustentadas en los amparos directos en revisión </w:t>
      </w:r>
      <w:r w:rsidR="00F96CFC" w:rsidRPr="00F12289">
        <w:rPr>
          <w:b/>
          <w:sz w:val="26"/>
          <w:szCs w:val="26"/>
          <w:lang w:val="es-MX"/>
        </w:rPr>
        <w:t>4119/2016</w:t>
      </w:r>
      <w:r w:rsidR="00F96CFC" w:rsidRPr="00F12289">
        <w:rPr>
          <w:rStyle w:val="Refdenotaalpie"/>
          <w:sz w:val="26"/>
          <w:szCs w:val="26"/>
          <w:lang w:val="es-MX"/>
        </w:rPr>
        <w:footnoteReference w:id="9"/>
      </w:r>
      <w:r w:rsidR="00F96CFC" w:rsidRPr="00F12289">
        <w:rPr>
          <w:sz w:val="26"/>
          <w:szCs w:val="26"/>
          <w:lang w:val="es-MX"/>
        </w:rPr>
        <w:t xml:space="preserve">, </w:t>
      </w:r>
      <w:r w:rsidR="00F96CFC" w:rsidRPr="00F12289">
        <w:rPr>
          <w:b/>
          <w:sz w:val="26"/>
          <w:szCs w:val="26"/>
          <w:lang w:val="es-ES"/>
        </w:rPr>
        <w:t>2876/2015</w:t>
      </w:r>
      <w:r w:rsidR="00F96CFC" w:rsidRPr="00F12289">
        <w:rPr>
          <w:sz w:val="26"/>
          <w:szCs w:val="26"/>
          <w:vertAlign w:val="superscript"/>
          <w:lang w:val="es-ES"/>
        </w:rPr>
        <w:footnoteReference w:id="10"/>
      </w:r>
      <w:r w:rsidR="00F96CFC" w:rsidRPr="00F12289">
        <w:rPr>
          <w:sz w:val="26"/>
          <w:szCs w:val="26"/>
          <w:lang w:val="es-ES"/>
        </w:rPr>
        <w:t xml:space="preserve"> y </w:t>
      </w:r>
      <w:r w:rsidR="00F96CFC" w:rsidRPr="00F12289">
        <w:rPr>
          <w:b/>
          <w:sz w:val="26"/>
          <w:szCs w:val="26"/>
          <w:lang w:val="es-ES"/>
        </w:rPr>
        <w:t>1726/2013</w:t>
      </w:r>
      <w:r w:rsidR="00F96CFC" w:rsidRPr="00F12289">
        <w:rPr>
          <w:sz w:val="26"/>
          <w:szCs w:val="26"/>
          <w:vertAlign w:val="superscript"/>
          <w:lang w:val="es-ES"/>
        </w:rPr>
        <w:footnoteReference w:id="11"/>
      </w:r>
      <w:r w:rsidR="00F96CFC" w:rsidRPr="00F12289">
        <w:rPr>
          <w:sz w:val="26"/>
          <w:szCs w:val="26"/>
          <w:lang w:val="es-ES"/>
        </w:rPr>
        <w:t xml:space="preserve">, en sesiones de </w:t>
      </w:r>
      <w:r w:rsidR="00F96CFC" w:rsidRPr="00F12289">
        <w:rPr>
          <w:sz w:val="26"/>
          <w:szCs w:val="26"/>
        </w:rPr>
        <w:t>dieciocho de enero de dos mil diecisiete,</w:t>
      </w:r>
      <w:r w:rsidR="00F96CFC" w:rsidRPr="00F12289">
        <w:rPr>
          <w:sz w:val="26"/>
          <w:szCs w:val="26"/>
          <w:lang w:val="es-ES"/>
        </w:rPr>
        <w:t xml:space="preserve"> veintisiete de enero de dos mil dieciséis y veintiséis de junio de dos mil trece, respectivamente</w:t>
      </w:r>
      <w:r w:rsidR="00F96CFC" w:rsidRPr="00F12289">
        <w:rPr>
          <w:sz w:val="26"/>
          <w:szCs w:val="26"/>
          <w:lang w:val="es-MX"/>
        </w:rPr>
        <w:t>.</w:t>
      </w:r>
    </w:p>
    <w:p w14:paraId="63C5F310" w14:textId="6D159C6F" w:rsidR="00274D97" w:rsidRPr="00B071E0" w:rsidRDefault="00274D97" w:rsidP="00F96CFC">
      <w:pPr>
        <w:pStyle w:val="corte4fondo"/>
        <w:numPr>
          <w:ilvl w:val="0"/>
          <w:numId w:val="1"/>
        </w:numPr>
        <w:spacing w:before="240" w:after="120"/>
        <w:ind w:left="0" w:hanging="567"/>
        <w:rPr>
          <w:sz w:val="26"/>
          <w:szCs w:val="26"/>
          <w:lang w:val="es-MX"/>
        </w:rPr>
      </w:pPr>
      <w:r w:rsidRPr="00B071E0">
        <w:rPr>
          <w:sz w:val="26"/>
          <w:szCs w:val="26"/>
          <w:lang w:val="es-MX"/>
        </w:rPr>
        <w:t xml:space="preserve">Así, para abundar en la respuesta de los agravios de la recurrente y tomar una decisión al respecto </w:t>
      </w:r>
      <w:r w:rsidRPr="00B071E0">
        <w:rPr>
          <w:b/>
          <w:sz w:val="26"/>
          <w:szCs w:val="26"/>
          <w:lang w:val="es-MX"/>
        </w:rPr>
        <w:t xml:space="preserve">(C); </w:t>
      </w:r>
      <w:r w:rsidRPr="00B071E0">
        <w:rPr>
          <w:sz w:val="26"/>
          <w:szCs w:val="26"/>
          <w:lang w:val="es-MX"/>
        </w:rPr>
        <w:t xml:space="preserve">conviene relatar en qué consisten los principios que se estiman violados </w:t>
      </w:r>
      <w:r w:rsidRPr="00B071E0">
        <w:rPr>
          <w:b/>
          <w:sz w:val="26"/>
          <w:szCs w:val="26"/>
          <w:lang w:val="es-MX"/>
        </w:rPr>
        <w:t xml:space="preserve">(A); </w:t>
      </w:r>
      <w:r w:rsidRPr="00B071E0">
        <w:rPr>
          <w:sz w:val="26"/>
          <w:szCs w:val="26"/>
          <w:lang w:val="es-MX"/>
        </w:rPr>
        <w:t xml:space="preserve">y la naturaleza de la presunción de que se trata </w:t>
      </w:r>
      <w:r w:rsidRPr="00B071E0">
        <w:rPr>
          <w:b/>
          <w:sz w:val="26"/>
          <w:szCs w:val="26"/>
          <w:lang w:val="es-MX"/>
        </w:rPr>
        <w:t>(B)</w:t>
      </w:r>
      <w:r w:rsidRPr="00B071E0">
        <w:rPr>
          <w:sz w:val="26"/>
          <w:szCs w:val="26"/>
          <w:lang w:val="es-MX"/>
        </w:rPr>
        <w:t xml:space="preserve">. </w:t>
      </w:r>
    </w:p>
    <w:p w14:paraId="6B5D15AE" w14:textId="20FCFFA7" w:rsidR="00274D97" w:rsidRPr="00F12289" w:rsidRDefault="00274D97" w:rsidP="00F96CFC">
      <w:pPr>
        <w:pStyle w:val="corte4fondo"/>
        <w:numPr>
          <w:ilvl w:val="0"/>
          <w:numId w:val="1"/>
        </w:numPr>
        <w:spacing w:before="240" w:after="120"/>
        <w:ind w:left="0" w:hanging="567"/>
        <w:rPr>
          <w:b/>
          <w:sz w:val="26"/>
          <w:szCs w:val="26"/>
          <w:lang w:val="es-MX"/>
        </w:rPr>
      </w:pPr>
      <w:r w:rsidRPr="00F12289">
        <w:rPr>
          <w:b/>
          <w:sz w:val="26"/>
          <w:szCs w:val="26"/>
          <w:lang w:val="es-MX"/>
        </w:rPr>
        <w:t>A. Principio de legalidad tributaria</w:t>
      </w:r>
    </w:p>
    <w:p w14:paraId="0FA93F53" w14:textId="6364CC8C" w:rsidR="00A07114" w:rsidRPr="00F12289" w:rsidRDefault="00F96CFC" w:rsidP="00F96CFC">
      <w:pPr>
        <w:pStyle w:val="corte4fondo"/>
        <w:numPr>
          <w:ilvl w:val="0"/>
          <w:numId w:val="1"/>
        </w:numPr>
        <w:spacing w:before="240" w:after="120"/>
        <w:ind w:left="0" w:hanging="567"/>
        <w:rPr>
          <w:bCs/>
          <w:sz w:val="26"/>
          <w:szCs w:val="26"/>
          <w:lang w:val="es-ES"/>
        </w:rPr>
      </w:pPr>
      <w:r w:rsidRPr="00F12289">
        <w:rPr>
          <w:bCs/>
          <w:sz w:val="26"/>
          <w:szCs w:val="26"/>
          <w:lang w:val="es-ES"/>
        </w:rPr>
        <w:t xml:space="preserve">Al respecto, el Tribunal Pleno de este Alto Tribunal ha sustentado en diversas ocasiones que </w:t>
      </w:r>
      <w:r w:rsidRPr="00F12289">
        <w:rPr>
          <w:bCs/>
          <w:i/>
          <w:sz w:val="26"/>
          <w:szCs w:val="26"/>
          <w:lang w:val="es-ES"/>
        </w:rPr>
        <w:t>el principio de legalidad tributaria</w:t>
      </w:r>
      <w:r w:rsidRPr="00F12289">
        <w:rPr>
          <w:bCs/>
          <w:sz w:val="26"/>
          <w:szCs w:val="26"/>
          <w:lang w:val="es-ES"/>
        </w:rPr>
        <w:t xml:space="preserve"> contenido en el artículo 31, fracción IV, de la Constitución Política de los Estados Unidos Mexicanos, exige que sea el legislador, y no las autoridades administrativas, quien establezca los elementos cons</w:t>
      </w:r>
      <w:r w:rsidR="00F27F9F" w:rsidRPr="00F12289">
        <w:rPr>
          <w:bCs/>
          <w:sz w:val="26"/>
          <w:szCs w:val="26"/>
          <w:lang w:val="es-ES"/>
        </w:rPr>
        <w:t>titutivos de las contribuciones</w:t>
      </w:r>
      <w:r w:rsidRPr="00F12289">
        <w:rPr>
          <w:bCs/>
          <w:sz w:val="26"/>
          <w:szCs w:val="26"/>
          <w:lang w:val="es-ES"/>
        </w:rPr>
        <w:t xml:space="preserve"> con un grado de c</w:t>
      </w:r>
      <w:r w:rsidR="00F27F9F" w:rsidRPr="00F12289">
        <w:rPr>
          <w:bCs/>
          <w:sz w:val="26"/>
          <w:szCs w:val="26"/>
          <w:lang w:val="es-ES"/>
        </w:rPr>
        <w:t>laridad y concreción razonable</w:t>
      </w:r>
      <w:r w:rsidRPr="00F12289">
        <w:rPr>
          <w:bCs/>
          <w:sz w:val="26"/>
          <w:szCs w:val="26"/>
          <w:lang w:val="es-ES"/>
        </w:rPr>
        <w:t xml:space="preserve"> a fin de que los gobernados tengan certeza sobre la forma en que deben atend</w:t>
      </w:r>
      <w:r w:rsidR="00A07114" w:rsidRPr="00F12289">
        <w:rPr>
          <w:bCs/>
          <w:sz w:val="26"/>
          <w:szCs w:val="26"/>
          <w:lang w:val="es-ES"/>
        </w:rPr>
        <w:t>er sus obligaciones tributarias.</w:t>
      </w:r>
    </w:p>
    <w:p w14:paraId="510C7EC9" w14:textId="5AADC337" w:rsidR="00F96CFC" w:rsidRPr="00F12289" w:rsidRDefault="00A07114" w:rsidP="00F96CFC">
      <w:pPr>
        <w:pStyle w:val="corte4fondo"/>
        <w:numPr>
          <w:ilvl w:val="0"/>
          <w:numId w:val="1"/>
        </w:numPr>
        <w:spacing w:before="240" w:after="120"/>
        <w:ind w:left="0" w:hanging="567"/>
        <w:rPr>
          <w:bCs/>
          <w:sz w:val="26"/>
          <w:szCs w:val="26"/>
          <w:lang w:val="es-ES"/>
        </w:rPr>
      </w:pPr>
      <w:r w:rsidRPr="00F12289">
        <w:rPr>
          <w:bCs/>
          <w:sz w:val="26"/>
          <w:szCs w:val="26"/>
          <w:lang w:val="es-ES"/>
        </w:rPr>
        <w:t xml:space="preserve"> Especialmente porque el </w:t>
      </w:r>
      <w:r w:rsidR="00F96CFC" w:rsidRPr="00F12289">
        <w:rPr>
          <w:bCs/>
          <w:sz w:val="26"/>
          <w:szCs w:val="26"/>
          <w:lang w:val="es-ES"/>
        </w:rPr>
        <w:t>cumplimiento defectuoso</w:t>
      </w:r>
      <w:r w:rsidRPr="00F12289">
        <w:rPr>
          <w:bCs/>
          <w:sz w:val="26"/>
          <w:szCs w:val="26"/>
          <w:lang w:val="es-ES"/>
        </w:rPr>
        <w:t xml:space="preserve"> de esas </w:t>
      </w:r>
      <w:proofErr w:type="gramStart"/>
      <w:r w:rsidRPr="00F12289">
        <w:rPr>
          <w:bCs/>
          <w:sz w:val="26"/>
          <w:szCs w:val="26"/>
          <w:lang w:val="es-ES"/>
        </w:rPr>
        <w:t xml:space="preserve">obligaciones </w:t>
      </w:r>
      <w:r w:rsidR="00F96CFC" w:rsidRPr="00F12289">
        <w:rPr>
          <w:bCs/>
          <w:sz w:val="26"/>
          <w:szCs w:val="26"/>
          <w:lang w:val="es-ES"/>
        </w:rPr>
        <w:t xml:space="preserve"> tiende</w:t>
      </w:r>
      <w:proofErr w:type="gramEnd"/>
      <w:r w:rsidR="00F96CFC" w:rsidRPr="00F12289">
        <w:rPr>
          <w:bCs/>
          <w:sz w:val="26"/>
          <w:szCs w:val="26"/>
          <w:lang w:val="es-ES"/>
        </w:rPr>
        <w:t xml:space="preserve"> a generar actos de molestia y, en su caso, a la emisión de sanciones que afectan su esfera jurídica. Consideraciones que se vieron reflejadas en la Jurisprudencia P</w:t>
      </w:r>
      <w:r w:rsidR="00F27DBC" w:rsidRPr="00F12289">
        <w:rPr>
          <w:bCs/>
          <w:sz w:val="26"/>
          <w:szCs w:val="26"/>
          <w:lang w:val="es-ES"/>
        </w:rPr>
        <w:t>. /</w:t>
      </w:r>
      <w:r w:rsidR="00F96CFC" w:rsidRPr="00F12289">
        <w:rPr>
          <w:bCs/>
          <w:sz w:val="26"/>
          <w:szCs w:val="26"/>
          <w:lang w:val="es-ES"/>
        </w:rPr>
        <w:t xml:space="preserve">J. 106/2006, de rubro </w:t>
      </w:r>
      <w:r w:rsidR="00F96CFC" w:rsidRPr="00F12289">
        <w:rPr>
          <w:bCs/>
          <w:i/>
          <w:sz w:val="26"/>
          <w:szCs w:val="26"/>
          <w:lang w:val="es-ES"/>
        </w:rPr>
        <w:t>“LEGALIDAD TRIBUTARIA. ALCANCE DE DICHO PRINCIPIO EN RELACIÓN CON EL GRADO DE DEFINICIÓN QUE DEBEN TENER LOS ELEMENTOS CONSTITUTIVOS DEL IMPUESTO”</w:t>
      </w:r>
      <w:r w:rsidR="00F96CFC" w:rsidRPr="00F12289">
        <w:rPr>
          <w:bCs/>
          <w:sz w:val="26"/>
          <w:szCs w:val="26"/>
          <w:vertAlign w:val="superscript"/>
          <w:lang w:val="es-ES"/>
        </w:rPr>
        <w:footnoteReference w:id="12"/>
      </w:r>
      <w:r w:rsidR="00F96CFC" w:rsidRPr="00F12289">
        <w:rPr>
          <w:bCs/>
          <w:sz w:val="26"/>
          <w:szCs w:val="26"/>
          <w:lang w:val="es-ES"/>
        </w:rPr>
        <w:t>.</w:t>
      </w:r>
    </w:p>
    <w:p w14:paraId="774DC7B8" w14:textId="77777777" w:rsidR="00A07114" w:rsidRPr="00F12289" w:rsidRDefault="00F96CFC" w:rsidP="00F96CFC">
      <w:pPr>
        <w:pStyle w:val="corte4fondo"/>
        <w:numPr>
          <w:ilvl w:val="0"/>
          <w:numId w:val="1"/>
        </w:numPr>
        <w:spacing w:before="240" w:after="120"/>
        <w:ind w:left="0" w:hanging="567"/>
        <w:rPr>
          <w:b/>
          <w:i/>
          <w:sz w:val="26"/>
          <w:szCs w:val="26"/>
          <w:lang w:val="es-MX"/>
        </w:rPr>
      </w:pPr>
      <w:r w:rsidRPr="00F12289">
        <w:rPr>
          <w:bCs/>
          <w:sz w:val="26"/>
          <w:szCs w:val="26"/>
          <w:lang w:val="es-ES"/>
        </w:rPr>
        <w:t xml:space="preserve">En esa misma línea argumentativa, esta Primera Sala ha determinado que el </w:t>
      </w:r>
      <w:r w:rsidRPr="00F12289">
        <w:rPr>
          <w:bCs/>
          <w:i/>
          <w:sz w:val="26"/>
          <w:szCs w:val="26"/>
          <w:lang w:val="es-ES"/>
        </w:rPr>
        <w:t>principio de legalidad tributaria</w:t>
      </w:r>
      <w:r w:rsidRPr="00F12289">
        <w:rPr>
          <w:bCs/>
          <w:sz w:val="26"/>
          <w:szCs w:val="26"/>
          <w:lang w:val="es-ES"/>
        </w:rPr>
        <w:t xml:space="preserve"> implica que mediante un acto formal y materialmente legislativo se establezcan todos los elementos que sirven de base para calcular una contribución, fijándolos con la precisión necesaria que, por un lado, impida el comportamiento arbitrario o caprichoso de las autoridades que directa o indirectamente participen en su recaudación y que, por otro, genere certidumbre al gobernado sobre qué hecho o circunstancia se encuentra gravado, cómo se calculará la base del tributo, qué tasa o tarifa debe aplicarse y cómo, cuándo y dónde se realizará el entero respectivo. </w:t>
      </w:r>
    </w:p>
    <w:p w14:paraId="6768CE24" w14:textId="06EFE933" w:rsidR="00F96CFC" w:rsidRPr="00F12289" w:rsidRDefault="00A07114" w:rsidP="00F96CFC">
      <w:pPr>
        <w:pStyle w:val="corte4fondo"/>
        <w:numPr>
          <w:ilvl w:val="0"/>
          <w:numId w:val="1"/>
        </w:numPr>
        <w:spacing w:before="240" w:after="120"/>
        <w:ind w:left="0" w:hanging="567"/>
        <w:rPr>
          <w:b/>
          <w:i/>
          <w:sz w:val="26"/>
          <w:szCs w:val="26"/>
          <w:lang w:val="es-MX"/>
        </w:rPr>
      </w:pPr>
      <w:r w:rsidRPr="00F12289">
        <w:rPr>
          <w:bCs/>
          <w:sz w:val="26"/>
          <w:szCs w:val="26"/>
          <w:lang w:val="es-ES"/>
        </w:rPr>
        <w:t xml:space="preserve">Lo anterior encuentra sustento en </w:t>
      </w:r>
      <w:r w:rsidR="00F96CFC" w:rsidRPr="00F12289">
        <w:rPr>
          <w:bCs/>
          <w:sz w:val="26"/>
          <w:szCs w:val="26"/>
          <w:lang w:val="es-ES"/>
        </w:rPr>
        <w:t>la tesis</w:t>
      </w:r>
      <w:r w:rsidRPr="00F12289">
        <w:rPr>
          <w:sz w:val="26"/>
          <w:szCs w:val="26"/>
          <w:lang w:val="es-MX"/>
        </w:rPr>
        <w:t xml:space="preserve"> </w:t>
      </w:r>
      <w:r w:rsidR="00F96CFC" w:rsidRPr="00F12289">
        <w:rPr>
          <w:sz w:val="26"/>
          <w:szCs w:val="26"/>
          <w:lang w:val="es-MX"/>
        </w:rPr>
        <w:t xml:space="preserve">1a. XXVII/2006, de rubro: </w:t>
      </w:r>
      <w:r w:rsidR="00F96CFC" w:rsidRPr="00F12289">
        <w:rPr>
          <w:i/>
          <w:sz w:val="26"/>
          <w:szCs w:val="26"/>
          <w:lang w:val="es-MX"/>
        </w:rPr>
        <w:t>“LEGALIDAD TRIBUTARIA. EL HECHO DE QUE LA DETERMINACIÓN, EL CÁLCULO O PUBLICACIÓN DE ALGÚN ELEMENTO DE LAS CONTRIBUCIONES CORRESPONDA REALIZARLO A UNA AUTORIDAD ADMINISTRATIVA, NO CONSTITUYE POR SÍ MISMO UNA TRANSGRESIÓN A ESE PRINCIPIO CONSTITUCIONAL”</w:t>
      </w:r>
      <w:r w:rsidR="00F96CFC" w:rsidRPr="00F12289">
        <w:rPr>
          <w:sz w:val="26"/>
          <w:szCs w:val="26"/>
          <w:vertAlign w:val="superscript"/>
          <w:lang w:val="es-MX"/>
        </w:rPr>
        <w:footnoteReference w:id="13"/>
      </w:r>
      <w:r w:rsidR="00F96CFC" w:rsidRPr="00F12289">
        <w:rPr>
          <w:sz w:val="26"/>
          <w:szCs w:val="26"/>
          <w:lang w:val="es-MX"/>
        </w:rPr>
        <w:t>.</w:t>
      </w:r>
      <w:r w:rsidR="00F96CFC" w:rsidRPr="00F12289">
        <w:rPr>
          <w:b/>
          <w:i/>
          <w:sz w:val="26"/>
          <w:szCs w:val="26"/>
          <w:lang w:val="es-MX"/>
        </w:rPr>
        <w:t xml:space="preserve"> </w:t>
      </w:r>
    </w:p>
    <w:p w14:paraId="3AB93536" w14:textId="32B737DD" w:rsidR="00F96CFC" w:rsidRPr="00F12289" w:rsidRDefault="00F96CFC" w:rsidP="00F96CFC">
      <w:pPr>
        <w:pStyle w:val="corte4fondo"/>
        <w:numPr>
          <w:ilvl w:val="0"/>
          <w:numId w:val="1"/>
        </w:numPr>
        <w:spacing w:before="240" w:after="120"/>
        <w:ind w:left="0" w:hanging="567"/>
        <w:rPr>
          <w:sz w:val="26"/>
          <w:szCs w:val="26"/>
          <w:lang w:val="es-ES"/>
        </w:rPr>
      </w:pPr>
      <w:r w:rsidRPr="00F12289">
        <w:rPr>
          <w:sz w:val="26"/>
          <w:szCs w:val="26"/>
          <w:lang w:val="es-ES"/>
        </w:rPr>
        <w:t>De igual forma, el Tribunal Pleno, al resolver la controversia constitucional 32/2002, en sesión de doce de julio de dos mil dos</w:t>
      </w:r>
      <w:r w:rsidRPr="00F12289">
        <w:rPr>
          <w:sz w:val="26"/>
          <w:szCs w:val="26"/>
          <w:vertAlign w:val="superscript"/>
          <w:lang w:val="es-ES"/>
        </w:rPr>
        <w:footnoteReference w:id="14"/>
      </w:r>
      <w:r w:rsidRPr="00F12289">
        <w:rPr>
          <w:sz w:val="26"/>
          <w:szCs w:val="26"/>
          <w:lang w:val="es-ES"/>
        </w:rPr>
        <w:t xml:space="preserve">, determinó </w:t>
      </w:r>
      <w:proofErr w:type="gramStart"/>
      <w:r w:rsidRPr="00F12289">
        <w:rPr>
          <w:sz w:val="26"/>
          <w:szCs w:val="26"/>
          <w:lang w:val="es-ES"/>
        </w:rPr>
        <w:t>que</w:t>
      </w:r>
      <w:proofErr w:type="gramEnd"/>
      <w:r w:rsidRPr="00F12289">
        <w:rPr>
          <w:sz w:val="26"/>
          <w:szCs w:val="26"/>
          <w:lang w:val="es-ES"/>
        </w:rPr>
        <w:t xml:space="preserve"> de la garantía de legalidad tributaria, prevista en el artículo 34, fracción IV</w:t>
      </w:r>
      <w:r w:rsidR="00F27F9F" w:rsidRPr="00F12289">
        <w:rPr>
          <w:sz w:val="26"/>
          <w:szCs w:val="26"/>
          <w:lang w:val="es-ES"/>
        </w:rPr>
        <w:t>,</w:t>
      </w:r>
      <w:r w:rsidRPr="00F12289">
        <w:rPr>
          <w:sz w:val="26"/>
          <w:szCs w:val="26"/>
          <w:lang w:val="es-ES"/>
        </w:rPr>
        <w:t xml:space="preserve"> de la Constitución Federal, deriva</w:t>
      </w:r>
      <w:r w:rsidR="00F27F9F" w:rsidRPr="00F12289">
        <w:rPr>
          <w:sz w:val="26"/>
          <w:szCs w:val="26"/>
          <w:lang w:val="es-ES"/>
        </w:rPr>
        <w:t xml:space="preserve"> el principio de reserva de ley</w:t>
      </w:r>
      <w:r w:rsidRPr="00F12289">
        <w:rPr>
          <w:sz w:val="26"/>
          <w:szCs w:val="26"/>
          <w:lang w:val="es-ES"/>
        </w:rPr>
        <w:t xml:space="preserve"> conforme al cual corresponde en exclusiva al Poder Legislativo Federal la facultad </w:t>
      </w:r>
      <w:r w:rsidR="00F27F9F" w:rsidRPr="00F12289">
        <w:rPr>
          <w:sz w:val="26"/>
          <w:szCs w:val="26"/>
          <w:lang w:val="es-ES"/>
        </w:rPr>
        <w:t xml:space="preserve">de </w:t>
      </w:r>
      <w:r w:rsidRPr="00F12289">
        <w:rPr>
          <w:sz w:val="26"/>
          <w:szCs w:val="26"/>
          <w:lang w:val="es-ES"/>
        </w:rPr>
        <w:t xml:space="preserve">establecer en una ley las contribuciones, en términos del artículo 73, fracción VII de la Carta Magna. </w:t>
      </w:r>
    </w:p>
    <w:p w14:paraId="6E3B354D" w14:textId="4FC4D44B" w:rsidR="00F96CFC" w:rsidRPr="00F12289" w:rsidRDefault="00F96CFC" w:rsidP="00F96CFC">
      <w:pPr>
        <w:pStyle w:val="corte4fondo"/>
        <w:numPr>
          <w:ilvl w:val="0"/>
          <w:numId w:val="1"/>
        </w:numPr>
        <w:spacing w:before="240" w:after="120"/>
        <w:ind w:left="0" w:hanging="567"/>
        <w:rPr>
          <w:sz w:val="26"/>
          <w:szCs w:val="26"/>
          <w:lang w:val="es-ES"/>
        </w:rPr>
      </w:pPr>
      <w:r w:rsidRPr="00F12289">
        <w:rPr>
          <w:sz w:val="26"/>
          <w:szCs w:val="26"/>
          <w:lang w:val="es-ES"/>
        </w:rPr>
        <w:t>En este sentido, por mandato constitucional es facultad indelegable</w:t>
      </w:r>
      <w:r w:rsidR="00F27F9F" w:rsidRPr="00F12289">
        <w:rPr>
          <w:sz w:val="26"/>
          <w:szCs w:val="26"/>
          <w:lang w:val="es-ES"/>
        </w:rPr>
        <w:t xml:space="preserve"> del órgano invocado establecer</w:t>
      </w:r>
      <w:r w:rsidRPr="00F12289">
        <w:rPr>
          <w:sz w:val="26"/>
          <w:szCs w:val="26"/>
          <w:lang w:val="es-ES"/>
        </w:rPr>
        <w:t xml:space="preserve"> en las leyes en sentido formal y material (excluyendo por tanto la posibilidad para que pueda ser regulada por disposiciones de naturaleza distinta a la ley formal, es decir, a las leyes expedidas por el Poder Legislativo, lo que se traduce en que el legislador ordinario debe establecer la regulación de la materia de</w:t>
      </w:r>
      <w:r w:rsidR="00F27F9F" w:rsidRPr="00F12289">
        <w:rPr>
          <w:sz w:val="26"/>
          <w:szCs w:val="26"/>
          <w:lang w:val="es-ES"/>
        </w:rPr>
        <w:t>terminada</w:t>
      </w:r>
      <w:r w:rsidRPr="00F12289">
        <w:rPr>
          <w:sz w:val="26"/>
          <w:szCs w:val="26"/>
          <w:lang w:val="es-ES"/>
        </w:rPr>
        <w:t xml:space="preserve"> sin que pueda remitirla a otras normas secundarias, en especial al reglamento), los  elementos esenciales del tributo. </w:t>
      </w:r>
    </w:p>
    <w:p w14:paraId="7078BF42" w14:textId="77777777" w:rsidR="00F96CFC" w:rsidRPr="00F12289" w:rsidRDefault="00F96CFC" w:rsidP="00F96CFC">
      <w:pPr>
        <w:pStyle w:val="corte4fondo"/>
        <w:numPr>
          <w:ilvl w:val="0"/>
          <w:numId w:val="1"/>
        </w:numPr>
        <w:spacing w:before="240" w:after="120"/>
        <w:ind w:left="0" w:hanging="567"/>
        <w:rPr>
          <w:sz w:val="26"/>
          <w:szCs w:val="26"/>
          <w:lang w:val="es-MX"/>
        </w:rPr>
      </w:pPr>
      <w:r w:rsidRPr="00F12289">
        <w:rPr>
          <w:bCs/>
          <w:sz w:val="26"/>
          <w:szCs w:val="26"/>
          <w:lang w:val="es-ES"/>
        </w:rPr>
        <w:t xml:space="preserve">Precisado lo anterior, ahora es necesario determinar </w:t>
      </w:r>
      <w:r w:rsidRPr="00F12289">
        <w:rPr>
          <w:sz w:val="26"/>
          <w:szCs w:val="26"/>
          <w:lang w:val="es-MX"/>
        </w:rPr>
        <w:t>la naturaleza que tiene la norma tildada de inconstitucional, a efecto de establecer su alcance y aplicabilidad en el desarrollo de las facultades de revisión o comprobación que efectúen las autoridades hacendarias.</w:t>
      </w:r>
    </w:p>
    <w:p w14:paraId="24E86324" w14:textId="198FC866" w:rsidR="00274D97" w:rsidRPr="00F12289" w:rsidRDefault="00274D97" w:rsidP="00F96CFC">
      <w:pPr>
        <w:pStyle w:val="corte4fondo"/>
        <w:numPr>
          <w:ilvl w:val="0"/>
          <w:numId w:val="1"/>
        </w:numPr>
        <w:spacing w:before="240" w:after="120"/>
        <w:ind w:left="0" w:hanging="567"/>
        <w:rPr>
          <w:sz w:val="26"/>
          <w:szCs w:val="26"/>
          <w:lang w:val="es-MX"/>
        </w:rPr>
      </w:pPr>
      <w:r w:rsidRPr="00F12289">
        <w:rPr>
          <w:b/>
          <w:sz w:val="26"/>
          <w:szCs w:val="26"/>
          <w:lang w:val="es-MX"/>
        </w:rPr>
        <w:t>B. Naturaleza de la presunción contenida en el artículo 59, fracción III, del Código Fiscal de la Federación</w:t>
      </w:r>
    </w:p>
    <w:p w14:paraId="634E4395" w14:textId="19C4B006" w:rsidR="00F96CFC" w:rsidRPr="00F12289" w:rsidRDefault="00F27DBC" w:rsidP="00F96CFC">
      <w:pPr>
        <w:pStyle w:val="corte4fondo"/>
        <w:numPr>
          <w:ilvl w:val="0"/>
          <w:numId w:val="1"/>
        </w:numPr>
        <w:spacing w:before="240" w:after="120"/>
        <w:ind w:left="0" w:hanging="567"/>
        <w:rPr>
          <w:b/>
          <w:i/>
          <w:sz w:val="26"/>
          <w:szCs w:val="26"/>
          <w:lang w:val="es-MX"/>
        </w:rPr>
      </w:pPr>
      <w:r w:rsidRPr="00F12289">
        <w:rPr>
          <w:sz w:val="26"/>
          <w:szCs w:val="26"/>
          <w:lang w:val="es-MX"/>
        </w:rPr>
        <w:t>E</w:t>
      </w:r>
      <w:r w:rsidR="00F96CFC" w:rsidRPr="00F12289">
        <w:rPr>
          <w:sz w:val="26"/>
          <w:szCs w:val="26"/>
          <w:lang w:val="es-MX"/>
        </w:rPr>
        <w:t xml:space="preserve">l artículo 59, fracción III, del Código Fiscal </w:t>
      </w:r>
      <w:r w:rsidR="00F96CFC" w:rsidRPr="00F12289">
        <w:rPr>
          <w:sz w:val="26"/>
          <w:szCs w:val="26"/>
          <w:lang w:val="es-ES"/>
        </w:rPr>
        <w:t>de</w:t>
      </w:r>
      <w:r w:rsidR="00F96CFC" w:rsidRPr="00F12289">
        <w:rPr>
          <w:sz w:val="26"/>
          <w:szCs w:val="26"/>
          <w:lang w:val="es-MX"/>
        </w:rPr>
        <w:t xml:space="preserve"> la Federación vigente en el ejercicio dos mil ocho, dispone que para la comprobación de ingresos o del valor de l</w:t>
      </w:r>
      <w:r w:rsidR="00F27F9F" w:rsidRPr="00F12289">
        <w:rPr>
          <w:sz w:val="26"/>
          <w:szCs w:val="26"/>
          <w:lang w:val="es-MX"/>
        </w:rPr>
        <w:t>os actos, actividades o activos</w:t>
      </w:r>
      <w:r w:rsidR="00F96CFC" w:rsidRPr="00F12289">
        <w:rPr>
          <w:sz w:val="26"/>
          <w:szCs w:val="26"/>
          <w:lang w:val="es-MX"/>
        </w:rPr>
        <w:t xml:space="preserve"> por los que se deban pagar contribuciones, las autoridades fiscales</w:t>
      </w:r>
      <w:r w:rsidR="00F27F9F" w:rsidRPr="00F12289">
        <w:rPr>
          <w:sz w:val="26"/>
          <w:szCs w:val="26"/>
          <w:lang w:val="es-MX"/>
        </w:rPr>
        <w:t xml:space="preserve"> están facultadas para presumir</w:t>
      </w:r>
      <w:r w:rsidR="00F96CFC" w:rsidRPr="00F12289">
        <w:rPr>
          <w:sz w:val="26"/>
          <w:szCs w:val="26"/>
          <w:lang w:val="es-MX"/>
        </w:rPr>
        <w:t xml:space="preserve"> salvo prueba en contrario, que los depósitos en la cuenta del contribuyente que no estén debidamente registrados en su contabilidad, constituyen: </w:t>
      </w:r>
      <w:r w:rsidR="00F96CFC" w:rsidRPr="00F12289">
        <w:rPr>
          <w:b/>
          <w:sz w:val="26"/>
          <w:szCs w:val="26"/>
          <w:lang w:val="es-MX"/>
        </w:rPr>
        <w:t>a)</w:t>
      </w:r>
      <w:r w:rsidR="00F96CFC" w:rsidRPr="00F12289">
        <w:rPr>
          <w:sz w:val="26"/>
          <w:szCs w:val="26"/>
          <w:lang w:val="es-MX"/>
        </w:rPr>
        <w:t xml:space="preserve"> ingresos y </w:t>
      </w:r>
      <w:r w:rsidR="00F96CFC" w:rsidRPr="00F12289">
        <w:rPr>
          <w:b/>
          <w:sz w:val="26"/>
          <w:szCs w:val="26"/>
          <w:lang w:val="es-MX"/>
        </w:rPr>
        <w:t>b)</w:t>
      </w:r>
      <w:r w:rsidR="00F96CFC" w:rsidRPr="00F12289">
        <w:rPr>
          <w:sz w:val="26"/>
          <w:szCs w:val="26"/>
          <w:lang w:val="es-MX"/>
        </w:rPr>
        <w:t xml:space="preserve"> valor </w:t>
      </w:r>
      <w:r w:rsidR="00F27F9F" w:rsidRPr="00F12289">
        <w:rPr>
          <w:sz w:val="26"/>
          <w:szCs w:val="26"/>
          <w:lang w:val="es-MX"/>
        </w:rPr>
        <w:t>de actos, actividades o activos</w:t>
      </w:r>
      <w:r w:rsidR="00F96CFC" w:rsidRPr="00F12289">
        <w:rPr>
          <w:sz w:val="26"/>
          <w:szCs w:val="26"/>
          <w:lang w:val="es-MX"/>
        </w:rPr>
        <w:t xml:space="preserve"> afectos al pago del gravamen respectivo.</w:t>
      </w:r>
    </w:p>
    <w:p w14:paraId="4C8387AA" w14:textId="38C85A10" w:rsidR="00F96CFC" w:rsidRPr="00F12289" w:rsidRDefault="00F96CFC" w:rsidP="00F96CFC">
      <w:pPr>
        <w:pStyle w:val="corte4fondo"/>
        <w:numPr>
          <w:ilvl w:val="0"/>
          <w:numId w:val="1"/>
        </w:numPr>
        <w:spacing w:before="240" w:after="120"/>
        <w:ind w:left="0" w:hanging="567"/>
        <w:rPr>
          <w:sz w:val="26"/>
          <w:szCs w:val="26"/>
          <w:lang w:val="es-MX"/>
        </w:rPr>
      </w:pPr>
      <w:r w:rsidRPr="00F12289">
        <w:rPr>
          <w:sz w:val="26"/>
          <w:szCs w:val="26"/>
          <w:lang w:val="es-MX"/>
        </w:rPr>
        <w:t xml:space="preserve">Esto es, prevé la facultad de las autoridades fiscales para </w:t>
      </w:r>
      <w:r w:rsidRPr="00F12289">
        <w:rPr>
          <w:sz w:val="26"/>
          <w:szCs w:val="26"/>
          <w:lang w:val="es-ES"/>
        </w:rPr>
        <w:t>presumir</w:t>
      </w:r>
      <w:r w:rsidRPr="00F12289">
        <w:rPr>
          <w:sz w:val="26"/>
          <w:szCs w:val="26"/>
          <w:lang w:val="es-MX"/>
        </w:rPr>
        <w:t>, salvo prueba en contrario, que los depósitos bancarios</w:t>
      </w:r>
      <w:r w:rsidR="00F27F9F" w:rsidRPr="00F12289">
        <w:rPr>
          <w:sz w:val="26"/>
          <w:szCs w:val="26"/>
          <w:lang w:val="es-MX"/>
        </w:rPr>
        <w:t xml:space="preserve"> no registrados en contabilidad</w:t>
      </w:r>
      <w:r w:rsidRPr="00F12289">
        <w:rPr>
          <w:sz w:val="26"/>
          <w:szCs w:val="26"/>
          <w:lang w:val="es-MX"/>
        </w:rPr>
        <w:t xml:space="preserve"> son ingresos o valores de actos, actividades o activos.</w:t>
      </w:r>
    </w:p>
    <w:p w14:paraId="4161BB21" w14:textId="55550D2C" w:rsidR="00EB01B7" w:rsidRPr="00F12289" w:rsidRDefault="00F96CFC" w:rsidP="00F96CFC">
      <w:pPr>
        <w:pStyle w:val="corte4fondo"/>
        <w:numPr>
          <w:ilvl w:val="0"/>
          <w:numId w:val="1"/>
        </w:numPr>
        <w:spacing w:before="240" w:after="120"/>
        <w:ind w:left="0" w:hanging="567"/>
        <w:rPr>
          <w:sz w:val="26"/>
          <w:szCs w:val="26"/>
          <w:lang w:val="es-ES"/>
        </w:rPr>
      </w:pPr>
      <w:r w:rsidRPr="00F12289">
        <w:rPr>
          <w:sz w:val="26"/>
          <w:szCs w:val="26"/>
          <w:lang w:val="es-MX"/>
        </w:rPr>
        <w:t xml:space="preserve">En este contexto, la </w:t>
      </w:r>
      <w:proofErr w:type="gramStart"/>
      <w:r w:rsidRPr="00F12289">
        <w:rPr>
          <w:sz w:val="26"/>
          <w:szCs w:val="26"/>
          <w:lang w:val="es-MX"/>
        </w:rPr>
        <w:t xml:space="preserve">presunción  </w:t>
      </w:r>
      <w:r w:rsidRPr="00F12289">
        <w:rPr>
          <w:b/>
          <w:i/>
          <w:sz w:val="26"/>
          <w:szCs w:val="26"/>
          <w:lang w:val="es-MX"/>
        </w:rPr>
        <w:t>–</w:t>
      </w:r>
      <w:proofErr w:type="gramEnd"/>
      <w:r w:rsidRPr="00F12289">
        <w:rPr>
          <w:sz w:val="26"/>
          <w:szCs w:val="26"/>
          <w:lang w:val="es-MX"/>
        </w:rPr>
        <w:t xml:space="preserve">de ingresos o de </w:t>
      </w:r>
      <w:r w:rsidRPr="00F12289">
        <w:rPr>
          <w:sz w:val="26"/>
          <w:szCs w:val="26"/>
          <w:lang w:val="es-ES"/>
        </w:rPr>
        <w:t>valor</w:t>
      </w:r>
      <w:r w:rsidRPr="00F12289">
        <w:rPr>
          <w:sz w:val="26"/>
          <w:szCs w:val="26"/>
          <w:lang w:val="es-MX"/>
        </w:rPr>
        <w:t xml:space="preserve"> de actos,  actividades o activos</w:t>
      </w:r>
      <w:r w:rsidRPr="00F12289">
        <w:rPr>
          <w:b/>
          <w:i/>
          <w:sz w:val="26"/>
          <w:szCs w:val="26"/>
          <w:lang w:val="es-MX"/>
        </w:rPr>
        <w:t>–</w:t>
      </w:r>
      <w:r w:rsidRPr="00F12289">
        <w:rPr>
          <w:sz w:val="26"/>
          <w:szCs w:val="26"/>
          <w:lang w:val="es-MX"/>
        </w:rPr>
        <w:t xml:space="preserve"> es el elemento normativo que se encuentra en discusión, al considerar el recurrente que </w:t>
      </w:r>
      <w:r w:rsidRPr="00F12289">
        <w:rPr>
          <w:sz w:val="26"/>
          <w:szCs w:val="26"/>
          <w:lang w:val="es-ES"/>
        </w:rPr>
        <w:t>la presunción que prevé la norma jurídica en cuestión no es legal ni judicial y tampoco la actualiza el contribuyente, sino que se trata de un</w:t>
      </w:r>
      <w:r w:rsidR="00F27F9F" w:rsidRPr="00F12289">
        <w:rPr>
          <w:sz w:val="26"/>
          <w:szCs w:val="26"/>
          <w:lang w:val="es-ES"/>
        </w:rPr>
        <w:t>a</w:t>
      </w:r>
      <w:r w:rsidRPr="00F12289">
        <w:rPr>
          <w:sz w:val="26"/>
          <w:szCs w:val="26"/>
          <w:lang w:val="es-ES"/>
        </w:rPr>
        <w:t xml:space="preserve"> presunción administrativa, ya que son las autoridades fiscales la</w:t>
      </w:r>
      <w:r w:rsidR="00F27F9F" w:rsidRPr="00F12289">
        <w:rPr>
          <w:sz w:val="26"/>
          <w:szCs w:val="26"/>
          <w:lang w:val="es-ES"/>
        </w:rPr>
        <w:t>s</w:t>
      </w:r>
      <w:r w:rsidRPr="00F12289">
        <w:rPr>
          <w:sz w:val="26"/>
          <w:szCs w:val="26"/>
          <w:lang w:val="es-ES"/>
        </w:rPr>
        <w:t xml:space="preserve"> que deciden cu</w:t>
      </w:r>
      <w:r w:rsidR="00EB01B7" w:rsidRPr="00F12289">
        <w:rPr>
          <w:sz w:val="26"/>
          <w:szCs w:val="26"/>
          <w:lang w:val="es-ES"/>
        </w:rPr>
        <w:t>ándo tiene lugar la presunción.</w:t>
      </w:r>
    </w:p>
    <w:p w14:paraId="6CF86B1C" w14:textId="67A7AA33" w:rsidR="00F96CFC" w:rsidRPr="00F12289" w:rsidRDefault="00EB01B7" w:rsidP="00F96CFC">
      <w:pPr>
        <w:pStyle w:val="corte4fondo"/>
        <w:numPr>
          <w:ilvl w:val="0"/>
          <w:numId w:val="1"/>
        </w:numPr>
        <w:spacing w:before="240" w:after="120"/>
        <w:ind w:left="0" w:hanging="567"/>
        <w:rPr>
          <w:sz w:val="26"/>
          <w:szCs w:val="26"/>
          <w:lang w:val="es-ES"/>
        </w:rPr>
      </w:pPr>
      <w:r w:rsidRPr="00F12289">
        <w:rPr>
          <w:sz w:val="26"/>
          <w:szCs w:val="26"/>
          <w:lang w:val="es-ES"/>
        </w:rPr>
        <w:t xml:space="preserve">En otras palabras, el recurrente considera que </w:t>
      </w:r>
      <w:r w:rsidR="00F96CFC" w:rsidRPr="00F12289">
        <w:rPr>
          <w:sz w:val="26"/>
          <w:szCs w:val="26"/>
          <w:lang w:val="es-ES"/>
        </w:rPr>
        <w:t xml:space="preserve">es la propia autoridad fiscal quien, en franca violación al principio de legalidad tributaria, configura un elemento esencial de contribución como lo es el “objeto” del impuesto sobre la renta, esto es, los ingresos acumulables que en el caso los está presumiendo una autoridad administrativa.  </w:t>
      </w:r>
    </w:p>
    <w:p w14:paraId="026EAEED" w14:textId="2736029B" w:rsidR="000D565D" w:rsidRPr="00F12289" w:rsidRDefault="00F96CFC" w:rsidP="000D565D">
      <w:pPr>
        <w:pStyle w:val="corte4fondo"/>
        <w:numPr>
          <w:ilvl w:val="0"/>
          <w:numId w:val="1"/>
        </w:numPr>
        <w:spacing w:before="240" w:after="120"/>
        <w:ind w:left="0" w:hanging="567"/>
        <w:rPr>
          <w:sz w:val="26"/>
          <w:szCs w:val="26"/>
          <w:lang w:val="es-MX"/>
        </w:rPr>
      </w:pPr>
      <w:r w:rsidRPr="00F12289">
        <w:rPr>
          <w:sz w:val="26"/>
          <w:szCs w:val="26"/>
          <w:lang w:val="es-MX"/>
        </w:rPr>
        <w:t xml:space="preserve">Se estima pertinente hacer referencia a la naturaleza de las </w:t>
      </w:r>
      <w:r w:rsidRPr="00F12289">
        <w:rPr>
          <w:sz w:val="26"/>
          <w:szCs w:val="26"/>
          <w:lang w:val="es-ES"/>
        </w:rPr>
        <w:t>presunciones</w:t>
      </w:r>
      <w:r w:rsidR="00F27F9F" w:rsidRPr="00F12289">
        <w:rPr>
          <w:sz w:val="26"/>
          <w:szCs w:val="26"/>
          <w:lang w:val="es-MX"/>
        </w:rPr>
        <w:t xml:space="preserve"> fiscales para posteriormente analizar lo contenido</w:t>
      </w:r>
      <w:r w:rsidRPr="00F12289">
        <w:rPr>
          <w:sz w:val="26"/>
          <w:szCs w:val="26"/>
          <w:lang w:val="es-MX"/>
        </w:rPr>
        <w:t xml:space="preserve"> en el artículo 59, fracción III, del Código Fiscal de la Federación y con ello dilucidar su alcance.</w:t>
      </w:r>
    </w:p>
    <w:p w14:paraId="760F775D" w14:textId="337B4404" w:rsidR="000D565D" w:rsidRPr="00F12289" w:rsidRDefault="000D565D" w:rsidP="000D565D">
      <w:pPr>
        <w:pStyle w:val="corte4fondo"/>
        <w:numPr>
          <w:ilvl w:val="0"/>
          <w:numId w:val="1"/>
        </w:numPr>
        <w:spacing w:before="240" w:after="120"/>
        <w:ind w:left="0" w:hanging="567"/>
        <w:rPr>
          <w:sz w:val="26"/>
          <w:szCs w:val="26"/>
          <w:lang w:val="es-MX"/>
        </w:rPr>
      </w:pPr>
      <w:r w:rsidRPr="00F12289">
        <w:rPr>
          <w:sz w:val="26"/>
          <w:szCs w:val="26"/>
          <w:lang w:val="es-MX"/>
        </w:rPr>
        <w:t>Como institución jurídica, la presunción significa la posibilidad de presumir, sospechar, conjeturar, o juzgar por inducción. A través de un ejercicio de presunción se indaga u obtiene un hecho desconocido a partir de otro hecho que es conocido. La presunción puede ser legal o humana, según sea ésta obtenida a partir de los extremos dispuestos en ley o de la actividad desarrollada por el juzgador; y absolutas o relativas –</w:t>
      </w:r>
      <w:proofErr w:type="spellStart"/>
      <w:r w:rsidRPr="00F12289">
        <w:rPr>
          <w:i/>
          <w:sz w:val="26"/>
          <w:szCs w:val="26"/>
          <w:lang w:val="es-MX"/>
        </w:rPr>
        <w:t>juris</w:t>
      </w:r>
      <w:proofErr w:type="spellEnd"/>
      <w:r w:rsidRPr="00F12289">
        <w:rPr>
          <w:i/>
          <w:sz w:val="26"/>
          <w:szCs w:val="26"/>
          <w:lang w:val="es-MX"/>
        </w:rPr>
        <w:t xml:space="preserve"> et de jure </w:t>
      </w:r>
      <w:proofErr w:type="spellStart"/>
      <w:r w:rsidRPr="00F12289">
        <w:rPr>
          <w:i/>
          <w:sz w:val="26"/>
          <w:szCs w:val="26"/>
          <w:lang w:val="es-MX"/>
        </w:rPr>
        <w:t>ó</w:t>
      </w:r>
      <w:proofErr w:type="spellEnd"/>
      <w:r w:rsidRPr="00F12289">
        <w:rPr>
          <w:i/>
          <w:sz w:val="26"/>
          <w:szCs w:val="26"/>
          <w:lang w:val="es-MX"/>
        </w:rPr>
        <w:t xml:space="preserve"> </w:t>
      </w:r>
      <w:proofErr w:type="spellStart"/>
      <w:r w:rsidRPr="00F12289">
        <w:rPr>
          <w:i/>
          <w:sz w:val="26"/>
          <w:szCs w:val="26"/>
          <w:lang w:val="es-MX"/>
        </w:rPr>
        <w:t>juris</w:t>
      </w:r>
      <w:proofErr w:type="spellEnd"/>
      <w:r w:rsidRPr="00F12289">
        <w:rPr>
          <w:i/>
          <w:sz w:val="26"/>
          <w:szCs w:val="26"/>
          <w:lang w:val="es-MX"/>
        </w:rPr>
        <w:t xml:space="preserve"> tantum</w:t>
      </w:r>
      <w:r w:rsidRPr="00F12289">
        <w:rPr>
          <w:sz w:val="26"/>
          <w:szCs w:val="26"/>
          <w:lang w:val="es-MX"/>
        </w:rPr>
        <w:t>–</w:t>
      </w:r>
      <w:r w:rsidRPr="00F12289">
        <w:rPr>
          <w:i/>
          <w:sz w:val="26"/>
          <w:szCs w:val="26"/>
          <w:lang w:val="es-MX"/>
        </w:rPr>
        <w:t xml:space="preserve"> </w:t>
      </w:r>
      <w:r w:rsidRPr="00F12289">
        <w:rPr>
          <w:sz w:val="26"/>
          <w:szCs w:val="26"/>
          <w:lang w:val="es-MX"/>
        </w:rPr>
        <w:t>según su resultado sea definitivo o permita prueba en contrario.</w:t>
      </w:r>
    </w:p>
    <w:p w14:paraId="26C17F32" w14:textId="77777777" w:rsidR="00492921" w:rsidRPr="00F12289" w:rsidRDefault="00492921" w:rsidP="00492921">
      <w:pPr>
        <w:pStyle w:val="Prrafodelista"/>
        <w:rPr>
          <w:rFonts w:ascii="Arial" w:hAnsi="Arial" w:cs="Arial"/>
          <w:sz w:val="26"/>
          <w:szCs w:val="26"/>
        </w:rPr>
      </w:pPr>
    </w:p>
    <w:p w14:paraId="68397575" w14:textId="77777777" w:rsidR="00492921" w:rsidRPr="00F12289" w:rsidRDefault="00492921" w:rsidP="00492921">
      <w:pPr>
        <w:pStyle w:val="Prrafodelista"/>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En el derecho mexicano, la figura de la presunción, sus modalidades y alcances, pueden encontrarse en los artículos 190 a 196 del Código Federal de Procedimientos Civiles, de aplicación supletoria a la materia fiscal de conformidad con el artículo 5, párrafo segundo, del Código Fiscal de la Federación.</w:t>
      </w:r>
    </w:p>
    <w:p w14:paraId="7F5BF09A" w14:textId="77777777" w:rsidR="00492921" w:rsidRPr="00F12289" w:rsidRDefault="00492921" w:rsidP="00492921">
      <w:pPr>
        <w:pStyle w:val="Prrafodelista"/>
        <w:rPr>
          <w:rFonts w:ascii="Arial" w:hAnsi="Arial" w:cs="Arial"/>
          <w:sz w:val="26"/>
          <w:szCs w:val="26"/>
          <w:highlight w:val="green"/>
        </w:rPr>
      </w:pPr>
    </w:p>
    <w:p w14:paraId="052A41C1" w14:textId="77777777" w:rsidR="00492921" w:rsidRPr="00F12289" w:rsidRDefault="00492921" w:rsidP="00492921">
      <w:pPr>
        <w:pStyle w:val="Prrafodelista"/>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 xml:space="preserve">En el cumplimiento de obligaciones fiscales, y su comprobación por parte de las autoridades administrativas, el mencionado Código Fiscal de la Federación otorga a dichas autoridades la posibilidad de hacer uso de la institución de la presunción para el debido ejercicio de sus facultades, tanto de comprobación como de exigencia para el cumplimiento de obligaciones formales. </w:t>
      </w:r>
    </w:p>
    <w:p w14:paraId="41293BB1" w14:textId="77777777" w:rsidR="00492921" w:rsidRPr="00F12289" w:rsidRDefault="00492921" w:rsidP="00492921">
      <w:pPr>
        <w:pStyle w:val="Prrafodelista"/>
        <w:rPr>
          <w:rFonts w:ascii="Arial" w:hAnsi="Arial" w:cs="Arial"/>
          <w:sz w:val="26"/>
          <w:szCs w:val="26"/>
        </w:rPr>
      </w:pPr>
    </w:p>
    <w:p w14:paraId="65E3C014" w14:textId="77777777" w:rsidR="00492921" w:rsidRPr="00F12289" w:rsidRDefault="00492921" w:rsidP="00492921">
      <w:pPr>
        <w:pStyle w:val="Prrafodelista"/>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 xml:space="preserve">De conformidad con el artículo 6 del Código Fiscal de la Federación las contribuciones se causan conforme se realizan las situaciones jurídicas </w:t>
      </w:r>
      <w:proofErr w:type="gramStart"/>
      <w:r w:rsidRPr="00F12289">
        <w:rPr>
          <w:rFonts w:ascii="Arial" w:hAnsi="Arial" w:cs="Arial"/>
          <w:sz w:val="26"/>
          <w:szCs w:val="26"/>
        </w:rPr>
        <w:t>o</w:t>
      </w:r>
      <w:proofErr w:type="gramEnd"/>
      <w:r w:rsidRPr="00F12289">
        <w:rPr>
          <w:rFonts w:ascii="Arial" w:hAnsi="Arial" w:cs="Arial"/>
          <w:sz w:val="26"/>
          <w:szCs w:val="26"/>
        </w:rPr>
        <w:t xml:space="preserve"> de hecho, previstas en las leyes fiscales vigentes durante el lapso en que ocurran. A su vez, corresponde a los propios contribuyentes la determinación de las contribuciones a su cargo, salvo disposición expresa en contrario. </w:t>
      </w:r>
    </w:p>
    <w:p w14:paraId="6D4CA3BE" w14:textId="77777777" w:rsidR="00492921" w:rsidRPr="00F12289" w:rsidRDefault="00492921" w:rsidP="00492921">
      <w:pPr>
        <w:pStyle w:val="Prrafodelista"/>
        <w:rPr>
          <w:rFonts w:ascii="Arial" w:hAnsi="Arial" w:cs="Arial"/>
          <w:sz w:val="26"/>
          <w:szCs w:val="26"/>
        </w:rPr>
      </w:pPr>
    </w:p>
    <w:p w14:paraId="3032A01E" w14:textId="77777777" w:rsidR="00492921" w:rsidRPr="00F12289" w:rsidRDefault="00492921" w:rsidP="00492921">
      <w:pPr>
        <w:pStyle w:val="Prrafodelista"/>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 xml:space="preserve">Esta norma es conocida doctrinalmente como el principio de autodeterminación de las contribuciones, e implica </w:t>
      </w:r>
      <w:proofErr w:type="gramStart"/>
      <w:r w:rsidRPr="00F12289">
        <w:rPr>
          <w:rFonts w:ascii="Arial" w:hAnsi="Arial" w:cs="Arial"/>
          <w:sz w:val="26"/>
          <w:szCs w:val="26"/>
        </w:rPr>
        <w:t>que</w:t>
      </w:r>
      <w:proofErr w:type="gramEnd"/>
      <w:r w:rsidRPr="00F12289">
        <w:rPr>
          <w:rFonts w:ascii="Arial" w:hAnsi="Arial" w:cs="Arial"/>
          <w:sz w:val="26"/>
          <w:szCs w:val="26"/>
        </w:rPr>
        <w:t xml:space="preserve"> en el sistema fiscal vigente, el legislador optó por dejar en el contribuyente la carga de calcular el monto que le corresponde pagar, según las contribuciones que haya causado y pagarlo en la fecha o dentro del plazo señalado por las disposiciones correspondientes; en lugar de un sistema donde las autoridades fiscales deben realizar dicha determinación. </w:t>
      </w:r>
    </w:p>
    <w:p w14:paraId="21356E8D" w14:textId="77777777" w:rsidR="00492921" w:rsidRPr="00F12289" w:rsidRDefault="00492921" w:rsidP="00492921">
      <w:pPr>
        <w:pStyle w:val="Prrafodelista"/>
        <w:rPr>
          <w:rFonts w:ascii="Arial" w:hAnsi="Arial" w:cs="Arial"/>
          <w:sz w:val="26"/>
          <w:szCs w:val="26"/>
        </w:rPr>
      </w:pPr>
    </w:p>
    <w:p w14:paraId="19DECDEC" w14:textId="77777777" w:rsidR="00492921" w:rsidRPr="00F12289" w:rsidRDefault="00492921" w:rsidP="00492921">
      <w:pPr>
        <w:pStyle w:val="Prrafodelista"/>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 xml:space="preserve">Entonces, la regla general es que el pago de la contribución se realice a través de la determinación y pago por parte del contribuyente, de conformidad con los datos asentados en su declaración cuando las leyes así lo exijan tal como se dispone en el artículo 20 del Código Fiscal de la Federación. </w:t>
      </w:r>
    </w:p>
    <w:p w14:paraId="138EA124" w14:textId="77777777" w:rsidR="00492921" w:rsidRPr="00F12289" w:rsidRDefault="00492921" w:rsidP="00492921">
      <w:pPr>
        <w:pStyle w:val="Prrafodelista"/>
        <w:rPr>
          <w:rFonts w:ascii="Arial" w:hAnsi="Arial" w:cs="Arial"/>
          <w:sz w:val="26"/>
          <w:szCs w:val="26"/>
        </w:rPr>
      </w:pPr>
    </w:p>
    <w:p w14:paraId="61C8A3B7" w14:textId="77777777" w:rsidR="00492921" w:rsidRPr="00F12289" w:rsidRDefault="00492921" w:rsidP="00492921">
      <w:pPr>
        <w:pStyle w:val="Prrafodelista"/>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 xml:space="preserve">No obstante, por excepción, la autoridad fiscal podrá realizar dicha determinación. Dicha excepción surge, generalmente cuando la autoridad procede a ejercer sus facultades de comprobación, pero no exclusivamente, pues puede darse como consecuencia del incumplimiento de otro tipo de obligaciones fiscales como lo es el no presentar declaraciones, avisos o informativas. </w:t>
      </w:r>
    </w:p>
    <w:p w14:paraId="693D81D0" w14:textId="77777777" w:rsidR="00492921" w:rsidRPr="00F12289" w:rsidRDefault="00492921" w:rsidP="00492921">
      <w:pPr>
        <w:pStyle w:val="Prrafodelista"/>
        <w:rPr>
          <w:rFonts w:ascii="Arial" w:hAnsi="Arial" w:cs="Arial"/>
          <w:sz w:val="26"/>
          <w:szCs w:val="26"/>
        </w:rPr>
      </w:pPr>
    </w:p>
    <w:p w14:paraId="77A9FCB3" w14:textId="77777777" w:rsidR="00492921" w:rsidRPr="00F12289" w:rsidRDefault="00492921" w:rsidP="00492921">
      <w:pPr>
        <w:pStyle w:val="Prrafodelista"/>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 xml:space="preserve">Para el despliegue de facultades de comprobación existe una gran gama de herramientas para la autoridad fiscal, como lo son los procedimientos que se contemplan en el artículo 42 del Código Fiscal; so pena de </w:t>
      </w:r>
      <w:proofErr w:type="gramStart"/>
      <w:r w:rsidRPr="00F12289">
        <w:rPr>
          <w:rFonts w:ascii="Arial" w:hAnsi="Arial" w:cs="Arial"/>
          <w:sz w:val="26"/>
          <w:szCs w:val="26"/>
        </w:rPr>
        <w:t>que</w:t>
      </w:r>
      <w:proofErr w:type="gramEnd"/>
      <w:r w:rsidRPr="00F12289">
        <w:rPr>
          <w:rFonts w:ascii="Arial" w:hAnsi="Arial" w:cs="Arial"/>
          <w:sz w:val="26"/>
          <w:szCs w:val="26"/>
        </w:rPr>
        <w:t xml:space="preserve"> si el contribuyente no proporciona la información a la que está obligado a conservar, o bien opone resistencia la autoridad puede allegarse la información a través de los medios que la ley permite. Esto habilita los supuestos de cálculo y determinación del impuesto que el Tribunal Pleno ha reconocido como: autodeterminación y determinación de la autoridad con o sin colaboración del contribuyente. </w:t>
      </w:r>
    </w:p>
    <w:p w14:paraId="37523427" w14:textId="77777777" w:rsidR="00492921" w:rsidRPr="00F12289" w:rsidRDefault="00492921" w:rsidP="00492921">
      <w:pPr>
        <w:pStyle w:val="Prrafodelista"/>
        <w:spacing w:line="360" w:lineRule="auto"/>
        <w:ind w:left="0"/>
        <w:jc w:val="both"/>
        <w:rPr>
          <w:rFonts w:ascii="Arial" w:hAnsi="Arial" w:cs="Arial"/>
          <w:sz w:val="26"/>
          <w:szCs w:val="26"/>
        </w:rPr>
      </w:pPr>
    </w:p>
    <w:p w14:paraId="1927BAE9" w14:textId="55CF1B14" w:rsidR="00492921" w:rsidRPr="00F12289" w:rsidRDefault="00492921" w:rsidP="00492921">
      <w:pPr>
        <w:pStyle w:val="Prrafodelista"/>
        <w:numPr>
          <w:ilvl w:val="0"/>
          <w:numId w:val="1"/>
        </w:numPr>
        <w:spacing w:line="360" w:lineRule="auto"/>
        <w:ind w:left="0" w:hanging="567"/>
        <w:jc w:val="both"/>
        <w:rPr>
          <w:rFonts w:ascii="Arial" w:hAnsi="Arial" w:cs="Arial"/>
          <w:sz w:val="26"/>
          <w:szCs w:val="26"/>
        </w:rPr>
      </w:pPr>
      <w:r w:rsidRPr="00F12289">
        <w:rPr>
          <w:rFonts w:ascii="Arial" w:hAnsi="Arial" w:cs="Arial"/>
          <w:sz w:val="26"/>
          <w:szCs w:val="26"/>
        </w:rPr>
        <w:t xml:space="preserve">Ahora bien, el Tribunal Pleno clasificó las presunciones en el sistema fiscal mexicano –en el contexto de facultades de comprobación- al resolver la contradicción de tesis 237/2014 en las siguientes categorías analíticas: </w:t>
      </w:r>
    </w:p>
    <w:p w14:paraId="243A35F7" w14:textId="77777777" w:rsidR="00492921" w:rsidRPr="00492921" w:rsidRDefault="00492921" w:rsidP="00492921">
      <w:pPr>
        <w:spacing w:line="360" w:lineRule="auto"/>
        <w:jc w:val="both"/>
        <w:rPr>
          <w:rFonts w:ascii="Arial" w:hAnsi="Arial" w:cs="Arial"/>
          <w:sz w:val="26"/>
          <w:szCs w:val="26"/>
        </w:rPr>
      </w:pPr>
    </w:p>
    <w:p w14:paraId="68351CD8" w14:textId="77777777" w:rsidR="00492921" w:rsidRPr="00F12289" w:rsidRDefault="00492921" w:rsidP="00E33769">
      <w:pPr>
        <w:pStyle w:val="Prrafodelista"/>
        <w:numPr>
          <w:ilvl w:val="1"/>
          <w:numId w:val="1"/>
        </w:numPr>
        <w:spacing w:after="200"/>
        <w:contextualSpacing/>
        <w:jc w:val="both"/>
        <w:rPr>
          <w:rFonts w:ascii="Arial" w:hAnsi="Arial" w:cs="Arial"/>
          <w:sz w:val="24"/>
          <w:szCs w:val="24"/>
        </w:rPr>
      </w:pPr>
      <w:r w:rsidRPr="00F12289">
        <w:rPr>
          <w:rFonts w:ascii="Arial" w:hAnsi="Arial" w:cs="Arial"/>
          <w:sz w:val="24"/>
          <w:szCs w:val="24"/>
        </w:rPr>
        <w:t>Subsistema general de presunciones ante la obstrucción de la acción de la autoridad fiscal. Compuesto por las disposiciones que contienen los artículos 55, 56 y 61.</w:t>
      </w:r>
    </w:p>
    <w:p w14:paraId="58A07BAF" w14:textId="77777777" w:rsidR="00492921" w:rsidRPr="00F12289" w:rsidRDefault="00492921" w:rsidP="00E33769">
      <w:pPr>
        <w:pStyle w:val="Prrafodelista"/>
        <w:spacing w:after="200"/>
        <w:ind w:left="1080"/>
        <w:contextualSpacing/>
        <w:jc w:val="both"/>
        <w:rPr>
          <w:rFonts w:ascii="Arial" w:hAnsi="Arial" w:cs="Arial"/>
          <w:sz w:val="24"/>
          <w:szCs w:val="24"/>
        </w:rPr>
      </w:pPr>
    </w:p>
    <w:p w14:paraId="1FB5D406" w14:textId="77777777" w:rsidR="00492921" w:rsidRPr="00F12289" w:rsidRDefault="00492921" w:rsidP="00E33769">
      <w:pPr>
        <w:pStyle w:val="Prrafodelista"/>
        <w:numPr>
          <w:ilvl w:val="1"/>
          <w:numId w:val="1"/>
        </w:numPr>
        <w:spacing w:after="200"/>
        <w:contextualSpacing/>
        <w:jc w:val="both"/>
        <w:rPr>
          <w:rFonts w:ascii="Arial" w:hAnsi="Arial" w:cs="Arial"/>
          <w:sz w:val="24"/>
          <w:szCs w:val="24"/>
        </w:rPr>
      </w:pPr>
      <w:r w:rsidRPr="00F12289">
        <w:rPr>
          <w:rFonts w:ascii="Arial" w:hAnsi="Arial" w:cs="Arial"/>
          <w:sz w:val="24"/>
          <w:szCs w:val="24"/>
        </w:rPr>
        <w:t xml:space="preserve">Subsistema particular de presunciones ante el riesgo de ocultamiento de ingresos, actos, actividades o activos. Compuesto por </w:t>
      </w:r>
      <w:r w:rsidRPr="00F12289">
        <w:rPr>
          <w:rFonts w:ascii="Arial" w:hAnsi="Arial" w:cs="Arial"/>
          <w:b/>
          <w:sz w:val="24"/>
          <w:szCs w:val="24"/>
          <w:u w:val="single"/>
        </w:rPr>
        <w:t>el artículo 59</w:t>
      </w:r>
      <w:r w:rsidRPr="00F12289">
        <w:rPr>
          <w:rFonts w:ascii="Arial" w:hAnsi="Arial" w:cs="Arial"/>
          <w:sz w:val="24"/>
          <w:szCs w:val="24"/>
        </w:rPr>
        <w:t>.</w:t>
      </w:r>
    </w:p>
    <w:p w14:paraId="1D93AFCA" w14:textId="77777777" w:rsidR="00492921" w:rsidRPr="00F12289" w:rsidRDefault="00492921" w:rsidP="00E33769">
      <w:pPr>
        <w:pStyle w:val="Prrafodelista"/>
        <w:rPr>
          <w:rFonts w:ascii="Arial" w:hAnsi="Arial" w:cs="Arial"/>
          <w:sz w:val="24"/>
          <w:szCs w:val="24"/>
        </w:rPr>
      </w:pPr>
    </w:p>
    <w:p w14:paraId="45CBA868" w14:textId="77777777" w:rsidR="00492921" w:rsidRPr="00F12289" w:rsidRDefault="00492921" w:rsidP="00E33769">
      <w:pPr>
        <w:pStyle w:val="Prrafodelista"/>
        <w:numPr>
          <w:ilvl w:val="1"/>
          <w:numId w:val="1"/>
        </w:numPr>
        <w:spacing w:after="200"/>
        <w:contextualSpacing/>
        <w:jc w:val="both"/>
        <w:rPr>
          <w:rFonts w:ascii="Arial" w:hAnsi="Arial" w:cs="Arial"/>
          <w:sz w:val="24"/>
          <w:szCs w:val="24"/>
        </w:rPr>
      </w:pPr>
      <w:r w:rsidRPr="00F12289">
        <w:rPr>
          <w:rFonts w:ascii="Arial" w:hAnsi="Arial" w:cs="Arial"/>
          <w:sz w:val="24"/>
          <w:szCs w:val="24"/>
        </w:rPr>
        <w:t>Subsistema de casos específicos. Compuesto por los artículos 57, 60, 62.</w:t>
      </w:r>
    </w:p>
    <w:p w14:paraId="31087752" w14:textId="77777777" w:rsidR="00492921" w:rsidRPr="00F12289" w:rsidRDefault="00492921" w:rsidP="00E33769">
      <w:pPr>
        <w:pStyle w:val="Prrafodelista"/>
        <w:rPr>
          <w:rFonts w:ascii="Arial" w:hAnsi="Arial" w:cs="Arial"/>
          <w:sz w:val="24"/>
          <w:szCs w:val="24"/>
        </w:rPr>
      </w:pPr>
    </w:p>
    <w:p w14:paraId="4B58BFC3" w14:textId="522C4BE3" w:rsidR="00492921" w:rsidRPr="00F12289" w:rsidRDefault="00492921" w:rsidP="00E33769">
      <w:pPr>
        <w:pStyle w:val="Prrafodelista"/>
        <w:numPr>
          <w:ilvl w:val="1"/>
          <w:numId w:val="1"/>
        </w:numPr>
        <w:spacing w:after="200"/>
        <w:contextualSpacing/>
        <w:jc w:val="both"/>
        <w:rPr>
          <w:rFonts w:ascii="Arial" w:hAnsi="Arial" w:cs="Arial"/>
          <w:sz w:val="24"/>
          <w:szCs w:val="24"/>
        </w:rPr>
      </w:pPr>
      <w:r w:rsidRPr="00F12289">
        <w:rPr>
          <w:rFonts w:ascii="Arial" w:hAnsi="Arial" w:cs="Arial"/>
          <w:sz w:val="24"/>
          <w:szCs w:val="24"/>
        </w:rPr>
        <w:t>Subsistema de cooperación internacional. Compuesto por el artículo 54.</w:t>
      </w:r>
    </w:p>
    <w:p w14:paraId="4BD4CE52" w14:textId="3F334396" w:rsidR="00F96CFC" w:rsidRPr="00F12289" w:rsidRDefault="00492921" w:rsidP="00F96CFC">
      <w:pPr>
        <w:pStyle w:val="corte4fondo"/>
        <w:numPr>
          <w:ilvl w:val="0"/>
          <w:numId w:val="1"/>
        </w:numPr>
        <w:spacing w:before="240" w:after="120"/>
        <w:ind w:left="0" w:hanging="567"/>
        <w:rPr>
          <w:b/>
          <w:i/>
          <w:sz w:val="26"/>
          <w:szCs w:val="26"/>
          <w:lang w:val="es-MX"/>
        </w:rPr>
      </w:pPr>
      <w:r w:rsidRPr="00F12289">
        <w:rPr>
          <w:sz w:val="26"/>
          <w:szCs w:val="26"/>
          <w:lang w:val="es-MX"/>
        </w:rPr>
        <w:t xml:space="preserve">La presunción que nos ocupa se enmarca en aquellas que surgen ante el riesgo de ocultamiento de ingresos, actos, actividades o activos. Y al respecto, se enfatiza que su razón de existencia también radica </w:t>
      </w:r>
      <w:r w:rsidR="00F96CFC" w:rsidRPr="00F12289">
        <w:rPr>
          <w:sz w:val="26"/>
          <w:szCs w:val="26"/>
          <w:lang w:val="es-MX"/>
        </w:rPr>
        <w:t>en</w:t>
      </w:r>
      <w:r w:rsidRPr="00F12289">
        <w:rPr>
          <w:sz w:val="26"/>
          <w:szCs w:val="26"/>
          <w:lang w:val="es-MX"/>
        </w:rPr>
        <w:t xml:space="preserve"> </w:t>
      </w:r>
      <w:proofErr w:type="gramStart"/>
      <w:r w:rsidRPr="00F12289">
        <w:rPr>
          <w:sz w:val="26"/>
          <w:szCs w:val="26"/>
          <w:lang w:val="es-MX"/>
        </w:rPr>
        <w:t xml:space="preserve">el </w:t>
      </w:r>
      <w:r w:rsidR="00F96CFC" w:rsidRPr="00F12289">
        <w:rPr>
          <w:sz w:val="26"/>
          <w:szCs w:val="26"/>
          <w:lang w:val="es-MX"/>
        </w:rPr>
        <w:t xml:space="preserve"> </w:t>
      </w:r>
      <w:r w:rsidRPr="00F12289">
        <w:rPr>
          <w:sz w:val="26"/>
          <w:szCs w:val="26"/>
          <w:lang w:val="es-ES"/>
        </w:rPr>
        <w:t>combate</w:t>
      </w:r>
      <w:proofErr w:type="gramEnd"/>
      <w:r w:rsidR="00F96CFC" w:rsidRPr="00F12289">
        <w:rPr>
          <w:sz w:val="26"/>
          <w:szCs w:val="26"/>
          <w:lang w:val="es-MX"/>
        </w:rPr>
        <w:t xml:space="preserve"> a la evasión fiscal, pues al desplegar la autoridad fiscal sus facultades de comprobación en determinados casos, los sujetos pasivos tienen múltiples posibilidades de evadir el cumplimiento de sus obligaciones tributarias, realizando conductas de simulación absoluta, relativa o fraude a la ley. </w:t>
      </w:r>
    </w:p>
    <w:p w14:paraId="176D5373" w14:textId="769A650B" w:rsidR="00E33769" w:rsidRPr="00F12289" w:rsidRDefault="00F96CFC" w:rsidP="00E33769">
      <w:pPr>
        <w:pStyle w:val="corte4fondo"/>
        <w:numPr>
          <w:ilvl w:val="0"/>
          <w:numId w:val="1"/>
        </w:numPr>
        <w:spacing w:after="240"/>
        <w:ind w:left="0" w:hanging="567"/>
        <w:rPr>
          <w:b/>
          <w:i/>
          <w:sz w:val="26"/>
          <w:szCs w:val="26"/>
          <w:lang w:val="es-MX"/>
        </w:rPr>
      </w:pPr>
      <w:r w:rsidRPr="00F12289">
        <w:rPr>
          <w:sz w:val="26"/>
          <w:szCs w:val="26"/>
          <w:lang w:val="es-MX"/>
        </w:rPr>
        <w:t>Lo anterior queda patentizado en la tesis 2a.</w:t>
      </w:r>
      <w:r w:rsidR="000D565D" w:rsidRPr="00F12289">
        <w:rPr>
          <w:sz w:val="26"/>
          <w:szCs w:val="26"/>
          <w:lang w:val="es-MX"/>
        </w:rPr>
        <w:t xml:space="preserve"> XXX/2009 de </w:t>
      </w:r>
      <w:r w:rsidRPr="00F12289">
        <w:rPr>
          <w:sz w:val="26"/>
          <w:szCs w:val="26"/>
          <w:lang w:val="es-MX"/>
        </w:rPr>
        <w:t xml:space="preserve">rubro: </w:t>
      </w:r>
      <w:r w:rsidRPr="00F12289">
        <w:rPr>
          <w:i/>
          <w:sz w:val="26"/>
          <w:szCs w:val="26"/>
          <w:lang w:val="es-MX"/>
        </w:rPr>
        <w:t>“PRESUNCIONES SOBRE EL INCREMENTO DEL PATRIMONIO DEL CONTRIBUYENTE. SUS ALCANCES EN RELACIÓN CON LOS PRINCIPIOS DE JUSTICIA TRIBUTARIA”</w:t>
      </w:r>
      <w:r w:rsidR="000D565D" w:rsidRPr="00F12289">
        <w:rPr>
          <w:i/>
          <w:sz w:val="26"/>
          <w:szCs w:val="26"/>
          <w:lang w:val="es-MX"/>
        </w:rPr>
        <w:t>,</w:t>
      </w:r>
      <w:r w:rsidRPr="00F12289">
        <w:rPr>
          <w:sz w:val="26"/>
          <w:szCs w:val="26"/>
          <w:vertAlign w:val="superscript"/>
          <w:lang w:val="es-MX"/>
        </w:rPr>
        <w:footnoteReference w:id="15"/>
      </w:r>
      <w:r w:rsidRPr="00F12289">
        <w:rPr>
          <w:sz w:val="26"/>
          <w:szCs w:val="26"/>
          <w:lang w:val="es-MX"/>
        </w:rPr>
        <w:t xml:space="preserve"> de la que se advierte lo siguiente: </w:t>
      </w:r>
    </w:p>
    <w:p w14:paraId="3DFC011F" w14:textId="1E220379" w:rsidR="00F96CFC" w:rsidRPr="00F12289" w:rsidRDefault="00F96CFC" w:rsidP="00E33769">
      <w:pPr>
        <w:pStyle w:val="corte4fondo"/>
        <w:spacing w:after="240" w:line="240" w:lineRule="auto"/>
        <w:ind w:left="709" w:right="992" w:firstLine="0"/>
        <w:rPr>
          <w:sz w:val="24"/>
          <w:szCs w:val="24"/>
          <w:lang w:val="es-MX"/>
        </w:rPr>
      </w:pPr>
      <w:r w:rsidRPr="00F12289">
        <w:rPr>
          <w:sz w:val="24"/>
          <w:szCs w:val="24"/>
          <w:lang w:val="es-MX"/>
        </w:rPr>
        <w:t>Las presunciones legales son frecuentes en el ámbito tributario en virtud de que se anticipan a las posibles conductas fraudulentas de los sujetos obligados y parten de una probabilidad normal en la realización de un hecho de difícil constatación para la autoridad fiscal creándose así una verd</w:t>
      </w:r>
      <w:r w:rsidR="00274D97" w:rsidRPr="00F12289">
        <w:rPr>
          <w:sz w:val="24"/>
          <w:szCs w:val="24"/>
          <w:lang w:val="es-MX"/>
        </w:rPr>
        <w:t xml:space="preserve">ad jurídica distinta a la real. </w:t>
      </w:r>
    </w:p>
    <w:p w14:paraId="44E4C52E" w14:textId="77777777" w:rsidR="00E33769" w:rsidRPr="00274D97" w:rsidRDefault="00E33769" w:rsidP="00E33769">
      <w:pPr>
        <w:pStyle w:val="corte4fondo"/>
        <w:spacing w:line="240" w:lineRule="auto"/>
        <w:ind w:left="709" w:right="992" w:firstLine="0"/>
        <w:rPr>
          <w:b/>
          <w:sz w:val="24"/>
          <w:szCs w:val="24"/>
          <w:lang w:val="es-MX"/>
        </w:rPr>
      </w:pPr>
    </w:p>
    <w:p w14:paraId="07C3DA3B" w14:textId="74C93EA8" w:rsidR="00F96CFC" w:rsidRPr="00F12289" w:rsidRDefault="00F96CFC" w:rsidP="00E33769">
      <w:pPr>
        <w:pStyle w:val="corte4fondo"/>
        <w:numPr>
          <w:ilvl w:val="0"/>
          <w:numId w:val="1"/>
        </w:numPr>
        <w:spacing w:before="240" w:after="240"/>
        <w:ind w:left="0" w:hanging="567"/>
        <w:rPr>
          <w:sz w:val="26"/>
          <w:szCs w:val="26"/>
          <w:lang w:val="es-MX"/>
        </w:rPr>
      </w:pPr>
      <w:r w:rsidRPr="00F12289">
        <w:rPr>
          <w:sz w:val="26"/>
          <w:szCs w:val="26"/>
          <w:lang w:val="es-MX"/>
        </w:rPr>
        <w:t>De tal manera, las presunciones fiscales</w:t>
      </w:r>
      <w:r w:rsidR="00492921" w:rsidRPr="00F12289">
        <w:rPr>
          <w:sz w:val="26"/>
          <w:szCs w:val="26"/>
          <w:lang w:val="es-MX"/>
        </w:rPr>
        <w:t xml:space="preserve"> como las que nos ocupa</w:t>
      </w:r>
      <w:r w:rsidRPr="00F12289">
        <w:rPr>
          <w:sz w:val="26"/>
          <w:szCs w:val="26"/>
          <w:lang w:val="es-MX"/>
        </w:rPr>
        <w:t>, a diferencia</w:t>
      </w:r>
      <w:r w:rsidR="00492921" w:rsidRPr="00F12289">
        <w:rPr>
          <w:sz w:val="26"/>
          <w:szCs w:val="26"/>
          <w:lang w:val="es-MX"/>
        </w:rPr>
        <w:t xml:space="preserve"> de las del derecho en general, </w:t>
      </w:r>
      <w:r w:rsidRPr="00F12289">
        <w:rPr>
          <w:sz w:val="26"/>
          <w:szCs w:val="26"/>
          <w:lang w:val="es-MX"/>
        </w:rPr>
        <w:t xml:space="preserve">se actualizan bajo </w:t>
      </w:r>
      <w:r w:rsidRPr="00F12289">
        <w:rPr>
          <w:sz w:val="26"/>
          <w:szCs w:val="26"/>
          <w:lang w:val="es-ES"/>
        </w:rPr>
        <w:t>el</w:t>
      </w:r>
      <w:r w:rsidRPr="00F12289">
        <w:rPr>
          <w:sz w:val="26"/>
          <w:szCs w:val="26"/>
          <w:lang w:val="es-MX"/>
        </w:rPr>
        <w:t xml:space="preserve"> marco de las facultades de comprobación de las autoridades fiscales, esto es, no se da en todos los casos por el simple hecho de que el contr</w:t>
      </w:r>
      <w:r w:rsidR="008168E8" w:rsidRPr="00F12289">
        <w:rPr>
          <w:sz w:val="26"/>
          <w:szCs w:val="26"/>
          <w:lang w:val="es-MX"/>
        </w:rPr>
        <w:t xml:space="preserve">ibuyente se ubique de hecho en </w:t>
      </w:r>
      <w:r w:rsidRPr="00F12289">
        <w:rPr>
          <w:sz w:val="26"/>
          <w:szCs w:val="26"/>
          <w:lang w:val="es-MX"/>
        </w:rPr>
        <w:t>la hipótesis normativa, sino que es necesario que la autoridad la determine.</w:t>
      </w:r>
    </w:p>
    <w:p w14:paraId="7F97C659" w14:textId="77777777" w:rsidR="00F96CFC" w:rsidRPr="00F12289" w:rsidRDefault="00F96CFC" w:rsidP="00F96CFC">
      <w:pPr>
        <w:pStyle w:val="corte4fondo"/>
        <w:numPr>
          <w:ilvl w:val="0"/>
          <w:numId w:val="1"/>
        </w:numPr>
        <w:spacing w:before="240" w:after="120"/>
        <w:ind w:left="0" w:hanging="567"/>
        <w:rPr>
          <w:sz w:val="26"/>
          <w:szCs w:val="26"/>
          <w:lang w:val="es-MX"/>
        </w:rPr>
      </w:pPr>
      <w:r w:rsidRPr="00F12289">
        <w:rPr>
          <w:sz w:val="26"/>
          <w:szCs w:val="26"/>
          <w:lang w:val="es-MX"/>
        </w:rPr>
        <w:t xml:space="preserve">Lo referido se evidencia con la existencia del principio de selectividad, de tal forma que una presunción fiscal sólo se podrá determinar en el </w:t>
      </w:r>
      <w:r w:rsidRPr="00F12289">
        <w:rPr>
          <w:sz w:val="26"/>
          <w:szCs w:val="26"/>
          <w:lang w:val="es-ES"/>
        </w:rPr>
        <w:t>momento</w:t>
      </w:r>
      <w:r w:rsidRPr="00F12289">
        <w:rPr>
          <w:sz w:val="26"/>
          <w:szCs w:val="26"/>
          <w:lang w:val="es-MX"/>
        </w:rPr>
        <w:t xml:space="preserve"> en que la </w:t>
      </w:r>
      <w:proofErr w:type="gramStart"/>
      <w:r w:rsidRPr="00F12289">
        <w:rPr>
          <w:sz w:val="26"/>
          <w:szCs w:val="26"/>
          <w:lang w:val="es-MX"/>
        </w:rPr>
        <w:t>autoridad  observe</w:t>
      </w:r>
      <w:proofErr w:type="gramEnd"/>
      <w:r w:rsidRPr="00F12289">
        <w:rPr>
          <w:sz w:val="26"/>
          <w:szCs w:val="26"/>
          <w:lang w:val="es-MX"/>
        </w:rPr>
        <w:t xml:space="preserve"> que se actualiza la hipótesis de la norma dentro del caso selectivo que ésta se encuentre verificando.</w:t>
      </w:r>
    </w:p>
    <w:p w14:paraId="7CA13805" w14:textId="77777777" w:rsidR="00F96CFC" w:rsidRPr="00F12289" w:rsidRDefault="00F96CFC" w:rsidP="00F96CFC">
      <w:pPr>
        <w:pStyle w:val="corte4fondo"/>
        <w:numPr>
          <w:ilvl w:val="0"/>
          <w:numId w:val="1"/>
        </w:numPr>
        <w:spacing w:before="240" w:after="120"/>
        <w:ind w:left="0" w:hanging="567"/>
        <w:rPr>
          <w:b/>
          <w:i/>
          <w:sz w:val="26"/>
          <w:szCs w:val="26"/>
          <w:lang w:val="es-MX"/>
        </w:rPr>
      </w:pPr>
      <w:r w:rsidRPr="00F12289">
        <w:rPr>
          <w:sz w:val="26"/>
          <w:szCs w:val="26"/>
          <w:lang w:val="es-MX"/>
        </w:rPr>
        <w:t>En el entendido de que las presunciones fiscales constituyen herramientas que el legislador brinda a la autoridad para que ésta pueda conocer de hechos que de otra manera pudieran haber concluido en un fraude fiscal, esto es, que ante la dificultad práctica de probar la realidad fáctica que se pretende gravar, se dota de presunciones favorables a la autoridad administrativa, supuesto en el cual la carga de la prueba de desvirtuar la presunción corre a cargo del particular auditado.</w:t>
      </w:r>
    </w:p>
    <w:p w14:paraId="4FEF030A" w14:textId="77777777" w:rsidR="00F96CFC" w:rsidRPr="00F12289" w:rsidRDefault="00F96CFC" w:rsidP="00F96CFC">
      <w:pPr>
        <w:pStyle w:val="corte4fondo"/>
        <w:numPr>
          <w:ilvl w:val="0"/>
          <w:numId w:val="1"/>
        </w:numPr>
        <w:spacing w:before="240" w:after="120"/>
        <w:ind w:left="0" w:hanging="567"/>
        <w:rPr>
          <w:b/>
          <w:i/>
          <w:sz w:val="26"/>
          <w:szCs w:val="26"/>
          <w:lang w:val="es-MX"/>
        </w:rPr>
      </w:pPr>
      <w:r w:rsidRPr="00F12289">
        <w:rPr>
          <w:sz w:val="26"/>
          <w:szCs w:val="26"/>
          <w:lang w:val="es-MX"/>
        </w:rPr>
        <w:t xml:space="preserve">De todo lo anterior se puede concluir que las </w:t>
      </w:r>
      <w:r w:rsidRPr="00F12289">
        <w:rPr>
          <w:sz w:val="26"/>
          <w:szCs w:val="26"/>
          <w:lang w:val="es-ES"/>
        </w:rPr>
        <w:t>presunciones</w:t>
      </w:r>
      <w:r w:rsidRPr="00F12289">
        <w:rPr>
          <w:sz w:val="26"/>
          <w:szCs w:val="26"/>
          <w:lang w:val="es-MX"/>
        </w:rPr>
        <w:t xml:space="preserve"> fiscales sirven a la autoridad fiscal dentro de sus facultades de comprobación para conocer o reconstruir hechos que por la problemática fáctica que le representa la auditoría en curso son difíciles de probar, constituyendo un auténtico instrumento que hace posible su función de órgano fiscalizador.</w:t>
      </w:r>
    </w:p>
    <w:p w14:paraId="0ECFE3CC" w14:textId="04FC5B6D" w:rsidR="00274D97" w:rsidRPr="00F12289" w:rsidRDefault="00274D97" w:rsidP="00F96CFC">
      <w:pPr>
        <w:pStyle w:val="corte4fondo"/>
        <w:numPr>
          <w:ilvl w:val="0"/>
          <w:numId w:val="1"/>
        </w:numPr>
        <w:spacing w:before="240" w:after="120"/>
        <w:ind w:left="0" w:hanging="567"/>
        <w:rPr>
          <w:b/>
          <w:i/>
          <w:sz w:val="26"/>
          <w:szCs w:val="26"/>
          <w:lang w:val="es-MX"/>
        </w:rPr>
      </w:pPr>
      <w:r w:rsidRPr="00F12289">
        <w:rPr>
          <w:b/>
          <w:sz w:val="26"/>
          <w:szCs w:val="26"/>
          <w:lang w:val="es-MX"/>
        </w:rPr>
        <w:t>C. Decisión: aplicación de premisas al caso concreto</w:t>
      </w:r>
    </w:p>
    <w:p w14:paraId="781F3F38" w14:textId="062AF9B8" w:rsidR="00492921" w:rsidRPr="00F12289" w:rsidRDefault="00F96CFC" w:rsidP="00492921">
      <w:pPr>
        <w:pStyle w:val="corte4fondo"/>
        <w:numPr>
          <w:ilvl w:val="0"/>
          <w:numId w:val="1"/>
        </w:numPr>
        <w:spacing w:before="240" w:after="120"/>
        <w:ind w:left="0" w:hanging="567"/>
        <w:rPr>
          <w:sz w:val="26"/>
          <w:szCs w:val="26"/>
          <w:lang w:val="es-MX"/>
        </w:rPr>
      </w:pPr>
      <w:r w:rsidRPr="00F12289">
        <w:rPr>
          <w:sz w:val="26"/>
          <w:szCs w:val="26"/>
          <w:lang w:val="es-MX"/>
        </w:rPr>
        <w:t xml:space="preserve">Precisada la función de las presunciones en materia tributaria, esta Primera Sala considera pertinente reiterar el contenido del artículo 59, fracción III, del Código Fiscal de la Federación, el cual determina: </w:t>
      </w:r>
    </w:p>
    <w:p w14:paraId="2377B217" w14:textId="77777777" w:rsidR="001D50E0" w:rsidRPr="00F12289" w:rsidRDefault="00F96CFC" w:rsidP="00A57A8D">
      <w:pPr>
        <w:pStyle w:val="corte4fondo"/>
        <w:spacing w:line="276" w:lineRule="auto"/>
        <w:ind w:left="851" w:firstLine="0"/>
        <w:rPr>
          <w:i/>
          <w:sz w:val="24"/>
          <w:szCs w:val="24"/>
          <w:lang w:val="es-MX"/>
        </w:rPr>
      </w:pPr>
      <w:r w:rsidRPr="00F12289">
        <w:rPr>
          <w:i/>
          <w:sz w:val="24"/>
          <w:szCs w:val="24"/>
          <w:lang w:val="es-MX"/>
        </w:rPr>
        <w:t>“</w:t>
      </w:r>
      <w:r w:rsidRPr="00F12289">
        <w:rPr>
          <w:b/>
          <w:i/>
          <w:sz w:val="24"/>
          <w:szCs w:val="24"/>
          <w:lang w:val="es-MX"/>
        </w:rPr>
        <w:t>Artículo 59</w:t>
      </w:r>
      <w:r w:rsidRPr="00F12289">
        <w:rPr>
          <w:i/>
          <w:sz w:val="24"/>
          <w:szCs w:val="24"/>
          <w:lang w:val="es-MX"/>
        </w:rPr>
        <w:t xml:space="preserve">. Para la comprobación de los ingresos, del valor de los actos, actividades o activos por los que se deban pagar contribuciones, así como de la actualización de las hipótesis para la aplicación de las tasas establecidas en las disposiciones fiscales, </w:t>
      </w:r>
      <w:r w:rsidRPr="00F12289">
        <w:rPr>
          <w:b/>
          <w:i/>
          <w:sz w:val="24"/>
          <w:szCs w:val="24"/>
          <w:lang w:val="es-MX"/>
        </w:rPr>
        <w:t>las autoridades fiscales presumirán, salvo prueba en contrario</w:t>
      </w:r>
      <w:r w:rsidRPr="00F12289">
        <w:rPr>
          <w:i/>
          <w:sz w:val="24"/>
          <w:szCs w:val="24"/>
          <w:lang w:val="es-MX"/>
        </w:rPr>
        <w:t>: […]</w:t>
      </w:r>
    </w:p>
    <w:p w14:paraId="05F18AF4" w14:textId="77777777" w:rsidR="001D50E0" w:rsidRPr="00F12289" w:rsidRDefault="00F96CFC" w:rsidP="00A57A8D">
      <w:pPr>
        <w:pStyle w:val="corte4fondo"/>
        <w:spacing w:line="276" w:lineRule="auto"/>
        <w:ind w:left="851" w:firstLine="0"/>
        <w:rPr>
          <w:i/>
          <w:sz w:val="24"/>
          <w:szCs w:val="24"/>
          <w:lang w:val="es-MX"/>
        </w:rPr>
      </w:pPr>
      <w:r w:rsidRPr="00F12289">
        <w:rPr>
          <w:b/>
          <w:i/>
          <w:sz w:val="24"/>
          <w:szCs w:val="24"/>
          <w:lang w:val="es-MX"/>
        </w:rPr>
        <w:t>III.</w:t>
      </w:r>
      <w:r w:rsidRPr="00F12289">
        <w:rPr>
          <w:i/>
          <w:sz w:val="24"/>
          <w:szCs w:val="24"/>
          <w:lang w:val="es-MX"/>
        </w:rPr>
        <w:t xml:space="preserve"> Que los depósitos en la cuenta bancaria del contribuyente que no correspondan a registros de su contabilidad que esté obligado a llevar, son ingresos y valor de actos o actividades por los que se deben pagar contribuciones.</w:t>
      </w:r>
    </w:p>
    <w:p w14:paraId="7FFD8A6B" w14:textId="77777777" w:rsidR="001D50E0" w:rsidRPr="00F12289" w:rsidRDefault="00F96CFC" w:rsidP="00A57A8D">
      <w:pPr>
        <w:pStyle w:val="corte4fondo"/>
        <w:spacing w:line="276" w:lineRule="auto"/>
        <w:ind w:left="851" w:firstLine="0"/>
        <w:rPr>
          <w:i/>
          <w:sz w:val="24"/>
          <w:szCs w:val="24"/>
          <w:lang w:val="es-MX"/>
        </w:rPr>
      </w:pPr>
      <w:r w:rsidRPr="00F12289">
        <w:rPr>
          <w:i/>
          <w:sz w:val="24"/>
          <w:szCs w:val="24"/>
          <w:lang w:val="es-MX"/>
        </w:rPr>
        <w:t>Para los efectos de esta fracción, se considera que el contribuyente no registró en su contabilidad los depósitos en su cuenta bancaria cuando, estando obligado a llevarla, no la presente a la autoridad cuando ésta ejerza sus facultades de comprobación.</w:t>
      </w:r>
    </w:p>
    <w:p w14:paraId="19FFF596" w14:textId="77777777" w:rsidR="001D50E0" w:rsidRPr="00F12289" w:rsidRDefault="00F96CFC" w:rsidP="00A57A8D">
      <w:pPr>
        <w:pStyle w:val="corte4fondo"/>
        <w:spacing w:line="276" w:lineRule="auto"/>
        <w:ind w:left="851" w:firstLine="0"/>
        <w:rPr>
          <w:i/>
          <w:sz w:val="24"/>
          <w:szCs w:val="24"/>
          <w:lang w:val="es-MX"/>
        </w:rPr>
      </w:pPr>
      <w:r w:rsidRPr="00F12289">
        <w:rPr>
          <w:i/>
          <w:sz w:val="24"/>
          <w:szCs w:val="24"/>
          <w:lang w:val="es-MX"/>
        </w:rPr>
        <w:t>También se presumirá que los depósitos que se efectúen en un ejercicio fiscal, cuya suma sea superior a $1,151,000.00 en las cuentas bancarias de una persona que no está inscrita en el Registro Federal de Contribuyentes o que no está obligada a llevar contabilidad, son ingresos y valor de actos o actividades por los que se deben pagar contribuciones.</w:t>
      </w:r>
    </w:p>
    <w:p w14:paraId="332B56A5" w14:textId="0B7D31BE" w:rsidR="00F96CFC" w:rsidRPr="00F12289" w:rsidRDefault="00F96CFC" w:rsidP="00A57A8D">
      <w:pPr>
        <w:pStyle w:val="corte4fondo"/>
        <w:spacing w:line="276" w:lineRule="auto"/>
        <w:ind w:left="851" w:firstLine="0"/>
        <w:rPr>
          <w:i/>
          <w:sz w:val="24"/>
          <w:szCs w:val="24"/>
          <w:lang w:val="es-MX"/>
        </w:rPr>
      </w:pPr>
      <w:r w:rsidRPr="00F12289">
        <w:rPr>
          <w:i/>
          <w:sz w:val="24"/>
          <w:szCs w:val="24"/>
          <w:lang w:val="es-MX"/>
        </w:rPr>
        <w:t>No se aplicará lo dispuesto en el párrafo anterior cuando, antes de que la autoridad inicie el ejercicio de sus facultades de comprobación, el contribuyente informe al Servicio de Administración Tributaria de los depósitos realizados, cubriendo todos los requisitos que dicho órgano desconcentrado establezca mediante reglas de carácter general. […]”.</w:t>
      </w:r>
    </w:p>
    <w:p w14:paraId="20A7C33F" w14:textId="77777777" w:rsidR="00F96CFC" w:rsidRPr="00F12289" w:rsidRDefault="00F96CFC" w:rsidP="00F96CFC">
      <w:pPr>
        <w:pStyle w:val="corte4fondo"/>
        <w:numPr>
          <w:ilvl w:val="0"/>
          <w:numId w:val="1"/>
        </w:numPr>
        <w:spacing w:before="240" w:after="120"/>
        <w:ind w:left="0" w:hanging="567"/>
        <w:rPr>
          <w:sz w:val="26"/>
          <w:szCs w:val="26"/>
          <w:lang w:val="es-MX"/>
        </w:rPr>
      </w:pPr>
      <w:r w:rsidRPr="00F12289">
        <w:rPr>
          <w:sz w:val="26"/>
          <w:szCs w:val="26"/>
          <w:lang w:val="es-MX"/>
        </w:rPr>
        <w:t xml:space="preserve">En dicho artículo se prevé una estimativa de ingresos en la cual la autoridad fiscal considerará a los depósitos bancarios no registrados en la contabilidad del contribuyente como ingresos y valor de </w:t>
      </w:r>
      <w:proofErr w:type="gramStart"/>
      <w:r w:rsidRPr="00F12289">
        <w:rPr>
          <w:sz w:val="26"/>
          <w:szCs w:val="26"/>
          <w:lang w:val="es-MX"/>
        </w:rPr>
        <w:t>actos,  actividades</w:t>
      </w:r>
      <w:proofErr w:type="gramEnd"/>
      <w:r w:rsidRPr="00F12289">
        <w:rPr>
          <w:sz w:val="26"/>
          <w:szCs w:val="26"/>
          <w:lang w:val="es-MX"/>
        </w:rPr>
        <w:t xml:space="preserve"> o activos por los que se deben pagar contribuciones. </w:t>
      </w:r>
    </w:p>
    <w:p w14:paraId="5EFA106A" w14:textId="254DC5E1" w:rsidR="00F96CFC" w:rsidRPr="00F12289" w:rsidRDefault="00F96CFC" w:rsidP="00F96CFC">
      <w:pPr>
        <w:pStyle w:val="corte4fondo"/>
        <w:numPr>
          <w:ilvl w:val="0"/>
          <w:numId w:val="1"/>
        </w:numPr>
        <w:spacing w:before="240" w:after="120"/>
        <w:ind w:left="0" w:hanging="567"/>
        <w:rPr>
          <w:sz w:val="26"/>
          <w:szCs w:val="26"/>
          <w:lang w:val="es-ES"/>
        </w:rPr>
      </w:pPr>
      <w:r w:rsidRPr="00F12289">
        <w:rPr>
          <w:sz w:val="26"/>
          <w:szCs w:val="26"/>
          <w:lang w:val="es-MX"/>
        </w:rPr>
        <w:t xml:space="preserve">De esta forma, la presunción prevista en el numeral en </w:t>
      </w:r>
      <w:proofErr w:type="gramStart"/>
      <w:r w:rsidRPr="00F12289">
        <w:rPr>
          <w:sz w:val="26"/>
          <w:szCs w:val="26"/>
          <w:lang w:val="es-MX"/>
        </w:rPr>
        <w:t>cuestión,</w:t>
      </w:r>
      <w:proofErr w:type="gramEnd"/>
      <w:r w:rsidRPr="00F12289">
        <w:rPr>
          <w:sz w:val="26"/>
          <w:szCs w:val="26"/>
          <w:lang w:val="es-MX"/>
        </w:rPr>
        <w:t xml:space="preserve"> facilita al</w:t>
      </w:r>
      <w:r w:rsidR="008168E8" w:rsidRPr="00F12289">
        <w:rPr>
          <w:sz w:val="26"/>
          <w:szCs w:val="26"/>
          <w:lang w:val="es-MX"/>
        </w:rPr>
        <w:t xml:space="preserve"> fisco el proceso de estimación</w:t>
      </w:r>
      <w:r w:rsidRPr="00F12289">
        <w:rPr>
          <w:sz w:val="26"/>
          <w:szCs w:val="26"/>
          <w:lang w:val="es-MX"/>
        </w:rPr>
        <w:t xml:space="preserve"> en </w:t>
      </w:r>
      <w:r w:rsidRPr="00F12289">
        <w:rPr>
          <w:sz w:val="26"/>
          <w:szCs w:val="26"/>
          <w:lang w:val="es-ES"/>
        </w:rPr>
        <w:t>la</w:t>
      </w:r>
      <w:r w:rsidRPr="00F12289">
        <w:rPr>
          <w:sz w:val="26"/>
          <w:szCs w:val="26"/>
          <w:lang w:val="es-MX"/>
        </w:rPr>
        <w:t xml:space="preserve"> averiguación de los hechos que hacen posible fijar la magnitud de la obligación tributaria, ya que los depósitos obtenidos por un contribuyente constituyen manifestaciones de riqueza susceptibles de ser gravados, pero de difícil identificación. </w:t>
      </w:r>
    </w:p>
    <w:p w14:paraId="3A54AC1E" w14:textId="77777777" w:rsidR="00F96CFC" w:rsidRPr="00F12289" w:rsidRDefault="00F96CFC" w:rsidP="00F96CFC">
      <w:pPr>
        <w:pStyle w:val="corte4fondo"/>
        <w:numPr>
          <w:ilvl w:val="0"/>
          <w:numId w:val="1"/>
        </w:numPr>
        <w:spacing w:before="240" w:after="120"/>
        <w:ind w:left="0" w:hanging="567"/>
        <w:rPr>
          <w:b/>
          <w:i/>
          <w:sz w:val="26"/>
          <w:szCs w:val="26"/>
          <w:lang w:val="es-MX"/>
        </w:rPr>
      </w:pPr>
      <w:r w:rsidRPr="00F12289">
        <w:rPr>
          <w:sz w:val="26"/>
          <w:szCs w:val="26"/>
          <w:lang w:val="es-MX"/>
        </w:rPr>
        <w:t xml:space="preserve">Así, la presunción de ingresos acumulables prevista en la porción normativa impugnada, es consecuencia del ejercicio de la facultad de fiscalización llevada a cabo por la autoridad hacendaria; caso en el cual, cuando se descubran depósitos bancarios no registrados en la contabilidad, ello hará presumir la existencia de ingresos, remitiéndolos para la determinación del gravamen respectivo a la </w:t>
      </w:r>
      <w:proofErr w:type="gramStart"/>
      <w:r w:rsidRPr="00F12289">
        <w:rPr>
          <w:sz w:val="26"/>
          <w:szCs w:val="26"/>
          <w:lang w:val="es-MX"/>
        </w:rPr>
        <w:t>legislación  tributaria</w:t>
      </w:r>
      <w:proofErr w:type="gramEnd"/>
      <w:r w:rsidRPr="00F12289">
        <w:rPr>
          <w:sz w:val="26"/>
          <w:szCs w:val="26"/>
          <w:lang w:val="es-MX"/>
        </w:rPr>
        <w:t xml:space="preserve"> correspondiente.</w:t>
      </w:r>
    </w:p>
    <w:p w14:paraId="5D5BCD2B" w14:textId="77777777" w:rsidR="00F96CFC" w:rsidRPr="00F12289" w:rsidRDefault="00F96CFC" w:rsidP="00F96CFC">
      <w:pPr>
        <w:pStyle w:val="corte4fondo"/>
        <w:numPr>
          <w:ilvl w:val="0"/>
          <w:numId w:val="1"/>
        </w:numPr>
        <w:spacing w:before="240" w:after="120"/>
        <w:ind w:left="0" w:hanging="567"/>
        <w:rPr>
          <w:b/>
          <w:i/>
          <w:sz w:val="26"/>
          <w:szCs w:val="26"/>
          <w:lang w:val="es-MX"/>
        </w:rPr>
      </w:pPr>
      <w:r w:rsidRPr="00F12289">
        <w:rPr>
          <w:sz w:val="26"/>
          <w:szCs w:val="26"/>
          <w:lang w:val="es-MX"/>
        </w:rPr>
        <w:t xml:space="preserve">Lo anterior significa que cuando el contribuyente revisado o visitado no pruebe, en los términos de la interpretación que se ha hecho en este fallo del precepto impugnado, que los depósitos descubiertos no correspondan a ingresos </w:t>
      </w:r>
      <w:r w:rsidRPr="00F12289">
        <w:rPr>
          <w:b/>
          <w:i/>
          <w:sz w:val="26"/>
          <w:szCs w:val="26"/>
          <w:lang w:val="es-MX"/>
        </w:rPr>
        <w:t>–</w:t>
      </w:r>
      <w:r w:rsidRPr="00F12289">
        <w:rPr>
          <w:sz w:val="26"/>
          <w:szCs w:val="26"/>
          <w:lang w:val="es-MX"/>
        </w:rPr>
        <w:t>en materia de impuesto sobre la renta</w:t>
      </w:r>
      <w:r w:rsidRPr="00F12289">
        <w:rPr>
          <w:b/>
          <w:i/>
          <w:sz w:val="26"/>
          <w:szCs w:val="26"/>
          <w:lang w:val="es-MX"/>
        </w:rPr>
        <w:t>–</w:t>
      </w:r>
      <w:r w:rsidRPr="00F12289">
        <w:rPr>
          <w:sz w:val="26"/>
          <w:szCs w:val="26"/>
          <w:lang w:val="es-MX"/>
        </w:rPr>
        <w:t xml:space="preserve"> o a valores de actos, actividades o activos, deberá dar efecto de acumulación o de impuesto causado, respectivamente, sin que se traduzca lo anterior en una configuración o modificación de un tributo a cargo del particular distinto de aquellos que conforman sus obligaciones fiscales.</w:t>
      </w:r>
    </w:p>
    <w:p w14:paraId="5A2B5C42" w14:textId="26D9D37B" w:rsidR="006D7C50" w:rsidRPr="00F12289" w:rsidRDefault="00F96CFC" w:rsidP="00F96CFC">
      <w:pPr>
        <w:pStyle w:val="corte4fondo"/>
        <w:numPr>
          <w:ilvl w:val="0"/>
          <w:numId w:val="1"/>
        </w:numPr>
        <w:spacing w:before="240" w:after="120"/>
        <w:ind w:left="0" w:hanging="567"/>
        <w:rPr>
          <w:b/>
          <w:i/>
          <w:sz w:val="26"/>
          <w:szCs w:val="26"/>
          <w:lang w:val="es-MX"/>
        </w:rPr>
      </w:pPr>
      <w:r w:rsidRPr="00F12289">
        <w:rPr>
          <w:sz w:val="26"/>
          <w:szCs w:val="26"/>
          <w:lang w:val="es-MX"/>
        </w:rPr>
        <w:t xml:space="preserve">En este orden de ideas, es claro que el artículo 59, fracción III, del </w:t>
      </w:r>
      <w:r w:rsidR="008168E8" w:rsidRPr="00F12289">
        <w:rPr>
          <w:sz w:val="26"/>
          <w:szCs w:val="26"/>
          <w:lang w:val="es-MX"/>
        </w:rPr>
        <w:t xml:space="preserve">Código Fiscal de la Federación </w:t>
      </w:r>
      <w:r w:rsidRPr="00F12289">
        <w:rPr>
          <w:sz w:val="26"/>
          <w:szCs w:val="26"/>
          <w:lang w:val="es-MX"/>
        </w:rPr>
        <w:t xml:space="preserve">vigente en el año dos </w:t>
      </w:r>
      <w:r w:rsidR="008168E8" w:rsidRPr="00F12289">
        <w:rPr>
          <w:sz w:val="26"/>
          <w:szCs w:val="26"/>
          <w:lang w:val="es-MX"/>
        </w:rPr>
        <w:t xml:space="preserve">mil </w:t>
      </w:r>
      <w:r w:rsidRPr="00F12289">
        <w:rPr>
          <w:sz w:val="26"/>
          <w:szCs w:val="26"/>
          <w:lang w:val="es-MX"/>
        </w:rPr>
        <w:t xml:space="preserve">ocho, no establece los elementos de una contribución, como el objeto </w:t>
      </w:r>
      <w:r w:rsidR="008168E8" w:rsidRPr="00F12289">
        <w:rPr>
          <w:sz w:val="26"/>
          <w:szCs w:val="26"/>
          <w:lang w:val="es-MX"/>
        </w:rPr>
        <w:t>del impuesto sobre la renta</w:t>
      </w:r>
      <w:r w:rsidRPr="00F12289">
        <w:rPr>
          <w:sz w:val="26"/>
          <w:szCs w:val="26"/>
          <w:lang w:val="es-MX"/>
        </w:rPr>
        <w:t xml:space="preserve"> ni fija los elementos esenciales de una obligación tributaria, ya que el alcance de la presunción contenida en la disposición impugnada únicamente permite dar el carácter de ingresos o valores de actos, actividades o activos a los depósitos bancarios no registrados en la contabilidad del contribuyente que se encuentra sujeto al ejercicio de las facultades de comprobación, así como un supuesto de determinación presuntiva, como es que los depósitos bancarios no est</w:t>
      </w:r>
      <w:r w:rsidR="006D7C50" w:rsidRPr="00F12289">
        <w:rPr>
          <w:sz w:val="26"/>
          <w:szCs w:val="26"/>
          <w:lang w:val="es-MX"/>
        </w:rPr>
        <w:t>én registrados en contabilidad.</w:t>
      </w:r>
    </w:p>
    <w:p w14:paraId="25DAD565" w14:textId="6D1E4EAC" w:rsidR="00F96CFC" w:rsidRPr="00F12289" w:rsidRDefault="006D7C50" w:rsidP="00F96CFC">
      <w:pPr>
        <w:pStyle w:val="corte4fondo"/>
        <w:numPr>
          <w:ilvl w:val="0"/>
          <w:numId w:val="1"/>
        </w:numPr>
        <w:spacing w:before="240" w:after="120"/>
        <w:ind w:left="0" w:hanging="567"/>
        <w:rPr>
          <w:b/>
          <w:i/>
          <w:sz w:val="26"/>
          <w:szCs w:val="26"/>
          <w:lang w:val="es-MX"/>
        </w:rPr>
      </w:pPr>
      <w:r w:rsidRPr="00F12289">
        <w:rPr>
          <w:sz w:val="26"/>
          <w:szCs w:val="26"/>
          <w:lang w:val="es-MX"/>
        </w:rPr>
        <w:t>P</w:t>
      </w:r>
      <w:r w:rsidR="00F96CFC" w:rsidRPr="00F12289">
        <w:rPr>
          <w:sz w:val="26"/>
          <w:szCs w:val="26"/>
          <w:lang w:val="es-MX"/>
        </w:rPr>
        <w:t>or tanto, contrariam</w:t>
      </w:r>
      <w:r w:rsidR="00CC0379" w:rsidRPr="00F12289">
        <w:rPr>
          <w:sz w:val="26"/>
          <w:szCs w:val="26"/>
          <w:lang w:val="es-MX"/>
        </w:rPr>
        <w:t>ente a lo alegado por el recurrente</w:t>
      </w:r>
      <w:r w:rsidR="00F96CFC" w:rsidRPr="00F12289">
        <w:rPr>
          <w:sz w:val="26"/>
          <w:szCs w:val="26"/>
          <w:lang w:val="es-MX"/>
        </w:rPr>
        <w:t>, la norma impugnada no vulnera los principios de legali</w:t>
      </w:r>
      <w:r w:rsidR="008168E8" w:rsidRPr="00F12289">
        <w:rPr>
          <w:sz w:val="26"/>
          <w:szCs w:val="26"/>
          <w:lang w:val="es-MX"/>
        </w:rPr>
        <w:t>dad tributaria y reserva de ley</w:t>
      </w:r>
      <w:r w:rsidR="00F96CFC" w:rsidRPr="00F12289">
        <w:rPr>
          <w:sz w:val="26"/>
          <w:szCs w:val="26"/>
          <w:lang w:val="es-MX"/>
        </w:rPr>
        <w:t xml:space="preserve"> porque no configura un impuesto ni establece alguno de sus elementos esenciales, dado que los ingresos acumulables o el procedimiento d</w:t>
      </w:r>
      <w:r w:rsidR="008168E8" w:rsidRPr="00F12289">
        <w:rPr>
          <w:sz w:val="26"/>
          <w:szCs w:val="26"/>
          <w:lang w:val="es-MX"/>
        </w:rPr>
        <w:t>el cálculo del gravamen a pagar</w:t>
      </w:r>
      <w:r w:rsidR="00F96CFC" w:rsidRPr="00F12289">
        <w:rPr>
          <w:sz w:val="26"/>
          <w:szCs w:val="26"/>
          <w:lang w:val="es-MX"/>
        </w:rPr>
        <w:t xml:space="preserve"> se regulan por las leyes de la materia, como puede ser, por ejemplo, la Ley del Impuesto sobre la Renta. </w:t>
      </w:r>
    </w:p>
    <w:p w14:paraId="62ADC793" w14:textId="095C3471" w:rsidR="00274D97" w:rsidRPr="00F12289" w:rsidRDefault="00274D97" w:rsidP="00F96CFC">
      <w:pPr>
        <w:pStyle w:val="corte4fondo"/>
        <w:numPr>
          <w:ilvl w:val="0"/>
          <w:numId w:val="1"/>
        </w:numPr>
        <w:spacing w:before="240" w:after="120"/>
        <w:ind w:left="0" w:hanging="567"/>
        <w:rPr>
          <w:b/>
          <w:i/>
          <w:sz w:val="26"/>
          <w:szCs w:val="26"/>
          <w:lang w:val="es-MX"/>
        </w:rPr>
      </w:pPr>
      <w:r w:rsidRPr="00F12289">
        <w:rPr>
          <w:sz w:val="26"/>
          <w:szCs w:val="26"/>
          <w:lang w:val="es-MX"/>
        </w:rPr>
        <w:t xml:space="preserve">Y además, esta Primera Sala advierte que la apreciación del recurrente resulta imprecisa al señalar que la presunción no deriva de la “voluntad” de la ley sino de la “voluntad” de la autoridad, pues si bien es cierto que –como se ha expresado– la presunción se enmarca en un supuesto de facultades de comprobación; lo cierto es que la autoridad administrativa funge como ejecutora de los parámetros establecidos en la propia norma que la habilitan para realizar la presunción que es objeto de estudio. </w:t>
      </w:r>
    </w:p>
    <w:p w14:paraId="5739574F" w14:textId="749884FF" w:rsidR="00F96CFC" w:rsidRPr="00F12289" w:rsidRDefault="00F96CFC" w:rsidP="00F96CFC">
      <w:pPr>
        <w:pStyle w:val="corte4fondo"/>
        <w:numPr>
          <w:ilvl w:val="0"/>
          <w:numId w:val="1"/>
        </w:numPr>
        <w:spacing w:before="240" w:after="120"/>
        <w:ind w:left="0" w:hanging="567"/>
        <w:rPr>
          <w:sz w:val="26"/>
          <w:szCs w:val="26"/>
          <w:lang w:val="es-MX"/>
        </w:rPr>
      </w:pPr>
      <w:r w:rsidRPr="00F12289">
        <w:rPr>
          <w:sz w:val="26"/>
          <w:szCs w:val="26"/>
          <w:lang w:val="es-MX"/>
        </w:rPr>
        <w:t>E</w:t>
      </w:r>
      <w:r w:rsidR="008168E8" w:rsidRPr="00F12289">
        <w:rPr>
          <w:sz w:val="26"/>
          <w:szCs w:val="26"/>
          <w:lang w:val="es-MX"/>
        </w:rPr>
        <w:t>n las relatadas consideraciones</w:t>
      </w:r>
      <w:r w:rsidRPr="00F12289">
        <w:rPr>
          <w:sz w:val="26"/>
          <w:szCs w:val="26"/>
          <w:lang w:val="es-MX"/>
        </w:rPr>
        <w:t xml:space="preserve"> se reitera que es infundada la porción del agravio analizado.</w:t>
      </w:r>
    </w:p>
    <w:p w14:paraId="4DD766D0" w14:textId="7EC51A65" w:rsidR="00F96CFC" w:rsidRPr="00F12289" w:rsidRDefault="003D6050" w:rsidP="00F96CFC">
      <w:pPr>
        <w:pStyle w:val="corte4fondo"/>
        <w:numPr>
          <w:ilvl w:val="0"/>
          <w:numId w:val="1"/>
        </w:numPr>
        <w:spacing w:before="240" w:after="120"/>
        <w:ind w:left="0" w:hanging="567"/>
        <w:rPr>
          <w:b/>
          <w:sz w:val="26"/>
          <w:szCs w:val="26"/>
        </w:rPr>
      </w:pPr>
      <w:r w:rsidRPr="00F12289">
        <w:rPr>
          <w:sz w:val="26"/>
          <w:szCs w:val="26"/>
          <w:lang w:val="es-MX"/>
        </w:rPr>
        <w:t>En otro aspecto</w:t>
      </w:r>
      <w:r w:rsidR="00F96CFC" w:rsidRPr="00F12289">
        <w:rPr>
          <w:sz w:val="26"/>
          <w:szCs w:val="26"/>
          <w:lang w:val="es-MX"/>
        </w:rPr>
        <w:t xml:space="preserve">, resultan </w:t>
      </w:r>
      <w:r w:rsidR="00F96CFC" w:rsidRPr="00F12289">
        <w:rPr>
          <w:b/>
          <w:sz w:val="26"/>
          <w:szCs w:val="26"/>
          <w:lang w:val="es-MX"/>
        </w:rPr>
        <w:t>inoperantes</w:t>
      </w:r>
      <w:r w:rsidR="00F96CFC" w:rsidRPr="00F12289">
        <w:rPr>
          <w:sz w:val="26"/>
          <w:szCs w:val="26"/>
          <w:lang w:val="es-MX"/>
        </w:rPr>
        <w:t xml:space="preserve"> los argumentos hechos valer en la última parte del primer agravio y en la totalidad del segundo agravio, toda vez que en ellos se alegan cuestiones de mera legalidad que no pueden ser analizados en esta instancia por este Alto Tribunal. </w:t>
      </w:r>
    </w:p>
    <w:p w14:paraId="5B900FBB" w14:textId="77777777" w:rsidR="00F96CFC" w:rsidRPr="00F12289" w:rsidRDefault="00F96CFC" w:rsidP="00F96CFC">
      <w:pPr>
        <w:pStyle w:val="corte4fondo"/>
        <w:numPr>
          <w:ilvl w:val="0"/>
          <w:numId w:val="1"/>
        </w:numPr>
        <w:spacing w:before="240" w:after="120"/>
        <w:ind w:left="0" w:hanging="567"/>
        <w:rPr>
          <w:sz w:val="26"/>
          <w:szCs w:val="26"/>
          <w:lang w:val="es-MX"/>
        </w:rPr>
      </w:pPr>
      <w:r w:rsidRPr="00F12289">
        <w:rPr>
          <w:sz w:val="26"/>
          <w:szCs w:val="26"/>
          <w:lang w:val="es-ES"/>
        </w:rPr>
        <w:t>Sirve de apoyo a lo anterior la siguiente Jurisprudencia emitida por esta Primera Sala</w:t>
      </w:r>
      <w:r w:rsidRPr="00F12289">
        <w:rPr>
          <w:sz w:val="26"/>
          <w:szCs w:val="26"/>
          <w:vertAlign w:val="superscript"/>
        </w:rPr>
        <w:footnoteReference w:id="16"/>
      </w:r>
      <w:r w:rsidRPr="00F12289">
        <w:rPr>
          <w:sz w:val="26"/>
          <w:szCs w:val="26"/>
          <w:lang w:val="es-ES"/>
        </w:rPr>
        <w:t>:</w:t>
      </w:r>
    </w:p>
    <w:p w14:paraId="7EC56C3A" w14:textId="4B535845" w:rsidR="000E1EBC" w:rsidRPr="00F12289" w:rsidRDefault="00F96CFC" w:rsidP="00F96CFC">
      <w:pPr>
        <w:pStyle w:val="AlmaTranscrip"/>
        <w:ind w:right="51"/>
      </w:pPr>
      <w:r w:rsidRPr="00F12289">
        <w:t>“</w:t>
      </w:r>
      <w:r w:rsidRPr="00F12289">
        <w:rPr>
          <w:b/>
          <w:i/>
        </w:rPr>
        <w:t>AMPARO DIRECTO EN REVISIÓN. ES IMPROCEDENTE SI LOS AGRAVIOS SE LIMITAN A IMPUGNAR LAS CONSIDERACIONES EN LAS QUE EL ÓRGANO COLEGIADO DA RESPUESTA A CUESTIONES DE MERA LEGALIDAD</w:t>
      </w:r>
      <w:r w:rsidRPr="00F12289">
        <w:rPr>
          <w:i/>
        </w:rPr>
        <w:t>. Del artículo 107, fracción IX, de la Constitución Política de los Estados Unidos Mexicanos, en relación con los diversos 81, fracción II, 88, párrafo segundo, y 96 de la Ley de Amparo, deriva que el recurso de revisión en amparo directo tiene un carácter excepcional y se limita al estudio de cuestiones propiamente constitucionales. De ahí que dicho recurso es improcedente si los agravios se limitan a impugnar las consideraciones del órgano colegiado en las que se estudiaron los conceptos de violación relativos a cuestiones de mera legalidad, aun cuando se aduzca la violación a preceptos constitucionales y el órgano jurisdiccional de amparo los hubiese estudiado, pues si no realizó una interpretación de ellos, no podría considerarse que subsiste el tema de constitucionalidad; máxime que dichos argumentos -al ser de mera legalidad- resultarían inoperantes, pues su estudio obligaría a esta Suprema Corte de Justicia de la Nación a realizar un pronunciamiento que desvirtuaría la naturaleza del recurso</w:t>
      </w:r>
      <w:r w:rsidRPr="00F12289">
        <w:t>”.</w:t>
      </w:r>
    </w:p>
    <w:p w14:paraId="49A27A1F" w14:textId="77777777" w:rsidR="001D50E0" w:rsidRPr="00F96CFC" w:rsidRDefault="001D50E0" w:rsidP="00F96CFC">
      <w:pPr>
        <w:pStyle w:val="AlmaTranscrip"/>
        <w:ind w:right="51"/>
      </w:pPr>
    </w:p>
    <w:p w14:paraId="62579FE2" w14:textId="77777777" w:rsidR="001D50E0" w:rsidRPr="008168E8" w:rsidRDefault="001D50E0" w:rsidP="001D50E0">
      <w:pPr>
        <w:pStyle w:val="Prrafodelista"/>
        <w:numPr>
          <w:ilvl w:val="0"/>
          <w:numId w:val="1"/>
        </w:numPr>
        <w:spacing w:line="360" w:lineRule="auto"/>
        <w:ind w:left="0" w:hanging="567"/>
        <w:jc w:val="both"/>
        <w:rPr>
          <w:rFonts w:ascii="Arial" w:hAnsi="Arial" w:cs="Arial"/>
          <w:sz w:val="26"/>
          <w:szCs w:val="26"/>
          <w:lang w:val="es-MX"/>
        </w:rPr>
      </w:pPr>
      <w:r w:rsidRPr="008168E8">
        <w:rPr>
          <w:rFonts w:ascii="Arial" w:hAnsi="Arial" w:cs="Arial"/>
          <w:sz w:val="26"/>
          <w:szCs w:val="26"/>
          <w:lang w:val="es-MX"/>
        </w:rPr>
        <w:t xml:space="preserve">Finalmente, el recurso de revisión adhesiva interpuesto por el </w:t>
      </w:r>
      <w:proofErr w:type="gramStart"/>
      <w:r w:rsidRPr="008168E8">
        <w:rPr>
          <w:rFonts w:ascii="Arial" w:hAnsi="Arial" w:cs="Arial"/>
          <w:sz w:val="26"/>
          <w:szCs w:val="26"/>
          <w:lang w:val="es-MX"/>
        </w:rPr>
        <w:t>Secretario</w:t>
      </w:r>
      <w:proofErr w:type="gramEnd"/>
      <w:r w:rsidRPr="008168E8">
        <w:rPr>
          <w:rFonts w:ascii="Arial" w:hAnsi="Arial" w:cs="Arial"/>
          <w:sz w:val="26"/>
          <w:szCs w:val="26"/>
          <w:lang w:val="es-MX"/>
        </w:rPr>
        <w:t xml:space="preserve"> de Hacienda y Crédito Público debe declararse sin materia, ya que el sentido de la presente resolución resultó favorable a los intereses de la parte adherente, por lo que desapareció la condición a la que estaba sujeto el interés jurídico de aquélla para interponer la adhesión, traducido en reforzar el fallo recurrido. </w:t>
      </w:r>
    </w:p>
    <w:p w14:paraId="0E023ACA" w14:textId="77777777" w:rsidR="001D50E0" w:rsidRPr="008168E8" w:rsidRDefault="001D50E0" w:rsidP="001D50E0">
      <w:pPr>
        <w:pStyle w:val="Prrafodelista"/>
        <w:spacing w:line="360" w:lineRule="auto"/>
        <w:ind w:left="0"/>
        <w:jc w:val="both"/>
        <w:rPr>
          <w:rFonts w:ascii="Arial" w:hAnsi="Arial" w:cs="Arial"/>
          <w:sz w:val="26"/>
          <w:szCs w:val="26"/>
          <w:lang w:val="es-MX"/>
        </w:rPr>
      </w:pPr>
    </w:p>
    <w:p w14:paraId="569D9ADC" w14:textId="77777777" w:rsidR="001D50E0" w:rsidRPr="008168E8" w:rsidRDefault="001D50E0" w:rsidP="001D50E0">
      <w:pPr>
        <w:pStyle w:val="Prrafodelista"/>
        <w:numPr>
          <w:ilvl w:val="0"/>
          <w:numId w:val="1"/>
        </w:numPr>
        <w:spacing w:line="360" w:lineRule="auto"/>
        <w:ind w:left="0" w:hanging="567"/>
        <w:jc w:val="both"/>
        <w:rPr>
          <w:rFonts w:ascii="Arial" w:hAnsi="Arial" w:cs="Arial"/>
          <w:sz w:val="26"/>
          <w:szCs w:val="26"/>
          <w:lang w:val="es-MX"/>
        </w:rPr>
      </w:pPr>
      <w:r w:rsidRPr="008168E8">
        <w:rPr>
          <w:rFonts w:ascii="Arial" w:hAnsi="Arial" w:cs="Arial"/>
          <w:sz w:val="26"/>
          <w:szCs w:val="26"/>
          <w:lang w:val="es-MX"/>
        </w:rPr>
        <w:t xml:space="preserve"> Al respecto resulta aplicable la jurisprudencia de esta Primera Sala de rubro: “</w:t>
      </w:r>
      <w:r w:rsidRPr="008168E8">
        <w:rPr>
          <w:rFonts w:ascii="Arial" w:hAnsi="Arial" w:cs="Arial"/>
          <w:i/>
          <w:sz w:val="26"/>
          <w:szCs w:val="26"/>
          <w:lang w:val="es-MX"/>
        </w:rPr>
        <w:t>REVISIÓN ADHESIVA. DEBE DECLARARSE SIN MATERIA AL DESAPARECER LA CONDICIÓN A LA QUE SE SUJETA EL INTERÉS DEL ADHERENTE</w:t>
      </w:r>
      <w:r w:rsidRPr="008168E8">
        <w:rPr>
          <w:rFonts w:ascii="Arial" w:hAnsi="Arial" w:cs="Arial"/>
          <w:sz w:val="26"/>
          <w:szCs w:val="26"/>
          <w:vertAlign w:val="superscript"/>
          <w:lang w:val="es-MX"/>
        </w:rPr>
        <w:footnoteReference w:id="17"/>
      </w:r>
      <w:r w:rsidRPr="008168E8">
        <w:rPr>
          <w:rFonts w:ascii="Arial" w:hAnsi="Arial" w:cs="Arial"/>
          <w:sz w:val="26"/>
          <w:szCs w:val="26"/>
          <w:lang w:val="es-MX"/>
        </w:rPr>
        <w:t>.”</w:t>
      </w:r>
    </w:p>
    <w:p w14:paraId="4FDBF5B1" w14:textId="77777777" w:rsidR="000332F5" w:rsidRPr="008168E8" w:rsidRDefault="000332F5" w:rsidP="000332F5">
      <w:pPr>
        <w:pStyle w:val="Prrafodelista"/>
        <w:spacing w:line="360" w:lineRule="auto"/>
        <w:ind w:left="0"/>
        <w:jc w:val="both"/>
        <w:rPr>
          <w:rFonts w:ascii="Arial" w:hAnsi="Arial" w:cs="Arial"/>
          <w:sz w:val="26"/>
          <w:szCs w:val="26"/>
        </w:rPr>
      </w:pPr>
    </w:p>
    <w:p w14:paraId="7933C08A" w14:textId="70EAF3F3" w:rsidR="001D50E0" w:rsidRPr="008168E8" w:rsidRDefault="00854902" w:rsidP="001D50E0">
      <w:pPr>
        <w:pStyle w:val="Prrafodelista"/>
        <w:numPr>
          <w:ilvl w:val="0"/>
          <w:numId w:val="1"/>
        </w:numPr>
        <w:spacing w:line="360" w:lineRule="auto"/>
        <w:ind w:left="0" w:hanging="567"/>
        <w:jc w:val="both"/>
        <w:rPr>
          <w:rFonts w:ascii="Arial" w:hAnsi="Arial" w:cs="Arial"/>
          <w:sz w:val="26"/>
          <w:szCs w:val="26"/>
        </w:rPr>
      </w:pPr>
      <w:r w:rsidRPr="008168E8">
        <w:rPr>
          <w:rFonts w:ascii="Arial" w:hAnsi="Arial" w:cs="Arial"/>
          <w:sz w:val="26"/>
          <w:szCs w:val="26"/>
        </w:rPr>
        <w:t>Por lo expuesto y fundado,</w:t>
      </w:r>
      <w:r w:rsidR="006B17BC" w:rsidRPr="008168E8">
        <w:rPr>
          <w:rFonts w:ascii="Arial" w:hAnsi="Arial" w:cs="Arial"/>
          <w:sz w:val="26"/>
          <w:szCs w:val="26"/>
        </w:rPr>
        <w:t xml:space="preserve"> esta Primera Sala de la Sala de la Suprema Corte de Justicia de la Nación</w:t>
      </w:r>
      <w:r w:rsidR="00CF6C5D">
        <w:rPr>
          <w:rFonts w:ascii="Arial" w:hAnsi="Arial" w:cs="Arial"/>
          <w:sz w:val="26"/>
          <w:szCs w:val="26"/>
        </w:rPr>
        <w:t xml:space="preserve"> </w:t>
      </w:r>
      <w:r w:rsidRPr="008168E8">
        <w:rPr>
          <w:rFonts w:ascii="Arial" w:hAnsi="Arial" w:cs="Arial"/>
          <w:sz w:val="26"/>
          <w:szCs w:val="26"/>
        </w:rPr>
        <w:t xml:space="preserve">resuelve: </w:t>
      </w:r>
    </w:p>
    <w:p w14:paraId="2923DA2E" w14:textId="77777777" w:rsidR="00854902" w:rsidRPr="008168E8" w:rsidRDefault="00854902" w:rsidP="00854902">
      <w:pPr>
        <w:pStyle w:val="corte4fondo"/>
        <w:ind w:firstLine="0"/>
        <w:rPr>
          <w:sz w:val="26"/>
          <w:szCs w:val="26"/>
        </w:rPr>
      </w:pPr>
    </w:p>
    <w:p w14:paraId="2908EF00" w14:textId="06CA8863" w:rsidR="00AA7707" w:rsidRPr="008168E8" w:rsidRDefault="00713DD2" w:rsidP="00AA7707">
      <w:pPr>
        <w:pStyle w:val="corte4fondo"/>
        <w:rPr>
          <w:sz w:val="26"/>
          <w:szCs w:val="26"/>
        </w:rPr>
      </w:pPr>
      <w:r w:rsidRPr="008168E8">
        <w:rPr>
          <w:b/>
          <w:sz w:val="26"/>
          <w:szCs w:val="26"/>
        </w:rPr>
        <w:t xml:space="preserve">PRIMERO. </w:t>
      </w:r>
      <w:r w:rsidR="00854902" w:rsidRPr="008168E8">
        <w:rPr>
          <w:sz w:val="26"/>
          <w:szCs w:val="26"/>
        </w:rPr>
        <w:t xml:space="preserve">En la materia de la revisión se </w:t>
      </w:r>
      <w:r w:rsidR="001D50E0" w:rsidRPr="008168E8">
        <w:rPr>
          <w:b/>
          <w:sz w:val="26"/>
          <w:szCs w:val="26"/>
        </w:rPr>
        <w:t>confirma</w:t>
      </w:r>
      <w:r w:rsidR="00854902" w:rsidRPr="008168E8">
        <w:rPr>
          <w:sz w:val="26"/>
          <w:szCs w:val="26"/>
        </w:rPr>
        <w:t xml:space="preserve"> la sentencia recurrida. </w:t>
      </w:r>
    </w:p>
    <w:p w14:paraId="76D8390B" w14:textId="77777777" w:rsidR="00AA7707" w:rsidRPr="008168E8" w:rsidRDefault="00AA7707" w:rsidP="00AA7707">
      <w:pPr>
        <w:pStyle w:val="corte4fondo"/>
        <w:rPr>
          <w:sz w:val="26"/>
          <w:szCs w:val="26"/>
        </w:rPr>
      </w:pPr>
    </w:p>
    <w:p w14:paraId="07CD31E6" w14:textId="249BC4B6" w:rsidR="00AA7707" w:rsidRPr="008168E8" w:rsidRDefault="00854902" w:rsidP="001D50E0">
      <w:pPr>
        <w:pStyle w:val="corte4fondo"/>
        <w:rPr>
          <w:bCs/>
          <w:sz w:val="26"/>
          <w:szCs w:val="26"/>
          <w:lang w:val="es-MX"/>
        </w:rPr>
      </w:pPr>
      <w:r w:rsidRPr="008168E8">
        <w:rPr>
          <w:b/>
          <w:sz w:val="26"/>
          <w:szCs w:val="26"/>
        </w:rPr>
        <w:t xml:space="preserve">SEGUNDO. </w:t>
      </w:r>
      <w:r w:rsidR="00B66F2A" w:rsidRPr="008168E8">
        <w:rPr>
          <w:sz w:val="26"/>
          <w:szCs w:val="26"/>
        </w:rPr>
        <w:t xml:space="preserve"> </w:t>
      </w:r>
      <w:r w:rsidR="001D50E0" w:rsidRPr="008168E8">
        <w:rPr>
          <w:bCs/>
          <w:sz w:val="26"/>
          <w:szCs w:val="26"/>
          <w:lang w:val="x-none"/>
        </w:rPr>
        <w:t xml:space="preserve">La Justicia </w:t>
      </w:r>
      <w:r w:rsidR="001D50E0" w:rsidRPr="008168E8">
        <w:rPr>
          <w:bCs/>
          <w:sz w:val="26"/>
          <w:szCs w:val="26"/>
          <w:lang w:val="es-MX"/>
        </w:rPr>
        <w:t xml:space="preserve"> </w:t>
      </w:r>
      <w:r w:rsidR="001D50E0" w:rsidRPr="008168E8">
        <w:rPr>
          <w:bCs/>
          <w:sz w:val="26"/>
          <w:szCs w:val="26"/>
          <w:lang w:val="x-none"/>
        </w:rPr>
        <w:t xml:space="preserve">de la Unión no ampara ni protege a </w:t>
      </w:r>
      <w:r w:rsidR="001D50E0" w:rsidRPr="008168E8">
        <w:rPr>
          <w:color w:val="FF0000"/>
          <w:sz w:val="26"/>
          <w:szCs w:val="26"/>
          <w:lang w:val="es-MX"/>
        </w:rPr>
        <w:t>Néstor Felipe Estrada García</w:t>
      </w:r>
      <w:r w:rsidR="001D50E0" w:rsidRPr="008168E8">
        <w:rPr>
          <w:bCs/>
          <w:color w:val="FF0000"/>
          <w:sz w:val="26"/>
          <w:szCs w:val="26"/>
          <w:lang w:val="x-none"/>
        </w:rPr>
        <w:t xml:space="preserve"> </w:t>
      </w:r>
      <w:r w:rsidR="008C7409" w:rsidRPr="008168E8">
        <w:rPr>
          <w:bCs/>
          <w:sz w:val="26"/>
          <w:szCs w:val="26"/>
          <w:lang w:val="es-MX"/>
        </w:rPr>
        <w:t xml:space="preserve">contra </w:t>
      </w:r>
      <w:r w:rsidR="008C7409" w:rsidRPr="008168E8">
        <w:rPr>
          <w:sz w:val="26"/>
          <w:szCs w:val="26"/>
        </w:rPr>
        <w:t>la autoridad y el acto precisado en el resulta</w:t>
      </w:r>
      <w:r w:rsidR="00903AE6">
        <w:rPr>
          <w:sz w:val="26"/>
          <w:szCs w:val="26"/>
        </w:rPr>
        <w:t>n</w:t>
      </w:r>
      <w:r w:rsidR="008C7409" w:rsidRPr="008168E8">
        <w:rPr>
          <w:sz w:val="26"/>
          <w:szCs w:val="26"/>
        </w:rPr>
        <w:t xml:space="preserve">do primero de la presente sentencia. </w:t>
      </w:r>
    </w:p>
    <w:p w14:paraId="3D987EDA" w14:textId="77777777" w:rsidR="00854902" w:rsidRPr="008168E8" w:rsidRDefault="00854902" w:rsidP="00854902">
      <w:pPr>
        <w:pStyle w:val="corte4fondo"/>
        <w:ind w:firstLine="0"/>
        <w:rPr>
          <w:sz w:val="26"/>
          <w:szCs w:val="26"/>
        </w:rPr>
      </w:pPr>
    </w:p>
    <w:p w14:paraId="30418801" w14:textId="32F6D2AC" w:rsidR="00854902" w:rsidRPr="008168E8" w:rsidRDefault="00854902" w:rsidP="00E33769">
      <w:pPr>
        <w:pStyle w:val="corte4fondo"/>
        <w:rPr>
          <w:sz w:val="26"/>
          <w:szCs w:val="26"/>
        </w:rPr>
      </w:pPr>
      <w:r w:rsidRPr="008168E8">
        <w:rPr>
          <w:b/>
          <w:sz w:val="26"/>
          <w:szCs w:val="26"/>
        </w:rPr>
        <w:t>TERCERO.</w:t>
      </w:r>
      <w:r w:rsidRPr="008168E8">
        <w:rPr>
          <w:sz w:val="26"/>
          <w:szCs w:val="26"/>
        </w:rPr>
        <w:t xml:space="preserve"> </w:t>
      </w:r>
      <w:r w:rsidR="00713DD2" w:rsidRPr="008168E8">
        <w:rPr>
          <w:sz w:val="26"/>
          <w:szCs w:val="26"/>
        </w:rPr>
        <w:t xml:space="preserve">Queda </w:t>
      </w:r>
      <w:r w:rsidR="00713DD2" w:rsidRPr="008168E8">
        <w:rPr>
          <w:b/>
          <w:sz w:val="26"/>
          <w:szCs w:val="26"/>
        </w:rPr>
        <w:t>sin materia</w:t>
      </w:r>
      <w:r w:rsidRPr="008168E8">
        <w:rPr>
          <w:sz w:val="26"/>
          <w:szCs w:val="26"/>
        </w:rPr>
        <w:t xml:space="preserve"> la</w:t>
      </w:r>
      <w:r w:rsidR="00182ED8" w:rsidRPr="008168E8">
        <w:rPr>
          <w:sz w:val="26"/>
          <w:szCs w:val="26"/>
        </w:rPr>
        <w:t xml:space="preserve"> revisión adhesiva de</w:t>
      </w:r>
      <w:r w:rsidR="001D50E0" w:rsidRPr="008168E8">
        <w:rPr>
          <w:sz w:val="26"/>
          <w:szCs w:val="26"/>
        </w:rPr>
        <w:t>l</w:t>
      </w:r>
      <w:r w:rsidRPr="008168E8">
        <w:rPr>
          <w:sz w:val="26"/>
          <w:szCs w:val="26"/>
        </w:rPr>
        <w:t xml:space="preserve"> </w:t>
      </w:r>
      <w:proofErr w:type="gramStart"/>
      <w:r w:rsidR="001D50E0" w:rsidRPr="008168E8">
        <w:rPr>
          <w:sz w:val="26"/>
          <w:szCs w:val="26"/>
          <w:lang w:val="es-MX"/>
        </w:rPr>
        <w:t>Secretario</w:t>
      </w:r>
      <w:proofErr w:type="gramEnd"/>
      <w:r w:rsidR="001D50E0" w:rsidRPr="008168E8">
        <w:rPr>
          <w:sz w:val="26"/>
          <w:szCs w:val="26"/>
          <w:lang w:val="es-MX"/>
        </w:rPr>
        <w:t xml:space="preserve"> de Hacienda y Crédito Público</w:t>
      </w:r>
      <w:r w:rsidRPr="008168E8">
        <w:rPr>
          <w:sz w:val="26"/>
          <w:szCs w:val="26"/>
        </w:rPr>
        <w:t>.</w:t>
      </w:r>
    </w:p>
    <w:p w14:paraId="41FCDF29" w14:textId="77777777" w:rsidR="00E33769" w:rsidRPr="008168E8" w:rsidRDefault="00E33769" w:rsidP="00E33769">
      <w:pPr>
        <w:pStyle w:val="corte4fondo"/>
        <w:rPr>
          <w:sz w:val="26"/>
          <w:szCs w:val="26"/>
        </w:rPr>
      </w:pPr>
    </w:p>
    <w:p w14:paraId="57B362BF" w14:textId="1DC39E97" w:rsidR="00B15EAF" w:rsidRPr="008168E8" w:rsidRDefault="00854902" w:rsidP="00A2321F">
      <w:pPr>
        <w:pStyle w:val="corte4fondo"/>
        <w:widowControl w:val="0"/>
        <w:ind w:firstLine="851"/>
        <w:rPr>
          <w:sz w:val="26"/>
          <w:szCs w:val="26"/>
        </w:rPr>
      </w:pPr>
      <w:r w:rsidRPr="008168E8">
        <w:rPr>
          <w:b/>
          <w:sz w:val="26"/>
          <w:szCs w:val="26"/>
        </w:rPr>
        <w:t>Notifíquese</w:t>
      </w:r>
      <w:r w:rsidRPr="008168E8">
        <w:rPr>
          <w:sz w:val="26"/>
          <w:szCs w:val="26"/>
        </w:rPr>
        <w:t>; con testimonio de esta resolución, devuélvanse los autos al tribunal colegiado de origen y, en su oportunidad, archívese el expediente como asunto concluido.</w:t>
      </w:r>
    </w:p>
    <w:p w14:paraId="0FABDCF9" w14:textId="77777777" w:rsidR="00E33769" w:rsidRPr="008168E8" w:rsidRDefault="00E33769" w:rsidP="00E33769">
      <w:pPr>
        <w:spacing w:line="300" w:lineRule="auto"/>
        <w:jc w:val="both"/>
        <w:rPr>
          <w:rFonts w:ascii="Arial" w:hAnsi="Arial" w:cs="Arial"/>
          <w:sz w:val="26"/>
          <w:szCs w:val="26"/>
          <w:lang w:val="es-ES_tradnl" w:eastAsia="x-none"/>
        </w:rPr>
      </w:pPr>
    </w:p>
    <w:p w14:paraId="63DD93B3" w14:textId="77777777" w:rsidR="00E33769" w:rsidRPr="008168E8" w:rsidRDefault="00E33769" w:rsidP="00E33769">
      <w:pPr>
        <w:spacing w:line="300" w:lineRule="auto"/>
        <w:jc w:val="both"/>
        <w:rPr>
          <w:rFonts w:ascii="Arial" w:hAnsi="Arial" w:cs="Arial"/>
          <w:sz w:val="26"/>
          <w:szCs w:val="26"/>
          <w:lang w:val="es-ES_tradnl" w:eastAsia="x-none"/>
        </w:rPr>
      </w:pPr>
      <w:r w:rsidRPr="008168E8">
        <w:rPr>
          <w:rFonts w:ascii="Arial" w:hAnsi="Arial" w:cs="Arial"/>
          <w:sz w:val="26"/>
          <w:szCs w:val="26"/>
          <w:lang w:val="es-ES_tradnl" w:eastAsia="x-none"/>
        </w:rPr>
        <w:t xml:space="preserve">Así lo resolvió la Primera Sala de la Suprema Corte de Justicia de la Nación por unanimidad de cinco votos de los </w:t>
      </w:r>
      <w:proofErr w:type="gramStart"/>
      <w:r w:rsidRPr="008168E8">
        <w:rPr>
          <w:rFonts w:ascii="Arial" w:hAnsi="Arial" w:cs="Arial"/>
          <w:sz w:val="26"/>
          <w:szCs w:val="26"/>
          <w:lang w:val="es-ES_tradnl" w:eastAsia="x-none"/>
        </w:rPr>
        <w:t>Ministros</w:t>
      </w:r>
      <w:proofErr w:type="gramEnd"/>
      <w:r w:rsidRPr="008168E8">
        <w:rPr>
          <w:rFonts w:ascii="Arial" w:hAnsi="Arial" w:cs="Arial"/>
          <w:sz w:val="26"/>
          <w:szCs w:val="26"/>
          <w:lang w:val="es-ES_tradnl" w:eastAsia="x-none"/>
        </w:rPr>
        <w:t xml:space="preserve"> Norma Lucía Piña Hernández, Ana Margarita Ríos </w:t>
      </w:r>
      <w:proofErr w:type="spellStart"/>
      <w:r w:rsidRPr="008168E8">
        <w:rPr>
          <w:rFonts w:ascii="Arial" w:hAnsi="Arial" w:cs="Arial"/>
          <w:sz w:val="26"/>
          <w:szCs w:val="26"/>
          <w:lang w:val="es-ES_tradnl" w:eastAsia="x-none"/>
        </w:rPr>
        <w:t>Farjat</w:t>
      </w:r>
      <w:proofErr w:type="spellEnd"/>
      <w:r w:rsidRPr="008168E8">
        <w:rPr>
          <w:rFonts w:ascii="Arial" w:hAnsi="Arial" w:cs="Arial"/>
          <w:sz w:val="26"/>
          <w:szCs w:val="26"/>
          <w:lang w:val="es-ES_tradnl" w:eastAsia="x-none"/>
        </w:rPr>
        <w:t xml:space="preserve"> (ponente), Jorge Mario Pardo Rebolledo, Alfredo Gutiérrez Ortiz Mena y Presidente Juan Luis González Alcántara Carrancá. </w:t>
      </w:r>
    </w:p>
    <w:p w14:paraId="46781477" w14:textId="77777777" w:rsidR="00E33769" w:rsidRPr="008168E8" w:rsidRDefault="00E33769" w:rsidP="00E33769">
      <w:pPr>
        <w:spacing w:line="300" w:lineRule="auto"/>
        <w:jc w:val="both"/>
        <w:rPr>
          <w:rFonts w:ascii="Arial" w:hAnsi="Arial" w:cs="Arial"/>
          <w:sz w:val="26"/>
          <w:szCs w:val="26"/>
          <w:lang w:val="es-ES_tradnl" w:eastAsia="x-none"/>
        </w:rPr>
      </w:pPr>
    </w:p>
    <w:p w14:paraId="6867908E" w14:textId="3E3528A9" w:rsidR="00E33769" w:rsidRPr="008168E8" w:rsidRDefault="00E33769" w:rsidP="00E33769">
      <w:pPr>
        <w:pStyle w:val="corte4fondo"/>
        <w:rPr>
          <w:sz w:val="26"/>
          <w:szCs w:val="26"/>
        </w:rPr>
      </w:pPr>
      <w:r w:rsidRPr="008168E8">
        <w:rPr>
          <w:sz w:val="26"/>
          <w:szCs w:val="26"/>
        </w:rPr>
        <w:t xml:space="preserve">Firman el </w:t>
      </w:r>
      <w:proofErr w:type="gramStart"/>
      <w:r w:rsidRPr="008168E8">
        <w:rPr>
          <w:sz w:val="26"/>
          <w:szCs w:val="26"/>
        </w:rPr>
        <w:t>Ministro Presidente</w:t>
      </w:r>
      <w:proofErr w:type="gramEnd"/>
      <w:r w:rsidR="00AB5F63">
        <w:rPr>
          <w:sz w:val="26"/>
          <w:szCs w:val="26"/>
        </w:rPr>
        <w:t xml:space="preserve"> de la Primera Sala</w:t>
      </w:r>
      <w:r w:rsidRPr="008168E8">
        <w:rPr>
          <w:sz w:val="26"/>
          <w:szCs w:val="26"/>
        </w:rPr>
        <w:t xml:space="preserve"> y la Ministra Ponente, con la Secretaria de Acuerdos, quien autoriza y da fe. </w:t>
      </w:r>
    </w:p>
    <w:p w14:paraId="55222AAB" w14:textId="77777777" w:rsidR="00DF2890" w:rsidRPr="00E33769" w:rsidRDefault="00DF2890" w:rsidP="00B071E0">
      <w:pPr>
        <w:pStyle w:val="corte4fondo"/>
        <w:ind w:firstLine="0"/>
        <w:rPr>
          <w:sz w:val="25"/>
          <w:szCs w:val="25"/>
        </w:rPr>
      </w:pPr>
    </w:p>
    <w:p w14:paraId="682193E4" w14:textId="77777777" w:rsidR="00E33769" w:rsidRPr="00BC4AF2" w:rsidRDefault="00E33769" w:rsidP="00E33769">
      <w:pPr>
        <w:pStyle w:val="Sinespaciado"/>
        <w:spacing w:line="360" w:lineRule="auto"/>
        <w:ind w:right="-93"/>
        <w:jc w:val="center"/>
        <w:rPr>
          <w:rFonts w:ascii="Arial" w:hAnsi="Arial" w:cs="Arial"/>
          <w:b/>
        </w:rPr>
      </w:pPr>
      <w:r w:rsidRPr="00BC4AF2">
        <w:rPr>
          <w:rFonts w:ascii="Arial" w:hAnsi="Arial" w:cs="Arial"/>
          <w:b/>
        </w:rPr>
        <w:t>PRESIDENTE DE LA PRIMERA SALA</w:t>
      </w:r>
    </w:p>
    <w:p w14:paraId="6B3378C7" w14:textId="77777777" w:rsidR="00E33769" w:rsidRPr="00BC4AF2" w:rsidRDefault="00E33769" w:rsidP="00E33769">
      <w:pPr>
        <w:pStyle w:val="Sinespaciado"/>
        <w:spacing w:line="360" w:lineRule="auto"/>
        <w:ind w:right="-93"/>
        <w:jc w:val="center"/>
        <w:rPr>
          <w:rFonts w:ascii="Arial" w:hAnsi="Arial" w:cs="Arial"/>
          <w:b/>
        </w:rPr>
      </w:pPr>
    </w:p>
    <w:p w14:paraId="30AD5A2A" w14:textId="77777777" w:rsidR="00E33769" w:rsidRPr="00BC4AF2" w:rsidRDefault="00E33769" w:rsidP="00E33769">
      <w:pPr>
        <w:pStyle w:val="Sinespaciado"/>
        <w:spacing w:line="360" w:lineRule="auto"/>
        <w:ind w:right="-93"/>
        <w:jc w:val="center"/>
        <w:rPr>
          <w:rFonts w:ascii="Arial" w:hAnsi="Arial" w:cs="Arial"/>
          <w:b/>
        </w:rPr>
      </w:pPr>
    </w:p>
    <w:p w14:paraId="1D6AA14C" w14:textId="77777777" w:rsidR="00E33769" w:rsidRPr="00BC4AF2" w:rsidRDefault="00E33769" w:rsidP="00E33769">
      <w:pPr>
        <w:pStyle w:val="Sinespaciado"/>
        <w:spacing w:line="360" w:lineRule="auto"/>
        <w:ind w:right="-93"/>
        <w:rPr>
          <w:rFonts w:ascii="Arial" w:hAnsi="Arial" w:cs="Arial"/>
          <w:b/>
        </w:rPr>
      </w:pPr>
    </w:p>
    <w:p w14:paraId="1EBAA5C5" w14:textId="77777777" w:rsidR="00E33769" w:rsidRPr="00BC4AF2" w:rsidRDefault="00E33769" w:rsidP="00E33769">
      <w:pPr>
        <w:pStyle w:val="Sinespaciado"/>
        <w:spacing w:line="360" w:lineRule="auto"/>
        <w:ind w:right="-93"/>
        <w:jc w:val="center"/>
        <w:rPr>
          <w:rFonts w:ascii="Arial" w:hAnsi="Arial" w:cs="Arial"/>
          <w:b/>
        </w:rPr>
      </w:pPr>
      <w:r w:rsidRPr="00BC4AF2">
        <w:rPr>
          <w:rFonts w:ascii="Arial" w:hAnsi="Arial" w:cs="Arial"/>
          <w:b/>
        </w:rPr>
        <w:t>MINISTRO JUAN LUIS GONZÁLEZ ALCÁNTARA CARRANCÁ</w:t>
      </w:r>
    </w:p>
    <w:p w14:paraId="79764324" w14:textId="77777777" w:rsidR="00E33769" w:rsidRPr="00BC4AF2" w:rsidRDefault="00E33769" w:rsidP="00E33769">
      <w:pPr>
        <w:pStyle w:val="Sinespaciado"/>
        <w:spacing w:line="360" w:lineRule="auto"/>
        <w:ind w:right="-93"/>
        <w:jc w:val="center"/>
        <w:rPr>
          <w:rFonts w:ascii="Arial" w:hAnsi="Arial" w:cs="Arial"/>
          <w:b/>
        </w:rPr>
      </w:pPr>
    </w:p>
    <w:p w14:paraId="48FAAE58" w14:textId="77777777" w:rsidR="00E33769" w:rsidRPr="00BC4AF2" w:rsidRDefault="00E33769" w:rsidP="00E33769">
      <w:pPr>
        <w:pStyle w:val="Sinespaciado"/>
        <w:spacing w:line="360" w:lineRule="auto"/>
        <w:ind w:right="-93"/>
        <w:jc w:val="center"/>
        <w:rPr>
          <w:rFonts w:ascii="Arial" w:hAnsi="Arial" w:cs="Arial"/>
          <w:b/>
        </w:rPr>
      </w:pPr>
    </w:p>
    <w:p w14:paraId="53FF3FF5" w14:textId="77777777" w:rsidR="00E33769" w:rsidRPr="00BC4AF2" w:rsidRDefault="00E33769" w:rsidP="00E33769">
      <w:pPr>
        <w:pStyle w:val="Sinespaciado"/>
        <w:spacing w:line="360" w:lineRule="auto"/>
        <w:ind w:right="-93"/>
        <w:jc w:val="center"/>
        <w:rPr>
          <w:rFonts w:ascii="Arial" w:hAnsi="Arial" w:cs="Arial"/>
          <w:b/>
        </w:rPr>
      </w:pPr>
      <w:r w:rsidRPr="00BC4AF2">
        <w:rPr>
          <w:rFonts w:ascii="Arial" w:hAnsi="Arial" w:cs="Arial"/>
          <w:b/>
        </w:rPr>
        <w:t xml:space="preserve"> PONENTE</w:t>
      </w:r>
    </w:p>
    <w:p w14:paraId="0245799E" w14:textId="77777777" w:rsidR="00E33769" w:rsidRPr="00BC4AF2" w:rsidRDefault="00E33769" w:rsidP="00E33769">
      <w:pPr>
        <w:pStyle w:val="Sinespaciado"/>
        <w:spacing w:line="360" w:lineRule="auto"/>
        <w:ind w:right="-93"/>
        <w:jc w:val="center"/>
        <w:rPr>
          <w:rFonts w:ascii="Arial" w:hAnsi="Arial" w:cs="Arial"/>
          <w:b/>
        </w:rPr>
      </w:pPr>
    </w:p>
    <w:p w14:paraId="3E574D2F" w14:textId="77777777" w:rsidR="00E33769" w:rsidRPr="00BC4AF2" w:rsidRDefault="00E33769" w:rsidP="00E33769">
      <w:pPr>
        <w:pStyle w:val="Sinespaciado"/>
        <w:spacing w:line="360" w:lineRule="auto"/>
        <w:ind w:right="-93"/>
        <w:jc w:val="center"/>
        <w:rPr>
          <w:rFonts w:ascii="Arial" w:hAnsi="Arial" w:cs="Arial"/>
          <w:b/>
        </w:rPr>
      </w:pPr>
    </w:p>
    <w:p w14:paraId="3D05756F" w14:textId="77777777" w:rsidR="00E33769" w:rsidRPr="00BC4AF2" w:rsidRDefault="00E33769" w:rsidP="00E33769">
      <w:pPr>
        <w:pStyle w:val="Sinespaciado"/>
        <w:spacing w:line="360" w:lineRule="auto"/>
        <w:ind w:right="-93"/>
        <w:jc w:val="center"/>
        <w:rPr>
          <w:rFonts w:ascii="Arial" w:hAnsi="Arial" w:cs="Arial"/>
          <w:b/>
        </w:rPr>
      </w:pPr>
    </w:p>
    <w:p w14:paraId="1BB4D27C" w14:textId="4B84D677" w:rsidR="00E33769" w:rsidRDefault="00E33769" w:rsidP="00BC4AF2">
      <w:pPr>
        <w:pStyle w:val="Sinespaciado"/>
        <w:spacing w:line="360" w:lineRule="auto"/>
        <w:ind w:right="-93"/>
        <w:jc w:val="center"/>
        <w:rPr>
          <w:rFonts w:ascii="Arial" w:hAnsi="Arial" w:cs="Arial"/>
          <w:b/>
        </w:rPr>
      </w:pPr>
      <w:r w:rsidRPr="00BC4AF2">
        <w:rPr>
          <w:rFonts w:ascii="Arial" w:hAnsi="Arial" w:cs="Arial"/>
          <w:b/>
        </w:rPr>
        <w:t>MINISTRA ANA MARGARITA RÍOS FARJAT</w:t>
      </w:r>
    </w:p>
    <w:p w14:paraId="1ACBC3D5" w14:textId="77777777" w:rsidR="00DF2890" w:rsidRDefault="00DF2890" w:rsidP="00BC4AF2">
      <w:pPr>
        <w:pStyle w:val="Sinespaciado"/>
        <w:spacing w:line="360" w:lineRule="auto"/>
        <w:ind w:right="-93"/>
        <w:jc w:val="center"/>
        <w:rPr>
          <w:rFonts w:ascii="Arial" w:hAnsi="Arial" w:cs="Arial"/>
          <w:b/>
        </w:rPr>
      </w:pPr>
    </w:p>
    <w:p w14:paraId="16247076" w14:textId="77777777" w:rsidR="00DF2890" w:rsidRPr="00BC4AF2" w:rsidRDefault="00DF2890" w:rsidP="00BC4AF2">
      <w:pPr>
        <w:pStyle w:val="Sinespaciado"/>
        <w:spacing w:line="360" w:lineRule="auto"/>
        <w:ind w:right="-93"/>
        <w:jc w:val="center"/>
        <w:rPr>
          <w:rFonts w:ascii="Arial" w:hAnsi="Arial" w:cs="Arial"/>
          <w:b/>
        </w:rPr>
      </w:pPr>
    </w:p>
    <w:p w14:paraId="02FB9F7D" w14:textId="77777777" w:rsidR="00E33769" w:rsidRPr="00BC4AF2" w:rsidRDefault="00E33769" w:rsidP="00E33769">
      <w:pPr>
        <w:pStyle w:val="Sinespaciado"/>
        <w:spacing w:line="360" w:lineRule="auto"/>
        <w:ind w:right="-93"/>
        <w:jc w:val="center"/>
        <w:rPr>
          <w:rFonts w:ascii="Arial" w:hAnsi="Arial" w:cs="Arial"/>
          <w:b/>
        </w:rPr>
      </w:pPr>
      <w:r w:rsidRPr="00BC4AF2">
        <w:rPr>
          <w:rFonts w:ascii="Arial" w:hAnsi="Arial" w:cs="Arial"/>
          <w:b/>
        </w:rPr>
        <w:t>SECRETARIA DE ACUERDOS</w:t>
      </w:r>
    </w:p>
    <w:p w14:paraId="0A2239FB" w14:textId="77777777" w:rsidR="00E33769" w:rsidRPr="00BC4AF2" w:rsidRDefault="00E33769" w:rsidP="00E33769">
      <w:pPr>
        <w:pStyle w:val="Sinespaciado"/>
        <w:spacing w:line="360" w:lineRule="auto"/>
        <w:ind w:right="-93"/>
        <w:jc w:val="center"/>
        <w:rPr>
          <w:rFonts w:ascii="Arial" w:hAnsi="Arial" w:cs="Arial"/>
          <w:b/>
        </w:rPr>
      </w:pPr>
    </w:p>
    <w:p w14:paraId="5E17152C" w14:textId="77777777" w:rsidR="00E33769" w:rsidRPr="00BC4AF2" w:rsidRDefault="00E33769" w:rsidP="00E33769">
      <w:pPr>
        <w:pStyle w:val="Sinespaciado"/>
        <w:spacing w:line="360" w:lineRule="auto"/>
        <w:ind w:right="-93"/>
        <w:jc w:val="center"/>
        <w:rPr>
          <w:rFonts w:ascii="Arial" w:hAnsi="Arial" w:cs="Arial"/>
          <w:b/>
        </w:rPr>
      </w:pPr>
    </w:p>
    <w:p w14:paraId="698E7F37" w14:textId="77777777" w:rsidR="00E33769" w:rsidRPr="00BC4AF2" w:rsidRDefault="00E33769" w:rsidP="00E33769">
      <w:pPr>
        <w:pStyle w:val="Sinespaciado"/>
        <w:spacing w:line="360" w:lineRule="auto"/>
        <w:ind w:right="-93"/>
        <w:rPr>
          <w:rFonts w:ascii="Arial" w:hAnsi="Arial" w:cs="Arial"/>
          <w:b/>
        </w:rPr>
      </w:pPr>
    </w:p>
    <w:p w14:paraId="45FAB61B" w14:textId="0CA60618" w:rsidR="00E33769" w:rsidRPr="00BC4AF2" w:rsidRDefault="004D750C" w:rsidP="00E33769">
      <w:pPr>
        <w:pStyle w:val="corte4fondo"/>
        <w:spacing w:line="240" w:lineRule="auto"/>
        <w:ind w:firstLine="0"/>
        <w:jc w:val="center"/>
        <w:rPr>
          <w:b/>
          <w:sz w:val="24"/>
          <w:szCs w:val="24"/>
        </w:rPr>
      </w:pPr>
      <w:r>
        <w:rPr>
          <w:b/>
          <w:sz w:val="24"/>
          <w:szCs w:val="24"/>
        </w:rPr>
        <w:t xml:space="preserve">LIC. </w:t>
      </w:r>
      <w:r w:rsidR="00E33769" w:rsidRPr="00BC4AF2">
        <w:rPr>
          <w:b/>
          <w:sz w:val="24"/>
          <w:szCs w:val="24"/>
        </w:rPr>
        <w:t>MARÍA DE LOS ÁNGELES GUTIÉRREZ GATICA</w:t>
      </w:r>
    </w:p>
    <w:p w14:paraId="5E5F6C2D" w14:textId="77777777" w:rsidR="00BC4AF2" w:rsidRDefault="00BC4AF2" w:rsidP="00E33769">
      <w:pPr>
        <w:pStyle w:val="corte4fondo"/>
        <w:spacing w:line="240" w:lineRule="auto"/>
        <w:ind w:firstLine="0"/>
        <w:jc w:val="center"/>
        <w:rPr>
          <w:b/>
          <w:sz w:val="25"/>
          <w:szCs w:val="25"/>
        </w:rPr>
      </w:pPr>
    </w:p>
    <w:p w14:paraId="0DC5F10A" w14:textId="77777777" w:rsidR="00BC4AF2" w:rsidRDefault="00BC4AF2" w:rsidP="00E33769">
      <w:pPr>
        <w:pStyle w:val="corte4fondo"/>
        <w:spacing w:line="240" w:lineRule="auto"/>
        <w:ind w:firstLine="0"/>
        <w:jc w:val="center"/>
        <w:rPr>
          <w:b/>
          <w:sz w:val="25"/>
          <w:szCs w:val="25"/>
        </w:rPr>
      </w:pPr>
    </w:p>
    <w:p w14:paraId="1CC3F974" w14:textId="77777777" w:rsidR="00B071E0" w:rsidRDefault="00B071E0" w:rsidP="00B071E0">
      <w:pPr>
        <w:pStyle w:val="corte4fondo"/>
        <w:widowControl w:val="0"/>
        <w:spacing w:line="240" w:lineRule="auto"/>
        <w:ind w:firstLine="0"/>
        <w:rPr>
          <w:b/>
          <w:sz w:val="25"/>
          <w:szCs w:val="25"/>
        </w:rPr>
      </w:pPr>
    </w:p>
    <w:p w14:paraId="09730643" w14:textId="77777777" w:rsidR="00B071E0" w:rsidRPr="005344E0" w:rsidRDefault="00B071E0" w:rsidP="00B071E0">
      <w:pPr>
        <w:pStyle w:val="corte4fondo"/>
        <w:widowControl w:val="0"/>
        <w:spacing w:line="240" w:lineRule="auto"/>
        <w:ind w:firstLine="0"/>
        <w:rPr>
          <w:b/>
          <w:sz w:val="22"/>
        </w:rPr>
      </w:pPr>
      <w:r>
        <w:rPr>
          <w:sz w:val="22"/>
        </w:rPr>
        <w:t xml:space="preserve">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 </w:t>
      </w:r>
    </w:p>
    <w:p w14:paraId="7D91F7D5" w14:textId="0FD8C10F" w:rsidR="00E33769" w:rsidRPr="00E33769" w:rsidRDefault="00E33769" w:rsidP="00B071E0">
      <w:pPr>
        <w:pStyle w:val="corte1datos"/>
        <w:ind w:left="0"/>
        <w:jc w:val="both"/>
        <w:rPr>
          <w:rFonts w:cs="Arial"/>
          <w:b w:val="0"/>
          <w:sz w:val="22"/>
          <w:szCs w:val="22"/>
        </w:rPr>
      </w:pPr>
    </w:p>
    <w:sectPr w:rsidR="00E33769" w:rsidRPr="00E33769" w:rsidSect="00561332">
      <w:headerReference w:type="even" r:id="rId8"/>
      <w:headerReference w:type="default" r:id="rId9"/>
      <w:footerReference w:type="even" r:id="rId10"/>
      <w:footerReference w:type="default" r:id="rId11"/>
      <w:pgSz w:w="12242" w:h="19301" w:code="10000"/>
      <w:pgMar w:top="3686" w:right="1752" w:bottom="2552" w:left="1701" w:header="1418" w:footer="1701" w:gutter="0"/>
      <w:paperSrc w:first="260" w:other="26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7004" w14:textId="77777777" w:rsidR="0018134E" w:rsidRDefault="0018134E" w:rsidP="009E475B">
      <w:r>
        <w:separator/>
      </w:r>
    </w:p>
  </w:endnote>
  <w:endnote w:type="continuationSeparator" w:id="0">
    <w:p w14:paraId="333EC6D7" w14:textId="77777777" w:rsidR="0018134E" w:rsidRDefault="0018134E" w:rsidP="009E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720404"/>
      <w:docPartObj>
        <w:docPartGallery w:val="Page Numbers (Bottom of Page)"/>
        <w:docPartUnique/>
      </w:docPartObj>
    </w:sdtPr>
    <w:sdtEndPr>
      <w:rPr>
        <w:rFonts w:ascii="Arial" w:hAnsi="Arial" w:cs="Arial"/>
        <w:b/>
        <w:sz w:val="24"/>
        <w:szCs w:val="24"/>
      </w:rPr>
    </w:sdtEndPr>
    <w:sdtContent>
      <w:p w14:paraId="6616F414" w14:textId="212F7672" w:rsidR="00751B05" w:rsidRPr="00D77431" w:rsidRDefault="00751B05" w:rsidP="00F71AAA">
        <w:pPr>
          <w:pStyle w:val="Piedepgina"/>
          <w:rPr>
            <w:rFonts w:ascii="Arial" w:hAnsi="Arial" w:cs="Arial"/>
            <w:sz w:val="24"/>
            <w:szCs w:val="24"/>
          </w:rPr>
        </w:pPr>
        <w:r w:rsidRPr="00D77431">
          <w:rPr>
            <w:rFonts w:ascii="Arial" w:hAnsi="Arial" w:cs="Arial"/>
            <w:b/>
            <w:sz w:val="24"/>
            <w:szCs w:val="24"/>
          </w:rPr>
          <w:fldChar w:fldCharType="begin"/>
        </w:r>
        <w:r w:rsidRPr="00D77431">
          <w:rPr>
            <w:rFonts w:ascii="Arial" w:hAnsi="Arial" w:cs="Arial"/>
            <w:b/>
            <w:sz w:val="24"/>
            <w:szCs w:val="24"/>
          </w:rPr>
          <w:instrText xml:space="preserve"> PAGE   \* MERGEFORMAT </w:instrText>
        </w:r>
        <w:r w:rsidRPr="00D77431">
          <w:rPr>
            <w:rFonts w:ascii="Arial" w:hAnsi="Arial" w:cs="Arial"/>
            <w:b/>
            <w:sz w:val="24"/>
            <w:szCs w:val="24"/>
          </w:rPr>
          <w:fldChar w:fldCharType="separate"/>
        </w:r>
        <w:r w:rsidR="00302354">
          <w:rPr>
            <w:rFonts w:ascii="Arial" w:hAnsi="Arial" w:cs="Arial"/>
            <w:b/>
            <w:noProof/>
            <w:sz w:val="24"/>
            <w:szCs w:val="24"/>
          </w:rPr>
          <w:t>2</w:t>
        </w:r>
        <w:r w:rsidRPr="00D77431">
          <w:rPr>
            <w:rFonts w:ascii="Arial" w:hAnsi="Arial" w:cs="Arial"/>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62142"/>
      <w:docPartObj>
        <w:docPartGallery w:val="Page Numbers (Bottom of Page)"/>
        <w:docPartUnique/>
      </w:docPartObj>
    </w:sdtPr>
    <w:sdtEndPr>
      <w:rPr>
        <w:rFonts w:ascii="Arial" w:hAnsi="Arial" w:cs="Arial"/>
        <w:b/>
        <w:sz w:val="24"/>
        <w:szCs w:val="24"/>
      </w:rPr>
    </w:sdtEndPr>
    <w:sdtContent>
      <w:p w14:paraId="68B282C6" w14:textId="203E2096" w:rsidR="00751B05" w:rsidRPr="004E5250" w:rsidRDefault="00751B05" w:rsidP="004E5250">
        <w:pPr>
          <w:pStyle w:val="Piedepgina"/>
          <w:jc w:val="right"/>
          <w:rPr>
            <w:rFonts w:ascii="Arial" w:hAnsi="Arial" w:cs="Arial"/>
            <w:b/>
            <w:sz w:val="24"/>
            <w:szCs w:val="24"/>
          </w:rPr>
        </w:pPr>
        <w:r w:rsidRPr="00D77431">
          <w:rPr>
            <w:rFonts w:ascii="Arial" w:hAnsi="Arial" w:cs="Arial"/>
            <w:b/>
            <w:sz w:val="24"/>
            <w:szCs w:val="24"/>
          </w:rPr>
          <w:fldChar w:fldCharType="begin"/>
        </w:r>
        <w:r w:rsidRPr="00D77431">
          <w:rPr>
            <w:rFonts w:ascii="Arial" w:hAnsi="Arial" w:cs="Arial"/>
            <w:b/>
            <w:sz w:val="24"/>
            <w:szCs w:val="24"/>
          </w:rPr>
          <w:instrText xml:space="preserve"> PAGE   \* MERGEFORMAT </w:instrText>
        </w:r>
        <w:r w:rsidRPr="00D77431">
          <w:rPr>
            <w:rFonts w:ascii="Arial" w:hAnsi="Arial" w:cs="Arial"/>
            <w:b/>
            <w:sz w:val="24"/>
            <w:szCs w:val="24"/>
          </w:rPr>
          <w:fldChar w:fldCharType="separate"/>
        </w:r>
        <w:r w:rsidR="00302354">
          <w:rPr>
            <w:rFonts w:ascii="Arial" w:hAnsi="Arial" w:cs="Arial"/>
            <w:b/>
            <w:noProof/>
            <w:sz w:val="24"/>
            <w:szCs w:val="24"/>
          </w:rPr>
          <w:t>3</w:t>
        </w:r>
        <w:r w:rsidRPr="00D77431">
          <w:rPr>
            <w:rFonts w:ascii="Arial" w:hAnsi="Arial" w:cs="Arial"/>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73BC" w14:textId="77777777" w:rsidR="0018134E" w:rsidRDefault="0018134E" w:rsidP="009E475B">
      <w:r>
        <w:separator/>
      </w:r>
    </w:p>
  </w:footnote>
  <w:footnote w:type="continuationSeparator" w:id="0">
    <w:p w14:paraId="1E17CCC0" w14:textId="77777777" w:rsidR="0018134E" w:rsidRDefault="0018134E" w:rsidP="009E475B">
      <w:r>
        <w:continuationSeparator/>
      </w:r>
    </w:p>
  </w:footnote>
  <w:footnote w:id="1">
    <w:p w14:paraId="337F6A1B" w14:textId="6F73C85C" w:rsidR="00751B05" w:rsidRPr="00E61F0A" w:rsidRDefault="00751B05">
      <w:pPr>
        <w:pStyle w:val="Textonotapie"/>
        <w:rPr>
          <w:lang w:val="es-MX"/>
        </w:rPr>
      </w:pPr>
      <w:r w:rsidRPr="00E61F0A">
        <w:rPr>
          <w:rStyle w:val="Refdenotaalpie"/>
        </w:rPr>
        <w:footnoteRef/>
      </w:r>
      <w:r w:rsidRPr="00E61F0A">
        <w:t xml:space="preserve"> </w:t>
      </w:r>
      <w:r w:rsidRPr="00E61F0A">
        <w:rPr>
          <w:lang w:val="es-MX"/>
        </w:rPr>
        <w:t>Amparo directo, foja 8 a 358.</w:t>
      </w:r>
    </w:p>
  </w:footnote>
  <w:footnote w:id="2">
    <w:p w14:paraId="35086F74" w14:textId="2D023634" w:rsidR="00751B05" w:rsidRPr="00E61F0A" w:rsidRDefault="00751B05">
      <w:pPr>
        <w:pStyle w:val="Textonotapie"/>
        <w:rPr>
          <w:lang w:val="es-MX"/>
        </w:rPr>
      </w:pPr>
      <w:r w:rsidRPr="00E61F0A">
        <w:rPr>
          <w:rStyle w:val="Refdenotaalpie"/>
        </w:rPr>
        <w:footnoteRef/>
      </w:r>
      <w:r w:rsidRPr="00E61F0A">
        <w:t xml:space="preserve"> </w:t>
      </w:r>
      <w:r w:rsidRPr="00E61F0A">
        <w:rPr>
          <w:lang w:val="es-MX"/>
        </w:rPr>
        <w:t>Amparo directo, fojas 359 y 360.</w:t>
      </w:r>
    </w:p>
  </w:footnote>
  <w:footnote w:id="3">
    <w:p w14:paraId="18446839" w14:textId="2AB77084" w:rsidR="00751B05" w:rsidRPr="00E61F0A" w:rsidRDefault="00751B05">
      <w:pPr>
        <w:pStyle w:val="Textonotapie"/>
        <w:rPr>
          <w:lang w:val="es-MX"/>
        </w:rPr>
      </w:pPr>
      <w:r w:rsidRPr="00E61F0A">
        <w:rPr>
          <w:rStyle w:val="Refdenotaalpie"/>
        </w:rPr>
        <w:footnoteRef/>
      </w:r>
      <w:r w:rsidRPr="00E61F0A">
        <w:t xml:space="preserve"> </w:t>
      </w:r>
      <w:r w:rsidRPr="00E61F0A">
        <w:rPr>
          <w:lang w:val="es-MX"/>
        </w:rPr>
        <w:t xml:space="preserve">Amparo directo, fojas </w:t>
      </w:r>
      <w:r w:rsidR="0022754F">
        <w:rPr>
          <w:lang w:val="es-MX"/>
        </w:rPr>
        <w:t>98 a 104</w:t>
      </w:r>
      <w:r w:rsidRPr="00E61F0A">
        <w:rPr>
          <w:lang w:val="es-MX"/>
        </w:rPr>
        <w:t>.</w:t>
      </w:r>
    </w:p>
  </w:footnote>
  <w:footnote w:id="4">
    <w:p w14:paraId="45436798" w14:textId="5E67E360" w:rsidR="00751B05" w:rsidRPr="00E61F0A" w:rsidRDefault="00751B05" w:rsidP="00EC6A7F">
      <w:pPr>
        <w:pStyle w:val="Textonotapie"/>
        <w:rPr>
          <w:lang w:val="es-MX"/>
        </w:rPr>
      </w:pPr>
      <w:r w:rsidRPr="00E61F0A">
        <w:rPr>
          <w:rStyle w:val="Refdenotaalpie"/>
        </w:rPr>
        <w:footnoteRef/>
      </w:r>
      <w:r w:rsidRPr="00E61F0A">
        <w:t xml:space="preserve"> </w:t>
      </w:r>
      <w:r w:rsidRPr="00E61F0A">
        <w:rPr>
          <w:lang w:val="es-MX"/>
        </w:rPr>
        <w:t xml:space="preserve">Toca, fojas 3 a </w:t>
      </w:r>
      <w:r w:rsidR="00B24D16">
        <w:rPr>
          <w:lang w:val="es-MX"/>
        </w:rPr>
        <w:t>17</w:t>
      </w:r>
      <w:r w:rsidRPr="00E61F0A">
        <w:rPr>
          <w:lang w:val="es-MX"/>
        </w:rPr>
        <w:t>.</w:t>
      </w:r>
    </w:p>
  </w:footnote>
  <w:footnote w:id="5">
    <w:p w14:paraId="448E4672" w14:textId="45E33EBF" w:rsidR="00751B05" w:rsidRPr="00E61F0A" w:rsidRDefault="00751B05" w:rsidP="004F5A6A">
      <w:pPr>
        <w:pStyle w:val="Textonotapie"/>
        <w:rPr>
          <w:lang w:val="es-MX"/>
        </w:rPr>
      </w:pPr>
      <w:r w:rsidRPr="00E61F0A">
        <w:rPr>
          <w:rStyle w:val="Refdenotaalpie"/>
        </w:rPr>
        <w:footnoteRef/>
      </w:r>
      <w:r w:rsidRPr="00E61F0A">
        <w:t xml:space="preserve"> </w:t>
      </w:r>
      <w:r w:rsidR="007C4586">
        <w:rPr>
          <w:lang w:val="es-MX"/>
        </w:rPr>
        <w:t>Amparo directo, foja 4</w:t>
      </w:r>
      <w:r w:rsidRPr="00E61F0A">
        <w:rPr>
          <w:lang w:val="es-MX"/>
        </w:rPr>
        <w:t>5.</w:t>
      </w:r>
    </w:p>
  </w:footnote>
  <w:footnote w:id="6">
    <w:p w14:paraId="1EB0CA5D" w14:textId="77777777" w:rsidR="00293EFD" w:rsidRPr="00CA4D6B" w:rsidRDefault="00293EFD" w:rsidP="00293EFD">
      <w:pPr>
        <w:pStyle w:val="Textonotapie"/>
        <w:rPr>
          <w:rFonts w:cs="Arial"/>
          <w:lang w:val="es-MX"/>
        </w:rPr>
      </w:pPr>
      <w:r w:rsidRPr="00CA4D6B">
        <w:rPr>
          <w:rStyle w:val="Refdenotaalpie"/>
          <w:rFonts w:cs="Arial"/>
        </w:rPr>
        <w:footnoteRef/>
      </w:r>
      <w:r w:rsidRPr="00CA4D6B">
        <w:rPr>
          <w:rFonts w:cs="Arial"/>
        </w:rPr>
        <w:t xml:space="preserve"> </w:t>
      </w:r>
      <w:r w:rsidRPr="00CA4D6B">
        <w:rPr>
          <w:rFonts w:cs="Arial"/>
          <w:lang w:val="es-MX"/>
        </w:rPr>
        <w:t xml:space="preserve">El tribunal colegiado precisó </w:t>
      </w:r>
      <w:r w:rsidRPr="00CA4D6B">
        <w:rPr>
          <w:rFonts w:cs="Arial"/>
          <w:lang w:val="es-ES"/>
        </w:rPr>
        <w:t xml:space="preserve">que si bien, en el presente asunto, el ejercicio fiscal por el que se presumieron los ingresos acumulables para el pago del impuesto sobre la renta en perjuicio del </w:t>
      </w:r>
      <w:proofErr w:type="gramStart"/>
      <w:r w:rsidRPr="00CA4D6B">
        <w:rPr>
          <w:rFonts w:cs="Arial"/>
          <w:lang w:val="es-ES"/>
        </w:rPr>
        <w:t>quejoso,</w:t>
      </w:r>
      <w:proofErr w:type="gramEnd"/>
      <w:r w:rsidRPr="00CA4D6B">
        <w:rPr>
          <w:rFonts w:cs="Arial"/>
          <w:lang w:val="es-ES"/>
        </w:rPr>
        <w:t xml:space="preserve"> </w:t>
      </w:r>
      <w:r>
        <w:rPr>
          <w:rFonts w:cs="Arial"/>
          <w:lang w:val="es-ES"/>
        </w:rPr>
        <w:t>fue el de</w:t>
      </w:r>
      <w:r w:rsidRPr="00CA4D6B">
        <w:rPr>
          <w:rFonts w:cs="Arial"/>
          <w:lang w:val="es-ES"/>
        </w:rPr>
        <w:t xml:space="preserve"> </w:t>
      </w:r>
      <w:r w:rsidRPr="00051395">
        <w:rPr>
          <w:rFonts w:cs="Arial"/>
          <w:lang w:val="es-ES"/>
        </w:rPr>
        <w:t>2008; la fracción III, del artículo 59 del</w:t>
      </w:r>
      <w:r w:rsidRPr="00CA4D6B">
        <w:rPr>
          <w:rFonts w:cs="Arial"/>
          <w:lang w:val="es-ES"/>
        </w:rPr>
        <w:t xml:space="preserve"> Código Fiscal de la Federación, no ha sufrido modificaciones desde 1998, por lo que los razonamientos vertidos por esta Primera Sala son aplicables al caso concreto.</w:t>
      </w:r>
    </w:p>
  </w:footnote>
  <w:footnote w:id="7">
    <w:p w14:paraId="7F501717" w14:textId="77777777" w:rsidR="00293EFD" w:rsidRPr="004E5250" w:rsidRDefault="00293EFD" w:rsidP="00293EFD">
      <w:pPr>
        <w:pStyle w:val="Textonotapie"/>
        <w:rPr>
          <w:rFonts w:cs="Arial"/>
          <w:lang w:val="es-MX"/>
        </w:rPr>
      </w:pPr>
      <w:r w:rsidRPr="004E5250">
        <w:rPr>
          <w:rStyle w:val="Refdenotaalpie"/>
          <w:rFonts w:cs="Arial"/>
        </w:rPr>
        <w:footnoteRef/>
      </w:r>
      <w:r w:rsidRPr="004E5250">
        <w:rPr>
          <w:rFonts w:cs="Arial"/>
        </w:rPr>
        <w:t xml:space="preserve"> </w:t>
      </w:r>
      <w:r w:rsidRPr="004E5250">
        <w:rPr>
          <w:rFonts w:cs="Arial"/>
          <w:lang w:val="es-MX"/>
        </w:rPr>
        <w:t xml:space="preserve">Para llegar a esta determinación, el tribunal colegiado basó sus consideraciones en la </w:t>
      </w:r>
      <w:r w:rsidRPr="004E5250">
        <w:rPr>
          <w:rFonts w:cs="Arial"/>
          <w:lang w:val="es-ES"/>
        </w:rPr>
        <w:t xml:space="preserve">tesis aislada de esta Primera Sala, con número de registro </w:t>
      </w:r>
      <w:r w:rsidRPr="004E5250">
        <w:rPr>
          <w:rFonts w:cs="Arial"/>
        </w:rPr>
        <w:t>2011334,</w:t>
      </w:r>
      <w:r w:rsidRPr="004E5250">
        <w:rPr>
          <w:rFonts w:cs="Arial"/>
          <w:lang w:val="es-ES"/>
        </w:rPr>
        <w:t xml:space="preserve"> de rubro siguiente:</w:t>
      </w:r>
      <w:r w:rsidRPr="004E5250">
        <w:rPr>
          <w:rFonts w:cs="Arial"/>
          <w:i/>
          <w:lang w:val="es-ES"/>
        </w:rPr>
        <w:t xml:space="preserve"> </w:t>
      </w:r>
      <w:r w:rsidRPr="004E5250">
        <w:rPr>
          <w:rFonts w:cs="Arial"/>
          <w:lang w:val="es-ES"/>
        </w:rPr>
        <w:t>“</w:t>
      </w:r>
      <w:r w:rsidRPr="004E5250">
        <w:rPr>
          <w:rFonts w:cs="Arial"/>
          <w:i/>
          <w:lang w:val="es-ES"/>
        </w:rPr>
        <w:t>DETERMINACIÓN PRESUNTIVA DE CONTRIBUCIONES</w:t>
      </w:r>
      <w:r w:rsidRPr="004E5250">
        <w:rPr>
          <w:rFonts w:cs="Arial"/>
          <w:lang w:val="es-ES"/>
        </w:rPr>
        <w:t>.</w:t>
      </w:r>
      <w:r w:rsidRPr="004E5250">
        <w:rPr>
          <w:rFonts w:cs="Arial"/>
          <w:i/>
          <w:lang w:val="es-ES"/>
        </w:rPr>
        <w:t xml:space="preserve"> LOS ARTÍCULOS 55</w:t>
      </w:r>
      <w:r w:rsidRPr="004E5250">
        <w:rPr>
          <w:rFonts w:cs="Arial"/>
          <w:lang w:val="es-ES"/>
        </w:rPr>
        <w:t>,</w:t>
      </w:r>
      <w:r w:rsidRPr="004E5250">
        <w:rPr>
          <w:rFonts w:cs="Arial"/>
          <w:i/>
          <w:lang w:val="es-ES"/>
        </w:rPr>
        <w:t xml:space="preserve"> FRACCIONES I Y II</w:t>
      </w:r>
      <w:r w:rsidRPr="004E5250">
        <w:rPr>
          <w:rFonts w:cs="Arial"/>
          <w:lang w:val="es-ES"/>
        </w:rPr>
        <w:t>,</w:t>
      </w:r>
      <w:r w:rsidRPr="004E5250">
        <w:rPr>
          <w:rFonts w:cs="Arial"/>
          <w:i/>
          <w:lang w:val="es-ES"/>
        </w:rPr>
        <w:t xml:space="preserve"> Y 59</w:t>
      </w:r>
      <w:r w:rsidRPr="004E5250">
        <w:rPr>
          <w:rFonts w:cs="Arial"/>
          <w:lang w:val="es-ES"/>
        </w:rPr>
        <w:t>,</w:t>
      </w:r>
      <w:r w:rsidRPr="004E5250">
        <w:rPr>
          <w:rFonts w:cs="Arial"/>
          <w:i/>
          <w:lang w:val="es-ES"/>
        </w:rPr>
        <w:t xml:space="preserve"> FRACCIÓN III</w:t>
      </w:r>
      <w:r w:rsidRPr="004E5250">
        <w:rPr>
          <w:rFonts w:cs="Arial"/>
          <w:lang w:val="es-ES"/>
        </w:rPr>
        <w:t>,</w:t>
      </w:r>
      <w:r w:rsidRPr="004E5250">
        <w:rPr>
          <w:rFonts w:cs="Arial"/>
          <w:i/>
          <w:lang w:val="es-ES"/>
        </w:rPr>
        <w:t xml:space="preserve"> DEL CÓDIGO FISCAL DE LA FEDERACIÓN</w:t>
      </w:r>
      <w:r w:rsidRPr="004E5250">
        <w:rPr>
          <w:rFonts w:cs="Arial"/>
          <w:lang w:val="es-ES"/>
        </w:rPr>
        <w:t>,</w:t>
      </w:r>
      <w:r w:rsidRPr="004E5250">
        <w:rPr>
          <w:rFonts w:cs="Arial"/>
          <w:i/>
          <w:lang w:val="es-ES"/>
        </w:rPr>
        <w:t xml:space="preserve"> NO VULNERAN EL PRINCIPIO DE PRESUNCIÓN DE INOCENCIA</w:t>
      </w:r>
      <w:r w:rsidRPr="004E5250">
        <w:rPr>
          <w:rFonts w:cs="Arial"/>
          <w:lang w:val="es-ES"/>
        </w:rPr>
        <w:t>”.</w:t>
      </w:r>
    </w:p>
  </w:footnote>
  <w:footnote w:id="8">
    <w:p w14:paraId="3E92CE3C" w14:textId="77777777" w:rsidR="00293EFD" w:rsidRPr="00051395" w:rsidRDefault="00293EFD" w:rsidP="00293EFD">
      <w:pPr>
        <w:pStyle w:val="Textonotapie"/>
        <w:rPr>
          <w:rFonts w:cs="Arial"/>
          <w:i/>
          <w:lang w:val="es-MX"/>
        </w:rPr>
      </w:pPr>
      <w:r w:rsidRPr="004E5250">
        <w:rPr>
          <w:rStyle w:val="Refdenotaalpie"/>
          <w:rFonts w:cs="Arial"/>
        </w:rPr>
        <w:footnoteRef/>
      </w:r>
      <w:r w:rsidRPr="004E5250">
        <w:rPr>
          <w:rFonts w:cs="Arial"/>
        </w:rPr>
        <w:t xml:space="preserve"> </w:t>
      </w:r>
      <w:r w:rsidRPr="004E5250">
        <w:rPr>
          <w:rFonts w:cs="Arial"/>
          <w:lang w:val="es-MX"/>
        </w:rPr>
        <w:t xml:space="preserve">Sustentó esta consideración en el criterio de esta Primera Sala contenido en la tesis aislada, con número de registro </w:t>
      </w:r>
      <w:r w:rsidRPr="004E5250">
        <w:rPr>
          <w:rFonts w:cs="Arial"/>
        </w:rPr>
        <w:t xml:space="preserve">2011373, de rubro siguiente: </w:t>
      </w:r>
      <w:r w:rsidRPr="004E5250">
        <w:rPr>
          <w:rFonts w:cs="Arial"/>
          <w:lang w:val="es-ES"/>
        </w:rPr>
        <w:t>“</w:t>
      </w:r>
      <w:r w:rsidRPr="004E5250">
        <w:rPr>
          <w:rFonts w:cs="Arial"/>
          <w:i/>
          <w:lang w:val="es-ES"/>
        </w:rPr>
        <w:t>DETERMINACIÓN PRESUNTIVA DE CONTRIBUCIONES</w:t>
      </w:r>
      <w:r w:rsidRPr="004E5250">
        <w:rPr>
          <w:rFonts w:cs="Arial"/>
          <w:lang w:val="es-ES"/>
        </w:rPr>
        <w:t>.</w:t>
      </w:r>
      <w:r w:rsidRPr="004E5250">
        <w:rPr>
          <w:rFonts w:cs="Arial"/>
          <w:i/>
          <w:lang w:val="es-ES"/>
        </w:rPr>
        <w:t xml:space="preserve"> CUANDO SON APLICADOS EN EL PROCESO PENAL</w:t>
      </w:r>
      <w:r w:rsidRPr="004E5250">
        <w:rPr>
          <w:rFonts w:cs="Arial"/>
          <w:lang w:val="es-ES"/>
        </w:rPr>
        <w:t>,</w:t>
      </w:r>
      <w:r w:rsidRPr="004E5250">
        <w:rPr>
          <w:rFonts w:cs="Arial"/>
          <w:i/>
          <w:lang w:val="es-ES"/>
        </w:rPr>
        <w:t xml:space="preserve"> LOS ARTÍCULOS 55</w:t>
      </w:r>
      <w:r w:rsidRPr="004E5250">
        <w:rPr>
          <w:rFonts w:cs="Arial"/>
          <w:lang w:val="es-ES"/>
        </w:rPr>
        <w:t>,</w:t>
      </w:r>
      <w:r w:rsidRPr="004E5250">
        <w:rPr>
          <w:rFonts w:cs="Arial"/>
          <w:i/>
          <w:lang w:val="es-ES"/>
        </w:rPr>
        <w:t xml:space="preserve"> FRACCIONES I Y II</w:t>
      </w:r>
      <w:r w:rsidRPr="004E5250">
        <w:rPr>
          <w:rFonts w:cs="Arial"/>
          <w:lang w:val="es-ES"/>
        </w:rPr>
        <w:t>,</w:t>
      </w:r>
      <w:r w:rsidRPr="004E5250">
        <w:rPr>
          <w:rFonts w:cs="Arial"/>
          <w:i/>
          <w:lang w:val="es-ES"/>
        </w:rPr>
        <w:t xml:space="preserve"> Y 59</w:t>
      </w:r>
      <w:r w:rsidRPr="004E5250">
        <w:rPr>
          <w:rFonts w:cs="Arial"/>
          <w:lang w:val="es-ES"/>
        </w:rPr>
        <w:t>,</w:t>
      </w:r>
      <w:r w:rsidRPr="004E5250">
        <w:rPr>
          <w:rFonts w:cs="Arial"/>
          <w:i/>
          <w:lang w:val="es-ES"/>
        </w:rPr>
        <w:t xml:space="preserve"> FRACCIÓN III</w:t>
      </w:r>
      <w:r w:rsidRPr="004E5250">
        <w:rPr>
          <w:rFonts w:cs="Arial"/>
          <w:lang w:val="es-ES"/>
        </w:rPr>
        <w:t>,</w:t>
      </w:r>
      <w:r w:rsidRPr="004E5250">
        <w:rPr>
          <w:rFonts w:cs="Arial"/>
          <w:i/>
          <w:lang w:val="es-ES"/>
        </w:rPr>
        <w:t xml:space="preserve"> DEL CÓDIGO FISCAL DE LA FEDERACIÓN</w:t>
      </w:r>
      <w:r w:rsidRPr="004E5250">
        <w:rPr>
          <w:rFonts w:cs="Arial"/>
          <w:lang w:val="es-ES"/>
        </w:rPr>
        <w:t>,</w:t>
      </w:r>
      <w:r w:rsidRPr="004E5250">
        <w:rPr>
          <w:rFonts w:cs="Arial"/>
          <w:i/>
          <w:lang w:val="es-ES"/>
        </w:rPr>
        <w:t xml:space="preserve"> NO VIOLAN EL PRINCIPIO DE PRESUNCIÓN DE INOCENCIA</w:t>
      </w:r>
      <w:r w:rsidRPr="004E5250">
        <w:rPr>
          <w:rFonts w:cs="Arial"/>
          <w:lang w:val="es-ES"/>
        </w:rPr>
        <w:t>,</w:t>
      </w:r>
      <w:r w:rsidRPr="004E5250">
        <w:rPr>
          <w:rFonts w:cs="Arial"/>
          <w:i/>
          <w:lang w:val="es-ES"/>
        </w:rPr>
        <w:t xml:space="preserve"> EN SU VERTIENTE DE REGLA DE TRATAMIENTO”.</w:t>
      </w:r>
    </w:p>
  </w:footnote>
  <w:footnote w:id="9">
    <w:p w14:paraId="79A58F19" w14:textId="77777777" w:rsidR="00F96CFC" w:rsidRPr="00306BF6" w:rsidRDefault="00F96CFC" w:rsidP="00F96CFC">
      <w:pPr>
        <w:pStyle w:val="Textonotapie"/>
        <w:rPr>
          <w:rFonts w:cs="Arial"/>
          <w:lang w:val="es-MX"/>
        </w:rPr>
      </w:pPr>
      <w:r w:rsidRPr="00306BF6">
        <w:rPr>
          <w:rStyle w:val="Refdenotaalpie"/>
          <w:rFonts w:cs="Arial"/>
        </w:rPr>
        <w:footnoteRef/>
      </w:r>
      <w:r w:rsidRPr="00306BF6">
        <w:rPr>
          <w:rFonts w:cs="Arial"/>
        </w:rPr>
        <w:t xml:space="preserve"> </w:t>
      </w:r>
      <w:r>
        <w:rPr>
          <w:rFonts w:cs="Arial"/>
          <w:lang w:val="es-MX"/>
        </w:rPr>
        <w:t xml:space="preserve">Resuelto por </w:t>
      </w:r>
      <w:r w:rsidRPr="008F512A">
        <w:rPr>
          <w:rFonts w:cs="Arial"/>
          <w:bCs/>
        </w:rPr>
        <w:t xml:space="preserve">por unanimidad de cinco votos de los </w:t>
      </w:r>
      <w:proofErr w:type="gramStart"/>
      <w:r w:rsidRPr="008F512A">
        <w:rPr>
          <w:rFonts w:cs="Arial"/>
          <w:bCs/>
        </w:rPr>
        <w:t>Ministros</w:t>
      </w:r>
      <w:proofErr w:type="gramEnd"/>
      <w:r w:rsidRPr="008F512A">
        <w:rPr>
          <w:rFonts w:cs="Arial"/>
          <w:bCs/>
        </w:rPr>
        <w:t xml:space="preserve"> Arturo Zaldívar Lelo de Larrea, José Ramón Cossío Díaz, Jorge Mario Pardo Rebolledo (Ponente), Alfredo Gutiérrez Ortiz Mena y la Ministra Presidenta Norma Lucía Piña Hernández</w:t>
      </w:r>
      <w:r>
        <w:rPr>
          <w:rFonts w:cs="Arial"/>
          <w:bCs/>
        </w:rPr>
        <w:t>.</w:t>
      </w:r>
      <w:r w:rsidRPr="00306BF6">
        <w:rPr>
          <w:rFonts w:cs="Arial"/>
          <w:lang w:val="es-MX"/>
        </w:rPr>
        <w:t xml:space="preserve"> </w:t>
      </w:r>
    </w:p>
  </w:footnote>
  <w:footnote w:id="10">
    <w:p w14:paraId="5F6FBAAD" w14:textId="77777777" w:rsidR="00F96CFC" w:rsidRDefault="00F96CFC" w:rsidP="00F96CFC">
      <w:pPr>
        <w:widowControl w:val="0"/>
        <w:jc w:val="both"/>
        <w:rPr>
          <w:rFonts w:ascii="Arial" w:hAnsi="Arial" w:cs="Arial"/>
          <w:sz w:val="28"/>
          <w:szCs w:val="28"/>
          <w:lang w:val="x-none" w:eastAsia="es-ES"/>
        </w:rPr>
      </w:pPr>
      <w:r w:rsidRPr="00306BF6">
        <w:rPr>
          <w:rFonts w:ascii="Arial" w:hAnsi="Arial" w:cs="Arial"/>
          <w:vertAlign w:val="superscript"/>
        </w:rPr>
        <w:footnoteRef/>
      </w:r>
      <w:r w:rsidRPr="00306BF6">
        <w:rPr>
          <w:rFonts w:ascii="Arial" w:hAnsi="Arial" w:cs="Arial"/>
          <w:vertAlign w:val="superscript"/>
        </w:rPr>
        <w:t xml:space="preserve"> </w:t>
      </w:r>
      <w:r w:rsidRPr="00306BF6">
        <w:rPr>
          <w:rFonts w:ascii="Arial" w:hAnsi="Arial" w:cs="Arial"/>
        </w:rPr>
        <w:t>Resuelto por unanimidad de cinco</w:t>
      </w:r>
      <w:r w:rsidRPr="00306BF6">
        <w:rPr>
          <w:rFonts w:ascii="Arial" w:hAnsi="Arial" w:cs="Arial"/>
          <w:lang w:val="x-none"/>
        </w:rPr>
        <w:t xml:space="preserve"> votos de los señores </w:t>
      </w:r>
      <w:proofErr w:type="gramStart"/>
      <w:r w:rsidRPr="00306BF6">
        <w:rPr>
          <w:rFonts w:ascii="Arial" w:hAnsi="Arial" w:cs="Arial"/>
          <w:lang w:val="x-none"/>
        </w:rPr>
        <w:t>Ministros</w:t>
      </w:r>
      <w:proofErr w:type="gramEnd"/>
      <w:r w:rsidRPr="00306BF6">
        <w:rPr>
          <w:rFonts w:ascii="Arial" w:hAnsi="Arial" w:cs="Arial"/>
          <w:lang w:val="x-none"/>
        </w:rPr>
        <w:t>: Arturo Zaldívar Lelo de Larrea</w:t>
      </w:r>
      <w:r w:rsidRPr="00306BF6">
        <w:rPr>
          <w:rFonts w:ascii="Arial" w:hAnsi="Arial" w:cs="Arial"/>
        </w:rPr>
        <w:t>,</w:t>
      </w:r>
      <w:r w:rsidRPr="00306BF6">
        <w:rPr>
          <w:rFonts w:ascii="Arial" w:hAnsi="Arial" w:cs="Arial"/>
          <w:lang w:val="x-none"/>
        </w:rPr>
        <w:t xml:space="preserve"> José Ramón Cossío Díaz (Ponente), Jorge Mario Pardo Rebolledo</w:t>
      </w:r>
      <w:r w:rsidRPr="00306BF6">
        <w:rPr>
          <w:rFonts w:ascii="Arial" w:hAnsi="Arial" w:cs="Arial"/>
        </w:rPr>
        <w:t>,</w:t>
      </w:r>
      <w:r w:rsidRPr="00306BF6">
        <w:rPr>
          <w:rFonts w:ascii="Arial" w:hAnsi="Arial" w:cs="Arial"/>
          <w:lang w:val="x-none"/>
        </w:rPr>
        <w:t xml:space="preserve"> </w:t>
      </w:r>
      <w:r w:rsidRPr="00306BF6">
        <w:rPr>
          <w:rFonts w:ascii="Arial" w:hAnsi="Arial" w:cs="Arial"/>
        </w:rPr>
        <w:t>Norma Lucía Piña Hernández</w:t>
      </w:r>
      <w:r w:rsidRPr="00306BF6">
        <w:rPr>
          <w:rFonts w:ascii="Arial" w:hAnsi="Arial" w:cs="Arial"/>
          <w:lang w:val="x-none"/>
        </w:rPr>
        <w:t xml:space="preserve"> y Presidente Alfredo Gutiérrez Ortiz Mena</w:t>
      </w:r>
      <w:r w:rsidRPr="00306BF6">
        <w:rPr>
          <w:rFonts w:ascii="Arial" w:hAnsi="Arial" w:cs="Arial"/>
        </w:rPr>
        <w:t>.</w:t>
      </w:r>
    </w:p>
  </w:footnote>
  <w:footnote w:id="11">
    <w:p w14:paraId="5C595DC8" w14:textId="77777777" w:rsidR="00F96CFC" w:rsidRPr="00306BF6" w:rsidRDefault="00F96CFC" w:rsidP="00F96CFC">
      <w:pPr>
        <w:pStyle w:val="Textonotapie"/>
        <w:rPr>
          <w:rFonts w:cs="Arial"/>
          <w:lang w:eastAsia="es-ES"/>
        </w:rPr>
      </w:pPr>
      <w:r w:rsidRPr="00306BF6">
        <w:rPr>
          <w:rStyle w:val="Refdenotaalpie"/>
          <w:rFonts w:cs="Arial"/>
        </w:rPr>
        <w:footnoteRef/>
      </w:r>
      <w:r w:rsidRPr="00306BF6">
        <w:rPr>
          <w:rFonts w:cs="Arial"/>
        </w:rPr>
        <w:t xml:space="preserve"> </w:t>
      </w:r>
      <w:r w:rsidRPr="00306BF6">
        <w:rPr>
          <w:rFonts w:cs="Arial"/>
          <w:lang w:eastAsia="es-ES"/>
        </w:rPr>
        <w:t xml:space="preserve">Resuelto por </w:t>
      </w:r>
      <w:r w:rsidRPr="00306BF6">
        <w:rPr>
          <w:rFonts w:cs="Arial"/>
        </w:rPr>
        <w:t xml:space="preserve">unanimidad de cinco votos de los señores </w:t>
      </w:r>
      <w:proofErr w:type="gramStart"/>
      <w:r w:rsidRPr="00306BF6">
        <w:rPr>
          <w:rFonts w:cs="Arial"/>
        </w:rPr>
        <w:t>Ministros</w:t>
      </w:r>
      <w:proofErr w:type="gramEnd"/>
      <w:r w:rsidRPr="00306BF6">
        <w:rPr>
          <w:rFonts w:cs="Arial"/>
        </w:rPr>
        <w:t xml:space="preserve"> Arturo Zaldívar Lelo de Larrea, José Ramón Cossío Díaz, Alfredo Gutiérrez Ortiz Mena (Ponente), Olga Sánchez Cordero de García Villegas y Presidente Jorge Mario Pardo Rebolledo.</w:t>
      </w:r>
    </w:p>
  </w:footnote>
  <w:footnote w:id="12">
    <w:p w14:paraId="6B6FA0D0" w14:textId="3EAF5F6E" w:rsidR="00F96CFC" w:rsidRPr="008F512A" w:rsidRDefault="00F96CFC" w:rsidP="00F96CFC">
      <w:pPr>
        <w:pStyle w:val="Textonotapie"/>
        <w:rPr>
          <w:rFonts w:cs="Arial"/>
        </w:rPr>
      </w:pPr>
      <w:r w:rsidRPr="008F512A">
        <w:rPr>
          <w:rStyle w:val="Refdenotaalpie"/>
          <w:rFonts w:eastAsia="Calibri" w:cs="Arial"/>
        </w:rPr>
        <w:footnoteRef/>
      </w:r>
      <w:r w:rsidRPr="008F512A">
        <w:rPr>
          <w:rFonts w:cs="Arial"/>
        </w:rPr>
        <w:t xml:space="preserve"> </w:t>
      </w:r>
      <w:r w:rsidRPr="008F512A">
        <w:rPr>
          <w:rFonts w:cs="Arial"/>
          <w:bCs/>
          <w:lang w:val="es-ES"/>
        </w:rPr>
        <w:t>Criterio consultable en el Semanario Judicial de la Federación y su Gaceta, Novena Época, Materias</w:t>
      </w:r>
      <w:r w:rsidR="00F27F9F">
        <w:rPr>
          <w:rFonts w:cs="Arial"/>
          <w:bCs/>
          <w:lang w:val="es-ES"/>
        </w:rPr>
        <w:t xml:space="preserve"> Constitucional</w:t>
      </w:r>
      <w:r w:rsidRPr="008F512A">
        <w:rPr>
          <w:rFonts w:cs="Arial"/>
          <w:bCs/>
          <w:lang w:val="es-ES"/>
        </w:rPr>
        <w:t xml:space="preserve">, Tomo XXIV, </w:t>
      </w:r>
      <w:r w:rsidR="00F27F9F">
        <w:rPr>
          <w:rFonts w:cs="Arial"/>
          <w:bCs/>
          <w:lang w:val="es-ES"/>
        </w:rPr>
        <w:t>o</w:t>
      </w:r>
      <w:r w:rsidRPr="008F512A">
        <w:rPr>
          <w:rFonts w:cs="Arial"/>
          <w:bCs/>
          <w:lang w:val="es-ES"/>
        </w:rPr>
        <w:t>ctubre de 2006, Página 5, con registro IUS 174070.</w:t>
      </w:r>
    </w:p>
  </w:footnote>
  <w:footnote w:id="13">
    <w:p w14:paraId="34793FA1" w14:textId="77777777" w:rsidR="00F96CFC" w:rsidRPr="008F512A" w:rsidRDefault="00F96CFC" w:rsidP="00F96CFC">
      <w:pPr>
        <w:pStyle w:val="Textonotapie"/>
        <w:rPr>
          <w:rFonts w:cs="Arial"/>
        </w:rPr>
      </w:pPr>
      <w:r w:rsidRPr="008F512A">
        <w:rPr>
          <w:rStyle w:val="Refdenotaalpie"/>
          <w:rFonts w:eastAsia="Calibri" w:cs="Arial"/>
        </w:rPr>
        <w:footnoteRef/>
      </w:r>
      <w:r w:rsidRPr="008F512A">
        <w:rPr>
          <w:rFonts w:cs="Arial"/>
        </w:rPr>
        <w:t xml:space="preserve"> Tesis aislada consultable en el Semanario Judicial de la Federación y su Gaceta, Novena Época, Tomo XXIII, febrero de 2006, página 630, con registro IUS 175904.</w:t>
      </w:r>
    </w:p>
  </w:footnote>
  <w:footnote w:id="14">
    <w:p w14:paraId="2A8AC4E7" w14:textId="77777777" w:rsidR="00F96CFC" w:rsidRPr="008F512A" w:rsidRDefault="00F96CFC" w:rsidP="00F96CFC">
      <w:pPr>
        <w:jc w:val="both"/>
        <w:rPr>
          <w:rFonts w:ascii="Arial" w:hAnsi="Arial" w:cs="Arial"/>
        </w:rPr>
      </w:pPr>
      <w:r w:rsidRPr="008F512A">
        <w:rPr>
          <w:rStyle w:val="Refdenotaalpie"/>
          <w:rFonts w:eastAsia="Calibri" w:cs="Arial"/>
        </w:rPr>
        <w:footnoteRef/>
      </w:r>
      <w:r w:rsidRPr="008F512A">
        <w:rPr>
          <w:rFonts w:ascii="Arial" w:hAnsi="Arial" w:cs="Arial"/>
        </w:rPr>
        <w:t xml:space="preserve"> Dicho asunto fue aprobado por unanimidad de once votos de los señores </w:t>
      </w:r>
      <w:proofErr w:type="gramStart"/>
      <w:r w:rsidRPr="008F512A">
        <w:rPr>
          <w:rFonts w:ascii="Arial" w:hAnsi="Arial" w:cs="Arial"/>
        </w:rPr>
        <w:t>Ministros</w:t>
      </w:r>
      <w:proofErr w:type="gramEnd"/>
      <w:r w:rsidRPr="008F512A">
        <w:rPr>
          <w:rFonts w:ascii="Arial" w:hAnsi="Arial" w:cs="Arial"/>
        </w:rPr>
        <w:t xml:space="preserve"> Sergio Salvador Aguirre Anguiano, Mariano Azuela Güitrón, Juventino V. Castro y Castro, Juan Díaz Romero, José Vicente Aguinaco Alemán, José de Jesús Gudiño Pelayo, Guillermo I. Ortiz </w:t>
      </w:r>
      <w:proofErr w:type="spellStart"/>
      <w:r w:rsidRPr="008F512A">
        <w:rPr>
          <w:rFonts w:ascii="Arial" w:hAnsi="Arial" w:cs="Arial"/>
        </w:rPr>
        <w:t>Mayagoitia</w:t>
      </w:r>
      <w:proofErr w:type="spellEnd"/>
      <w:r w:rsidRPr="008F512A">
        <w:rPr>
          <w:rFonts w:ascii="Arial" w:hAnsi="Arial" w:cs="Arial"/>
        </w:rPr>
        <w:t xml:space="preserve">, Humberto Román Palacios, Olga María del Carmen Sánchez Cordero de García Villegas, Juan N. Silva Meza y Presidente Genaro David Góngora Pimentel. Fue ponente en este asunto el señor </w:t>
      </w:r>
      <w:proofErr w:type="gramStart"/>
      <w:r w:rsidRPr="008F512A">
        <w:rPr>
          <w:rFonts w:ascii="Arial" w:hAnsi="Arial" w:cs="Arial"/>
        </w:rPr>
        <w:t>Ministro</w:t>
      </w:r>
      <w:proofErr w:type="gramEnd"/>
      <w:r w:rsidRPr="008F512A">
        <w:rPr>
          <w:rFonts w:ascii="Arial" w:hAnsi="Arial" w:cs="Arial"/>
        </w:rPr>
        <w:t xml:space="preserve"> José Vicente Aguinaco Alemán. </w:t>
      </w:r>
    </w:p>
    <w:p w14:paraId="28B09B59" w14:textId="77777777" w:rsidR="00F96CFC" w:rsidRDefault="00F96CFC" w:rsidP="00F96CFC">
      <w:pPr>
        <w:pStyle w:val="Textonotapie"/>
        <w:rPr>
          <w:sz w:val="24"/>
          <w:szCs w:val="24"/>
        </w:rPr>
      </w:pPr>
    </w:p>
  </w:footnote>
  <w:footnote w:id="15">
    <w:p w14:paraId="1A447F79" w14:textId="77777777" w:rsidR="00F96CFC" w:rsidRPr="008F512A" w:rsidRDefault="00F96CFC" w:rsidP="00F96CFC">
      <w:pPr>
        <w:pStyle w:val="Textonotapie"/>
        <w:rPr>
          <w:rFonts w:cs="Arial"/>
        </w:rPr>
      </w:pPr>
      <w:r w:rsidRPr="008F512A">
        <w:rPr>
          <w:rStyle w:val="Refdenotaalpie"/>
          <w:rFonts w:eastAsia="Calibri" w:cs="Arial"/>
        </w:rPr>
        <w:footnoteRef/>
      </w:r>
      <w:r w:rsidRPr="008F512A">
        <w:rPr>
          <w:rFonts w:cs="Arial"/>
        </w:rPr>
        <w:t xml:space="preserve"> Consultable en el Semanario Judicial de la Federación y su Gaceta, Novena Época, Tomo XXIX, abril de 2009, página 730 y con número de registro 167420.</w:t>
      </w:r>
    </w:p>
  </w:footnote>
  <w:footnote w:id="16">
    <w:p w14:paraId="50DB0C23" w14:textId="36FF7770" w:rsidR="00F96CFC" w:rsidRPr="007B6965" w:rsidRDefault="00F96CFC" w:rsidP="00F96CFC">
      <w:pPr>
        <w:pStyle w:val="Textonotapie"/>
        <w:rPr>
          <w:rFonts w:cs="Arial"/>
        </w:rPr>
      </w:pPr>
      <w:r w:rsidRPr="007B6965">
        <w:rPr>
          <w:rStyle w:val="Refdenotaalpie"/>
          <w:rFonts w:cs="Arial"/>
        </w:rPr>
        <w:footnoteRef/>
      </w:r>
      <w:r w:rsidRPr="007B6965">
        <w:rPr>
          <w:rFonts w:cs="Arial"/>
        </w:rPr>
        <w:t xml:space="preserve"> Época: Décima Época, Registro: 2008370, Instancia: Primera Sala, Tipo de Tesis: Jurisprudencia, Fuente: Gaceta del Semanario Judicial de la Federación, L</w:t>
      </w:r>
      <w:r w:rsidR="008168E8">
        <w:rPr>
          <w:rFonts w:cs="Arial"/>
        </w:rPr>
        <w:t>ibro 15, f</w:t>
      </w:r>
      <w:r w:rsidRPr="007B6965">
        <w:rPr>
          <w:rFonts w:cs="Arial"/>
        </w:rPr>
        <w:t>ebrero de 2015, Tomo II, Materia(s): Común, Tesis: 1a./J. 1/2015 (10a.), Página: 1194.</w:t>
      </w:r>
    </w:p>
  </w:footnote>
  <w:footnote w:id="17">
    <w:p w14:paraId="774ACA20" w14:textId="6CDEFB88" w:rsidR="001D50E0" w:rsidRPr="006F5189" w:rsidRDefault="001D50E0" w:rsidP="001D50E0">
      <w:pPr>
        <w:jc w:val="both"/>
        <w:rPr>
          <w:rFonts w:ascii="Arial" w:hAnsi="Arial" w:cs="Arial"/>
        </w:rPr>
      </w:pPr>
      <w:r w:rsidRPr="006F5189">
        <w:rPr>
          <w:rStyle w:val="Refdenotaalpie"/>
          <w:rFonts w:cs="Arial"/>
        </w:rPr>
        <w:footnoteRef/>
      </w:r>
      <w:r w:rsidRPr="006F5189">
        <w:rPr>
          <w:rFonts w:ascii="Arial" w:hAnsi="Arial" w:cs="Arial"/>
        </w:rPr>
        <w:t xml:space="preserve"> Novena Época. Registro: 174011. Instancia: Primera Sala. Tipo de Tesis: Jurisprudencia. Fuente: Semanario Judicial de la Fede</w:t>
      </w:r>
      <w:r w:rsidR="008168E8">
        <w:rPr>
          <w:rFonts w:ascii="Arial" w:hAnsi="Arial" w:cs="Arial"/>
        </w:rPr>
        <w:t>ración y su Gaceta. Tomo XXIV, o</w:t>
      </w:r>
      <w:r w:rsidRPr="006F5189">
        <w:rPr>
          <w:rFonts w:ascii="Arial" w:hAnsi="Arial" w:cs="Arial"/>
        </w:rPr>
        <w:t>ctubre de 2006. Materia(s): Común. Tesis: 1a./J. 71/2006. Página: 266.</w:t>
      </w:r>
    </w:p>
    <w:p w14:paraId="0B393686" w14:textId="77777777" w:rsidR="001D50E0" w:rsidRPr="006E36A1" w:rsidRDefault="001D50E0" w:rsidP="001D50E0">
      <w:pPr>
        <w:jc w:val="both"/>
        <w:rPr>
          <w:b/>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AFFE" w14:textId="77777777" w:rsidR="00751B05" w:rsidRDefault="00751B05" w:rsidP="00F71AAA">
    <w:pPr>
      <w:pStyle w:val="Encabezado"/>
      <w:rPr>
        <w:rFonts w:ascii="Arial" w:hAnsi="Arial" w:cs="Arial"/>
        <w:b/>
        <w:sz w:val="24"/>
        <w:szCs w:val="24"/>
      </w:rPr>
    </w:pPr>
  </w:p>
  <w:p w14:paraId="653F8162" w14:textId="3739FF5D" w:rsidR="00751B05" w:rsidRPr="00D77431" w:rsidRDefault="00751B05" w:rsidP="00F71AAA">
    <w:pPr>
      <w:pStyle w:val="Encabezado"/>
      <w:rPr>
        <w:rFonts w:ascii="Arial" w:hAnsi="Arial" w:cs="Arial"/>
        <w:b/>
        <w:sz w:val="24"/>
        <w:szCs w:val="24"/>
      </w:rPr>
    </w:pPr>
    <w:r w:rsidRPr="00D77431">
      <w:rPr>
        <w:rFonts w:ascii="Arial" w:hAnsi="Arial" w:cs="Arial"/>
        <w:b/>
        <w:sz w:val="24"/>
        <w:szCs w:val="24"/>
      </w:rPr>
      <w:t xml:space="preserve">AMPARO DIRECTO EN REVISIÓN </w:t>
    </w:r>
    <w:r w:rsidR="000C10C3">
      <w:rPr>
        <w:rFonts w:ascii="Arial" w:hAnsi="Arial" w:cs="Arial"/>
        <w:b/>
        <w:sz w:val="24"/>
        <w:szCs w:val="24"/>
      </w:rPr>
      <w:t>1739</w:t>
    </w:r>
    <w:r>
      <w:rPr>
        <w:rFonts w:ascii="Arial" w:hAnsi="Arial" w:cs="Arial"/>
        <w:b/>
        <w:sz w:val="24"/>
        <w:szCs w:val="24"/>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30BA" w14:textId="77777777" w:rsidR="00751B05" w:rsidRDefault="00751B05" w:rsidP="004E5250">
    <w:pPr>
      <w:pStyle w:val="Encabezado"/>
      <w:rPr>
        <w:rFonts w:ascii="Arial" w:hAnsi="Arial" w:cs="Arial"/>
        <w:b/>
        <w:sz w:val="24"/>
        <w:szCs w:val="24"/>
      </w:rPr>
    </w:pPr>
  </w:p>
  <w:p w14:paraId="1B4D1624" w14:textId="0760A2CB" w:rsidR="00751B05" w:rsidRPr="00D77431" w:rsidRDefault="00751B05" w:rsidP="004E5250">
    <w:pPr>
      <w:pStyle w:val="Encabezado"/>
      <w:jc w:val="right"/>
      <w:rPr>
        <w:rFonts w:ascii="Arial" w:hAnsi="Arial" w:cs="Arial"/>
        <w:b/>
        <w:sz w:val="24"/>
        <w:szCs w:val="24"/>
      </w:rPr>
    </w:pPr>
    <w:r w:rsidRPr="00D77431">
      <w:rPr>
        <w:rFonts w:ascii="Arial" w:hAnsi="Arial" w:cs="Arial"/>
        <w:b/>
        <w:sz w:val="24"/>
        <w:szCs w:val="24"/>
      </w:rPr>
      <w:t xml:space="preserve">AMPARO DIRECTO EN REVISIÓN </w:t>
    </w:r>
    <w:r w:rsidR="000C10C3">
      <w:rPr>
        <w:rFonts w:ascii="Arial" w:hAnsi="Arial" w:cs="Arial"/>
        <w:b/>
        <w:sz w:val="24"/>
        <w:szCs w:val="24"/>
      </w:rPr>
      <w:t>1739</w:t>
    </w:r>
    <w:r>
      <w:rPr>
        <w:rFonts w:ascii="Arial" w:hAnsi="Arial" w:cs="Arial"/>
        <w:b/>
        <w:sz w:val="24"/>
        <w:szCs w:val="24"/>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46252"/>
    <w:multiLevelType w:val="hybridMultilevel"/>
    <w:tmpl w:val="6ABC05B6"/>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 w15:restartNumberingAfterBreak="0">
    <w:nsid w:val="28050E31"/>
    <w:multiLevelType w:val="hybridMultilevel"/>
    <w:tmpl w:val="A7E6C248"/>
    <w:lvl w:ilvl="0" w:tplc="C1C07C6A">
      <w:start w:val="1"/>
      <w:numFmt w:val="decimal"/>
      <w:lvlText w:val="%1."/>
      <w:lvlJc w:val="left"/>
      <w:pPr>
        <w:ind w:left="-502" w:firstLine="502"/>
      </w:pPr>
      <w:rPr>
        <w:rFonts w:hint="default"/>
        <w:b/>
        <w:i w:val="0"/>
        <w:sz w:val="20"/>
        <w:szCs w:val="20"/>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2" w15:restartNumberingAfterBreak="0">
    <w:nsid w:val="478A2E02"/>
    <w:multiLevelType w:val="hybridMultilevel"/>
    <w:tmpl w:val="78409CD4"/>
    <w:lvl w:ilvl="0" w:tplc="12F6EBA4">
      <w:start w:val="1"/>
      <w:numFmt w:val="decimal"/>
      <w:lvlText w:val="%1."/>
      <w:lvlJc w:val="left"/>
      <w:pPr>
        <w:ind w:left="720" w:hanging="360"/>
      </w:pPr>
      <w:rPr>
        <w:rFonts w:ascii="Arial" w:hAnsi="Arial" w:cs="Arial" w:hint="default"/>
        <w:b/>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3708C9"/>
    <w:multiLevelType w:val="multilevel"/>
    <w:tmpl w:val="7A64F322"/>
    <w:lvl w:ilvl="0">
      <w:start w:val="1"/>
      <w:numFmt w:val="decimal"/>
      <w:lvlText w:val="%1."/>
      <w:lvlJc w:val="left"/>
      <w:pPr>
        <w:ind w:left="720" w:hanging="360"/>
      </w:pPr>
      <w:rPr>
        <w:rFonts w:ascii="Arial" w:hAnsi="Arial" w:cs="Arial" w:hint="default"/>
        <w:b w:val="0"/>
        <w:i w:val="0"/>
        <w:color w:val="auto"/>
        <w:sz w:val="20"/>
        <w:szCs w:val="20"/>
      </w:rPr>
    </w:lvl>
    <w:lvl w:ilvl="1">
      <w:start w:val="1"/>
      <w:numFmt w:val="decimal"/>
      <w:isLgl/>
      <w:lvlText w:val="%1.%2."/>
      <w:lvlJc w:val="left"/>
      <w:pPr>
        <w:ind w:left="1080" w:hanging="720"/>
      </w:pPr>
      <w:rPr>
        <w:rFonts w:hint="default"/>
        <w:b w:val="0"/>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440" w:hanging="1080"/>
      </w:pPr>
      <w:rPr>
        <w:rFonts w:hint="default"/>
        <w:sz w:val="20"/>
        <w:szCs w:val="20"/>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abstractNum w:abstractNumId="4" w15:restartNumberingAfterBreak="0">
    <w:nsid w:val="5CD0635B"/>
    <w:multiLevelType w:val="multilevel"/>
    <w:tmpl w:val="B5CA9806"/>
    <w:lvl w:ilvl="0">
      <w:start w:val="53"/>
      <w:numFmt w:val="decimal"/>
      <w:lvlText w:val="%1"/>
      <w:lvlJc w:val="left"/>
      <w:pPr>
        <w:ind w:left="465" w:hanging="465"/>
      </w:pPr>
      <w:rPr>
        <w:rFonts w:hint="default"/>
        <w:i w:val="0"/>
      </w:rPr>
    </w:lvl>
    <w:lvl w:ilvl="1">
      <w:start w:val="1"/>
      <w:numFmt w:val="decimal"/>
      <w:lvlText w:val="%1.%2"/>
      <w:lvlJc w:val="left"/>
      <w:pPr>
        <w:ind w:left="1316" w:hanging="465"/>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633"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608" w:hanging="1800"/>
      </w:pPr>
      <w:rPr>
        <w:rFonts w:hint="default"/>
        <w:i w:val="0"/>
      </w:rPr>
    </w:lvl>
  </w:abstractNum>
  <w:abstractNum w:abstractNumId="5" w15:restartNumberingAfterBreak="0">
    <w:nsid w:val="642124F0"/>
    <w:multiLevelType w:val="hybridMultilevel"/>
    <w:tmpl w:val="F252E982"/>
    <w:lvl w:ilvl="0" w:tplc="9D7657CA">
      <w:start w:val="1"/>
      <w:numFmt w:val="decimal"/>
      <w:lvlText w:val="%1."/>
      <w:lvlJc w:val="left"/>
      <w:pPr>
        <w:ind w:left="2770" w:hanging="360"/>
      </w:pPr>
      <w:rPr>
        <w:rFonts w:ascii="Arial" w:hAnsi="Arial" w:cs="Arial" w:hint="default"/>
        <w:b w:val="0"/>
        <w:i w:val="0"/>
        <w:color w:val="auto"/>
        <w:sz w:val="24"/>
        <w:szCs w:val="24"/>
      </w:rPr>
    </w:lvl>
    <w:lvl w:ilvl="1" w:tplc="080A0019">
      <w:start w:val="1"/>
      <w:numFmt w:val="lowerLetter"/>
      <w:lvlText w:val="%2."/>
      <w:lvlJc w:val="left"/>
      <w:pPr>
        <w:ind w:left="3707" w:hanging="360"/>
      </w:pPr>
    </w:lvl>
    <w:lvl w:ilvl="2" w:tplc="080A001B" w:tentative="1">
      <w:start w:val="1"/>
      <w:numFmt w:val="lowerRoman"/>
      <w:lvlText w:val="%3."/>
      <w:lvlJc w:val="right"/>
      <w:pPr>
        <w:ind w:left="4427" w:hanging="180"/>
      </w:pPr>
    </w:lvl>
    <w:lvl w:ilvl="3" w:tplc="080A000F" w:tentative="1">
      <w:start w:val="1"/>
      <w:numFmt w:val="decimal"/>
      <w:lvlText w:val="%4."/>
      <w:lvlJc w:val="left"/>
      <w:pPr>
        <w:ind w:left="5147" w:hanging="360"/>
      </w:pPr>
    </w:lvl>
    <w:lvl w:ilvl="4" w:tplc="080A0019" w:tentative="1">
      <w:start w:val="1"/>
      <w:numFmt w:val="lowerLetter"/>
      <w:lvlText w:val="%5."/>
      <w:lvlJc w:val="left"/>
      <w:pPr>
        <w:ind w:left="5867" w:hanging="360"/>
      </w:pPr>
    </w:lvl>
    <w:lvl w:ilvl="5" w:tplc="080A001B" w:tentative="1">
      <w:start w:val="1"/>
      <w:numFmt w:val="lowerRoman"/>
      <w:lvlText w:val="%6."/>
      <w:lvlJc w:val="right"/>
      <w:pPr>
        <w:ind w:left="6587" w:hanging="180"/>
      </w:pPr>
    </w:lvl>
    <w:lvl w:ilvl="6" w:tplc="080A000F" w:tentative="1">
      <w:start w:val="1"/>
      <w:numFmt w:val="decimal"/>
      <w:lvlText w:val="%7."/>
      <w:lvlJc w:val="left"/>
      <w:pPr>
        <w:ind w:left="7307" w:hanging="360"/>
      </w:pPr>
    </w:lvl>
    <w:lvl w:ilvl="7" w:tplc="080A0019" w:tentative="1">
      <w:start w:val="1"/>
      <w:numFmt w:val="lowerLetter"/>
      <w:lvlText w:val="%8."/>
      <w:lvlJc w:val="left"/>
      <w:pPr>
        <w:ind w:left="8027" w:hanging="360"/>
      </w:pPr>
    </w:lvl>
    <w:lvl w:ilvl="8" w:tplc="080A001B" w:tentative="1">
      <w:start w:val="1"/>
      <w:numFmt w:val="lowerRoman"/>
      <w:lvlText w:val="%9."/>
      <w:lvlJc w:val="right"/>
      <w:pPr>
        <w:ind w:left="8747" w:hanging="180"/>
      </w:pPr>
    </w:lvl>
  </w:abstractNum>
  <w:abstractNum w:abstractNumId="6" w15:restartNumberingAfterBreak="0">
    <w:nsid w:val="76B141C8"/>
    <w:multiLevelType w:val="multilevel"/>
    <w:tmpl w:val="2BAA8F34"/>
    <w:lvl w:ilvl="0">
      <w:start w:val="28"/>
      <w:numFmt w:val="decimal"/>
      <w:lvlText w:val="%1"/>
      <w:lvlJc w:val="left"/>
      <w:pPr>
        <w:ind w:left="480" w:hanging="480"/>
      </w:pPr>
      <w:rPr>
        <w:rFonts w:hint="default"/>
      </w:rPr>
    </w:lvl>
    <w:lvl w:ilvl="1">
      <w:start w:val="1"/>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71B1C40"/>
    <w:multiLevelType w:val="hybridMultilevel"/>
    <w:tmpl w:val="5C56ED26"/>
    <w:lvl w:ilvl="0" w:tplc="D10C4FA8">
      <w:start w:val="1"/>
      <w:numFmt w:val="decimal"/>
      <w:lvlText w:val="%1."/>
      <w:lvlJc w:val="left"/>
      <w:pPr>
        <w:ind w:left="720" w:hanging="360"/>
      </w:pPr>
      <w:rPr>
        <w:rFonts w:eastAsia="Calibri"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4D0BC1"/>
    <w:multiLevelType w:val="multilevel"/>
    <w:tmpl w:val="926CA93A"/>
    <w:lvl w:ilvl="0">
      <w:start w:val="137"/>
      <w:numFmt w:val="decimal"/>
      <w:lvlText w:val="%1"/>
      <w:lvlJc w:val="left"/>
      <w:pPr>
        <w:ind w:left="600" w:hanging="600"/>
      </w:pPr>
      <w:rPr>
        <w:rFonts w:hint="default"/>
      </w:rPr>
    </w:lvl>
    <w:lvl w:ilvl="1">
      <w:start w:val="1"/>
      <w:numFmt w:val="decimal"/>
      <w:lvlText w:val="%1.%2"/>
      <w:lvlJc w:val="left"/>
      <w:pPr>
        <w:ind w:left="2160" w:hanging="600"/>
      </w:pPr>
      <w:rPr>
        <w:rFonts w:hint="default"/>
        <w:sz w:val="20"/>
        <w:szCs w:val="20"/>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num w:numId="1">
    <w:abstractNumId w:val="3"/>
  </w:num>
  <w:num w:numId="2">
    <w:abstractNumId w:val="0"/>
  </w:num>
  <w:num w:numId="3">
    <w:abstractNumId w:val="8"/>
  </w:num>
  <w:num w:numId="4">
    <w:abstractNumId w:val="2"/>
  </w:num>
  <w:num w:numId="5">
    <w:abstractNumId w:val="5"/>
  </w:num>
  <w:num w:numId="6">
    <w:abstractNumId w:val="6"/>
  </w:num>
  <w:num w:numId="7">
    <w:abstractNumId w:val="1"/>
  </w:num>
  <w:num w:numId="8">
    <w:abstractNumId w:val="4"/>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5B"/>
    <w:rsid w:val="00003662"/>
    <w:rsid w:val="000151C1"/>
    <w:rsid w:val="000173C7"/>
    <w:rsid w:val="00024AEF"/>
    <w:rsid w:val="00027E12"/>
    <w:rsid w:val="0003025A"/>
    <w:rsid w:val="000317AA"/>
    <w:rsid w:val="00031C2A"/>
    <w:rsid w:val="000332F5"/>
    <w:rsid w:val="000350EC"/>
    <w:rsid w:val="000445AB"/>
    <w:rsid w:val="000445D7"/>
    <w:rsid w:val="000454E8"/>
    <w:rsid w:val="00045BCE"/>
    <w:rsid w:val="0004737A"/>
    <w:rsid w:val="000473E0"/>
    <w:rsid w:val="00065474"/>
    <w:rsid w:val="00066584"/>
    <w:rsid w:val="000676E6"/>
    <w:rsid w:val="0006784B"/>
    <w:rsid w:val="00070A6C"/>
    <w:rsid w:val="000730A9"/>
    <w:rsid w:val="00074353"/>
    <w:rsid w:val="00075BEA"/>
    <w:rsid w:val="00077159"/>
    <w:rsid w:val="000866AD"/>
    <w:rsid w:val="00090885"/>
    <w:rsid w:val="000942A2"/>
    <w:rsid w:val="000944C7"/>
    <w:rsid w:val="000A3E02"/>
    <w:rsid w:val="000A6A7D"/>
    <w:rsid w:val="000B19F8"/>
    <w:rsid w:val="000B4CB5"/>
    <w:rsid w:val="000C0215"/>
    <w:rsid w:val="000C0E20"/>
    <w:rsid w:val="000C10C3"/>
    <w:rsid w:val="000C3734"/>
    <w:rsid w:val="000C4027"/>
    <w:rsid w:val="000C41BA"/>
    <w:rsid w:val="000C542E"/>
    <w:rsid w:val="000D0B78"/>
    <w:rsid w:val="000D4205"/>
    <w:rsid w:val="000D52ED"/>
    <w:rsid w:val="000D565D"/>
    <w:rsid w:val="000E1DF7"/>
    <w:rsid w:val="000E1EBC"/>
    <w:rsid w:val="000E21AE"/>
    <w:rsid w:val="001019DE"/>
    <w:rsid w:val="00103F93"/>
    <w:rsid w:val="001128E8"/>
    <w:rsid w:val="0012116A"/>
    <w:rsid w:val="0013537F"/>
    <w:rsid w:val="00135D64"/>
    <w:rsid w:val="00141740"/>
    <w:rsid w:val="00144210"/>
    <w:rsid w:val="00147867"/>
    <w:rsid w:val="00152297"/>
    <w:rsid w:val="0015307F"/>
    <w:rsid w:val="001540EC"/>
    <w:rsid w:val="001556C7"/>
    <w:rsid w:val="00162082"/>
    <w:rsid w:val="00162232"/>
    <w:rsid w:val="001623B0"/>
    <w:rsid w:val="00173D1D"/>
    <w:rsid w:val="00180458"/>
    <w:rsid w:val="0018134E"/>
    <w:rsid w:val="00182ED8"/>
    <w:rsid w:val="0018789F"/>
    <w:rsid w:val="001904B2"/>
    <w:rsid w:val="00192E72"/>
    <w:rsid w:val="001965C3"/>
    <w:rsid w:val="001A308A"/>
    <w:rsid w:val="001A40C4"/>
    <w:rsid w:val="001B184A"/>
    <w:rsid w:val="001B55E0"/>
    <w:rsid w:val="001B736F"/>
    <w:rsid w:val="001C2581"/>
    <w:rsid w:val="001C4FBD"/>
    <w:rsid w:val="001D50E0"/>
    <w:rsid w:val="001D5C6A"/>
    <w:rsid w:val="001E31B4"/>
    <w:rsid w:val="001E51BE"/>
    <w:rsid w:val="001E5A23"/>
    <w:rsid w:val="001E5CC3"/>
    <w:rsid w:val="001F11D9"/>
    <w:rsid w:val="001F28D8"/>
    <w:rsid w:val="0020047F"/>
    <w:rsid w:val="00200C49"/>
    <w:rsid w:val="002031FA"/>
    <w:rsid w:val="00204900"/>
    <w:rsid w:val="00205885"/>
    <w:rsid w:val="00206A07"/>
    <w:rsid w:val="0020747F"/>
    <w:rsid w:val="00214AF4"/>
    <w:rsid w:val="002161D9"/>
    <w:rsid w:val="00217C6E"/>
    <w:rsid w:val="00220AC8"/>
    <w:rsid w:val="00222BD5"/>
    <w:rsid w:val="0022754F"/>
    <w:rsid w:val="00231DEE"/>
    <w:rsid w:val="00233A84"/>
    <w:rsid w:val="00246413"/>
    <w:rsid w:val="00250A47"/>
    <w:rsid w:val="00256C61"/>
    <w:rsid w:val="00273110"/>
    <w:rsid w:val="00274D97"/>
    <w:rsid w:val="00274DBF"/>
    <w:rsid w:val="00280995"/>
    <w:rsid w:val="00292DE4"/>
    <w:rsid w:val="00293EFD"/>
    <w:rsid w:val="002964BE"/>
    <w:rsid w:val="002A1C77"/>
    <w:rsid w:val="002A2249"/>
    <w:rsid w:val="002A627E"/>
    <w:rsid w:val="002A69FD"/>
    <w:rsid w:val="002B0F57"/>
    <w:rsid w:val="002B2AFC"/>
    <w:rsid w:val="002B7C2D"/>
    <w:rsid w:val="002C16AA"/>
    <w:rsid w:val="002C2317"/>
    <w:rsid w:val="002C26D7"/>
    <w:rsid w:val="002D5E2E"/>
    <w:rsid w:val="002D6F4E"/>
    <w:rsid w:val="002E1463"/>
    <w:rsid w:val="002E157E"/>
    <w:rsid w:val="002E27C3"/>
    <w:rsid w:val="002E361A"/>
    <w:rsid w:val="002E4156"/>
    <w:rsid w:val="002F166D"/>
    <w:rsid w:val="002F277D"/>
    <w:rsid w:val="002F4FDA"/>
    <w:rsid w:val="002F5BCB"/>
    <w:rsid w:val="002F7949"/>
    <w:rsid w:val="00300A9F"/>
    <w:rsid w:val="00302354"/>
    <w:rsid w:val="00302C1A"/>
    <w:rsid w:val="003038C5"/>
    <w:rsid w:val="00303C62"/>
    <w:rsid w:val="003050F3"/>
    <w:rsid w:val="00306E9F"/>
    <w:rsid w:val="00311528"/>
    <w:rsid w:val="00312276"/>
    <w:rsid w:val="00314FBD"/>
    <w:rsid w:val="003219F3"/>
    <w:rsid w:val="00323FCA"/>
    <w:rsid w:val="00326CBC"/>
    <w:rsid w:val="00327A74"/>
    <w:rsid w:val="00340B1E"/>
    <w:rsid w:val="00341B8D"/>
    <w:rsid w:val="00341C4F"/>
    <w:rsid w:val="00342F75"/>
    <w:rsid w:val="00345CE2"/>
    <w:rsid w:val="00350648"/>
    <w:rsid w:val="00350CF9"/>
    <w:rsid w:val="003522EE"/>
    <w:rsid w:val="0035241B"/>
    <w:rsid w:val="003527C0"/>
    <w:rsid w:val="0035541B"/>
    <w:rsid w:val="003567E5"/>
    <w:rsid w:val="00360045"/>
    <w:rsid w:val="0036536B"/>
    <w:rsid w:val="00366383"/>
    <w:rsid w:val="003675AF"/>
    <w:rsid w:val="003709F3"/>
    <w:rsid w:val="003713DF"/>
    <w:rsid w:val="003718C8"/>
    <w:rsid w:val="0037624C"/>
    <w:rsid w:val="00377025"/>
    <w:rsid w:val="00377A57"/>
    <w:rsid w:val="00385009"/>
    <w:rsid w:val="0038614A"/>
    <w:rsid w:val="00392CE8"/>
    <w:rsid w:val="003A0C50"/>
    <w:rsid w:val="003A1791"/>
    <w:rsid w:val="003A6B24"/>
    <w:rsid w:val="003A793B"/>
    <w:rsid w:val="003B0C60"/>
    <w:rsid w:val="003B1CF7"/>
    <w:rsid w:val="003B4E15"/>
    <w:rsid w:val="003B59C3"/>
    <w:rsid w:val="003B6DD6"/>
    <w:rsid w:val="003C57EF"/>
    <w:rsid w:val="003C63A7"/>
    <w:rsid w:val="003C6A8D"/>
    <w:rsid w:val="003C6D02"/>
    <w:rsid w:val="003C724B"/>
    <w:rsid w:val="003D6050"/>
    <w:rsid w:val="003D7F77"/>
    <w:rsid w:val="003E3102"/>
    <w:rsid w:val="003E7B84"/>
    <w:rsid w:val="003F009B"/>
    <w:rsid w:val="003F03A7"/>
    <w:rsid w:val="003F0CB8"/>
    <w:rsid w:val="003F3E0F"/>
    <w:rsid w:val="003F5A9E"/>
    <w:rsid w:val="003F6165"/>
    <w:rsid w:val="00402C72"/>
    <w:rsid w:val="00406637"/>
    <w:rsid w:val="00407CDC"/>
    <w:rsid w:val="00407E9C"/>
    <w:rsid w:val="00407F97"/>
    <w:rsid w:val="004111F1"/>
    <w:rsid w:val="004119E1"/>
    <w:rsid w:val="00417042"/>
    <w:rsid w:val="0042389D"/>
    <w:rsid w:val="00423BC4"/>
    <w:rsid w:val="00426D17"/>
    <w:rsid w:val="00426EA3"/>
    <w:rsid w:val="004271A7"/>
    <w:rsid w:val="00433D5E"/>
    <w:rsid w:val="004346D3"/>
    <w:rsid w:val="004436F4"/>
    <w:rsid w:val="00445AFE"/>
    <w:rsid w:val="00446A7B"/>
    <w:rsid w:val="004503CE"/>
    <w:rsid w:val="0045385B"/>
    <w:rsid w:val="00465762"/>
    <w:rsid w:val="00467450"/>
    <w:rsid w:val="00470827"/>
    <w:rsid w:val="004739B9"/>
    <w:rsid w:val="00475126"/>
    <w:rsid w:val="0047640A"/>
    <w:rsid w:val="00476E9A"/>
    <w:rsid w:val="00477A63"/>
    <w:rsid w:val="004800D3"/>
    <w:rsid w:val="00480E97"/>
    <w:rsid w:val="004910D8"/>
    <w:rsid w:val="00491CFC"/>
    <w:rsid w:val="00492921"/>
    <w:rsid w:val="00497249"/>
    <w:rsid w:val="004A0B78"/>
    <w:rsid w:val="004A3642"/>
    <w:rsid w:val="004A4927"/>
    <w:rsid w:val="004A6B81"/>
    <w:rsid w:val="004B05D7"/>
    <w:rsid w:val="004B07D3"/>
    <w:rsid w:val="004B44A2"/>
    <w:rsid w:val="004C4484"/>
    <w:rsid w:val="004C5F15"/>
    <w:rsid w:val="004D3D76"/>
    <w:rsid w:val="004D750C"/>
    <w:rsid w:val="004D7C83"/>
    <w:rsid w:val="004E0FF1"/>
    <w:rsid w:val="004E288E"/>
    <w:rsid w:val="004E2907"/>
    <w:rsid w:val="004E4902"/>
    <w:rsid w:val="004E5250"/>
    <w:rsid w:val="004F0529"/>
    <w:rsid w:val="004F5A6A"/>
    <w:rsid w:val="004F7077"/>
    <w:rsid w:val="00500E21"/>
    <w:rsid w:val="00504274"/>
    <w:rsid w:val="00504EBA"/>
    <w:rsid w:val="00505F5D"/>
    <w:rsid w:val="00506C36"/>
    <w:rsid w:val="00515C35"/>
    <w:rsid w:val="00517F1E"/>
    <w:rsid w:val="005203A4"/>
    <w:rsid w:val="00520777"/>
    <w:rsid w:val="00520BA7"/>
    <w:rsid w:val="00520E49"/>
    <w:rsid w:val="0052275C"/>
    <w:rsid w:val="00526C3C"/>
    <w:rsid w:val="00527D4C"/>
    <w:rsid w:val="00530FA0"/>
    <w:rsid w:val="0053480F"/>
    <w:rsid w:val="00534CBA"/>
    <w:rsid w:val="00535B1D"/>
    <w:rsid w:val="00541F05"/>
    <w:rsid w:val="00542ADA"/>
    <w:rsid w:val="00543040"/>
    <w:rsid w:val="00545B8B"/>
    <w:rsid w:val="0055349A"/>
    <w:rsid w:val="005537E0"/>
    <w:rsid w:val="00561332"/>
    <w:rsid w:val="00567174"/>
    <w:rsid w:val="005677DA"/>
    <w:rsid w:val="00567DF5"/>
    <w:rsid w:val="00571404"/>
    <w:rsid w:val="00574434"/>
    <w:rsid w:val="00577510"/>
    <w:rsid w:val="005867C1"/>
    <w:rsid w:val="00587DB0"/>
    <w:rsid w:val="00591586"/>
    <w:rsid w:val="00594CCA"/>
    <w:rsid w:val="00594DE7"/>
    <w:rsid w:val="005969C1"/>
    <w:rsid w:val="0059722E"/>
    <w:rsid w:val="005B0B5E"/>
    <w:rsid w:val="005B1115"/>
    <w:rsid w:val="005B5697"/>
    <w:rsid w:val="005C02BB"/>
    <w:rsid w:val="005D37A6"/>
    <w:rsid w:val="005E0F3B"/>
    <w:rsid w:val="005E10EA"/>
    <w:rsid w:val="005E38BB"/>
    <w:rsid w:val="005E60B1"/>
    <w:rsid w:val="005F0EE6"/>
    <w:rsid w:val="005F14F9"/>
    <w:rsid w:val="005F4B41"/>
    <w:rsid w:val="005F508F"/>
    <w:rsid w:val="005F69BC"/>
    <w:rsid w:val="005F6F50"/>
    <w:rsid w:val="005F7602"/>
    <w:rsid w:val="00600BD9"/>
    <w:rsid w:val="0060281D"/>
    <w:rsid w:val="0060612D"/>
    <w:rsid w:val="0060703A"/>
    <w:rsid w:val="00611F84"/>
    <w:rsid w:val="00614518"/>
    <w:rsid w:val="006145ED"/>
    <w:rsid w:val="00617BDB"/>
    <w:rsid w:val="006210AE"/>
    <w:rsid w:val="006238DA"/>
    <w:rsid w:val="0062430C"/>
    <w:rsid w:val="00630C75"/>
    <w:rsid w:val="00631F99"/>
    <w:rsid w:val="0063459D"/>
    <w:rsid w:val="0063514E"/>
    <w:rsid w:val="00635E3B"/>
    <w:rsid w:val="0064018A"/>
    <w:rsid w:val="006443A8"/>
    <w:rsid w:val="00645AEA"/>
    <w:rsid w:val="0064643B"/>
    <w:rsid w:val="00647765"/>
    <w:rsid w:val="00647A2B"/>
    <w:rsid w:val="006619C1"/>
    <w:rsid w:val="0066432E"/>
    <w:rsid w:val="006643AA"/>
    <w:rsid w:val="006701F4"/>
    <w:rsid w:val="0067448A"/>
    <w:rsid w:val="00676A9F"/>
    <w:rsid w:val="00682C6D"/>
    <w:rsid w:val="00684114"/>
    <w:rsid w:val="00690668"/>
    <w:rsid w:val="0069248C"/>
    <w:rsid w:val="00693E61"/>
    <w:rsid w:val="006941AB"/>
    <w:rsid w:val="00694237"/>
    <w:rsid w:val="006A1320"/>
    <w:rsid w:val="006A4FA2"/>
    <w:rsid w:val="006B073C"/>
    <w:rsid w:val="006B17BC"/>
    <w:rsid w:val="006C00CC"/>
    <w:rsid w:val="006C4FEC"/>
    <w:rsid w:val="006C5C2B"/>
    <w:rsid w:val="006C6011"/>
    <w:rsid w:val="006D29B9"/>
    <w:rsid w:val="006D5D2D"/>
    <w:rsid w:val="006D7C50"/>
    <w:rsid w:val="006E0745"/>
    <w:rsid w:val="006E6069"/>
    <w:rsid w:val="006F1E76"/>
    <w:rsid w:val="006F35BB"/>
    <w:rsid w:val="00703640"/>
    <w:rsid w:val="00705DE3"/>
    <w:rsid w:val="007072BA"/>
    <w:rsid w:val="007073A3"/>
    <w:rsid w:val="0071108A"/>
    <w:rsid w:val="007134A8"/>
    <w:rsid w:val="00713DD2"/>
    <w:rsid w:val="00714815"/>
    <w:rsid w:val="0071712E"/>
    <w:rsid w:val="00727179"/>
    <w:rsid w:val="007302C5"/>
    <w:rsid w:val="00732AD0"/>
    <w:rsid w:val="00733F59"/>
    <w:rsid w:val="00734515"/>
    <w:rsid w:val="007349FE"/>
    <w:rsid w:val="00735B16"/>
    <w:rsid w:val="00735C41"/>
    <w:rsid w:val="00735E23"/>
    <w:rsid w:val="007426A9"/>
    <w:rsid w:val="00750138"/>
    <w:rsid w:val="00751B05"/>
    <w:rsid w:val="00754585"/>
    <w:rsid w:val="00760783"/>
    <w:rsid w:val="00767C32"/>
    <w:rsid w:val="00770999"/>
    <w:rsid w:val="007741E3"/>
    <w:rsid w:val="0078258C"/>
    <w:rsid w:val="0078504D"/>
    <w:rsid w:val="00785CBA"/>
    <w:rsid w:val="00786E93"/>
    <w:rsid w:val="00790A6C"/>
    <w:rsid w:val="007910D8"/>
    <w:rsid w:val="00792686"/>
    <w:rsid w:val="00792D64"/>
    <w:rsid w:val="0079407D"/>
    <w:rsid w:val="007A312F"/>
    <w:rsid w:val="007A4EB5"/>
    <w:rsid w:val="007A59A5"/>
    <w:rsid w:val="007A6495"/>
    <w:rsid w:val="007B1F6D"/>
    <w:rsid w:val="007B228B"/>
    <w:rsid w:val="007B7A57"/>
    <w:rsid w:val="007C4586"/>
    <w:rsid w:val="007D0869"/>
    <w:rsid w:val="007D094E"/>
    <w:rsid w:val="007D268B"/>
    <w:rsid w:val="007D2ADC"/>
    <w:rsid w:val="007D4F67"/>
    <w:rsid w:val="007D6625"/>
    <w:rsid w:val="007D748D"/>
    <w:rsid w:val="007D7B8B"/>
    <w:rsid w:val="007E29BF"/>
    <w:rsid w:val="007E7D0A"/>
    <w:rsid w:val="007F2405"/>
    <w:rsid w:val="007F4AEF"/>
    <w:rsid w:val="007F4C69"/>
    <w:rsid w:val="007F6741"/>
    <w:rsid w:val="007F6D9C"/>
    <w:rsid w:val="00802E6A"/>
    <w:rsid w:val="00806B47"/>
    <w:rsid w:val="008103B0"/>
    <w:rsid w:val="00812753"/>
    <w:rsid w:val="008168E8"/>
    <w:rsid w:val="00817450"/>
    <w:rsid w:val="00821373"/>
    <w:rsid w:val="00822C14"/>
    <w:rsid w:val="008245AB"/>
    <w:rsid w:val="00826978"/>
    <w:rsid w:val="0083361B"/>
    <w:rsid w:val="00834C9B"/>
    <w:rsid w:val="00836C97"/>
    <w:rsid w:val="008370C9"/>
    <w:rsid w:val="008470FE"/>
    <w:rsid w:val="00847339"/>
    <w:rsid w:val="00850C6F"/>
    <w:rsid w:val="00850CB4"/>
    <w:rsid w:val="00854902"/>
    <w:rsid w:val="0087007E"/>
    <w:rsid w:val="00872B7F"/>
    <w:rsid w:val="00873523"/>
    <w:rsid w:val="008735A3"/>
    <w:rsid w:val="00873F12"/>
    <w:rsid w:val="0087745D"/>
    <w:rsid w:val="008834E2"/>
    <w:rsid w:val="00890068"/>
    <w:rsid w:val="00891BED"/>
    <w:rsid w:val="00893F63"/>
    <w:rsid w:val="00895193"/>
    <w:rsid w:val="0089531C"/>
    <w:rsid w:val="00897206"/>
    <w:rsid w:val="008A0EA7"/>
    <w:rsid w:val="008A4187"/>
    <w:rsid w:val="008A43ED"/>
    <w:rsid w:val="008A5389"/>
    <w:rsid w:val="008B2394"/>
    <w:rsid w:val="008B5301"/>
    <w:rsid w:val="008B7E44"/>
    <w:rsid w:val="008C2A03"/>
    <w:rsid w:val="008C32A1"/>
    <w:rsid w:val="008C3588"/>
    <w:rsid w:val="008C35EA"/>
    <w:rsid w:val="008C7409"/>
    <w:rsid w:val="008D3E33"/>
    <w:rsid w:val="008D444B"/>
    <w:rsid w:val="008E0394"/>
    <w:rsid w:val="008E10A8"/>
    <w:rsid w:val="008E38EA"/>
    <w:rsid w:val="008F25EB"/>
    <w:rsid w:val="008F2934"/>
    <w:rsid w:val="008F4F3B"/>
    <w:rsid w:val="008F736F"/>
    <w:rsid w:val="00900F15"/>
    <w:rsid w:val="009033CD"/>
    <w:rsid w:val="00903AE6"/>
    <w:rsid w:val="0090501D"/>
    <w:rsid w:val="009114BF"/>
    <w:rsid w:val="00914453"/>
    <w:rsid w:val="0091455F"/>
    <w:rsid w:val="00914EAC"/>
    <w:rsid w:val="00931D45"/>
    <w:rsid w:val="009331F7"/>
    <w:rsid w:val="009348EB"/>
    <w:rsid w:val="00937410"/>
    <w:rsid w:val="00940777"/>
    <w:rsid w:val="00940D52"/>
    <w:rsid w:val="00952B4A"/>
    <w:rsid w:val="009573E0"/>
    <w:rsid w:val="00961B52"/>
    <w:rsid w:val="00963054"/>
    <w:rsid w:val="0096489D"/>
    <w:rsid w:val="00964E86"/>
    <w:rsid w:val="00974774"/>
    <w:rsid w:val="00976334"/>
    <w:rsid w:val="00983FB0"/>
    <w:rsid w:val="00986C5D"/>
    <w:rsid w:val="00990066"/>
    <w:rsid w:val="00990797"/>
    <w:rsid w:val="00993B26"/>
    <w:rsid w:val="009942D2"/>
    <w:rsid w:val="0099516F"/>
    <w:rsid w:val="009962DD"/>
    <w:rsid w:val="00997FAC"/>
    <w:rsid w:val="009A50AF"/>
    <w:rsid w:val="009B0871"/>
    <w:rsid w:val="009B175E"/>
    <w:rsid w:val="009B17AA"/>
    <w:rsid w:val="009B3D50"/>
    <w:rsid w:val="009C5D9E"/>
    <w:rsid w:val="009C79D6"/>
    <w:rsid w:val="009D19C1"/>
    <w:rsid w:val="009D249C"/>
    <w:rsid w:val="009E1B09"/>
    <w:rsid w:val="009E354D"/>
    <w:rsid w:val="009E427D"/>
    <w:rsid w:val="009E4471"/>
    <w:rsid w:val="009E475B"/>
    <w:rsid w:val="009E49DD"/>
    <w:rsid w:val="009E5757"/>
    <w:rsid w:val="009E6C8D"/>
    <w:rsid w:val="009F2521"/>
    <w:rsid w:val="009F51CB"/>
    <w:rsid w:val="009F79D5"/>
    <w:rsid w:val="00A07114"/>
    <w:rsid w:val="00A104DE"/>
    <w:rsid w:val="00A10BE5"/>
    <w:rsid w:val="00A120FD"/>
    <w:rsid w:val="00A12BAD"/>
    <w:rsid w:val="00A14FE4"/>
    <w:rsid w:val="00A16887"/>
    <w:rsid w:val="00A2321F"/>
    <w:rsid w:val="00A239A1"/>
    <w:rsid w:val="00A23A8B"/>
    <w:rsid w:val="00A30ECE"/>
    <w:rsid w:val="00A32057"/>
    <w:rsid w:val="00A40365"/>
    <w:rsid w:val="00A404BA"/>
    <w:rsid w:val="00A43ACB"/>
    <w:rsid w:val="00A43C98"/>
    <w:rsid w:val="00A440CD"/>
    <w:rsid w:val="00A4753D"/>
    <w:rsid w:val="00A4790A"/>
    <w:rsid w:val="00A50B04"/>
    <w:rsid w:val="00A516DF"/>
    <w:rsid w:val="00A5511D"/>
    <w:rsid w:val="00A57A8D"/>
    <w:rsid w:val="00A61FFA"/>
    <w:rsid w:val="00A64737"/>
    <w:rsid w:val="00A77A97"/>
    <w:rsid w:val="00A81781"/>
    <w:rsid w:val="00A82A69"/>
    <w:rsid w:val="00A82BC4"/>
    <w:rsid w:val="00A866C2"/>
    <w:rsid w:val="00A92E2B"/>
    <w:rsid w:val="00A93A74"/>
    <w:rsid w:val="00A962EC"/>
    <w:rsid w:val="00AA11E1"/>
    <w:rsid w:val="00AA39C6"/>
    <w:rsid w:val="00AA3AE9"/>
    <w:rsid w:val="00AA7707"/>
    <w:rsid w:val="00AA7956"/>
    <w:rsid w:val="00AA7C30"/>
    <w:rsid w:val="00AB1C22"/>
    <w:rsid w:val="00AB45DA"/>
    <w:rsid w:val="00AB5991"/>
    <w:rsid w:val="00AB5F63"/>
    <w:rsid w:val="00AB67C6"/>
    <w:rsid w:val="00AC0E82"/>
    <w:rsid w:val="00AC1013"/>
    <w:rsid w:val="00AC2962"/>
    <w:rsid w:val="00AC3BC9"/>
    <w:rsid w:val="00AC4100"/>
    <w:rsid w:val="00AC45AA"/>
    <w:rsid w:val="00AC5CC5"/>
    <w:rsid w:val="00AD0589"/>
    <w:rsid w:val="00AD0981"/>
    <w:rsid w:val="00AD5434"/>
    <w:rsid w:val="00AE05EE"/>
    <w:rsid w:val="00AF329F"/>
    <w:rsid w:val="00AF34B5"/>
    <w:rsid w:val="00B034EA"/>
    <w:rsid w:val="00B043A0"/>
    <w:rsid w:val="00B046AB"/>
    <w:rsid w:val="00B046CE"/>
    <w:rsid w:val="00B071E0"/>
    <w:rsid w:val="00B07DF1"/>
    <w:rsid w:val="00B1257B"/>
    <w:rsid w:val="00B14788"/>
    <w:rsid w:val="00B15EAF"/>
    <w:rsid w:val="00B16063"/>
    <w:rsid w:val="00B166C0"/>
    <w:rsid w:val="00B22F25"/>
    <w:rsid w:val="00B24D16"/>
    <w:rsid w:val="00B43AA7"/>
    <w:rsid w:val="00B465FF"/>
    <w:rsid w:val="00B46F50"/>
    <w:rsid w:val="00B52050"/>
    <w:rsid w:val="00B5209E"/>
    <w:rsid w:val="00B52759"/>
    <w:rsid w:val="00B650E0"/>
    <w:rsid w:val="00B66F2A"/>
    <w:rsid w:val="00B73FE1"/>
    <w:rsid w:val="00B752BE"/>
    <w:rsid w:val="00B77600"/>
    <w:rsid w:val="00B80AAD"/>
    <w:rsid w:val="00B80F95"/>
    <w:rsid w:val="00B823AD"/>
    <w:rsid w:val="00B82517"/>
    <w:rsid w:val="00B84790"/>
    <w:rsid w:val="00B86837"/>
    <w:rsid w:val="00B92513"/>
    <w:rsid w:val="00B92556"/>
    <w:rsid w:val="00B92937"/>
    <w:rsid w:val="00B96270"/>
    <w:rsid w:val="00BA1A8E"/>
    <w:rsid w:val="00BA2415"/>
    <w:rsid w:val="00BA499D"/>
    <w:rsid w:val="00BA4C39"/>
    <w:rsid w:val="00BA50FA"/>
    <w:rsid w:val="00BB37A3"/>
    <w:rsid w:val="00BB77D4"/>
    <w:rsid w:val="00BC33F2"/>
    <w:rsid w:val="00BC4206"/>
    <w:rsid w:val="00BC469C"/>
    <w:rsid w:val="00BC47A6"/>
    <w:rsid w:val="00BC4AF2"/>
    <w:rsid w:val="00BC5E1B"/>
    <w:rsid w:val="00BC7504"/>
    <w:rsid w:val="00BD1720"/>
    <w:rsid w:val="00BD6141"/>
    <w:rsid w:val="00BD7A58"/>
    <w:rsid w:val="00BE078D"/>
    <w:rsid w:val="00BF24DD"/>
    <w:rsid w:val="00BF2B0C"/>
    <w:rsid w:val="00BF4A51"/>
    <w:rsid w:val="00BF5BBD"/>
    <w:rsid w:val="00C031B7"/>
    <w:rsid w:val="00C20E92"/>
    <w:rsid w:val="00C214DB"/>
    <w:rsid w:val="00C25DBC"/>
    <w:rsid w:val="00C26C60"/>
    <w:rsid w:val="00C46F5E"/>
    <w:rsid w:val="00C50661"/>
    <w:rsid w:val="00C52DB9"/>
    <w:rsid w:val="00C6285E"/>
    <w:rsid w:val="00C65345"/>
    <w:rsid w:val="00C654FF"/>
    <w:rsid w:val="00C716B9"/>
    <w:rsid w:val="00C726C9"/>
    <w:rsid w:val="00C729CB"/>
    <w:rsid w:val="00C813EB"/>
    <w:rsid w:val="00C8170B"/>
    <w:rsid w:val="00C82486"/>
    <w:rsid w:val="00C84210"/>
    <w:rsid w:val="00C85A82"/>
    <w:rsid w:val="00C85B8B"/>
    <w:rsid w:val="00C9167E"/>
    <w:rsid w:val="00C93310"/>
    <w:rsid w:val="00CA1140"/>
    <w:rsid w:val="00CA716A"/>
    <w:rsid w:val="00CA71AE"/>
    <w:rsid w:val="00CB225C"/>
    <w:rsid w:val="00CC0379"/>
    <w:rsid w:val="00CC0789"/>
    <w:rsid w:val="00CC4524"/>
    <w:rsid w:val="00CC7DB3"/>
    <w:rsid w:val="00CD2A4E"/>
    <w:rsid w:val="00CD3E5B"/>
    <w:rsid w:val="00CE2537"/>
    <w:rsid w:val="00CE3BB0"/>
    <w:rsid w:val="00CE43FE"/>
    <w:rsid w:val="00CF45DF"/>
    <w:rsid w:val="00CF4A16"/>
    <w:rsid w:val="00CF5233"/>
    <w:rsid w:val="00CF5E3B"/>
    <w:rsid w:val="00CF6C5D"/>
    <w:rsid w:val="00D10682"/>
    <w:rsid w:val="00D106FD"/>
    <w:rsid w:val="00D13672"/>
    <w:rsid w:val="00D13FCC"/>
    <w:rsid w:val="00D17827"/>
    <w:rsid w:val="00D230FB"/>
    <w:rsid w:val="00D248A9"/>
    <w:rsid w:val="00D25D83"/>
    <w:rsid w:val="00D30F2C"/>
    <w:rsid w:val="00D32D25"/>
    <w:rsid w:val="00D40330"/>
    <w:rsid w:val="00D4283F"/>
    <w:rsid w:val="00D504CD"/>
    <w:rsid w:val="00D52B08"/>
    <w:rsid w:val="00D56DFF"/>
    <w:rsid w:val="00D616F8"/>
    <w:rsid w:val="00D63FFA"/>
    <w:rsid w:val="00D66A80"/>
    <w:rsid w:val="00D6714E"/>
    <w:rsid w:val="00D76D06"/>
    <w:rsid w:val="00D81F16"/>
    <w:rsid w:val="00D83C41"/>
    <w:rsid w:val="00D860C4"/>
    <w:rsid w:val="00D8632F"/>
    <w:rsid w:val="00D86C82"/>
    <w:rsid w:val="00D87BF9"/>
    <w:rsid w:val="00D90F9E"/>
    <w:rsid w:val="00D923EE"/>
    <w:rsid w:val="00D92684"/>
    <w:rsid w:val="00D949C2"/>
    <w:rsid w:val="00D97636"/>
    <w:rsid w:val="00DA1CD0"/>
    <w:rsid w:val="00DA2F5C"/>
    <w:rsid w:val="00DA3B13"/>
    <w:rsid w:val="00DA51E1"/>
    <w:rsid w:val="00DA55AB"/>
    <w:rsid w:val="00DA7999"/>
    <w:rsid w:val="00DB14F3"/>
    <w:rsid w:val="00DB5AFF"/>
    <w:rsid w:val="00DB711C"/>
    <w:rsid w:val="00DC0661"/>
    <w:rsid w:val="00DC70B1"/>
    <w:rsid w:val="00DD3BD8"/>
    <w:rsid w:val="00DE187B"/>
    <w:rsid w:val="00DE79E5"/>
    <w:rsid w:val="00DF002B"/>
    <w:rsid w:val="00DF0C58"/>
    <w:rsid w:val="00DF2890"/>
    <w:rsid w:val="00DF339D"/>
    <w:rsid w:val="00DF4017"/>
    <w:rsid w:val="00DF6B2E"/>
    <w:rsid w:val="00E025B4"/>
    <w:rsid w:val="00E0344D"/>
    <w:rsid w:val="00E10300"/>
    <w:rsid w:val="00E11210"/>
    <w:rsid w:val="00E14748"/>
    <w:rsid w:val="00E14DDD"/>
    <w:rsid w:val="00E20FEC"/>
    <w:rsid w:val="00E2371D"/>
    <w:rsid w:val="00E2618F"/>
    <w:rsid w:val="00E26C34"/>
    <w:rsid w:val="00E302AD"/>
    <w:rsid w:val="00E30FFE"/>
    <w:rsid w:val="00E3114F"/>
    <w:rsid w:val="00E33769"/>
    <w:rsid w:val="00E340E4"/>
    <w:rsid w:val="00E34319"/>
    <w:rsid w:val="00E40CE6"/>
    <w:rsid w:val="00E42159"/>
    <w:rsid w:val="00E55278"/>
    <w:rsid w:val="00E602A5"/>
    <w:rsid w:val="00E61616"/>
    <w:rsid w:val="00E61F0A"/>
    <w:rsid w:val="00E63A8B"/>
    <w:rsid w:val="00E73035"/>
    <w:rsid w:val="00E769D3"/>
    <w:rsid w:val="00E80BD9"/>
    <w:rsid w:val="00E829ED"/>
    <w:rsid w:val="00E85A3A"/>
    <w:rsid w:val="00E85BEC"/>
    <w:rsid w:val="00E86218"/>
    <w:rsid w:val="00E9169F"/>
    <w:rsid w:val="00E92C60"/>
    <w:rsid w:val="00E93BA4"/>
    <w:rsid w:val="00E95897"/>
    <w:rsid w:val="00EA0E03"/>
    <w:rsid w:val="00EA2D40"/>
    <w:rsid w:val="00EB01B7"/>
    <w:rsid w:val="00EB3DFB"/>
    <w:rsid w:val="00EC0ECB"/>
    <w:rsid w:val="00EC3A56"/>
    <w:rsid w:val="00EC6A7F"/>
    <w:rsid w:val="00ED221B"/>
    <w:rsid w:val="00ED3133"/>
    <w:rsid w:val="00ED5087"/>
    <w:rsid w:val="00EE013A"/>
    <w:rsid w:val="00EE1365"/>
    <w:rsid w:val="00EE2218"/>
    <w:rsid w:val="00EE3AA2"/>
    <w:rsid w:val="00EE592C"/>
    <w:rsid w:val="00EE5BB6"/>
    <w:rsid w:val="00EE7AA4"/>
    <w:rsid w:val="00EF35D7"/>
    <w:rsid w:val="00EF394B"/>
    <w:rsid w:val="00EF4822"/>
    <w:rsid w:val="00EF7699"/>
    <w:rsid w:val="00F05F5A"/>
    <w:rsid w:val="00F12289"/>
    <w:rsid w:val="00F1330A"/>
    <w:rsid w:val="00F23D79"/>
    <w:rsid w:val="00F27B32"/>
    <w:rsid w:val="00F27DBC"/>
    <w:rsid w:val="00F27F9F"/>
    <w:rsid w:val="00F31B50"/>
    <w:rsid w:val="00F34FB1"/>
    <w:rsid w:val="00F43E89"/>
    <w:rsid w:val="00F51E02"/>
    <w:rsid w:val="00F52099"/>
    <w:rsid w:val="00F524CF"/>
    <w:rsid w:val="00F538A8"/>
    <w:rsid w:val="00F610A5"/>
    <w:rsid w:val="00F63703"/>
    <w:rsid w:val="00F641F5"/>
    <w:rsid w:val="00F65009"/>
    <w:rsid w:val="00F66D2F"/>
    <w:rsid w:val="00F67F88"/>
    <w:rsid w:val="00F7113C"/>
    <w:rsid w:val="00F71AAA"/>
    <w:rsid w:val="00F74BF4"/>
    <w:rsid w:val="00F76742"/>
    <w:rsid w:val="00F85ABF"/>
    <w:rsid w:val="00F91921"/>
    <w:rsid w:val="00F965CB"/>
    <w:rsid w:val="00F96CFC"/>
    <w:rsid w:val="00FA1B9B"/>
    <w:rsid w:val="00FA1FA9"/>
    <w:rsid w:val="00FA289F"/>
    <w:rsid w:val="00FA509D"/>
    <w:rsid w:val="00FA76B2"/>
    <w:rsid w:val="00FB0165"/>
    <w:rsid w:val="00FC012C"/>
    <w:rsid w:val="00FC16B9"/>
    <w:rsid w:val="00FC51A4"/>
    <w:rsid w:val="00FC5631"/>
    <w:rsid w:val="00FC7D2E"/>
    <w:rsid w:val="00FD3010"/>
    <w:rsid w:val="00FD78EF"/>
    <w:rsid w:val="00FE08BD"/>
    <w:rsid w:val="00FE1572"/>
    <w:rsid w:val="00FE78AB"/>
    <w:rsid w:val="00FF09EC"/>
    <w:rsid w:val="00FF586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32BD"/>
  <w15:docId w15:val="{1D0D2BA3-DC85-4466-B03E-E90F52FD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75B"/>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9E475B"/>
    <w:pPr>
      <w:ind w:left="2552"/>
    </w:pPr>
    <w:rPr>
      <w:rFonts w:ascii="Arial" w:hAnsi="Arial"/>
      <w:b/>
      <w:caps/>
      <w:sz w:val="30"/>
      <w:lang w:val="es-ES_tradnl"/>
    </w:rPr>
  </w:style>
  <w:style w:type="paragraph" w:customStyle="1" w:styleId="corte2ponente">
    <w:name w:val="corte2 ponente"/>
    <w:basedOn w:val="Normal"/>
    <w:link w:val="corte2ponenteCar"/>
    <w:qFormat/>
    <w:rsid w:val="009E475B"/>
    <w:rPr>
      <w:rFonts w:ascii="Arial" w:hAnsi="Arial"/>
      <w:b/>
      <w:caps/>
      <w:sz w:val="30"/>
      <w:lang w:val="es-ES_tradnl"/>
    </w:rPr>
  </w:style>
  <w:style w:type="paragraph" w:customStyle="1" w:styleId="corte3centro">
    <w:name w:val="corte3 centro"/>
    <w:basedOn w:val="Normal"/>
    <w:link w:val="corte3centroCar"/>
    <w:qFormat/>
    <w:rsid w:val="009E475B"/>
    <w:pPr>
      <w:spacing w:line="360" w:lineRule="auto"/>
      <w:jc w:val="center"/>
    </w:pPr>
    <w:rPr>
      <w:rFonts w:ascii="Arial" w:hAnsi="Arial"/>
      <w:b/>
      <w:sz w:val="30"/>
      <w:lang w:val="es-ES_tradnl"/>
    </w:rPr>
  </w:style>
  <w:style w:type="paragraph" w:customStyle="1" w:styleId="corte4fondoCarCar">
    <w:name w:val="corte4 fondo Car Car"/>
    <w:basedOn w:val="Normal"/>
    <w:rsid w:val="009E475B"/>
    <w:pPr>
      <w:spacing w:line="360" w:lineRule="auto"/>
      <w:ind w:firstLine="709"/>
      <w:jc w:val="both"/>
    </w:pPr>
    <w:rPr>
      <w:rFonts w:ascii="Arial" w:hAnsi="Arial"/>
      <w:sz w:val="30"/>
      <w:lang w:val="es-ES_tradnl"/>
    </w:rPr>
  </w:style>
  <w:style w:type="character" w:customStyle="1" w:styleId="corte4fondoCar1CarCarCarCarCar">
    <w:name w:val="corte4 fondo Car1 Car Car Car Car Car"/>
    <w:basedOn w:val="Fuentedeprrafopredeter"/>
    <w:link w:val="corte4fondoCar1CarCarCarCar"/>
    <w:locked/>
    <w:rsid w:val="009E475B"/>
    <w:rPr>
      <w:rFonts w:ascii="Arial" w:hAnsi="Arial" w:cs="Arial"/>
      <w:sz w:val="30"/>
    </w:rPr>
  </w:style>
  <w:style w:type="paragraph" w:customStyle="1" w:styleId="corte4fondoCar1CarCarCarCar">
    <w:name w:val="corte4 fondo Car1 Car Car Car Car"/>
    <w:basedOn w:val="Normal"/>
    <w:link w:val="corte4fondoCar1CarCarCarCarCar"/>
    <w:rsid w:val="009E475B"/>
    <w:pPr>
      <w:spacing w:line="360" w:lineRule="auto"/>
      <w:ind w:firstLine="709"/>
      <w:jc w:val="both"/>
    </w:pPr>
    <w:rPr>
      <w:rFonts w:ascii="Arial" w:eastAsiaTheme="minorHAnsi" w:hAnsi="Arial" w:cs="Arial"/>
      <w:sz w:val="30"/>
      <w:szCs w:val="22"/>
      <w:lang w:eastAsia="en-US"/>
    </w:rPr>
  </w:style>
  <w:style w:type="character" w:customStyle="1" w:styleId="corte4fondoCar3">
    <w:name w:val="corte4 fondo Car3"/>
    <w:basedOn w:val="Fuentedeprrafopredeter"/>
    <w:link w:val="corte4fondo"/>
    <w:locked/>
    <w:rsid w:val="009E475B"/>
    <w:rPr>
      <w:rFonts w:ascii="Arial" w:hAnsi="Arial" w:cs="Arial"/>
      <w:sz w:val="30"/>
      <w:lang w:val="es-ES_tradnl"/>
    </w:rPr>
  </w:style>
  <w:style w:type="paragraph" w:customStyle="1" w:styleId="corte4fondo">
    <w:name w:val="corte4 fondo"/>
    <w:basedOn w:val="Normal"/>
    <w:link w:val="corte4fondoCar3"/>
    <w:qFormat/>
    <w:rsid w:val="009E475B"/>
    <w:pPr>
      <w:spacing w:line="360" w:lineRule="auto"/>
      <w:ind w:firstLine="709"/>
      <w:jc w:val="both"/>
    </w:pPr>
    <w:rPr>
      <w:rFonts w:ascii="Arial" w:eastAsiaTheme="minorHAnsi" w:hAnsi="Arial" w:cs="Arial"/>
      <w:sz w:val="30"/>
      <w:szCs w:val="22"/>
      <w:lang w:val="es-ES_tradnl" w:eastAsia="en-US"/>
    </w:rPr>
  </w:style>
  <w:style w:type="paragraph" w:customStyle="1" w:styleId="corte5transcripcion">
    <w:name w:val="corte5 transcripcion"/>
    <w:basedOn w:val="Normal"/>
    <w:link w:val="corte5transcripcionCar1"/>
    <w:qFormat/>
    <w:rsid w:val="009E475B"/>
    <w:pPr>
      <w:spacing w:line="360" w:lineRule="auto"/>
      <w:ind w:left="709" w:right="709"/>
      <w:jc w:val="both"/>
    </w:pPr>
    <w:rPr>
      <w:rFonts w:ascii="Arial" w:hAnsi="Arial"/>
      <w:b/>
      <w:i/>
      <w:sz w:val="30"/>
      <w:lang w:val="es-ES_tradnl"/>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Car3,C, Car, C"/>
    <w:basedOn w:val="Normal"/>
    <w:link w:val="TextonotapieCar"/>
    <w:uiPriority w:val="99"/>
    <w:qFormat/>
    <w:rsid w:val="009E475B"/>
    <w:pPr>
      <w:jc w:val="both"/>
    </w:pPr>
    <w:rPr>
      <w:rFonts w:ascii="Arial" w:hAnsi="Arial"/>
      <w:lang w:val="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9E475B"/>
    <w:rPr>
      <w:rFonts w:ascii="Arial" w:eastAsia="Times New Roman" w:hAnsi="Arial" w:cs="Times New Roman"/>
      <w:sz w:val="20"/>
      <w:szCs w:val="20"/>
      <w:lang w:val="es-ES_tradnl" w:eastAsia="es-MX"/>
    </w:rPr>
  </w:style>
  <w:style w:type="character" w:styleId="Refdenotaalpie">
    <w:name w:val="footnote reference"/>
    <w:aliases w:val="Ref. de nota al pie 2,Texto de nota al pie,Footnotes refss,Appel note de bas de page,Footnote number,referencia nota al pie,BVI fnr,f,4_G,16 Point,Superscript 6 Point,Texto nota al pie,Footnote Reference Char3,ftref,Stinking Styles"/>
    <w:basedOn w:val="Fuentedeprrafopredeter"/>
    <w:uiPriority w:val="99"/>
    <w:qFormat/>
    <w:rsid w:val="009E475B"/>
    <w:rPr>
      <w:rFonts w:ascii="Arial" w:hAnsi="Arial"/>
      <w:sz w:val="20"/>
      <w:vertAlign w:val="superscript"/>
    </w:rPr>
  </w:style>
  <w:style w:type="paragraph" w:styleId="Encabezado">
    <w:name w:val="header"/>
    <w:basedOn w:val="Normal"/>
    <w:link w:val="EncabezadoCar"/>
    <w:uiPriority w:val="99"/>
    <w:unhideWhenUsed/>
    <w:rsid w:val="009E475B"/>
    <w:pPr>
      <w:tabs>
        <w:tab w:val="center" w:pos="4419"/>
        <w:tab w:val="right" w:pos="8838"/>
      </w:tabs>
    </w:pPr>
  </w:style>
  <w:style w:type="character" w:customStyle="1" w:styleId="EncabezadoCar">
    <w:name w:val="Encabezado Car"/>
    <w:basedOn w:val="Fuentedeprrafopredeter"/>
    <w:link w:val="Encabezado"/>
    <w:uiPriority w:val="99"/>
    <w:rsid w:val="009E475B"/>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9E475B"/>
    <w:pPr>
      <w:tabs>
        <w:tab w:val="center" w:pos="4419"/>
        <w:tab w:val="right" w:pos="8838"/>
      </w:tabs>
    </w:pPr>
  </w:style>
  <w:style w:type="character" w:customStyle="1" w:styleId="PiedepginaCar">
    <w:name w:val="Pie de página Car"/>
    <w:basedOn w:val="Fuentedeprrafopredeter"/>
    <w:link w:val="Piedepgina"/>
    <w:uiPriority w:val="99"/>
    <w:rsid w:val="009E475B"/>
    <w:rPr>
      <w:rFonts w:ascii="Times New Roman" w:eastAsia="Times New Roman" w:hAnsi="Times New Roman" w:cs="Times New Roman"/>
      <w:sz w:val="20"/>
      <w:szCs w:val="20"/>
      <w:lang w:eastAsia="es-MX"/>
    </w:rPr>
  </w:style>
  <w:style w:type="character" w:customStyle="1" w:styleId="corte5transcripcionCar1">
    <w:name w:val="corte5 transcripcion Car1"/>
    <w:basedOn w:val="Fuentedeprrafopredeter"/>
    <w:link w:val="corte5transcripcion"/>
    <w:rsid w:val="009E475B"/>
    <w:rPr>
      <w:rFonts w:ascii="Arial" w:eastAsia="Times New Roman" w:hAnsi="Arial" w:cs="Times New Roman"/>
      <w:b/>
      <w:i/>
      <w:sz w:val="30"/>
      <w:szCs w:val="20"/>
      <w:lang w:val="es-ES_tradnl" w:eastAsia="es-MX"/>
    </w:rPr>
  </w:style>
  <w:style w:type="character" w:customStyle="1" w:styleId="corte4fondoCar1">
    <w:name w:val="corte4 fondo Car1"/>
    <w:basedOn w:val="Fuentedeprrafopredeter"/>
    <w:locked/>
    <w:rsid w:val="009E475B"/>
    <w:rPr>
      <w:rFonts w:ascii="Arial" w:hAnsi="Arial" w:cs="Arial"/>
      <w:sz w:val="30"/>
      <w:lang w:eastAsia="es-ES"/>
    </w:rPr>
  </w:style>
  <w:style w:type="paragraph" w:styleId="Prrafodelista">
    <w:name w:val="List Paragraph"/>
    <w:aliases w:val="TEXTO GENERAL SENTENCIAS,Cita texto,Footnote,Lista vistosa - Énfasis 11,Párrafo de lista1,Párrafo de lista2,List Paragraph,List Paragraph1,Colorful List - Accent 11,Lista multicolor - Énfasis 11,Cuadrícula clara - Énfasis 31"/>
    <w:basedOn w:val="Normal"/>
    <w:link w:val="PrrafodelistaCar"/>
    <w:uiPriority w:val="34"/>
    <w:qFormat/>
    <w:rsid w:val="009E475B"/>
    <w:pPr>
      <w:ind w:left="708"/>
    </w:pPr>
    <w:rPr>
      <w:lang w:val="es-ES_tradnl"/>
    </w:rPr>
  </w:style>
  <w:style w:type="character" w:customStyle="1" w:styleId="corte3centroCar">
    <w:name w:val="corte3 centro Car"/>
    <w:link w:val="corte3centro"/>
    <w:rsid w:val="009E475B"/>
    <w:rPr>
      <w:rFonts w:ascii="Arial" w:eastAsia="Times New Roman" w:hAnsi="Arial" w:cs="Times New Roman"/>
      <w:b/>
      <w:sz w:val="30"/>
      <w:szCs w:val="20"/>
      <w:lang w:val="es-ES_tradnl" w:eastAsia="es-MX"/>
    </w:rPr>
  </w:style>
  <w:style w:type="character" w:customStyle="1" w:styleId="PrrafodelistaCar">
    <w:name w:val="Párrafo de lista Car"/>
    <w:aliases w:val="TEXTO GENERAL SENTENCIAS Car,Cita texto Car,Footnote Car,Lista vistosa - Énfasis 11 Car,Párrafo de lista1 Car,Párrafo de lista2 Car,List Paragraph Car,List Paragraph1 Car,Colorful List - Accent 11 Car"/>
    <w:link w:val="Prrafodelista"/>
    <w:uiPriority w:val="34"/>
    <w:locked/>
    <w:rsid w:val="009E475B"/>
    <w:rPr>
      <w:rFonts w:ascii="Times New Roman" w:eastAsia="Times New Roman" w:hAnsi="Times New Roman" w:cs="Times New Roman"/>
      <w:sz w:val="20"/>
      <w:szCs w:val="20"/>
      <w:lang w:val="es-ES_tradnl" w:eastAsia="es-MX"/>
    </w:rPr>
  </w:style>
  <w:style w:type="paragraph" w:styleId="NormalWeb">
    <w:name w:val="Normal (Web)"/>
    <w:basedOn w:val="Normal"/>
    <w:uiPriority w:val="99"/>
    <w:semiHidden/>
    <w:unhideWhenUsed/>
    <w:rsid w:val="009E475B"/>
    <w:pPr>
      <w:spacing w:before="100" w:beforeAutospacing="1" w:after="100" w:afterAutospacing="1"/>
    </w:pPr>
    <w:rPr>
      <w:rFonts w:eastAsiaTheme="minorEastAsia"/>
      <w:sz w:val="24"/>
      <w:szCs w:val="24"/>
    </w:rPr>
  </w:style>
  <w:style w:type="paragraph" w:styleId="Sinespaciado">
    <w:name w:val="No Spacing"/>
    <w:aliases w:val="RESOLUTIVOS"/>
    <w:link w:val="SinespaciadoCar"/>
    <w:uiPriority w:val="1"/>
    <w:qFormat/>
    <w:rsid w:val="009E475B"/>
    <w:pPr>
      <w:spacing w:after="0" w:line="240" w:lineRule="auto"/>
    </w:pPr>
    <w:rPr>
      <w:rFonts w:ascii="Times New Roman" w:eastAsia="Times New Roman" w:hAnsi="Times New Roman" w:cs="Times New Roman"/>
      <w:sz w:val="24"/>
      <w:szCs w:val="24"/>
      <w:lang w:eastAsia="es-MX"/>
    </w:rPr>
  </w:style>
  <w:style w:type="character" w:customStyle="1" w:styleId="SinespaciadoCar">
    <w:name w:val="Sin espaciado Car"/>
    <w:aliases w:val="RESOLUTIVOS Car"/>
    <w:link w:val="Sinespaciado"/>
    <w:uiPriority w:val="1"/>
    <w:qFormat/>
    <w:locked/>
    <w:rsid w:val="009E475B"/>
    <w:rPr>
      <w:rFonts w:ascii="Times New Roman" w:eastAsia="Times New Roman" w:hAnsi="Times New Roman" w:cs="Times New Roman"/>
      <w:sz w:val="24"/>
      <w:szCs w:val="24"/>
      <w:lang w:eastAsia="es-MX"/>
    </w:rPr>
  </w:style>
  <w:style w:type="character" w:customStyle="1" w:styleId="corte4fondoCar">
    <w:name w:val="corte 4 fondo Car"/>
    <w:basedOn w:val="Fuentedeprrafopredeter"/>
    <w:link w:val="corte4fondo0"/>
    <w:locked/>
    <w:rsid w:val="009E475B"/>
    <w:rPr>
      <w:rFonts w:ascii="Arial" w:eastAsia="Calibri" w:hAnsi="Arial" w:cs="Arial"/>
      <w:sz w:val="30"/>
      <w:lang w:val="es-ES_tradnl"/>
    </w:rPr>
  </w:style>
  <w:style w:type="paragraph" w:customStyle="1" w:styleId="corte4fondo0">
    <w:name w:val="corte 4 fondo"/>
    <w:basedOn w:val="Normal"/>
    <w:link w:val="corte4fondoCar"/>
    <w:qFormat/>
    <w:rsid w:val="009E475B"/>
    <w:pPr>
      <w:spacing w:line="360" w:lineRule="auto"/>
      <w:ind w:firstLine="709"/>
      <w:jc w:val="both"/>
    </w:pPr>
    <w:rPr>
      <w:rFonts w:ascii="Arial" w:eastAsia="Calibri" w:hAnsi="Arial" w:cs="Arial"/>
      <w:sz w:val="30"/>
      <w:szCs w:val="22"/>
      <w:lang w:val="es-ES_tradnl" w:eastAsia="en-US"/>
    </w:rPr>
  </w:style>
  <w:style w:type="paragraph" w:styleId="Textodeglobo">
    <w:name w:val="Balloon Text"/>
    <w:basedOn w:val="Normal"/>
    <w:link w:val="TextodegloboCar"/>
    <w:uiPriority w:val="99"/>
    <w:semiHidden/>
    <w:unhideWhenUsed/>
    <w:rsid w:val="009E47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75B"/>
    <w:rPr>
      <w:rFonts w:ascii="Segoe UI" w:eastAsia="Times New Roman" w:hAnsi="Segoe UI" w:cs="Segoe UI"/>
      <w:sz w:val="18"/>
      <w:szCs w:val="18"/>
      <w:lang w:eastAsia="es-MX"/>
    </w:rPr>
  </w:style>
  <w:style w:type="character" w:customStyle="1" w:styleId="corte4fondoCar0">
    <w:name w:val="corte4 fondo Car"/>
    <w:basedOn w:val="Fuentedeprrafopredeter"/>
    <w:rsid w:val="00F51E02"/>
    <w:rPr>
      <w:rFonts w:ascii="Arial" w:hAnsi="Arial"/>
      <w:sz w:val="30"/>
      <w:lang w:eastAsia="es-ES"/>
    </w:rPr>
  </w:style>
  <w:style w:type="paragraph" w:customStyle="1" w:styleId="Estilo">
    <w:name w:val="Estilo"/>
    <w:basedOn w:val="Sinespaciado"/>
    <w:link w:val="EstiloCar"/>
    <w:qFormat/>
    <w:rsid w:val="00311528"/>
    <w:pPr>
      <w:jc w:val="both"/>
    </w:pPr>
    <w:rPr>
      <w:rFonts w:ascii="Arial" w:eastAsiaTheme="minorHAnsi" w:hAnsi="Arial" w:cstheme="minorBidi"/>
      <w:szCs w:val="22"/>
      <w:lang w:eastAsia="en-US"/>
    </w:rPr>
  </w:style>
  <w:style w:type="character" w:customStyle="1" w:styleId="EstiloCar">
    <w:name w:val="Estilo Car"/>
    <w:basedOn w:val="Fuentedeprrafopredeter"/>
    <w:link w:val="Estilo"/>
    <w:rsid w:val="00311528"/>
    <w:rPr>
      <w:rFonts w:ascii="Arial" w:hAnsi="Arial"/>
      <w:sz w:val="24"/>
    </w:rPr>
  </w:style>
  <w:style w:type="paragraph" w:customStyle="1" w:styleId="CarCar1">
    <w:name w:val="Car Car1"/>
    <w:basedOn w:val="Normal"/>
    <w:next w:val="Textonotapie"/>
    <w:unhideWhenUsed/>
    <w:qFormat/>
    <w:rsid w:val="009A50AF"/>
    <w:rPr>
      <w:rFonts w:asciiTheme="minorHAnsi" w:eastAsiaTheme="minorHAnsi" w:hAnsiTheme="minorHAnsi" w:cstheme="minorBidi"/>
      <w:lang w:eastAsia="en-US"/>
    </w:rPr>
  </w:style>
  <w:style w:type="character" w:customStyle="1" w:styleId="TextonotapieCar1">
    <w:name w:val="Texto nota pie Car1"/>
    <w:basedOn w:val="Fuentedeprrafopredeter"/>
    <w:uiPriority w:val="99"/>
    <w:semiHidden/>
    <w:rsid w:val="009A50AF"/>
    <w:rPr>
      <w:sz w:val="20"/>
      <w:szCs w:val="20"/>
    </w:rPr>
  </w:style>
  <w:style w:type="character" w:customStyle="1" w:styleId="red">
    <w:name w:val="red"/>
    <w:basedOn w:val="Fuentedeprrafopredeter"/>
    <w:rsid w:val="00360045"/>
  </w:style>
  <w:style w:type="character" w:customStyle="1" w:styleId="corte4fondoCar4">
    <w:name w:val="corte4 fondo Car4"/>
    <w:basedOn w:val="Fuentedeprrafopredeter"/>
    <w:rsid w:val="00360045"/>
    <w:rPr>
      <w:rFonts w:ascii="Arial" w:hAnsi="Arial"/>
      <w:sz w:val="30"/>
      <w:szCs w:val="24"/>
      <w:lang w:val="es-ES_tradnl" w:eastAsia="es-MX" w:bidi="ar-SA"/>
    </w:rPr>
  </w:style>
  <w:style w:type="character" w:styleId="Refdecomentario">
    <w:name w:val="annotation reference"/>
    <w:basedOn w:val="Fuentedeprrafopredeter"/>
    <w:uiPriority w:val="99"/>
    <w:semiHidden/>
    <w:unhideWhenUsed/>
    <w:rsid w:val="00360045"/>
    <w:rPr>
      <w:sz w:val="16"/>
      <w:szCs w:val="16"/>
    </w:rPr>
  </w:style>
  <w:style w:type="paragraph" w:styleId="Textocomentario">
    <w:name w:val="annotation text"/>
    <w:basedOn w:val="Normal"/>
    <w:link w:val="TextocomentarioCar"/>
    <w:uiPriority w:val="99"/>
    <w:semiHidden/>
    <w:unhideWhenUsed/>
    <w:rsid w:val="00360045"/>
    <w:pPr>
      <w:spacing w:after="16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semiHidden/>
    <w:rsid w:val="00360045"/>
    <w:rPr>
      <w:sz w:val="20"/>
      <w:szCs w:val="20"/>
    </w:rPr>
  </w:style>
  <w:style w:type="paragraph" w:styleId="Asuntodelcomentario">
    <w:name w:val="annotation subject"/>
    <w:basedOn w:val="Textocomentario"/>
    <w:next w:val="Textocomentario"/>
    <w:link w:val="AsuntodelcomentarioCar"/>
    <w:uiPriority w:val="99"/>
    <w:semiHidden/>
    <w:unhideWhenUsed/>
    <w:rsid w:val="00360045"/>
    <w:rPr>
      <w:b/>
      <w:bCs/>
    </w:rPr>
  </w:style>
  <w:style w:type="character" w:customStyle="1" w:styleId="AsuntodelcomentarioCar">
    <w:name w:val="Asunto del comentario Car"/>
    <w:basedOn w:val="TextocomentarioCar"/>
    <w:link w:val="Asuntodelcomentario"/>
    <w:uiPriority w:val="99"/>
    <w:semiHidden/>
    <w:rsid w:val="00360045"/>
    <w:rPr>
      <w:b/>
      <w:bCs/>
      <w:sz w:val="20"/>
      <w:szCs w:val="20"/>
    </w:rPr>
  </w:style>
  <w:style w:type="paragraph" w:customStyle="1" w:styleId="corte4fondoCarCarCarCarCar">
    <w:name w:val="corte4 fondo Car Car Car Car Car"/>
    <w:basedOn w:val="Normal"/>
    <w:link w:val="corte4fondoCarCarCarCarCarCar"/>
    <w:rsid w:val="00DF4017"/>
    <w:pPr>
      <w:spacing w:line="360" w:lineRule="auto"/>
      <w:ind w:firstLine="709"/>
      <w:jc w:val="both"/>
    </w:pPr>
    <w:rPr>
      <w:rFonts w:ascii="Arial" w:hAnsi="Arial"/>
      <w:sz w:val="30"/>
      <w:lang w:val="es-ES_tradnl"/>
    </w:rPr>
  </w:style>
  <w:style w:type="character" w:customStyle="1" w:styleId="corte4fondoCarCarCarCarCarCar">
    <w:name w:val="corte4 fondo Car Car Car Car Car Car"/>
    <w:basedOn w:val="Fuentedeprrafopredeter"/>
    <w:link w:val="corte4fondoCarCarCarCarCar"/>
    <w:rsid w:val="00DF4017"/>
    <w:rPr>
      <w:rFonts w:ascii="Arial" w:eastAsia="Times New Roman" w:hAnsi="Arial" w:cs="Times New Roman"/>
      <w:sz w:val="30"/>
      <w:szCs w:val="20"/>
      <w:lang w:val="es-ES_tradnl" w:eastAsia="es-MX"/>
    </w:rPr>
  </w:style>
  <w:style w:type="paragraph" w:customStyle="1" w:styleId="texto">
    <w:name w:val="texto"/>
    <w:basedOn w:val="Normal"/>
    <w:rsid w:val="00760783"/>
    <w:pPr>
      <w:spacing w:after="101" w:line="216" w:lineRule="atLeast"/>
      <w:ind w:firstLine="288"/>
      <w:jc w:val="both"/>
    </w:pPr>
    <w:rPr>
      <w:rFonts w:ascii="Arial" w:hAnsi="Arial"/>
      <w:sz w:val="18"/>
      <w:lang w:val="es-ES_tradnl" w:eastAsia="es-ES"/>
    </w:rPr>
  </w:style>
  <w:style w:type="paragraph" w:customStyle="1" w:styleId="Texto0">
    <w:name w:val="Texto"/>
    <w:basedOn w:val="Normal"/>
    <w:link w:val="TextoCar"/>
    <w:rsid w:val="00A23A8B"/>
    <w:pPr>
      <w:spacing w:after="101" w:line="216" w:lineRule="exact"/>
      <w:ind w:firstLine="288"/>
      <w:jc w:val="both"/>
    </w:pPr>
    <w:rPr>
      <w:rFonts w:ascii="Arial" w:hAnsi="Arial"/>
      <w:sz w:val="18"/>
      <w:szCs w:val="18"/>
      <w:lang w:val="es-ES" w:eastAsia="es-ES"/>
    </w:rPr>
  </w:style>
  <w:style w:type="character" w:customStyle="1" w:styleId="TextoCar">
    <w:name w:val="Texto Car"/>
    <w:link w:val="Texto0"/>
    <w:locked/>
    <w:rsid w:val="00A23A8B"/>
    <w:rPr>
      <w:rFonts w:ascii="Arial" w:eastAsia="Times New Roman" w:hAnsi="Arial" w:cs="Times New Roman"/>
      <w:sz w:val="18"/>
      <w:szCs w:val="18"/>
      <w:lang w:val="es-ES" w:eastAsia="es-ES"/>
    </w:rPr>
  </w:style>
  <w:style w:type="character" w:customStyle="1" w:styleId="lbl-encabezado-negro2">
    <w:name w:val="lbl-encabezado-negro2"/>
    <w:basedOn w:val="Fuentedeprrafopredeter"/>
    <w:rsid w:val="00DA3B13"/>
    <w:rPr>
      <w:color w:val="000000"/>
    </w:rPr>
  </w:style>
  <w:style w:type="character" w:customStyle="1" w:styleId="corte2ponenteCar">
    <w:name w:val="corte2 ponente Car"/>
    <w:link w:val="corte2ponente"/>
    <w:rsid w:val="00497249"/>
    <w:rPr>
      <w:rFonts w:ascii="Arial" w:eastAsia="Times New Roman" w:hAnsi="Arial" w:cs="Times New Roman"/>
      <w:b/>
      <w:caps/>
      <w:sz w:val="30"/>
      <w:szCs w:val="20"/>
      <w:lang w:val="es-ES_tradnl" w:eastAsia="es-MX"/>
    </w:rPr>
  </w:style>
  <w:style w:type="character" w:customStyle="1" w:styleId="corte1datosCar">
    <w:name w:val="corte1 datos Car"/>
    <w:link w:val="corte1datos"/>
    <w:rsid w:val="00DA55AB"/>
    <w:rPr>
      <w:rFonts w:ascii="Arial" w:eastAsia="Times New Roman" w:hAnsi="Arial" w:cs="Times New Roman"/>
      <w:b/>
      <w:caps/>
      <w:sz w:val="30"/>
      <w:szCs w:val="20"/>
      <w:lang w:val="es-ES_tradnl" w:eastAsia="es-MX"/>
    </w:rPr>
  </w:style>
  <w:style w:type="paragraph" w:customStyle="1" w:styleId="AlmaTranscrip">
    <w:name w:val="Alma Transcrip"/>
    <w:basedOn w:val="Normal"/>
    <w:qFormat/>
    <w:rsid w:val="00F96CFC"/>
    <w:pPr>
      <w:ind w:left="851" w:right="851"/>
      <w:jc w:val="both"/>
    </w:pPr>
    <w:rPr>
      <w:rFonts w:ascii="Arial" w:hAnsi="Arial" w:cs="Arial"/>
      <w:sz w:val="24"/>
      <w:szCs w:val="24"/>
    </w:rPr>
  </w:style>
  <w:style w:type="character" w:customStyle="1" w:styleId="corte5transcripcionCar">
    <w:name w:val="corte5 transcripcion Car"/>
    <w:locked/>
    <w:rsid w:val="00E33769"/>
    <w:rPr>
      <w:rFonts w:ascii="Arial" w:eastAsia="Calibri" w:hAnsi="Arial"/>
      <w:b/>
      <w:i/>
      <w:sz w:val="3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745">
      <w:bodyDiv w:val="1"/>
      <w:marLeft w:val="0"/>
      <w:marRight w:val="0"/>
      <w:marTop w:val="0"/>
      <w:marBottom w:val="0"/>
      <w:divBdr>
        <w:top w:val="none" w:sz="0" w:space="0" w:color="auto"/>
        <w:left w:val="none" w:sz="0" w:space="0" w:color="auto"/>
        <w:bottom w:val="none" w:sz="0" w:space="0" w:color="auto"/>
        <w:right w:val="none" w:sz="0" w:space="0" w:color="auto"/>
      </w:divBdr>
    </w:div>
    <w:div w:id="399527421">
      <w:bodyDiv w:val="1"/>
      <w:marLeft w:val="0"/>
      <w:marRight w:val="0"/>
      <w:marTop w:val="0"/>
      <w:marBottom w:val="0"/>
      <w:divBdr>
        <w:top w:val="none" w:sz="0" w:space="0" w:color="auto"/>
        <w:left w:val="none" w:sz="0" w:space="0" w:color="auto"/>
        <w:bottom w:val="none" w:sz="0" w:space="0" w:color="auto"/>
        <w:right w:val="none" w:sz="0" w:space="0" w:color="auto"/>
      </w:divBdr>
      <w:divsChild>
        <w:div w:id="1206068083">
          <w:marLeft w:val="0"/>
          <w:marRight w:val="0"/>
          <w:marTop w:val="0"/>
          <w:marBottom w:val="0"/>
          <w:divBdr>
            <w:top w:val="none" w:sz="0" w:space="0" w:color="auto"/>
            <w:left w:val="none" w:sz="0" w:space="0" w:color="auto"/>
            <w:bottom w:val="none" w:sz="0" w:space="0" w:color="auto"/>
            <w:right w:val="none" w:sz="0" w:space="0" w:color="auto"/>
          </w:divBdr>
          <w:divsChild>
            <w:div w:id="257105397">
              <w:marLeft w:val="0"/>
              <w:marRight w:val="0"/>
              <w:marTop w:val="0"/>
              <w:marBottom w:val="0"/>
              <w:divBdr>
                <w:top w:val="none" w:sz="0" w:space="0" w:color="auto"/>
                <w:left w:val="none" w:sz="0" w:space="0" w:color="auto"/>
                <w:bottom w:val="none" w:sz="0" w:space="0" w:color="auto"/>
                <w:right w:val="none" w:sz="0" w:space="0" w:color="auto"/>
              </w:divBdr>
              <w:divsChild>
                <w:div w:id="2030712035">
                  <w:marLeft w:val="0"/>
                  <w:marRight w:val="0"/>
                  <w:marTop w:val="0"/>
                  <w:marBottom w:val="0"/>
                  <w:divBdr>
                    <w:top w:val="single" w:sz="2" w:space="0" w:color="E2E2E2"/>
                    <w:left w:val="single" w:sz="2" w:space="15" w:color="E2E2E2"/>
                    <w:bottom w:val="single" w:sz="2" w:space="0" w:color="E2E2E2"/>
                    <w:right w:val="single" w:sz="2" w:space="15" w:color="E2E2E2"/>
                  </w:divBdr>
                  <w:divsChild>
                    <w:div w:id="100339699">
                      <w:marLeft w:val="0"/>
                      <w:marRight w:val="0"/>
                      <w:marTop w:val="0"/>
                      <w:marBottom w:val="0"/>
                      <w:divBdr>
                        <w:top w:val="none" w:sz="0" w:space="0" w:color="auto"/>
                        <w:left w:val="none" w:sz="0" w:space="0" w:color="auto"/>
                        <w:bottom w:val="none" w:sz="0" w:space="0" w:color="auto"/>
                        <w:right w:val="none" w:sz="0" w:space="0" w:color="auto"/>
                      </w:divBdr>
                      <w:divsChild>
                        <w:div w:id="970482378">
                          <w:marLeft w:val="0"/>
                          <w:marRight w:val="0"/>
                          <w:marTop w:val="0"/>
                          <w:marBottom w:val="0"/>
                          <w:divBdr>
                            <w:top w:val="none" w:sz="0" w:space="0" w:color="auto"/>
                            <w:left w:val="none" w:sz="0" w:space="0" w:color="auto"/>
                            <w:bottom w:val="none" w:sz="0" w:space="0" w:color="auto"/>
                            <w:right w:val="none" w:sz="0" w:space="0" w:color="auto"/>
                          </w:divBdr>
                          <w:divsChild>
                            <w:div w:id="1946302729">
                              <w:marLeft w:val="0"/>
                              <w:marRight w:val="0"/>
                              <w:marTop w:val="0"/>
                              <w:marBottom w:val="0"/>
                              <w:divBdr>
                                <w:top w:val="single" w:sz="6" w:space="0" w:color="DDDDDD"/>
                                <w:left w:val="single" w:sz="6" w:space="8" w:color="DDDDDD"/>
                                <w:bottom w:val="single" w:sz="6" w:space="8" w:color="DDDDDD"/>
                                <w:right w:val="single" w:sz="6" w:space="8" w:color="DDDDDD"/>
                              </w:divBdr>
                              <w:divsChild>
                                <w:div w:id="481122230">
                                  <w:marLeft w:val="0"/>
                                  <w:marRight w:val="0"/>
                                  <w:marTop w:val="0"/>
                                  <w:marBottom w:val="0"/>
                                  <w:divBdr>
                                    <w:top w:val="none" w:sz="0" w:space="0" w:color="auto"/>
                                    <w:left w:val="none" w:sz="0" w:space="0" w:color="auto"/>
                                    <w:bottom w:val="none" w:sz="0" w:space="0" w:color="auto"/>
                                    <w:right w:val="none" w:sz="0" w:space="0" w:color="auto"/>
                                  </w:divBdr>
                                  <w:divsChild>
                                    <w:div w:id="189030250">
                                      <w:marLeft w:val="0"/>
                                      <w:marRight w:val="0"/>
                                      <w:marTop w:val="0"/>
                                      <w:marBottom w:val="0"/>
                                      <w:divBdr>
                                        <w:top w:val="none" w:sz="0" w:space="0" w:color="auto"/>
                                        <w:left w:val="none" w:sz="0" w:space="0" w:color="auto"/>
                                        <w:bottom w:val="none" w:sz="0" w:space="0" w:color="auto"/>
                                        <w:right w:val="none" w:sz="0" w:space="0" w:color="auto"/>
                                      </w:divBdr>
                                      <w:divsChild>
                                        <w:div w:id="1092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432806">
      <w:bodyDiv w:val="1"/>
      <w:marLeft w:val="0"/>
      <w:marRight w:val="0"/>
      <w:marTop w:val="0"/>
      <w:marBottom w:val="0"/>
      <w:divBdr>
        <w:top w:val="none" w:sz="0" w:space="0" w:color="auto"/>
        <w:left w:val="none" w:sz="0" w:space="0" w:color="auto"/>
        <w:bottom w:val="none" w:sz="0" w:space="0" w:color="auto"/>
        <w:right w:val="none" w:sz="0" w:space="0" w:color="auto"/>
      </w:divBdr>
      <w:divsChild>
        <w:div w:id="1204246222">
          <w:marLeft w:val="0"/>
          <w:marRight w:val="0"/>
          <w:marTop w:val="240"/>
          <w:marBottom w:val="0"/>
          <w:divBdr>
            <w:top w:val="none" w:sz="0" w:space="0" w:color="auto"/>
            <w:left w:val="none" w:sz="0" w:space="0" w:color="auto"/>
            <w:bottom w:val="none" w:sz="0" w:space="0" w:color="auto"/>
            <w:right w:val="none" w:sz="0" w:space="0" w:color="auto"/>
          </w:divBdr>
          <w:divsChild>
            <w:div w:id="1750348055">
              <w:marLeft w:val="0"/>
              <w:marRight w:val="0"/>
              <w:marTop w:val="0"/>
              <w:marBottom w:val="0"/>
              <w:divBdr>
                <w:top w:val="none" w:sz="0" w:space="0" w:color="auto"/>
                <w:left w:val="none" w:sz="0" w:space="0" w:color="auto"/>
                <w:bottom w:val="none" w:sz="0" w:space="0" w:color="auto"/>
                <w:right w:val="none" w:sz="0" w:space="0" w:color="auto"/>
              </w:divBdr>
              <w:divsChild>
                <w:div w:id="314140642">
                  <w:marLeft w:val="0"/>
                  <w:marRight w:val="0"/>
                  <w:marTop w:val="0"/>
                  <w:marBottom w:val="0"/>
                  <w:divBdr>
                    <w:top w:val="none" w:sz="0" w:space="0" w:color="auto"/>
                    <w:left w:val="none" w:sz="0" w:space="0" w:color="auto"/>
                    <w:bottom w:val="none" w:sz="0" w:space="0" w:color="auto"/>
                    <w:right w:val="none" w:sz="0" w:space="0" w:color="auto"/>
                  </w:divBdr>
                  <w:divsChild>
                    <w:div w:id="176819519">
                      <w:marLeft w:val="1872"/>
                      <w:marRight w:val="0"/>
                      <w:marTop w:val="0"/>
                      <w:marBottom w:val="20"/>
                      <w:divBdr>
                        <w:top w:val="none" w:sz="0" w:space="0" w:color="auto"/>
                        <w:left w:val="none" w:sz="0" w:space="0" w:color="auto"/>
                        <w:bottom w:val="none" w:sz="0" w:space="0" w:color="auto"/>
                        <w:right w:val="none" w:sz="0" w:space="0" w:color="auto"/>
                      </w:divBdr>
                    </w:div>
                    <w:div w:id="241109740">
                      <w:marLeft w:val="1440"/>
                      <w:marRight w:val="0"/>
                      <w:marTop w:val="0"/>
                      <w:marBottom w:val="20"/>
                      <w:divBdr>
                        <w:top w:val="none" w:sz="0" w:space="0" w:color="auto"/>
                        <w:left w:val="none" w:sz="0" w:space="0" w:color="auto"/>
                        <w:bottom w:val="none" w:sz="0" w:space="0" w:color="auto"/>
                        <w:right w:val="none" w:sz="0" w:space="0" w:color="auto"/>
                      </w:divBdr>
                    </w:div>
                    <w:div w:id="992373700">
                      <w:marLeft w:val="1872"/>
                      <w:marRight w:val="0"/>
                      <w:marTop w:val="0"/>
                      <w:marBottom w:val="20"/>
                      <w:divBdr>
                        <w:top w:val="none" w:sz="0" w:space="0" w:color="auto"/>
                        <w:left w:val="none" w:sz="0" w:space="0" w:color="auto"/>
                        <w:bottom w:val="none" w:sz="0" w:space="0" w:color="auto"/>
                        <w:right w:val="none" w:sz="0" w:space="0" w:color="auto"/>
                      </w:divBdr>
                    </w:div>
                    <w:div w:id="1154685364">
                      <w:marLeft w:val="1872"/>
                      <w:marRight w:val="0"/>
                      <w:marTop w:val="0"/>
                      <w:marBottom w:val="20"/>
                      <w:divBdr>
                        <w:top w:val="none" w:sz="0" w:space="0" w:color="auto"/>
                        <w:left w:val="none" w:sz="0" w:space="0" w:color="auto"/>
                        <w:bottom w:val="none" w:sz="0" w:space="0" w:color="auto"/>
                        <w:right w:val="none" w:sz="0" w:space="0" w:color="auto"/>
                      </w:divBdr>
                    </w:div>
                    <w:div w:id="1776553702">
                      <w:marLeft w:val="1440"/>
                      <w:marRight w:val="0"/>
                      <w:marTop w:val="0"/>
                      <w:marBottom w:val="20"/>
                      <w:divBdr>
                        <w:top w:val="none" w:sz="0" w:space="0" w:color="auto"/>
                        <w:left w:val="none" w:sz="0" w:space="0" w:color="auto"/>
                        <w:bottom w:val="none" w:sz="0" w:space="0" w:color="auto"/>
                        <w:right w:val="none" w:sz="0" w:space="0" w:color="auto"/>
                      </w:divBdr>
                    </w:div>
                    <w:div w:id="2013218579">
                      <w:marLeft w:val="1872"/>
                      <w:marRight w:val="0"/>
                      <w:marTop w:val="0"/>
                      <w:marBottom w:val="20"/>
                      <w:divBdr>
                        <w:top w:val="none" w:sz="0" w:space="0" w:color="auto"/>
                        <w:left w:val="none" w:sz="0" w:space="0" w:color="auto"/>
                        <w:bottom w:val="none" w:sz="0" w:space="0" w:color="auto"/>
                        <w:right w:val="none" w:sz="0" w:space="0" w:color="auto"/>
                      </w:divBdr>
                    </w:div>
                  </w:divsChild>
                </w:div>
              </w:divsChild>
            </w:div>
          </w:divsChild>
        </w:div>
      </w:divsChild>
    </w:div>
    <w:div w:id="779299315">
      <w:bodyDiv w:val="1"/>
      <w:marLeft w:val="0"/>
      <w:marRight w:val="0"/>
      <w:marTop w:val="0"/>
      <w:marBottom w:val="0"/>
      <w:divBdr>
        <w:top w:val="none" w:sz="0" w:space="0" w:color="auto"/>
        <w:left w:val="none" w:sz="0" w:space="0" w:color="auto"/>
        <w:bottom w:val="none" w:sz="0" w:space="0" w:color="auto"/>
        <w:right w:val="none" w:sz="0" w:space="0" w:color="auto"/>
      </w:divBdr>
      <w:divsChild>
        <w:div w:id="1191718956">
          <w:marLeft w:val="0"/>
          <w:marRight w:val="0"/>
          <w:marTop w:val="0"/>
          <w:marBottom w:val="0"/>
          <w:divBdr>
            <w:top w:val="none" w:sz="0" w:space="0" w:color="auto"/>
            <w:left w:val="none" w:sz="0" w:space="0" w:color="auto"/>
            <w:bottom w:val="none" w:sz="0" w:space="0" w:color="auto"/>
            <w:right w:val="none" w:sz="0" w:space="0" w:color="auto"/>
          </w:divBdr>
          <w:divsChild>
            <w:div w:id="129326752">
              <w:marLeft w:val="0"/>
              <w:marRight w:val="0"/>
              <w:marTop w:val="0"/>
              <w:marBottom w:val="0"/>
              <w:divBdr>
                <w:top w:val="none" w:sz="0" w:space="0" w:color="auto"/>
                <w:left w:val="none" w:sz="0" w:space="0" w:color="auto"/>
                <w:bottom w:val="none" w:sz="0" w:space="0" w:color="auto"/>
                <w:right w:val="none" w:sz="0" w:space="0" w:color="auto"/>
              </w:divBdr>
              <w:divsChild>
                <w:div w:id="6905763">
                  <w:marLeft w:val="0"/>
                  <w:marRight w:val="0"/>
                  <w:marTop w:val="0"/>
                  <w:marBottom w:val="0"/>
                  <w:divBdr>
                    <w:top w:val="single" w:sz="2" w:space="0" w:color="E2E2E2"/>
                    <w:left w:val="single" w:sz="2" w:space="15" w:color="E2E2E2"/>
                    <w:bottom w:val="single" w:sz="2" w:space="0" w:color="E2E2E2"/>
                    <w:right w:val="single" w:sz="2" w:space="15" w:color="E2E2E2"/>
                  </w:divBdr>
                  <w:divsChild>
                    <w:div w:id="504057468">
                      <w:marLeft w:val="0"/>
                      <w:marRight w:val="0"/>
                      <w:marTop w:val="0"/>
                      <w:marBottom w:val="0"/>
                      <w:divBdr>
                        <w:top w:val="none" w:sz="0" w:space="0" w:color="auto"/>
                        <w:left w:val="none" w:sz="0" w:space="0" w:color="auto"/>
                        <w:bottom w:val="none" w:sz="0" w:space="0" w:color="auto"/>
                        <w:right w:val="none" w:sz="0" w:space="0" w:color="auto"/>
                      </w:divBdr>
                      <w:divsChild>
                        <w:div w:id="1451510757">
                          <w:marLeft w:val="0"/>
                          <w:marRight w:val="0"/>
                          <w:marTop w:val="0"/>
                          <w:marBottom w:val="0"/>
                          <w:divBdr>
                            <w:top w:val="none" w:sz="0" w:space="0" w:color="auto"/>
                            <w:left w:val="none" w:sz="0" w:space="0" w:color="auto"/>
                            <w:bottom w:val="none" w:sz="0" w:space="0" w:color="auto"/>
                            <w:right w:val="none" w:sz="0" w:space="0" w:color="auto"/>
                          </w:divBdr>
                          <w:divsChild>
                            <w:div w:id="333841564">
                              <w:marLeft w:val="0"/>
                              <w:marRight w:val="0"/>
                              <w:marTop w:val="0"/>
                              <w:marBottom w:val="0"/>
                              <w:divBdr>
                                <w:top w:val="single" w:sz="6" w:space="0" w:color="DDDDDD"/>
                                <w:left w:val="single" w:sz="6" w:space="8" w:color="DDDDDD"/>
                                <w:bottom w:val="single" w:sz="6" w:space="8" w:color="DDDDDD"/>
                                <w:right w:val="single" w:sz="6" w:space="8" w:color="DDDDDD"/>
                              </w:divBdr>
                              <w:divsChild>
                                <w:div w:id="1147043402">
                                  <w:marLeft w:val="0"/>
                                  <w:marRight w:val="0"/>
                                  <w:marTop w:val="0"/>
                                  <w:marBottom w:val="0"/>
                                  <w:divBdr>
                                    <w:top w:val="none" w:sz="0" w:space="0" w:color="auto"/>
                                    <w:left w:val="none" w:sz="0" w:space="0" w:color="auto"/>
                                    <w:bottom w:val="none" w:sz="0" w:space="0" w:color="auto"/>
                                    <w:right w:val="none" w:sz="0" w:space="0" w:color="auto"/>
                                  </w:divBdr>
                                  <w:divsChild>
                                    <w:div w:id="752775077">
                                      <w:marLeft w:val="0"/>
                                      <w:marRight w:val="0"/>
                                      <w:marTop w:val="0"/>
                                      <w:marBottom w:val="0"/>
                                      <w:divBdr>
                                        <w:top w:val="none" w:sz="0" w:space="0" w:color="auto"/>
                                        <w:left w:val="none" w:sz="0" w:space="0" w:color="auto"/>
                                        <w:bottom w:val="none" w:sz="0" w:space="0" w:color="auto"/>
                                        <w:right w:val="none" w:sz="0" w:space="0" w:color="auto"/>
                                      </w:divBdr>
                                      <w:divsChild>
                                        <w:div w:id="15875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07FB1-47CC-49DA-A66A-4E5E85C9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7761</Words>
  <Characters>42687</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CRISTINA RANGEL LEON</dc:creator>
  <cp:keywords/>
  <dc:description/>
  <cp:lastModifiedBy>Jorge Eduardo Perez Torres</cp:lastModifiedBy>
  <cp:revision>2</cp:revision>
  <cp:lastPrinted>2020-02-12T20:31:00Z</cp:lastPrinted>
  <dcterms:created xsi:type="dcterms:W3CDTF">2021-11-20T01:22:00Z</dcterms:created>
  <dcterms:modified xsi:type="dcterms:W3CDTF">2021-11-20T01:22:00Z</dcterms:modified>
</cp:coreProperties>
</file>