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9575" w14:textId="77777777" w:rsidR="00724D17" w:rsidRPr="00096445" w:rsidRDefault="00724D17" w:rsidP="00BB6FC8">
      <w:pPr>
        <w:shd w:val="clear" w:color="auto" w:fill="668CD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096445">
        <w:rPr>
          <w:rFonts w:ascii="Times New Roman" w:hAnsi="Times New Roman" w:cs="Times New Roman"/>
          <w:b/>
          <w:bCs/>
          <w:sz w:val="28"/>
          <w:szCs w:val="28"/>
          <w:lang w:val="es-419"/>
        </w:rPr>
        <w:t>RESEÑAS DE LA PRIMERA SALA</w:t>
      </w:r>
    </w:p>
    <w:p w14:paraId="65D57779" w14:textId="77777777" w:rsidR="00BB6FC8" w:rsidRPr="00BB6FC8" w:rsidRDefault="00BB6FC8" w:rsidP="00BB6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68F275F0" w14:textId="77777777" w:rsidR="00BB6FC8" w:rsidRPr="00BB6FC8" w:rsidRDefault="00BB6FC8" w:rsidP="00BB6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281F8D63" w14:textId="38A367FB" w:rsidR="00724D17" w:rsidRDefault="00724D17" w:rsidP="00BB6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  <w:r w:rsidRPr="00096445">
        <w:rPr>
          <w:rFonts w:ascii="Times New Roman" w:hAnsi="Times New Roman" w:cs="Times New Roman"/>
          <w:b/>
          <w:sz w:val="26"/>
          <w:szCs w:val="26"/>
          <w:lang w:val="es-419"/>
        </w:rPr>
        <w:t>AMPARO DIRECTO 6/2018</w:t>
      </w:r>
    </w:p>
    <w:p w14:paraId="6FD8E252" w14:textId="77777777" w:rsidR="00BB6FC8" w:rsidRPr="00096445" w:rsidRDefault="00BB6FC8" w:rsidP="00BB6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2C35CF83" w14:textId="3B7FA186" w:rsidR="00096445" w:rsidRPr="0023400E" w:rsidRDefault="00096445" w:rsidP="00BB6FC8">
      <w:pPr>
        <w:shd w:val="clear" w:color="auto" w:fill="DBDBDB" w:themeFill="accent3" w:themeFillTint="66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s-419"/>
        </w:rPr>
      </w:pPr>
      <w:r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Reconocimiento de la jurisdicción especial indígena como parte de nuestro sistema jurídico.</w:t>
      </w:r>
    </w:p>
    <w:p w14:paraId="6FED0929" w14:textId="77777777" w:rsidR="00096445" w:rsidRDefault="00096445" w:rsidP="00BB6FC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</w:p>
    <w:p w14:paraId="738557E3" w14:textId="231F4085" w:rsidR="00096445" w:rsidRPr="0023400E" w:rsidRDefault="00096445" w:rsidP="00BB6FC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  <w:t>Ponente: Ministro Juan Luis González Alcántara Carrancá</w:t>
      </w:r>
      <w:r w:rsidRPr="00450267">
        <w:rPr>
          <w:rFonts w:ascii="Times New Roman" w:hAnsi="Times New Roman" w:cs="Times New Roman"/>
          <w:smallCaps/>
          <w:sz w:val="24"/>
          <w:szCs w:val="24"/>
          <w:lang w:val="es-419"/>
        </w:rPr>
        <w:t>.</w:t>
      </w:r>
    </w:p>
    <w:p w14:paraId="5D89922E" w14:textId="7E02EA74" w:rsidR="00096445" w:rsidRPr="0023400E" w:rsidRDefault="00096445" w:rsidP="00096445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Secretari</w:t>
      </w:r>
      <w:r w:rsidR="00BC45F0">
        <w:rPr>
          <w:rFonts w:ascii="Times New Roman" w:hAnsi="Times New Roman" w:cs="Times New Roman"/>
          <w:smallCaps/>
          <w:sz w:val="24"/>
          <w:szCs w:val="24"/>
          <w:lang w:val="es-419"/>
        </w:rPr>
        <w:t>a (</w:t>
      </w: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o</w:t>
      </w:r>
      <w:r w:rsidR="00BC45F0">
        <w:rPr>
          <w:rFonts w:ascii="Times New Roman" w:hAnsi="Times New Roman" w:cs="Times New Roman"/>
          <w:smallCaps/>
          <w:sz w:val="24"/>
          <w:szCs w:val="24"/>
          <w:lang w:val="es-419"/>
        </w:rPr>
        <w:t>)</w:t>
      </w: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 xml:space="preserve">: </w:t>
      </w:r>
      <w:r>
        <w:rPr>
          <w:rFonts w:ascii="Times New Roman" w:hAnsi="Times New Roman" w:cs="Times New Roman"/>
          <w:smallCaps/>
          <w:sz w:val="24"/>
          <w:szCs w:val="24"/>
          <w:lang w:val="es-419"/>
        </w:rPr>
        <w:t>Ana Marcela Zatarain Barret y Fernando Sosa Pastrana.</w:t>
      </w:r>
    </w:p>
    <w:p w14:paraId="01B9CC27" w14:textId="77777777" w:rsidR="00096445" w:rsidRPr="0023400E" w:rsidRDefault="00096445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4D17" w:rsidRPr="00E177F6" w14:paraId="17AFA426" w14:textId="77777777" w:rsidTr="00942D12">
        <w:tc>
          <w:tcPr>
            <w:tcW w:w="8828" w:type="dxa"/>
          </w:tcPr>
          <w:p w14:paraId="30F50A4F" w14:textId="7D758D9D" w:rsidR="00724D17" w:rsidRPr="00096445" w:rsidRDefault="00724D17" w:rsidP="0009644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r w:rsidRPr="000964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Resumen:</w:t>
            </w:r>
          </w:p>
          <w:p w14:paraId="0C9E8004" w14:textId="77777777" w:rsidR="00096445" w:rsidRDefault="00096445" w:rsidP="0009644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</w:p>
          <w:p w14:paraId="43993371" w14:textId="2C9C8B73" w:rsidR="0068155A" w:rsidRPr="00096445" w:rsidRDefault="0068155A" w:rsidP="000964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Un miembro de una comunidad indígena promovió un </w:t>
            </w:r>
            <w:r w:rsidR="001E70B7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a</w:t>
            </w: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mparo </w:t>
            </w:r>
            <w:r w:rsidR="001E70B7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di</w:t>
            </w: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recto en contra de una sentencia de la Sala de Justicia Indígena</w:t>
            </w:r>
            <w:r w:rsidR="000D228E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de O</w:t>
            </w:r>
            <w:r w:rsidR="004C02E8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axaca</w:t>
            </w:r>
            <w:r w:rsidR="002500FC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, en la que </w:t>
            </w:r>
            <w:r w:rsidR="00C61C2C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se </w:t>
            </w: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reconoció la validez de las sanciones </w:t>
            </w:r>
            <w:r w:rsidR="00836B03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que</w:t>
            </w:r>
            <w:r w:rsidR="002500FC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le</w:t>
            </w:r>
            <w:r w:rsidR="00836B03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</w:t>
            </w:r>
            <w:r w:rsidR="00C61C2C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fueron impuestas por </w:t>
            </w:r>
            <w:r w:rsidR="00836B03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las autoridades </w:t>
            </w:r>
            <w:r w:rsidR="00770575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comunitarias</w:t>
            </w:r>
            <w:r w:rsidR="00836B03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.</w:t>
            </w:r>
          </w:p>
          <w:p w14:paraId="15D6BB42" w14:textId="77777777" w:rsidR="00A37B92" w:rsidRPr="00096445" w:rsidRDefault="00A37B92" w:rsidP="000964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37B16C82" w14:textId="77777777" w:rsidR="00724D17" w:rsidRPr="00096445" w:rsidRDefault="0068155A" w:rsidP="000964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El problema jurídico</w:t>
            </w:r>
            <w:r w:rsidR="0037721A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que fue planteado ante la Suprema Corte de Justicia </w:t>
            </w: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consistió en</w:t>
            </w:r>
            <w:r w:rsidR="0037721A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evaluar</w:t>
            </w:r>
            <w:r w:rsidR="00E177F6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</w:t>
            </w: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si fue correcto que la Sala de Justicia Indígena considerara que los hechos juzgados por la</w:t>
            </w:r>
            <w:r w:rsidR="008D3682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s autoridades</w:t>
            </w: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comuni</w:t>
            </w:r>
            <w:r w:rsidR="008D3682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tarias </w:t>
            </w: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corresponden</w:t>
            </w:r>
            <w:r w:rsidR="002500FC"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, en efecto,</w:t>
            </w:r>
            <w:r w:rsidRPr="0009644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a la jurisdicción especial indígena.</w:t>
            </w:r>
          </w:p>
          <w:p w14:paraId="1DF6949A" w14:textId="00FAFC65" w:rsidR="00096445" w:rsidRDefault="00096445" w:rsidP="00096445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</w:tr>
    </w:tbl>
    <w:p w14:paraId="236D8EB8" w14:textId="77777777" w:rsidR="005217E5" w:rsidRDefault="005217E5" w:rsidP="00096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</w:p>
    <w:p w14:paraId="18AB3F72" w14:textId="77777777" w:rsidR="005217E5" w:rsidRDefault="005217E5" w:rsidP="00096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</w:p>
    <w:p w14:paraId="50F04097" w14:textId="3D08E0F7" w:rsidR="00724D17" w:rsidRPr="005217E5" w:rsidRDefault="00724D17" w:rsidP="00096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5217E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Antecedentes del caso:</w:t>
      </w:r>
    </w:p>
    <w:p w14:paraId="5137F25A" w14:textId="77777777" w:rsidR="005217E5" w:rsidRDefault="005217E5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2BEAB7A0" w14:textId="056A11C2" w:rsidR="00E92229" w:rsidRPr="00096445" w:rsidRDefault="0068155A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En junio de dos mil quince, u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>n miembro de una comunidad indígena de Oaxaca pastoreo a su rebaño en un área vedada de la misma comunidad. Al ser una zona recientemente reforestada la autoridad comunitaria lo sancionó por los daños que su ganado ocasionó en repetidas ocasiones.</w:t>
      </w:r>
    </w:p>
    <w:p w14:paraId="26B1933B" w14:textId="77777777" w:rsidR="005217E5" w:rsidRDefault="005217E5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87D971E" w14:textId="5867DB40" w:rsidR="00E92229" w:rsidRPr="00096445" w:rsidRDefault="002500FC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La persona sancionada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denunció a los miembros de la asamblea comunitaria por los delitos de abuso de autoridad, privación ilegal de la libertad, allanamiento de morada y abigeato.</w:t>
      </w:r>
      <w:r w:rsidR="000F098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Los miembros de la comunidad indígena solicitaron a las autoridades penales que se abstuvieran de conocer </w:t>
      </w:r>
      <w:r w:rsidR="00BF0D33" w:rsidRPr="00096445">
        <w:rPr>
          <w:rFonts w:ascii="Times New Roman" w:hAnsi="Times New Roman" w:cs="Times New Roman"/>
          <w:sz w:val="24"/>
          <w:szCs w:val="24"/>
          <w:lang w:val="es-419"/>
        </w:rPr>
        <w:t>el caso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debido a que 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>las sanciones impuestas escapaban del ámbito penal</w:t>
      </w:r>
      <w:r w:rsidR="00BF0D33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, ya que estas </w:t>
      </w:r>
      <w:r w:rsidR="00834B38" w:rsidRPr="00096445">
        <w:rPr>
          <w:rFonts w:ascii="Times New Roman" w:hAnsi="Times New Roman" w:cs="Times New Roman"/>
          <w:sz w:val="24"/>
          <w:szCs w:val="24"/>
          <w:lang w:val="es-419"/>
        </w:rPr>
        <w:t>fueron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dictad</w:t>
      </w:r>
      <w:r w:rsidR="00834B38" w:rsidRPr="00096445">
        <w:rPr>
          <w:rFonts w:ascii="Times New Roman" w:hAnsi="Times New Roman" w:cs="Times New Roman"/>
          <w:sz w:val="24"/>
          <w:szCs w:val="24"/>
          <w:lang w:val="es-419"/>
        </w:rPr>
        <w:t>as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conforme a sus usos y costumbres.</w:t>
      </w:r>
    </w:p>
    <w:p w14:paraId="7EF92353" w14:textId="77777777" w:rsidR="005217E5" w:rsidRDefault="005217E5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51B18C3" w14:textId="6A594D58" w:rsidR="00E92229" w:rsidRPr="00096445" w:rsidRDefault="00E92229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El 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>J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uez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de Control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y el Fiscal negaron la petición</w:t>
      </w:r>
      <w:r w:rsidR="002500FC" w:rsidRPr="00096445">
        <w:rPr>
          <w:rFonts w:ascii="Times New Roman" w:hAnsi="Times New Roman" w:cs="Times New Roman"/>
          <w:sz w:val="24"/>
          <w:szCs w:val="24"/>
          <w:lang w:val="es-419"/>
        </w:rPr>
        <w:t>, p</w:t>
      </w:r>
      <w:r w:rsidR="00207D8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or lo que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la Asamblea Comunitaria promovió un Juicio de Derecho Indígena</w:t>
      </w:r>
      <w:r w:rsidR="00275EF9" w:rsidRPr="00096445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La Sala que conoció del caso reconoció la jurisdicción de la comunidad, convali</w:t>
      </w:r>
      <w:r w:rsidR="00060FA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dó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el sistema normativo interno y sus procedimientos</w:t>
      </w:r>
      <w:r w:rsidR="00060FA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725AA8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No obstante,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solicit</w:t>
      </w:r>
      <w:r w:rsidR="00060FAF" w:rsidRPr="00096445">
        <w:rPr>
          <w:rFonts w:ascii="Times New Roman" w:hAnsi="Times New Roman" w:cs="Times New Roman"/>
          <w:sz w:val="24"/>
          <w:szCs w:val="24"/>
          <w:lang w:val="es-419"/>
        </w:rPr>
        <w:t>ó</w:t>
      </w:r>
      <w:r w:rsidR="009E3F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que las autoridades comunitarias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buscar</w:t>
      </w:r>
      <w:r w:rsidR="009E3F5A" w:rsidRPr="00096445">
        <w:rPr>
          <w:rFonts w:ascii="Times New Roman" w:hAnsi="Times New Roman" w:cs="Times New Roman"/>
          <w:sz w:val="24"/>
          <w:szCs w:val="24"/>
          <w:lang w:val="es-419"/>
        </w:rPr>
        <w:t>an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alternativas distintas para sancio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>n</w:t>
      </w:r>
      <w:r w:rsidR="009E3F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ar al infractor y </w:t>
      </w:r>
      <w:r w:rsidR="00725AA8" w:rsidRPr="00096445">
        <w:rPr>
          <w:rFonts w:ascii="Times New Roman" w:hAnsi="Times New Roman" w:cs="Times New Roman"/>
          <w:sz w:val="24"/>
          <w:szCs w:val="24"/>
          <w:lang w:val="es-419"/>
        </w:rPr>
        <w:t>que é</w:t>
      </w:r>
      <w:r w:rsidR="0049402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ste reparara el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daño.</w:t>
      </w:r>
    </w:p>
    <w:p w14:paraId="753B18F2" w14:textId="77777777" w:rsidR="005217E5" w:rsidRDefault="005217E5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B91D9E4" w14:textId="36CD18BF" w:rsidR="00E92229" w:rsidRPr="00096445" w:rsidRDefault="00494027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En contra de esa sentencia,</w:t>
      </w:r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el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infractor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>promovió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Amparo Directo</w:t>
      </w:r>
      <w:r w:rsidR="00C55CC3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y la Asamblea promovió amparo adhesivo</w:t>
      </w:r>
      <w:r w:rsidR="00E92229" w:rsidRPr="00096445">
        <w:rPr>
          <w:rFonts w:ascii="Times New Roman" w:hAnsi="Times New Roman" w:cs="Times New Roman"/>
          <w:sz w:val="24"/>
          <w:szCs w:val="24"/>
          <w:lang w:val="es-419"/>
        </w:rPr>
        <w:t>. La Suprema Corte ejerció su facultad de atracción para conocer del asunto.</w:t>
      </w:r>
    </w:p>
    <w:p w14:paraId="7EE06C08" w14:textId="77777777" w:rsidR="0057711C" w:rsidRPr="00096445" w:rsidRDefault="0057711C" w:rsidP="00096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394BBA29" w14:textId="434C13DE" w:rsidR="00724D17" w:rsidRDefault="00724D17" w:rsidP="00096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5217E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Resolución de la Primera Sala:</w:t>
      </w:r>
    </w:p>
    <w:p w14:paraId="58A30616" w14:textId="77777777" w:rsidR="0057711C" w:rsidRPr="005217E5" w:rsidRDefault="0057711C" w:rsidP="00096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</w:p>
    <w:p w14:paraId="293190A9" w14:textId="53AE8C9D" w:rsidR="00C634E0" w:rsidRPr="00096445" w:rsidRDefault="00C634E0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lastRenderedPageBreak/>
        <w:t xml:space="preserve">La Primera Sala reconoció que el fuero indígena es el derecho que tienen </w:t>
      </w:r>
      <w:r w:rsidR="00254D23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los pueblos y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comunidades para juzgar y resolver sus conflictos al interior de sus colectividades conforme a sus usos y costumbres.</w:t>
      </w:r>
      <w:r w:rsidR="00254D23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Derecho que se encuentra </w:t>
      </w:r>
      <w:r w:rsidR="001020DD" w:rsidRPr="00096445">
        <w:rPr>
          <w:rFonts w:ascii="Times New Roman" w:hAnsi="Times New Roman" w:cs="Times New Roman"/>
          <w:sz w:val="24"/>
          <w:szCs w:val="24"/>
          <w:lang w:val="es-419"/>
        </w:rPr>
        <w:t>establecido expresamente en el artículo segundo de la Constitución.</w:t>
      </w:r>
      <w:r w:rsidR="00E177F6" w:rsidRPr="00096445">
        <w:rPr>
          <w:rStyle w:val="Refdenotaalpie"/>
          <w:rFonts w:ascii="Times New Roman" w:hAnsi="Times New Roman" w:cs="Times New Roman"/>
          <w:sz w:val="24"/>
          <w:szCs w:val="24"/>
          <w:lang w:val="es-419"/>
        </w:rPr>
        <w:footnoteReference w:id="1"/>
      </w:r>
    </w:p>
    <w:p w14:paraId="5FCE00FC" w14:textId="77777777" w:rsidR="005217E5" w:rsidRDefault="005217E5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D876E18" w14:textId="7738F9A4" w:rsidR="00C634E0" w:rsidRPr="00096445" w:rsidRDefault="00725AA8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En este sentido, sostuvo que e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>l Estado tiene la obligación de otorgar todas las medidas necesarias para garantizar el respeto y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>reconocimiento a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los usos y costumbres 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de las comunidades indígenas.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Lo cual es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consecuencia de la autonomía que la Constitución otorga a</w:t>
      </w:r>
      <w:r w:rsidR="00A558A5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las mismas comunidades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53B4F525" w14:textId="77777777" w:rsidR="005217E5" w:rsidRDefault="005217E5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F979297" w14:textId="7D08BFD9" w:rsidR="00C634E0" w:rsidRPr="00096445" w:rsidRDefault="00725AA8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Así, c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>onforme</w:t>
      </w:r>
      <w:r w:rsidR="00A558A5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a 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>la Ley Orgánica del Poder Judicial del Estado Libre y Soberano de Oaxaca</w:t>
      </w:r>
      <w:r w:rsidR="00A37B92" w:rsidRPr="00096445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l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>a Sala de Justicia indígena sól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>o tiene competencia para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analiza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si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las decisiones de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la comunidad indígena debe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>n</w:t>
      </w:r>
      <w:r w:rsidR="00C634E0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convalidarse o no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0F098F" w:rsidRPr="00096445">
        <w:rPr>
          <w:rStyle w:val="Refdenotaalpie"/>
          <w:rFonts w:ascii="Times New Roman" w:hAnsi="Times New Roman" w:cs="Times New Roman"/>
          <w:sz w:val="24"/>
          <w:szCs w:val="24"/>
          <w:lang w:val="es-419"/>
        </w:rPr>
        <w:footnoteReference w:id="2"/>
      </w:r>
      <w:r w:rsidR="002F7FE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>Esto con l</w:t>
      </w:r>
      <w:r w:rsidR="002F7FE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a finalidad 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>de robustecer la eficacia en el</w:t>
      </w:r>
      <w:r w:rsidR="002F7FE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cumplimiento de las decisiones tomadas por las autoridades de 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>una</w:t>
      </w:r>
      <w:r w:rsidR="002F7FE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comunidad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indígena</w:t>
      </w:r>
      <w:r w:rsidR="002F7FE7" w:rsidRPr="00096445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41ADE1F8" w14:textId="77777777" w:rsidR="005217E5" w:rsidRDefault="005217E5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4DF9F11" w14:textId="42346428" w:rsidR="002F7FE7" w:rsidRDefault="00725AA8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Al respecto, l</w:t>
      </w:r>
      <w:r w:rsidR="00A3558B" w:rsidRPr="00096445">
        <w:rPr>
          <w:rFonts w:ascii="Times New Roman" w:hAnsi="Times New Roman" w:cs="Times New Roman"/>
          <w:sz w:val="24"/>
          <w:szCs w:val="24"/>
          <w:lang w:val="es-419"/>
        </w:rPr>
        <w:t>a Primera Sala estableció que l</w:t>
      </w:r>
      <w:r w:rsidR="002F7FE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os factores para determinar si un caso concreto pertenece a la </w:t>
      </w:r>
      <w:r w:rsidR="002A0A2A" w:rsidRPr="00096445">
        <w:rPr>
          <w:rFonts w:ascii="Times New Roman" w:hAnsi="Times New Roman" w:cs="Times New Roman"/>
          <w:sz w:val="24"/>
          <w:szCs w:val="24"/>
          <w:lang w:val="es-419"/>
        </w:rPr>
        <w:t>jurisdicción</w:t>
      </w:r>
      <w:r w:rsidR="002F7FE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indígena son:</w:t>
      </w:r>
    </w:p>
    <w:p w14:paraId="6EF3300A" w14:textId="77777777" w:rsidR="00D45549" w:rsidRPr="00096445" w:rsidRDefault="00D45549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1E644E3" w14:textId="77777777" w:rsidR="002F7FE7" w:rsidRPr="00096445" w:rsidRDefault="002F7FE7" w:rsidP="000964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Personal: La persona o personas</w:t>
      </w:r>
      <w:r w:rsidR="00F731B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involucradas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pertenecen o no a la comunidad indígena. Se deben tomar en cuenta los usos y costumbre de la cultura involucrada, el grado de aislamiento de la comunidad y la afectación hecha por el individuo.</w:t>
      </w:r>
    </w:p>
    <w:p w14:paraId="39EDA017" w14:textId="77777777" w:rsidR="002F7FE7" w:rsidRPr="00096445" w:rsidRDefault="002F7FE7" w:rsidP="000964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Territorial: Si los hechos </w:t>
      </w:r>
      <w:r w:rsidR="00F731B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sucedieron en el territorio de la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comunidad indígena</w:t>
      </w:r>
      <w:r w:rsidR="002A0A2A" w:rsidRPr="00096445">
        <w:rPr>
          <w:rFonts w:ascii="Times New Roman" w:hAnsi="Times New Roman" w:cs="Times New Roman"/>
          <w:sz w:val="24"/>
          <w:szCs w:val="24"/>
          <w:lang w:val="es-419"/>
        </w:rPr>
        <w:t>. Sin embargo, también se entiende como parte del territorio el espacio donde la comunidad indígena despliega su cultura.</w:t>
      </w:r>
    </w:p>
    <w:p w14:paraId="6C237436" w14:textId="77777777" w:rsidR="002A0A2A" w:rsidRPr="00096445" w:rsidRDefault="002A0A2A" w:rsidP="000964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Objetivo: Que lo afectado tenga que ver con un interés de la comunidad de la comunidad o un miembro de la misma.</w:t>
      </w:r>
    </w:p>
    <w:p w14:paraId="272E1E00" w14:textId="77777777" w:rsidR="002A0A2A" w:rsidRPr="00096445" w:rsidRDefault="002A0A2A" w:rsidP="000964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Institucional: Si </w:t>
      </w:r>
      <w:r w:rsidR="00F731BF" w:rsidRPr="00096445">
        <w:rPr>
          <w:rFonts w:ascii="Times New Roman" w:hAnsi="Times New Roman" w:cs="Times New Roman"/>
          <w:sz w:val="24"/>
          <w:szCs w:val="24"/>
          <w:lang w:val="es-419"/>
        </w:rPr>
        <w:t>la comunidad cuenta con autoridades tradicionales que juzguen conforme a sus usos y costumbres.</w:t>
      </w:r>
    </w:p>
    <w:p w14:paraId="3659BA8D" w14:textId="77777777" w:rsidR="005217E5" w:rsidRDefault="005217E5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4E02580" w14:textId="46C2B2FF" w:rsidR="00C83F17" w:rsidRPr="00096445" w:rsidRDefault="00C83F17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En caso de que concurran </w:t>
      </w:r>
      <w:r w:rsidR="00725AA8" w:rsidRPr="00096445">
        <w:rPr>
          <w:rFonts w:ascii="Times New Roman" w:hAnsi="Times New Roman" w:cs="Times New Roman"/>
          <w:sz w:val="24"/>
          <w:szCs w:val="24"/>
          <w:lang w:val="es-419"/>
        </w:rPr>
        <w:t>varios de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estos elementos, l</w:t>
      </w:r>
      <w:r w:rsidR="00725AA8" w:rsidRPr="00096445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s </w:t>
      </w:r>
      <w:r w:rsidR="00725AA8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personas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juzgador</w:t>
      </w:r>
      <w:r w:rsidR="00725AA8" w:rsidRPr="00096445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s del Estado Central deberán abstenerse de conocer de los hechos del caso y ser deferentes a las autoridades comunitarias de los pueblos indígenas. De lo contrario estarían transgrediendo su autonomía y su derecho a la autodeterminación. </w:t>
      </w:r>
    </w:p>
    <w:p w14:paraId="3240728E" w14:textId="77777777" w:rsidR="005217E5" w:rsidRDefault="005217E5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2F41AC82" w14:textId="0BDFCB2F" w:rsidR="00F731BF" w:rsidRPr="00096445" w:rsidRDefault="00A3558B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Sin embargo, l</w:t>
      </w:r>
      <w:r w:rsidR="00F731BF" w:rsidRPr="00096445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54206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F098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aplicación del derecho indígena no debe ser contraria a las normas reconocidas en el </w:t>
      </w:r>
      <w:r w:rsidR="000F098F" w:rsidRPr="00096445">
        <w:rPr>
          <w:rFonts w:ascii="Times New Roman" w:hAnsi="Times New Roman" w:cs="Times New Roman"/>
          <w:i/>
          <w:sz w:val="24"/>
          <w:szCs w:val="24"/>
          <w:lang w:val="es-419"/>
        </w:rPr>
        <w:t xml:space="preserve">ius cogens </w:t>
      </w:r>
      <w:r w:rsidR="000F098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que representen el núcleo duro de los derechos humanos como la </w:t>
      </w:r>
      <w:r w:rsidR="00A558A5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prohibición de </w:t>
      </w:r>
      <w:r w:rsidR="000F098F" w:rsidRPr="00096445">
        <w:rPr>
          <w:rFonts w:ascii="Times New Roman" w:hAnsi="Times New Roman" w:cs="Times New Roman"/>
          <w:sz w:val="24"/>
          <w:szCs w:val="24"/>
          <w:lang w:val="es-419"/>
        </w:rPr>
        <w:t>tortura, desaparición forza</w:t>
      </w:r>
      <w:r w:rsidR="00A558A5" w:rsidRPr="00096445">
        <w:rPr>
          <w:rFonts w:ascii="Times New Roman" w:hAnsi="Times New Roman" w:cs="Times New Roman"/>
          <w:sz w:val="24"/>
          <w:szCs w:val="24"/>
          <w:lang w:val="es-419"/>
        </w:rPr>
        <w:t>da, esclavitud y discriminación, en respeto absoluto a la dignidad humana. A</w:t>
      </w:r>
      <w:r w:rsidR="000F098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sí como las reglas que eliminen definitivamente la posibilidad de acceso a la justicia de alguno de sus </w:t>
      </w:r>
      <w:r w:rsidR="00A558A5" w:rsidRPr="00096445">
        <w:rPr>
          <w:rFonts w:ascii="Times New Roman" w:hAnsi="Times New Roman" w:cs="Times New Roman"/>
          <w:sz w:val="24"/>
          <w:szCs w:val="24"/>
          <w:lang w:val="es-419"/>
        </w:rPr>
        <w:t>integrantes.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4242DF" w:rsidRPr="00096445">
        <w:rPr>
          <w:rFonts w:ascii="Times New Roman" w:hAnsi="Times New Roman" w:cs="Times New Roman"/>
          <w:sz w:val="24"/>
          <w:szCs w:val="24"/>
          <w:lang w:val="es-419"/>
        </w:rPr>
        <w:t>Además, e</w:t>
      </w:r>
      <w:r w:rsidR="000F098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l ejercicio de su jurisdicción especial tampoco puede ser un instrumento para oprimir a aquellos miembros tradicionalmente excluidos como lo son las mujeres, </w:t>
      </w:r>
      <w:proofErr w:type="gramStart"/>
      <w:r w:rsidR="000F098F" w:rsidRPr="00096445">
        <w:rPr>
          <w:rFonts w:ascii="Times New Roman" w:hAnsi="Times New Roman" w:cs="Times New Roman"/>
          <w:sz w:val="24"/>
          <w:szCs w:val="24"/>
          <w:lang w:val="es-419"/>
        </w:rPr>
        <w:t>niños y niñas</w:t>
      </w:r>
      <w:proofErr w:type="gramEnd"/>
      <w:r w:rsidR="000F098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o personas con discapacidad.</w:t>
      </w:r>
    </w:p>
    <w:p w14:paraId="1C7D79AC" w14:textId="77777777" w:rsidR="005217E5" w:rsidRDefault="005217E5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583CE26" w14:textId="0286E3DA" w:rsidR="00F731BF" w:rsidRPr="00096445" w:rsidRDefault="00A3558B" w:rsidP="0052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Por lo que</w:t>
      </w:r>
      <w:r w:rsidR="00C83F1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si un juez identifica que en los hechos del caso se actualiza alguna de las circunstancias del párrafo anterior, deberá conocer de los hechos en lugar de abstenerse</w:t>
      </w:r>
      <w:r w:rsidR="00C83F1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de resolver. En el caso concreto, l</w:t>
      </w:r>
      <w:r w:rsidR="00F731BF" w:rsidRPr="00096445">
        <w:rPr>
          <w:rFonts w:ascii="Times New Roman" w:hAnsi="Times New Roman" w:cs="Times New Roman"/>
          <w:sz w:val="24"/>
          <w:szCs w:val="24"/>
          <w:lang w:val="es-419"/>
        </w:rPr>
        <w:t>a Primera Sala determin</w:t>
      </w:r>
      <w:r w:rsidR="005A5EB0" w:rsidRPr="00096445">
        <w:rPr>
          <w:rFonts w:ascii="Times New Roman" w:hAnsi="Times New Roman" w:cs="Times New Roman"/>
          <w:sz w:val="24"/>
          <w:szCs w:val="24"/>
          <w:lang w:val="es-419"/>
        </w:rPr>
        <w:t>ó</w:t>
      </w:r>
      <w:r w:rsidR="00F731B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que</w:t>
      </w:r>
      <w:r w:rsidR="00C83F1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la Asamblea comunitaria sancionó al infractor en ejercicio de su</w:t>
      </w:r>
      <w:r w:rsidR="00F731BF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autonomía</w:t>
      </w:r>
      <w:r w:rsidR="004242DF" w:rsidRPr="00096445">
        <w:rPr>
          <w:rFonts w:ascii="Times New Roman" w:hAnsi="Times New Roman" w:cs="Times New Roman"/>
          <w:sz w:val="24"/>
          <w:szCs w:val="24"/>
          <w:lang w:val="es-419"/>
        </w:rPr>
        <w:t>, p</w:t>
      </w:r>
      <w:r w:rsidR="00C0095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or lo que convalidó </w:t>
      </w:r>
      <w:r w:rsidR="00C83F17" w:rsidRPr="00096445">
        <w:rPr>
          <w:rFonts w:ascii="Times New Roman" w:hAnsi="Times New Roman" w:cs="Times New Roman"/>
          <w:sz w:val="24"/>
          <w:szCs w:val="24"/>
          <w:lang w:val="es-419"/>
        </w:rPr>
        <w:t>la</w:t>
      </w:r>
      <w:r w:rsidR="00C0095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decisión</w:t>
      </w:r>
      <w:r w:rsidR="00C83F17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de la Sala de Justicia Indígena</w:t>
      </w:r>
      <w:r w:rsidR="00C0095B" w:rsidRPr="00096445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6901E50" w14:textId="77777777" w:rsidR="005217E5" w:rsidRDefault="005217E5" w:rsidP="00096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2C882FE5" w14:textId="14B172DC" w:rsidR="00724D17" w:rsidRPr="005217E5" w:rsidRDefault="00724D17" w:rsidP="000964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5217E5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 xml:space="preserve">Votación: </w:t>
      </w:r>
    </w:p>
    <w:p w14:paraId="0496E107" w14:textId="77777777" w:rsidR="005217E5" w:rsidRDefault="005217E5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97D431A" w14:textId="05ED907E" w:rsidR="00D45549" w:rsidRDefault="00724D17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96445">
        <w:rPr>
          <w:rFonts w:ascii="Times New Roman" w:hAnsi="Times New Roman" w:cs="Times New Roman"/>
          <w:sz w:val="24"/>
          <w:szCs w:val="24"/>
          <w:lang w:val="es-419"/>
        </w:rPr>
        <w:t>El asunto fu</w:t>
      </w:r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e aprobado </w:t>
      </w:r>
      <w:r w:rsidR="006F145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en sesión de la Primera Sala del 21 de noviembre de 2019, </w:t>
      </w:r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por mayoría de tres votos de </w:t>
      </w:r>
      <w:r w:rsidR="00E8227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la señora </w:t>
      </w:r>
      <w:proofErr w:type="gramStart"/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>Ministr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>a</w:t>
      </w:r>
      <w:proofErr w:type="gramEnd"/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: Norma Lucía Piña Hernández, quien está con el sentido, pero en contra de las consideraciones, </w:t>
      </w:r>
      <w:r w:rsidR="00E8227B" w:rsidRPr="00096445">
        <w:rPr>
          <w:rFonts w:ascii="Times New Roman" w:hAnsi="Times New Roman" w:cs="Times New Roman"/>
          <w:sz w:val="24"/>
          <w:szCs w:val="24"/>
          <w:lang w:val="es-419"/>
        </w:rPr>
        <w:t>y los señores</w:t>
      </w:r>
      <w:r w:rsidR="00E177F6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Ministros</w:t>
      </w:r>
      <w:r w:rsidR="00E8227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>Alfredo Gutiérrez Ortiz Mena y, Presidente y Ponente Juan Luis González A</w:t>
      </w:r>
      <w:r w:rsidR="00E8227B" w:rsidRPr="00096445">
        <w:rPr>
          <w:rFonts w:ascii="Times New Roman" w:hAnsi="Times New Roman" w:cs="Times New Roman"/>
          <w:sz w:val="24"/>
          <w:szCs w:val="24"/>
          <w:lang w:val="es-419"/>
        </w:rPr>
        <w:t>lcántara Carrancá</w:t>
      </w:r>
      <w:r w:rsidR="003E0785" w:rsidRPr="00096445">
        <w:rPr>
          <w:rFonts w:ascii="Times New Roman" w:hAnsi="Times New Roman" w:cs="Times New Roman"/>
          <w:sz w:val="24"/>
          <w:szCs w:val="24"/>
          <w:lang w:val="es-419"/>
        </w:rPr>
        <w:t>. En contra</w:t>
      </w:r>
      <w:r w:rsidR="00E8227B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el señor </w:t>
      </w:r>
      <w:proofErr w:type="gramStart"/>
      <w:r w:rsidR="00E8227B" w:rsidRPr="00096445">
        <w:rPr>
          <w:rFonts w:ascii="Times New Roman" w:hAnsi="Times New Roman" w:cs="Times New Roman"/>
          <w:sz w:val="24"/>
          <w:szCs w:val="24"/>
          <w:lang w:val="es-419"/>
        </w:rPr>
        <w:t>M</w:t>
      </w:r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>inistro</w:t>
      </w:r>
      <w:proofErr w:type="gramEnd"/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Jorge Mario Pardo Rebolledo</w:t>
      </w:r>
      <w:r w:rsidR="0033621D" w:rsidRPr="00096445">
        <w:rPr>
          <w:rFonts w:ascii="Times New Roman" w:hAnsi="Times New Roman" w:cs="Times New Roman"/>
          <w:sz w:val="24"/>
          <w:szCs w:val="24"/>
          <w:lang w:val="es-419"/>
        </w:rPr>
        <w:t>, quien formuló voto particular</w:t>
      </w:r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. El </w:t>
      </w:r>
      <w:proofErr w:type="gramStart"/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>Ministro</w:t>
      </w:r>
      <w:proofErr w:type="gramEnd"/>
      <w:r w:rsidR="0068155A" w:rsidRPr="00096445">
        <w:rPr>
          <w:rFonts w:ascii="Times New Roman" w:hAnsi="Times New Roman" w:cs="Times New Roman"/>
          <w:sz w:val="24"/>
          <w:szCs w:val="24"/>
          <w:lang w:val="es-419"/>
        </w:rPr>
        <w:t xml:space="preserve"> Luis María </w:t>
      </w:r>
      <w:r w:rsidR="00E8227B" w:rsidRPr="00096445">
        <w:rPr>
          <w:rFonts w:ascii="Times New Roman" w:hAnsi="Times New Roman" w:cs="Times New Roman"/>
          <w:sz w:val="24"/>
          <w:szCs w:val="24"/>
          <w:lang w:val="es-419"/>
        </w:rPr>
        <w:t>Aguilar Morales estuvo ausente</w:t>
      </w:r>
      <w:r w:rsidRPr="00096445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05CCD2F8" w14:textId="75F4D587" w:rsidR="00D45549" w:rsidRDefault="00D45549" w:rsidP="0009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5217E5" w:rsidRPr="0023400E" w14:paraId="1BCABF82" w14:textId="77777777" w:rsidTr="00D45549">
        <w:trPr>
          <w:trHeight w:val="587"/>
        </w:trPr>
        <w:tc>
          <w:tcPr>
            <w:tcW w:w="8828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auto"/>
          </w:tcPr>
          <w:p w14:paraId="65A34C70" w14:textId="0F45AD15" w:rsidR="005217E5" w:rsidRPr="0023400E" w:rsidRDefault="005217E5" w:rsidP="00151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44B854B5" w14:textId="77777777" w:rsidR="005217E5" w:rsidRPr="0023400E" w:rsidRDefault="005217E5" w:rsidP="00151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Documento con fines de difusión. Las únicas fuentes oficiales son las sentencias emitidas por la Suprema Corte de Justicia de la Nación, así como el Semanario Judicial de la Federación y su Gaceta.</w:t>
            </w:r>
          </w:p>
          <w:p w14:paraId="6E966C6F" w14:textId="77777777" w:rsidR="005217E5" w:rsidRPr="0023400E" w:rsidRDefault="005217E5" w:rsidP="00151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</w:tbl>
    <w:p w14:paraId="3F500DB1" w14:textId="4A3FDE73" w:rsidR="00A823EB" w:rsidRPr="00724D17" w:rsidRDefault="00A823EB" w:rsidP="00D45549">
      <w:pPr>
        <w:spacing w:after="0" w:line="240" w:lineRule="auto"/>
        <w:jc w:val="both"/>
        <w:rPr>
          <w:lang w:val="es-419"/>
        </w:rPr>
      </w:pPr>
    </w:p>
    <w:sectPr w:rsidR="00A823EB" w:rsidRPr="00724D1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779D" w14:textId="77777777" w:rsidR="000F3D47" w:rsidRDefault="000F3D47" w:rsidP="00E177F6">
      <w:pPr>
        <w:spacing w:after="0" w:line="240" w:lineRule="auto"/>
      </w:pPr>
      <w:r>
        <w:separator/>
      </w:r>
    </w:p>
  </w:endnote>
  <w:endnote w:type="continuationSeparator" w:id="0">
    <w:p w14:paraId="0786ADDB" w14:textId="77777777" w:rsidR="000F3D47" w:rsidRDefault="000F3D47" w:rsidP="00E1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09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C8A1B1" w14:textId="7E0BF3D9" w:rsidR="0057711C" w:rsidRPr="0057711C" w:rsidRDefault="0057711C">
        <w:pPr>
          <w:pStyle w:val="Piedepgina"/>
          <w:jc w:val="center"/>
          <w:rPr>
            <w:rFonts w:ascii="Times New Roman" w:hAnsi="Times New Roman" w:cs="Times New Roman"/>
          </w:rPr>
        </w:pPr>
        <w:r w:rsidRPr="0057711C">
          <w:rPr>
            <w:rFonts w:ascii="Times New Roman" w:hAnsi="Times New Roman" w:cs="Times New Roman"/>
          </w:rPr>
          <w:fldChar w:fldCharType="begin"/>
        </w:r>
        <w:r w:rsidRPr="0057711C">
          <w:rPr>
            <w:rFonts w:ascii="Times New Roman" w:hAnsi="Times New Roman" w:cs="Times New Roman"/>
          </w:rPr>
          <w:instrText>PAGE   \* MERGEFORMAT</w:instrText>
        </w:r>
        <w:r w:rsidRPr="0057711C">
          <w:rPr>
            <w:rFonts w:ascii="Times New Roman" w:hAnsi="Times New Roman" w:cs="Times New Roman"/>
          </w:rPr>
          <w:fldChar w:fldCharType="separate"/>
        </w:r>
        <w:r w:rsidRPr="0057711C">
          <w:rPr>
            <w:rFonts w:ascii="Times New Roman" w:hAnsi="Times New Roman" w:cs="Times New Roman"/>
            <w:lang w:val="es-ES"/>
          </w:rPr>
          <w:t>2</w:t>
        </w:r>
        <w:r w:rsidRPr="0057711C">
          <w:rPr>
            <w:rFonts w:ascii="Times New Roman" w:hAnsi="Times New Roman" w:cs="Times New Roman"/>
          </w:rPr>
          <w:fldChar w:fldCharType="end"/>
        </w:r>
      </w:p>
    </w:sdtContent>
  </w:sdt>
  <w:p w14:paraId="3EF97E35" w14:textId="77777777" w:rsidR="0057711C" w:rsidRDefault="00577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FEB0" w14:textId="77777777" w:rsidR="000F3D47" w:rsidRDefault="000F3D47" w:rsidP="00E177F6">
      <w:pPr>
        <w:spacing w:after="0" w:line="240" w:lineRule="auto"/>
      </w:pPr>
      <w:r>
        <w:separator/>
      </w:r>
    </w:p>
  </w:footnote>
  <w:footnote w:type="continuationSeparator" w:id="0">
    <w:p w14:paraId="747E16AF" w14:textId="77777777" w:rsidR="000F3D47" w:rsidRDefault="000F3D47" w:rsidP="00E177F6">
      <w:pPr>
        <w:spacing w:after="0" w:line="240" w:lineRule="auto"/>
      </w:pPr>
      <w:r>
        <w:continuationSeparator/>
      </w:r>
    </w:p>
  </w:footnote>
  <w:footnote w:id="1">
    <w:p w14:paraId="72380479" w14:textId="35F78997" w:rsidR="00E177F6" w:rsidRPr="005217E5" w:rsidRDefault="00E177F6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4206B">
        <w:rPr>
          <w:rStyle w:val="Refdenotaalpie"/>
          <w:rFonts w:ascii="Arial" w:hAnsi="Arial" w:cs="Arial"/>
        </w:rPr>
        <w:footnoteRef/>
      </w:r>
      <w:r w:rsidRPr="0054206B">
        <w:rPr>
          <w:rFonts w:ascii="Arial" w:hAnsi="Arial" w:cs="Arial"/>
          <w:lang w:val="es-419"/>
        </w:rPr>
        <w:t xml:space="preserve"> </w:t>
      </w:r>
      <w:r w:rsidRPr="005217E5">
        <w:rPr>
          <w:rFonts w:ascii="Times New Roman" w:hAnsi="Times New Roman" w:cs="Times New Roman"/>
          <w:lang w:val="es-419"/>
        </w:rPr>
        <w:t>Artículo 2o. La Nación Mexicana es única e indivisible. La Nación tiene una composición pluricultural sustentada originalmente en sus pueblos indígenas que son aquellos que descienden de poblaciones que habitaban en el territorio actual del país al iniciarse la colonización y que conservan sus propias instituciones sociales, económicas, culturales y políticas, o parte de ellas. La conciencia de su identidad indígena deberá ser criterio fundamental para determinar a quiénes se aplican las disposiciones sobre pueblos indígenas. Son comunidades integrantes de un pueblo indígena, aquellas que formen una unidad social, económica y cultural, asentadas en un territorio y que reconocen autoridades propias de acuerdo con sus usos y costumbres. El derecho de los pueblos indígenas a la libre determinación se ejercerá en un marco constitucional de autonomía que asegure la unidad nacional. El reconocimiento de los pueblos y comunidades indígenas se hará en las constituciones y leyes de las entidades federativas, las que deberán tomar en cuenta, además de los principios generales establecidos en los párrafos anteriores de este artículo, criterios etnolingüísticos y de asentamiento físico. A. Esta Constitución reconoce y garantiza el derecho de los pueblos y las comunidades indígenas a la libre determinación y, en consecuencia, a la autonomía para:</w:t>
      </w:r>
    </w:p>
    <w:p w14:paraId="74663BDF" w14:textId="234224D6" w:rsidR="00A558A5" w:rsidRPr="005217E5" w:rsidRDefault="00A558A5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217E5">
        <w:rPr>
          <w:rFonts w:ascii="Times New Roman" w:hAnsi="Times New Roman" w:cs="Times New Roman"/>
          <w:lang w:val="es-419"/>
        </w:rPr>
        <w:t>[…]</w:t>
      </w:r>
    </w:p>
    <w:p w14:paraId="551D122E" w14:textId="06F33A96" w:rsidR="00E177F6" w:rsidRPr="005217E5" w:rsidRDefault="00E177F6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217E5">
        <w:rPr>
          <w:rFonts w:ascii="Times New Roman" w:hAnsi="Times New Roman" w:cs="Times New Roman"/>
          <w:lang w:val="es-419"/>
        </w:rPr>
        <w:t>III. Elegir de acuerdo con sus normas, procedimientos y prácticas tradicionales, a las autoridades o representantes para el ejercicio de sus formas propias de gobierno interno, garantizando que las mujeres y los hombres indígenas disfrutarán y ejercerán su derecho de votar y ser votados en condiciones de igualdad; así como a acceder y desempeñar los cargos públicos y de elección popular para los que hayan sido electos o designados, en un marco que respete el pacto federal, la soberanía de los Estados y la autonomía de la Ciudad de México. En ningún caso las prácticas comunitarias podrán limitar los derechos político-electorales de los y las ciudadanas en la elección de sus autoridades municipales.</w:t>
      </w:r>
    </w:p>
  </w:footnote>
  <w:footnote w:id="2">
    <w:p w14:paraId="56C52A9C" w14:textId="77777777" w:rsidR="000F098F" w:rsidRPr="005217E5" w:rsidRDefault="000F098F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217E5">
        <w:rPr>
          <w:rStyle w:val="Refdenotaalpie"/>
          <w:rFonts w:ascii="Times New Roman" w:hAnsi="Times New Roman" w:cs="Times New Roman"/>
        </w:rPr>
        <w:footnoteRef/>
      </w:r>
      <w:r w:rsidRPr="005217E5">
        <w:rPr>
          <w:rFonts w:ascii="Times New Roman" w:hAnsi="Times New Roman" w:cs="Times New Roman"/>
          <w:lang w:val="es-419"/>
        </w:rPr>
        <w:t xml:space="preserve"> Artículo 23.</w:t>
      </w:r>
    </w:p>
    <w:p w14:paraId="650097C8" w14:textId="06145E03" w:rsidR="000F098F" w:rsidRPr="005217E5" w:rsidRDefault="000F098F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217E5">
        <w:rPr>
          <w:rFonts w:ascii="Times New Roman" w:hAnsi="Times New Roman" w:cs="Times New Roman"/>
          <w:lang w:val="es-419"/>
        </w:rPr>
        <w:t>Las salas conocerán, además:</w:t>
      </w:r>
    </w:p>
    <w:p w14:paraId="62CBD02F" w14:textId="77777777" w:rsidR="000F098F" w:rsidRPr="005217E5" w:rsidRDefault="000F098F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217E5">
        <w:rPr>
          <w:rFonts w:ascii="Times New Roman" w:hAnsi="Times New Roman" w:cs="Times New Roman"/>
          <w:lang w:val="es-419"/>
        </w:rPr>
        <w:t>[…]</w:t>
      </w:r>
    </w:p>
    <w:p w14:paraId="24F10BF8" w14:textId="5ECFD36F" w:rsidR="000F098F" w:rsidRPr="005217E5" w:rsidRDefault="000F098F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217E5">
        <w:rPr>
          <w:rFonts w:ascii="Times New Roman" w:hAnsi="Times New Roman" w:cs="Times New Roman"/>
          <w:lang w:val="es-419"/>
        </w:rPr>
        <w:t>V. La Sala de Justicia Indígena, con excepción de la materia política electoral, garantizará y conocerá los derechos de los pueblos indígenas y su jurisdicción teniendo las siguientes atribuciones:</w:t>
      </w:r>
    </w:p>
    <w:p w14:paraId="0FB0903B" w14:textId="65EF3957" w:rsidR="000F098F" w:rsidRPr="005217E5" w:rsidRDefault="000F098F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217E5">
        <w:rPr>
          <w:rFonts w:ascii="Times New Roman" w:hAnsi="Times New Roman" w:cs="Times New Roman"/>
          <w:lang w:val="es-419"/>
        </w:rPr>
        <w:t>a) Conocer de los asuntos relacionados con las resoluciones emitidas por las autoridades de los pueblos y comunidades indígenas en ejercicio de su función jurisdiccional al aplicar sus sistemas normativos, para constatar que en el procedimiento respectivo se hayan respetado los principios y derechos humanos tutelados en la Constitución Federal, los tratados internacionales y la Constitución particular del Estado.</w:t>
      </w:r>
    </w:p>
    <w:p w14:paraId="4A8058CA" w14:textId="0399D944" w:rsidR="000F098F" w:rsidRPr="005217E5" w:rsidRDefault="000F098F" w:rsidP="0054206B">
      <w:pPr>
        <w:pStyle w:val="Textonotapie"/>
        <w:jc w:val="both"/>
        <w:rPr>
          <w:rFonts w:ascii="Times New Roman" w:hAnsi="Times New Roman" w:cs="Times New Roman"/>
          <w:lang w:val="es-419"/>
        </w:rPr>
      </w:pPr>
      <w:r w:rsidRPr="005217E5">
        <w:rPr>
          <w:rFonts w:ascii="Times New Roman" w:hAnsi="Times New Roman" w:cs="Times New Roman"/>
          <w:lang w:val="es-419"/>
        </w:rPr>
        <w:t>La Sala de Justicia Indígena podrá convalidar la determinación emitida por la autoridad indígena u ordenar se emita una nueva resolución. En todos los casos planteados, se deberán armonizar los derechos individuales y colectivos, analizando de fondo y considerando debidamente los sistemas normativos indígenas en el marco del pluralismo jurídico, a fin de preservar la integridad comunitaria.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AB9"/>
    <w:multiLevelType w:val="hybridMultilevel"/>
    <w:tmpl w:val="D8665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17"/>
    <w:rsid w:val="00014721"/>
    <w:rsid w:val="00060FAF"/>
    <w:rsid w:val="00063A0F"/>
    <w:rsid w:val="00096445"/>
    <w:rsid w:val="000A682B"/>
    <w:rsid w:val="000C7026"/>
    <w:rsid w:val="000D228E"/>
    <w:rsid w:val="000F098F"/>
    <w:rsid w:val="000F3D47"/>
    <w:rsid w:val="001020DD"/>
    <w:rsid w:val="00136392"/>
    <w:rsid w:val="001E70B7"/>
    <w:rsid w:val="001F5EEB"/>
    <w:rsid w:val="00207D8A"/>
    <w:rsid w:val="00217875"/>
    <w:rsid w:val="002500FC"/>
    <w:rsid w:val="00254D23"/>
    <w:rsid w:val="00275EF9"/>
    <w:rsid w:val="002A0A2A"/>
    <w:rsid w:val="002A1E8E"/>
    <w:rsid w:val="002B33B7"/>
    <w:rsid w:val="002F7FE7"/>
    <w:rsid w:val="0033621D"/>
    <w:rsid w:val="0037721A"/>
    <w:rsid w:val="003E0785"/>
    <w:rsid w:val="00421B2A"/>
    <w:rsid w:val="004242DF"/>
    <w:rsid w:val="00450267"/>
    <w:rsid w:val="00492D98"/>
    <w:rsid w:val="00494027"/>
    <w:rsid w:val="004C02E8"/>
    <w:rsid w:val="00506DE5"/>
    <w:rsid w:val="005217E5"/>
    <w:rsid w:val="0054206B"/>
    <w:rsid w:val="00555B79"/>
    <w:rsid w:val="0057711C"/>
    <w:rsid w:val="0059207A"/>
    <w:rsid w:val="005A5EB0"/>
    <w:rsid w:val="00602D90"/>
    <w:rsid w:val="00606685"/>
    <w:rsid w:val="00612DC1"/>
    <w:rsid w:val="0065623A"/>
    <w:rsid w:val="0068155A"/>
    <w:rsid w:val="00681CBF"/>
    <w:rsid w:val="006E3988"/>
    <w:rsid w:val="006F145B"/>
    <w:rsid w:val="00722F5B"/>
    <w:rsid w:val="00724D17"/>
    <w:rsid w:val="00725AA8"/>
    <w:rsid w:val="0073238D"/>
    <w:rsid w:val="00751C58"/>
    <w:rsid w:val="00761046"/>
    <w:rsid w:val="00765ED9"/>
    <w:rsid w:val="00770575"/>
    <w:rsid w:val="007B4287"/>
    <w:rsid w:val="007B5B7F"/>
    <w:rsid w:val="0083196F"/>
    <w:rsid w:val="00834B38"/>
    <w:rsid w:val="00836B03"/>
    <w:rsid w:val="00853F10"/>
    <w:rsid w:val="008D3682"/>
    <w:rsid w:val="008D7A40"/>
    <w:rsid w:val="009771DF"/>
    <w:rsid w:val="009B5E41"/>
    <w:rsid w:val="009C13F4"/>
    <w:rsid w:val="009E3F5A"/>
    <w:rsid w:val="00A3558B"/>
    <w:rsid w:val="00A37B92"/>
    <w:rsid w:val="00A558A5"/>
    <w:rsid w:val="00A823EB"/>
    <w:rsid w:val="00A97332"/>
    <w:rsid w:val="00AC01A4"/>
    <w:rsid w:val="00B87036"/>
    <w:rsid w:val="00BA6665"/>
    <w:rsid w:val="00BB6FC8"/>
    <w:rsid w:val="00BC45F0"/>
    <w:rsid w:val="00BF0D33"/>
    <w:rsid w:val="00C0095B"/>
    <w:rsid w:val="00C33E24"/>
    <w:rsid w:val="00C4208E"/>
    <w:rsid w:val="00C55CC3"/>
    <w:rsid w:val="00C61C2C"/>
    <w:rsid w:val="00C634E0"/>
    <w:rsid w:val="00C83F17"/>
    <w:rsid w:val="00D205D6"/>
    <w:rsid w:val="00D45549"/>
    <w:rsid w:val="00E177F6"/>
    <w:rsid w:val="00E8227B"/>
    <w:rsid w:val="00E92229"/>
    <w:rsid w:val="00EB2ABD"/>
    <w:rsid w:val="00F731BF"/>
    <w:rsid w:val="00F90A9A"/>
    <w:rsid w:val="00FE0024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9E59"/>
  <w15:chartTrackingRefBased/>
  <w15:docId w15:val="{40219342-CADF-44CC-9233-B4E1E998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7FE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5B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B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B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B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B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7F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77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77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77F6"/>
    <w:rPr>
      <w:vertAlign w:val="superscript"/>
    </w:rPr>
  </w:style>
  <w:style w:type="paragraph" w:styleId="Revisin">
    <w:name w:val="Revision"/>
    <w:hidden/>
    <w:uiPriority w:val="99"/>
    <w:semiHidden/>
    <w:rsid w:val="002500F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7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11C"/>
  </w:style>
  <w:style w:type="paragraph" w:styleId="Piedepgina">
    <w:name w:val="footer"/>
    <w:basedOn w:val="Normal"/>
    <w:link w:val="PiedepginaCar"/>
    <w:uiPriority w:val="99"/>
    <w:unhideWhenUsed/>
    <w:rsid w:val="00577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0840-C3E0-4ACF-B037-869A5489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</dc:creator>
  <cp:keywords/>
  <dc:description/>
  <cp:lastModifiedBy>BRUNO ALEJANDRO PATIÑO RENTERIA</cp:lastModifiedBy>
  <cp:revision>24</cp:revision>
  <dcterms:created xsi:type="dcterms:W3CDTF">2021-11-19T17:35:00Z</dcterms:created>
  <dcterms:modified xsi:type="dcterms:W3CDTF">2022-02-11T15:23:00Z</dcterms:modified>
</cp:coreProperties>
</file>