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72FB" w14:textId="77777777" w:rsidR="00BB18E8" w:rsidRPr="00EE7B74" w:rsidRDefault="00BB18E8" w:rsidP="00EE7B74">
      <w:pPr>
        <w:shd w:val="clear" w:color="auto" w:fill="668CD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EE7B74">
        <w:rPr>
          <w:rFonts w:ascii="Times New Roman" w:hAnsi="Times New Roman" w:cs="Times New Roman"/>
          <w:b/>
          <w:bCs/>
          <w:sz w:val="28"/>
          <w:szCs w:val="28"/>
          <w:lang w:val="es-419"/>
        </w:rPr>
        <w:t>RESEÑAS DE LA PRIMERA SALA</w:t>
      </w:r>
    </w:p>
    <w:p w14:paraId="451D83A7" w14:textId="77777777" w:rsidR="00EE7B74" w:rsidRPr="00EE7B74" w:rsidRDefault="00EE7B74" w:rsidP="00EE7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61E30973" w14:textId="77777777" w:rsidR="00EE7B74" w:rsidRPr="00EE7B74" w:rsidRDefault="00EE7B74" w:rsidP="00EE7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3D34E957" w14:textId="0F505526" w:rsidR="00BB18E8" w:rsidRDefault="00BB18E8" w:rsidP="00EE7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EE7B74">
        <w:rPr>
          <w:rFonts w:ascii="Times New Roman" w:hAnsi="Times New Roman" w:cs="Times New Roman"/>
          <w:b/>
          <w:sz w:val="26"/>
          <w:szCs w:val="26"/>
          <w:lang w:val="es-419"/>
        </w:rPr>
        <w:t xml:space="preserve">AMPARO EN REVISIÓN </w:t>
      </w:r>
      <w:r w:rsidR="00EE7B74">
        <w:rPr>
          <w:rFonts w:ascii="Times New Roman" w:hAnsi="Times New Roman" w:cs="Times New Roman"/>
          <w:b/>
          <w:sz w:val="26"/>
          <w:szCs w:val="26"/>
          <w:lang w:val="es-419"/>
        </w:rPr>
        <w:t>226</w:t>
      </w:r>
      <w:r w:rsidRPr="00EE7B74">
        <w:rPr>
          <w:rFonts w:ascii="Times New Roman" w:hAnsi="Times New Roman" w:cs="Times New Roman"/>
          <w:b/>
          <w:sz w:val="26"/>
          <w:szCs w:val="26"/>
          <w:lang w:val="es-419"/>
        </w:rPr>
        <w:t>/202</w:t>
      </w:r>
      <w:r w:rsidR="00EE7B74">
        <w:rPr>
          <w:rFonts w:ascii="Times New Roman" w:hAnsi="Times New Roman" w:cs="Times New Roman"/>
          <w:b/>
          <w:sz w:val="26"/>
          <w:szCs w:val="26"/>
          <w:lang w:val="es-419"/>
        </w:rPr>
        <w:t>0</w:t>
      </w:r>
    </w:p>
    <w:p w14:paraId="523C1436" w14:textId="77777777" w:rsidR="00EE7B74" w:rsidRPr="00040DC8" w:rsidRDefault="00EE7B74" w:rsidP="00EE7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65E03262" w14:textId="562C7C47" w:rsidR="00EE7B74" w:rsidRPr="0023400E" w:rsidRDefault="00EE7B74" w:rsidP="00EE7B74">
      <w:pPr>
        <w:shd w:val="clear" w:color="auto" w:fill="DBDBDB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419"/>
        </w:rPr>
      </w:pP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 xml:space="preserve">Estándar de protección del derecho humano a la salud de los pacientes con </w:t>
      </w:r>
      <w:r w:rsidR="00275CD3"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VIH/SIDA</w:t>
      </w: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.</w:t>
      </w:r>
    </w:p>
    <w:p w14:paraId="64F9C07A" w14:textId="77777777" w:rsidR="00EE7B74" w:rsidRDefault="00EE7B74" w:rsidP="00EE7B74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</w:p>
    <w:p w14:paraId="5C59F138" w14:textId="77777777" w:rsidR="00EE7B74" w:rsidRPr="0023400E" w:rsidRDefault="00EE7B74" w:rsidP="00EE7B74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  <w:t>Ponente: Ministro Juan Luis González Alcántara Carrancá</w:t>
      </w:r>
      <w:r w:rsidRPr="00450267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0187D693" w14:textId="505024D9" w:rsidR="00EE7B74" w:rsidRDefault="00EE7B74" w:rsidP="00EE7B74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Secretario</w:t>
      </w:r>
      <w:r w:rsidR="00AF5AD8">
        <w:rPr>
          <w:rFonts w:ascii="Times New Roman" w:hAnsi="Times New Roman" w:cs="Times New Roman"/>
          <w:smallCaps/>
          <w:sz w:val="24"/>
          <w:szCs w:val="24"/>
          <w:lang w:val="es-419"/>
        </w:rPr>
        <w:t>s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 xml:space="preserve">: 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>Fernando Sosa Pastrana y Pablo Francisco Muñoz Díaz.</w:t>
      </w:r>
    </w:p>
    <w:p w14:paraId="21645C22" w14:textId="73359BC6" w:rsidR="00EE7B74" w:rsidRDefault="00EE7B74" w:rsidP="00EE7B74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7B74" w:rsidRPr="000372FC" w14:paraId="7E027871" w14:textId="77777777" w:rsidTr="003E468A">
        <w:tc>
          <w:tcPr>
            <w:tcW w:w="8828" w:type="dxa"/>
          </w:tcPr>
          <w:p w14:paraId="03D35A38" w14:textId="77777777" w:rsidR="00EE7B74" w:rsidRPr="0078006F" w:rsidRDefault="00EE7B74" w:rsidP="003E46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bookmarkStart w:id="0" w:name="_Hlk89597416"/>
            <w:r w:rsidRPr="007800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 xml:space="preserve">Resumen: </w:t>
            </w:r>
          </w:p>
          <w:p w14:paraId="5E38D369" w14:textId="77777777" w:rsidR="00EE7B74" w:rsidRPr="0078006F" w:rsidRDefault="00EE7B74" w:rsidP="003E46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  <w:p w14:paraId="2DEACD45" w14:textId="4DCBF59B" w:rsidR="00EE7B74" w:rsidRPr="0053048F" w:rsidRDefault="00EE7B74" w:rsidP="00EE7B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Un</w:t>
            </w:r>
            <w:r w:rsidR="00A16546"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</w:t>
            </w: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</w:t>
            </w:r>
            <w:r w:rsidR="00A16546"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persona </w:t>
            </w: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con V</w:t>
            </w:r>
            <w:r w:rsidR="000C7AE7"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irus de </w:t>
            </w:r>
            <w:r w:rsidR="000C7AE7" w:rsidRPr="004C536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Inmunodeficiencia Humana (VIH)</w:t>
            </w: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promovió juicio de amparo indirecto en contra del Hospital General Regional Número 1 en Querétaro, del Instituto Mexicano del Seguro Social. </w:t>
            </w:r>
            <w:r w:rsidR="00D025FE"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Esto</w:t>
            </w:r>
            <w:r w:rsidR="00C57D45"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, d</w:t>
            </w: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ebido a que durante un tiempo no le fue otorgado </w:t>
            </w:r>
            <w:r w:rsidR="00B7508C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el </w:t>
            </w: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medicamento antirretroviral “</w:t>
            </w:r>
            <w:proofErr w:type="spellStart"/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Dolutegravir</w:t>
            </w:r>
            <w:proofErr w:type="spellEnd"/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”</w:t>
            </w:r>
            <w:r w:rsidR="00C57D45"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, l</w:t>
            </w:r>
            <w:r w:rsidRPr="0053048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o cual constituyó una omisión que puso en riesgo su vida, su salud y su integridad física.</w:t>
            </w:r>
          </w:p>
          <w:p w14:paraId="23D19347" w14:textId="77777777" w:rsidR="00EE7B74" w:rsidRPr="0053048F" w:rsidRDefault="00EE7B74" w:rsidP="00EE7B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7A4F72C7" w14:textId="50EADA2B" w:rsidR="00EE7B74" w:rsidRDefault="00EE7B74" w:rsidP="00EE7B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EE7B74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En el presente asunto, la Primera Sala, analizó cuál es el estándar general de protección del derecho humano a la salud en general, y, en particular, en los pacientes con VIH/SIDA. También, cuáles son las obligaciones de los Hospitales del Instituto Mexicano del Seguro Social en aras de garantizar el derecho humano a la salud en general, y el de los pacientes con VIH/SIDA.</w:t>
            </w:r>
          </w:p>
          <w:p w14:paraId="09904061" w14:textId="591E4BD1" w:rsidR="00EE7B74" w:rsidRDefault="00EE7B74" w:rsidP="00EE7B74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bookmarkEnd w:id="0"/>
    </w:tbl>
    <w:p w14:paraId="6AA5F2D0" w14:textId="77777777" w:rsidR="00EE7B74" w:rsidRDefault="00EE7B74" w:rsidP="00EE7B74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</w:p>
    <w:p w14:paraId="4BE7BD94" w14:textId="77777777" w:rsidR="00BB18E8" w:rsidRPr="00EE7B74" w:rsidRDefault="00BB18E8" w:rsidP="00EE7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EE7B74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Antecedentes del caso:</w:t>
      </w:r>
    </w:p>
    <w:p w14:paraId="47BE0E13" w14:textId="77777777" w:rsidR="00EE7B74" w:rsidRDefault="00EE7B74" w:rsidP="00EE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14:paraId="1460B780" w14:textId="7D0DECAD" w:rsidR="00BB18E8" w:rsidRPr="00EE7B74" w:rsidRDefault="00BB18E8" w:rsidP="00EE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Una persona con VIH reclamó del </w:t>
      </w:r>
      <w:r w:rsidRPr="00EE7B74">
        <w:rPr>
          <w:rFonts w:ascii="Times New Roman" w:hAnsi="Times New Roman" w:cs="Times New Roman"/>
          <w:sz w:val="24"/>
          <w:lang w:val="es-ES"/>
        </w:rPr>
        <w:t>Hospital General Regional Número 1 en Querétaro, del Instituto Mexicano del Seguro Social</w:t>
      </w:r>
      <w:r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, la omisión de garantizar su derecho humano a la salud</w:t>
      </w:r>
      <w:r w:rsidR="00E21F67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y las deficiencias de carácter administrativo que impiden el abasto oportuno de los medicamentos antirretrovirales. </w:t>
      </w:r>
      <w:r w:rsidR="003162A6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Esta</w:t>
      </w:r>
      <w:r w:rsidR="00E21F67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persona afirmaba que la autoridad puso en riesgo su vida,</w:t>
      </w:r>
      <w:r w:rsidR="003162A6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E21F67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salud e integridad física, porque </w:t>
      </w:r>
      <w:r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no le proporcionó medicamento </w:t>
      </w:r>
      <w:r w:rsidR="003162A6" w:rsidRPr="00EE7B74">
        <w:rPr>
          <w:rFonts w:ascii="Times New Roman" w:hAnsi="Times New Roman" w:cs="Times New Roman"/>
          <w:sz w:val="24"/>
          <w:lang w:val="es-ES"/>
        </w:rPr>
        <w:t>antirretroviral</w:t>
      </w:r>
      <w:r w:rsidR="00274042">
        <w:rPr>
          <w:rFonts w:ascii="Times New Roman" w:hAnsi="Times New Roman" w:cs="Times New Roman"/>
          <w:sz w:val="24"/>
          <w:lang w:val="es-ES"/>
        </w:rPr>
        <w:t>, específicamente</w:t>
      </w:r>
      <w:r w:rsidRPr="00EE7B74">
        <w:rPr>
          <w:rFonts w:ascii="Times New Roman" w:hAnsi="Times New Roman" w:cs="Times New Roman"/>
          <w:sz w:val="24"/>
          <w:lang w:val="es-ES"/>
        </w:rPr>
        <w:t xml:space="preserve"> “</w:t>
      </w:r>
      <w:proofErr w:type="spellStart"/>
      <w:r w:rsidRPr="00EE7B74">
        <w:rPr>
          <w:rFonts w:ascii="Times New Roman" w:hAnsi="Times New Roman" w:cs="Times New Roman"/>
          <w:sz w:val="24"/>
          <w:lang w:val="es-ES"/>
        </w:rPr>
        <w:t>Dolutegravir</w:t>
      </w:r>
      <w:proofErr w:type="spellEnd"/>
      <w:r w:rsidR="00E21F67" w:rsidRPr="00EE7B74">
        <w:rPr>
          <w:rFonts w:ascii="Times New Roman" w:hAnsi="Times New Roman" w:cs="Times New Roman"/>
          <w:sz w:val="24"/>
          <w:lang w:val="es-ES"/>
        </w:rPr>
        <w:t>”</w:t>
      </w:r>
      <w:r w:rsidR="00B26E3A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.</w:t>
      </w:r>
      <w:r w:rsidR="00E21F67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E421B1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Sin embargo, posteriormente</w:t>
      </w:r>
      <w:r w:rsidR="00B26E3A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el Hospital le proporcionó </w:t>
      </w:r>
      <w:r w:rsidR="00E421B1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a la persona </w:t>
      </w:r>
      <w:r w:rsidR="000C7AE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el medicamento referido</w:t>
      </w:r>
      <w:r w:rsidR="00B26E3A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. </w:t>
      </w:r>
      <w:r w:rsidR="00E21F67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Razón por la cual, el Juez decidió sobreseer el juicio de amparo indirecto al considerar que habían quedado destruidos los efectos del acto reclamado. </w:t>
      </w:r>
      <w:r w:rsidR="00E421B1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Inconforme con dicha sentencia, la persona interpuso recurso de revisión adhesiva en el amparo en revisión y, posteriormente, solicitó a la </w:t>
      </w:r>
      <w:r w:rsidR="00C57D4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Suprema </w:t>
      </w:r>
      <w:r w:rsidR="00E421B1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Corte que ejerciera su facultad de atracción.</w:t>
      </w:r>
    </w:p>
    <w:p w14:paraId="1E66A4AF" w14:textId="77777777" w:rsidR="00EE7B74" w:rsidRDefault="00EE7B74" w:rsidP="00EE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MX"/>
        </w:rPr>
      </w:pPr>
    </w:p>
    <w:p w14:paraId="5D6C7015" w14:textId="3A565E26" w:rsidR="00BB18E8" w:rsidRPr="00EE7B74" w:rsidRDefault="00BB18E8" w:rsidP="00EE7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EE7B74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Resolución de la Primera Sala:</w:t>
      </w:r>
    </w:p>
    <w:p w14:paraId="43224957" w14:textId="77777777" w:rsidR="00EE7B74" w:rsidRDefault="00EE7B74" w:rsidP="00EE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14:paraId="2B90386D" w14:textId="616E9177" w:rsidR="003162A6" w:rsidRPr="00EE7B74" w:rsidRDefault="00BB18E8" w:rsidP="00EE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La Primera Sala afirmó que lo importante y trascendente del caso, era pronunciarse sobre</w:t>
      </w:r>
      <w:r w:rsidR="00E421B1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cuál es el estándar de protección del derecho humano a la salud de los pacientes con VIH/SIDA</w:t>
      </w:r>
      <w:r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. Por lo tanto, declaró que,</w:t>
      </w:r>
      <w:r w:rsidR="006367D4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el cumplimiento de la obligación de los Estados de respetar y garantizar el derecho a la salud implica también </w:t>
      </w:r>
      <w:r w:rsidR="00C57D4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el </w:t>
      </w:r>
      <w:r w:rsidR="006367D4" w:rsidRPr="00EE7B7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dar especial cuidado a los grupos vulnerables y marginados.</w:t>
      </w:r>
    </w:p>
    <w:p w14:paraId="48132E92" w14:textId="77777777" w:rsidR="00EE7B74" w:rsidRDefault="00EE7B74" w:rsidP="00EE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414B384" w14:textId="4BEF1775" w:rsidR="002F6DC0" w:rsidRPr="00EE7B74" w:rsidRDefault="002F6DC0" w:rsidP="00EE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Fue así como </w:t>
      </w:r>
      <w:r w:rsidR="00EA5AAE"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la Sala 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>afirm</w:t>
      </w:r>
      <w:r w:rsidR="003162A6" w:rsidRPr="00EE7B74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 que las personas diagnosticadas con VIH/SIDA tienen derecho a </w:t>
      </w:r>
      <w:r w:rsidRPr="00EE7B74">
        <w:rPr>
          <w:rFonts w:ascii="Times New Roman" w:hAnsi="Times New Roman" w:cs="Times New Roman"/>
          <w:iCs/>
          <w:sz w:val="24"/>
          <w:szCs w:val="24"/>
          <w:lang w:val="es-MX"/>
        </w:rPr>
        <w:t>gozar del más alto nivel posible de salud física y mental</w:t>
      </w:r>
      <w:r w:rsidR="003162A6" w:rsidRPr="00EE7B74">
        <w:rPr>
          <w:rFonts w:ascii="Times New Roman" w:hAnsi="Times New Roman" w:cs="Times New Roman"/>
          <w:sz w:val="24"/>
          <w:szCs w:val="24"/>
          <w:lang w:val="es-MX"/>
        </w:rPr>
        <w:t>. Lo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 cual comprende, entre otras </w:t>
      </w:r>
      <w:r w:rsidR="00C57D45">
        <w:rPr>
          <w:rFonts w:ascii="Times New Roman" w:hAnsi="Times New Roman" w:cs="Times New Roman"/>
          <w:sz w:val="24"/>
          <w:szCs w:val="24"/>
          <w:lang w:val="es-MX"/>
        </w:rPr>
        <w:lastRenderedPageBreak/>
        <w:t>cuestiones: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 la prevención, el tratamiento y el control de las enfermedades epidémicas y la creación de condiciones que aseguren a todos </w:t>
      </w:r>
      <w:r w:rsidR="00F234E4" w:rsidRPr="00EE7B74">
        <w:rPr>
          <w:rFonts w:ascii="Times New Roman" w:hAnsi="Times New Roman" w:cs="Times New Roman"/>
          <w:sz w:val="24"/>
          <w:szCs w:val="24"/>
          <w:lang w:val="es-MX"/>
        </w:rPr>
        <w:t>asistencia y servicios médicos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 en caso de enfermedad. Las personas deben tener acceso a ensayos clínicos, y a poder elegir libremente entre todos los medicamentos y terapias disponibles, incluso las terapias alternativas. Asimismo, debe ser garantizado el tratamiento, la atención y el apoyo integrales incluyendo fármacos </w:t>
      </w:r>
      <w:proofErr w:type="spellStart"/>
      <w:r w:rsidRPr="00EE7B74">
        <w:rPr>
          <w:rFonts w:ascii="Times New Roman" w:hAnsi="Times New Roman" w:cs="Times New Roman"/>
          <w:sz w:val="24"/>
          <w:szCs w:val="24"/>
          <w:lang w:val="es-MX"/>
        </w:rPr>
        <w:t>antirretrovíricos</w:t>
      </w:r>
      <w:proofErr w:type="spellEnd"/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 y otros medicamentos; pruebas diagnósticas y otras tecnologías relacionadas para la atención del VIH y el </w:t>
      </w:r>
      <w:proofErr w:type="spellStart"/>
      <w:r w:rsidR="008F33DF" w:rsidRPr="00333908">
        <w:rPr>
          <w:rFonts w:ascii="Times New Roman" w:hAnsi="Times New Roman" w:cs="Times New Roman"/>
          <w:sz w:val="24"/>
          <w:szCs w:val="24"/>
        </w:rPr>
        <w:t>Síndrome</w:t>
      </w:r>
      <w:proofErr w:type="spellEnd"/>
      <w:r w:rsidR="008F33DF" w:rsidRPr="003339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F33DF" w:rsidRPr="00333908">
        <w:rPr>
          <w:rFonts w:ascii="Times New Roman" w:hAnsi="Times New Roman" w:cs="Times New Roman"/>
          <w:sz w:val="24"/>
          <w:szCs w:val="24"/>
        </w:rPr>
        <w:t>Inmunodeficiencia</w:t>
      </w:r>
      <w:proofErr w:type="spellEnd"/>
      <w:r w:rsidR="008F33DF" w:rsidRPr="0033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DF" w:rsidRPr="00333908">
        <w:rPr>
          <w:rFonts w:ascii="Times New Roman" w:hAnsi="Times New Roman" w:cs="Times New Roman"/>
          <w:sz w:val="24"/>
          <w:szCs w:val="24"/>
        </w:rPr>
        <w:t>Adquirida</w:t>
      </w:r>
      <w:proofErr w:type="spellEnd"/>
      <w:r w:rsidR="008F33DF" w:rsidRPr="00333908">
        <w:rPr>
          <w:rFonts w:ascii="Times New Roman" w:hAnsi="Times New Roman" w:cs="Times New Roman"/>
          <w:sz w:val="24"/>
          <w:szCs w:val="24"/>
        </w:rPr>
        <w:t xml:space="preserve"> (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>SIDA</w:t>
      </w:r>
      <w:r w:rsidR="008F33DF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>, buena alimentación y apoyo social, espiritual y psicológico, así como atención familiar, comunitaria y domiciliaria.</w:t>
      </w:r>
    </w:p>
    <w:p w14:paraId="2DE396A4" w14:textId="77777777" w:rsidR="00EE7B74" w:rsidRDefault="00EE7B74" w:rsidP="00EE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9379948" w14:textId="55FDD9DD" w:rsidR="006367D4" w:rsidRPr="00EE7B74" w:rsidRDefault="002F6DC0" w:rsidP="00EE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En este contexto, </w:t>
      </w:r>
      <w:r w:rsidR="00C57D45">
        <w:rPr>
          <w:rFonts w:ascii="Times New Roman" w:hAnsi="Times New Roman" w:cs="Times New Roman"/>
          <w:sz w:val="24"/>
          <w:szCs w:val="24"/>
          <w:lang w:val="es-MX"/>
        </w:rPr>
        <w:t xml:space="preserve">la Sala sostuvo que 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los Estados deben asegurar, </w:t>
      </w:r>
      <w:r w:rsidR="00C57D45">
        <w:rPr>
          <w:rFonts w:ascii="Times New Roman" w:hAnsi="Times New Roman" w:cs="Times New Roman"/>
          <w:sz w:val="24"/>
          <w:szCs w:val="24"/>
          <w:lang w:val="es-MX"/>
        </w:rPr>
        <w:t>además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>, que no se suministren fármacos ni otros materiales caducados. El reconocimiento y garantía del derecho a la salud de los pacientes con VIH/SIDA se encuentran interrelacionados con el reconocimiento y garantía, a su vez</w:t>
      </w:r>
      <w:r w:rsidR="00C57D45">
        <w:rPr>
          <w:rFonts w:ascii="Times New Roman" w:hAnsi="Times New Roman" w:cs="Times New Roman"/>
          <w:sz w:val="24"/>
          <w:szCs w:val="24"/>
          <w:lang w:val="es-MX"/>
        </w:rPr>
        <w:t xml:space="preserve"> d</w:t>
      </w:r>
      <w:r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el derecho a una vida digna. 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L</w:t>
      </w:r>
      <w:r w:rsidR="006367D4"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os Estados deben adoptar medidas para asegurar que a las personas que viven con </w:t>
      </w:r>
      <w:r w:rsidR="00743693">
        <w:rPr>
          <w:rFonts w:ascii="Times New Roman" w:hAnsi="Times New Roman" w:cs="Times New Roman"/>
          <w:sz w:val="24"/>
          <w:szCs w:val="24"/>
          <w:lang w:val="es-MX"/>
        </w:rPr>
        <w:t>esta enfermedad</w:t>
      </w:r>
      <w:r w:rsidR="006367D4" w:rsidRPr="00EE7B74">
        <w:rPr>
          <w:rFonts w:ascii="Times New Roman" w:hAnsi="Times New Roman" w:cs="Times New Roman"/>
          <w:sz w:val="24"/>
          <w:szCs w:val="24"/>
          <w:lang w:val="es-MX"/>
        </w:rPr>
        <w:t xml:space="preserve"> no se les discrimine, negándoles un nivel de vida adecuado o servicios de seguridad social y apoyo a causa de su estado de salud. Asimismo, 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n el mismo sentido, es posible que los Estados tengan que adoptar medidas especiales para asegurar que todos los grupos sociales, especialmente los marginados, dispongan de igual acceso a los servicios de prevención, atención y tratamiento del VIH.</w:t>
      </w:r>
    </w:p>
    <w:p w14:paraId="79196A2B" w14:textId="77777777" w:rsidR="00EE7B74" w:rsidRDefault="00EE7B74" w:rsidP="00EE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7F04B7C" w14:textId="069BE029" w:rsidR="00F234E4" w:rsidRPr="00EE7B74" w:rsidRDefault="002F6DC0" w:rsidP="00EE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Después de este exhaustivo análisis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, la Primera Sala encontró responsable a la autoridad de incumplir con su obligación de proteger el derecho a la salud del paciente. Arguyó que fue omisa en el cumplimiento de diversas garantías propias del estándar de protección del derecho humano a la salud, relativas al suministro oportuno, constante y permanente de medicamentos.</w:t>
      </w:r>
    </w:p>
    <w:p w14:paraId="3EA6A086" w14:textId="77777777" w:rsidR="00EE7B74" w:rsidRDefault="00EE7B74" w:rsidP="00EE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500402F" w14:textId="52126BC0" w:rsidR="002F6DC0" w:rsidRPr="00EE7B74" w:rsidRDefault="006367D4" w:rsidP="00EE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Además, </w:t>
      </w:r>
      <w:r w:rsidR="00775A8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Alto Tribunal 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señaló que </w:t>
      </w:r>
      <w:r w:rsidR="00775A83">
        <w:rPr>
          <w:rFonts w:ascii="Times New Roman" w:eastAsia="Times New Roman" w:hAnsi="Times New Roman" w:cs="Times New Roman"/>
          <w:sz w:val="24"/>
          <w:szCs w:val="24"/>
          <w:lang w:val="es-MX"/>
        </w:rPr>
        <w:t>el hospital responsable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cometió una omisión de naturaleza administrativa en función de su obligación de garantizar su derecho humano a la salud. </w:t>
      </w:r>
      <w:r w:rsidR="00775A83">
        <w:rPr>
          <w:rFonts w:ascii="Times New Roman" w:eastAsia="Times New Roman" w:hAnsi="Times New Roman" w:cs="Times New Roman"/>
          <w:sz w:val="24"/>
          <w:szCs w:val="24"/>
          <w:lang w:val="es-MX"/>
        </w:rPr>
        <w:t>Así mismo</w:t>
      </w:r>
      <w:r w:rsidR="002F6DC0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determinó que </w:t>
      </w:r>
      <w:r w:rsidR="00775A83">
        <w:rPr>
          <w:rFonts w:ascii="Times New Roman" w:eastAsia="Times New Roman" w:hAnsi="Times New Roman" w:cs="Times New Roman"/>
          <w:sz w:val="24"/>
          <w:szCs w:val="24"/>
          <w:lang w:val="es-MX"/>
        </w:rPr>
        <w:t>la institución de salud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incumplió con su obligación concreta y constante de avanzar lo más expedita y eficaz</w:t>
      </w:r>
      <w:r w:rsidR="005E1257">
        <w:rPr>
          <w:rFonts w:ascii="Times New Roman" w:eastAsia="Times New Roman" w:hAnsi="Times New Roman" w:cs="Times New Roman"/>
          <w:sz w:val="24"/>
          <w:szCs w:val="24"/>
          <w:lang w:val="es-MX"/>
        </w:rPr>
        <w:t>mente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posible hacia la realización de</w:t>
      </w:r>
      <w:r w:rsidR="00EA5AAE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l derecho a salud del paciente</w:t>
      </w:r>
      <w:r w:rsidR="00F234E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—salvaguardas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F234E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que son 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de carác</w:t>
      </w:r>
      <w:r w:rsidR="002F6DC0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ter progresivo</w:t>
      </w:r>
      <w:r w:rsidR="00F234E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—. </w:t>
      </w:r>
      <w:r w:rsidR="00775A83">
        <w:rPr>
          <w:rFonts w:ascii="Times New Roman" w:eastAsia="Times New Roman" w:hAnsi="Times New Roman" w:cs="Times New Roman"/>
          <w:sz w:val="24"/>
          <w:szCs w:val="24"/>
          <w:lang w:val="es-MX"/>
        </w:rPr>
        <w:t>Esto, p</w:t>
      </w:r>
      <w:r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ues no demostró haber adoptado las medidas necesarias, hasta el máximo de los recursos de los que dispone, para lograr su efectividad.</w:t>
      </w:r>
    </w:p>
    <w:p w14:paraId="7044A021" w14:textId="77777777" w:rsidR="00EE7B74" w:rsidRDefault="00EE7B74" w:rsidP="00EE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5AB53E5" w14:textId="450CFC2E" w:rsidR="006367D4" w:rsidRPr="00EE7B74" w:rsidRDefault="00775A83" w:rsidP="00EE7B7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 esta manera, la Sala concluyó que </w:t>
      </w:r>
      <w:r w:rsidR="002F6DC0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l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 autoridad </w:t>
      </w:r>
      <w:r w:rsidR="00F234E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cometi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ó una violación al derecho humano a la salud en la medida en que no sólo suspendió el suministro del medicamento antirretroviral al </w:t>
      </w:r>
      <w:r w:rsidR="005E1257">
        <w:rPr>
          <w:rFonts w:ascii="Times New Roman" w:eastAsia="Times New Roman" w:hAnsi="Times New Roman" w:cs="Times New Roman"/>
          <w:sz w:val="24"/>
          <w:szCs w:val="24"/>
          <w:lang w:val="es-MX"/>
        </w:rPr>
        <w:t>solicitante de amparo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sino que no demostró </w:t>
      </w:r>
      <w:r w:rsidR="00F234E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haber adoptado 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medidas necesarias para evitar el incumplimiento de su obligación, ni mucho menos demostró haber agotado todos sus recursos para garantizar su cumplimiento. </w:t>
      </w:r>
      <w:r w:rsidR="002F6DC0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Finalmente,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 Primera Sala 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>concedió la protección de la Justicia Federal al quejoso y ordenó a la autoridad a proveer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le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forma oportuna, permanente y constante, sin interrupciones, de los medicamentos para su tratamiento antirretroviral y a garantizar de manera prioritaria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su</w:t>
      </w:r>
      <w:r w:rsidR="006367D4" w:rsidRPr="00EE7B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derecho a la salud.</w:t>
      </w:r>
    </w:p>
    <w:p w14:paraId="55BD111A" w14:textId="77777777" w:rsidR="00EE7B74" w:rsidRDefault="00EE7B74" w:rsidP="00EE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MX"/>
        </w:rPr>
      </w:pPr>
    </w:p>
    <w:p w14:paraId="38BE45BE" w14:textId="5ABA57B7" w:rsidR="00BB18E8" w:rsidRPr="00EE7B74" w:rsidRDefault="00BB18E8" w:rsidP="00EE7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EE7B74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Votación:</w:t>
      </w:r>
    </w:p>
    <w:p w14:paraId="05244010" w14:textId="77777777" w:rsidR="00EE7B74" w:rsidRDefault="00EE7B74" w:rsidP="00EE7B74">
      <w:pPr>
        <w:pStyle w:val="corte4fondo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</w:p>
    <w:p w14:paraId="1CAF0717" w14:textId="18A1B8B1" w:rsidR="00E73E08" w:rsidRDefault="00BB18E8" w:rsidP="00EE7B74">
      <w:pPr>
        <w:pStyle w:val="corte4fondo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EE7B74">
        <w:rPr>
          <w:rFonts w:ascii="Times New Roman" w:eastAsia="Times New Roman" w:hAnsi="Times New Roman" w:cs="Times New Roman"/>
          <w:color w:val="000000"/>
          <w:sz w:val="24"/>
          <w:lang w:eastAsia="es-MX"/>
        </w:rPr>
        <w:lastRenderedPageBreak/>
        <w:t xml:space="preserve">El asunto fue aprobado </w:t>
      </w:r>
      <w:r w:rsidR="00EE7B7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en sesión de la Primera Sala del 11 de noviembre de 2020, </w:t>
      </w:r>
      <w:r w:rsidRPr="00EE7B7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por unanimidad de cinco votos </w:t>
      </w:r>
      <w:r w:rsidR="002F6DC0" w:rsidRPr="00EE7B74">
        <w:rPr>
          <w:rFonts w:ascii="Times New Roman" w:hAnsi="Times New Roman" w:cs="Times New Roman"/>
          <w:sz w:val="24"/>
        </w:rPr>
        <w:t xml:space="preserve">de las Señoras </w:t>
      </w:r>
      <w:proofErr w:type="gramStart"/>
      <w:r w:rsidR="002F6DC0" w:rsidRPr="00EE7B74">
        <w:rPr>
          <w:rFonts w:ascii="Times New Roman" w:hAnsi="Times New Roman" w:cs="Times New Roman"/>
          <w:sz w:val="24"/>
        </w:rPr>
        <w:t>Ministras</w:t>
      </w:r>
      <w:proofErr w:type="gramEnd"/>
      <w:r w:rsidR="002F6DC0" w:rsidRPr="00EE7B74">
        <w:rPr>
          <w:rFonts w:ascii="Times New Roman" w:hAnsi="Times New Roman" w:cs="Times New Roman"/>
          <w:bCs/>
          <w:sz w:val="24"/>
        </w:rPr>
        <w:t xml:space="preserve"> </w:t>
      </w:r>
      <w:r w:rsidR="002F6DC0" w:rsidRPr="00EE7B74">
        <w:rPr>
          <w:rFonts w:ascii="Times New Roman" w:hAnsi="Times New Roman" w:cs="Times New Roman"/>
          <w:sz w:val="24"/>
        </w:rPr>
        <w:t>Norma Lucía Piña Hernández, quien se reserva el derecho de formular voto concurrente y Ana Margarita Ríos Farjat, y de los Señores Ministros Alfredo Gutiérrez Ortiz Mena, Jorge Mario Pardo Rebolledo y Juan Luis González Alcántara Carrancá.</w:t>
      </w:r>
    </w:p>
    <w:p w14:paraId="39596E82" w14:textId="36F15628" w:rsidR="00EE7B74" w:rsidRDefault="00EE7B74" w:rsidP="00EE7B74">
      <w:pPr>
        <w:pStyle w:val="corte4fondo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EE7B74" w:rsidRPr="0023400E" w14:paraId="3AC96DA6" w14:textId="77777777" w:rsidTr="003E468A">
        <w:tc>
          <w:tcPr>
            <w:tcW w:w="8828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auto"/>
          </w:tcPr>
          <w:p w14:paraId="7D842A51" w14:textId="77777777" w:rsidR="00EE7B74" w:rsidRPr="0023400E" w:rsidRDefault="00EE7B74" w:rsidP="003E46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525854D8" w14:textId="77777777" w:rsidR="00EE7B74" w:rsidRPr="0023400E" w:rsidRDefault="00EE7B74" w:rsidP="003E46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  <w:p w14:paraId="21BBC035" w14:textId="77777777" w:rsidR="00EE7B74" w:rsidRPr="0023400E" w:rsidRDefault="00EE7B74" w:rsidP="003E46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</w:tbl>
    <w:p w14:paraId="638309B5" w14:textId="77777777" w:rsidR="00EE7B74" w:rsidRPr="00EE7B74" w:rsidRDefault="00EE7B74" w:rsidP="00EE7B74">
      <w:pPr>
        <w:pStyle w:val="corte4fondo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sectPr w:rsidR="00EE7B74" w:rsidRPr="00EE7B7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E56D" w14:textId="77777777" w:rsidR="00D43E2C" w:rsidRDefault="00D43E2C" w:rsidP="004C5362">
      <w:pPr>
        <w:spacing w:after="0" w:line="240" w:lineRule="auto"/>
      </w:pPr>
      <w:r>
        <w:separator/>
      </w:r>
    </w:p>
  </w:endnote>
  <w:endnote w:type="continuationSeparator" w:id="0">
    <w:p w14:paraId="548ACD3D" w14:textId="77777777" w:rsidR="00D43E2C" w:rsidRDefault="00D43E2C" w:rsidP="004C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279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A2DEDE" w14:textId="2B89013B" w:rsidR="004C5362" w:rsidRPr="004C5362" w:rsidRDefault="004C5362">
        <w:pPr>
          <w:pStyle w:val="Piedepgina"/>
          <w:jc w:val="center"/>
          <w:rPr>
            <w:rFonts w:ascii="Times New Roman" w:hAnsi="Times New Roman" w:cs="Times New Roman"/>
          </w:rPr>
        </w:pPr>
        <w:r w:rsidRPr="004C5362">
          <w:rPr>
            <w:rFonts w:ascii="Times New Roman" w:hAnsi="Times New Roman" w:cs="Times New Roman"/>
          </w:rPr>
          <w:fldChar w:fldCharType="begin"/>
        </w:r>
        <w:r w:rsidRPr="004C5362">
          <w:rPr>
            <w:rFonts w:ascii="Times New Roman" w:hAnsi="Times New Roman" w:cs="Times New Roman"/>
          </w:rPr>
          <w:instrText>PAGE   \* MERGEFORMAT</w:instrText>
        </w:r>
        <w:r w:rsidRPr="004C5362">
          <w:rPr>
            <w:rFonts w:ascii="Times New Roman" w:hAnsi="Times New Roman" w:cs="Times New Roman"/>
          </w:rPr>
          <w:fldChar w:fldCharType="separate"/>
        </w:r>
        <w:r w:rsidRPr="004C5362">
          <w:rPr>
            <w:rFonts w:ascii="Times New Roman" w:hAnsi="Times New Roman" w:cs="Times New Roman"/>
            <w:lang w:val="es-ES"/>
          </w:rPr>
          <w:t>2</w:t>
        </w:r>
        <w:r w:rsidRPr="004C5362">
          <w:rPr>
            <w:rFonts w:ascii="Times New Roman" w:hAnsi="Times New Roman" w:cs="Times New Roman"/>
          </w:rPr>
          <w:fldChar w:fldCharType="end"/>
        </w:r>
      </w:p>
    </w:sdtContent>
  </w:sdt>
  <w:p w14:paraId="70623EA8" w14:textId="77777777" w:rsidR="004C5362" w:rsidRDefault="004C53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F2A0" w14:textId="77777777" w:rsidR="00D43E2C" w:rsidRDefault="00D43E2C" w:rsidP="004C5362">
      <w:pPr>
        <w:spacing w:after="0" w:line="240" w:lineRule="auto"/>
      </w:pPr>
      <w:r>
        <w:separator/>
      </w:r>
    </w:p>
  </w:footnote>
  <w:footnote w:type="continuationSeparator" w:id="0">
    <w:p w14:paraId="5F3E4256" w14:textId="77777777" w:rsidR="00D43E2C" w:rsidRDefault="00D43E2C" w:rsidP="004C5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E8"/>
    <w:rsid w:val="000C7AE7"/>
    <w:rsid w:val="001C1696"/>
    <w:rsid w:val="002363E4"/>
    <w:rsid w:val="00274042"/>
    <w:rsid w:val="00275CD3"/>
    <w:rsid w:val="00295D63"/>
    <w:rsid w:val="002F6DC0"/>
    <w:rsid w:val="003162A6"/>
    <w:rsid w:val="00466CA2"/>
    <w:rsid w:val="004C5362"/>
    <w:rsid w:val="004D5DFC"/>
    <w:rsid w:val="00506661"/>
    <w:rsid w:val="0053048F"/>
    <w:rsid w:val="005C631D"/>
    <w:rsid w:val="005E1257"/>
    <w:rsid w:val="006367D4"/>
    <w:rsid w:val="00743693"/>
    <w:rsid w:val="00775A83"/>
    <w:rsid w:val="007C3923"/>
    <w:rsid w:val="0080373E"/>
    <w:rsid w:val="008D17EB"/>
    <w:rsid w:val="008F33DF"/>
    <w:rsid w:val="00983879"/>
    <w:rsid w:val="009A2F80"/>
    <w:rsid w:val="00A16546"/>
    <w:rsid w:val="00AF5AD8"/>
    <w:rsid w:val="00B26E3A"/>
    <w:rsid w:val="00B370A6"/>
    <w:rsid w:val="00B7508C"/>
    <w:rsid w:val="00BB18E8"/>
    <w:rsid w:val="00C57D45"/>
    <w:rsid w:val="00D025FE"/>
    <w:rsid w:val="00D43E2C"/>
    <w:rsid w:val="00E21F67"/>
    <w:rsid w:val="00E421B1"/>
    <w:rsid w:val="00E73E08"/>
    <w:rsid w:val="00E95B5E"/>
    <w:rsid w:val="00EA5AAE"/>
    <w:rsid w:val="00EE7B74"/>
    <w:rsid w:val="00F234E4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6696"/>
  <w15:chartTrackingRefBased/>
  <w15:docId w15:val="{35F9EA5C-63CF-42DD-B19F-78044AD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E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rte4fondoCar3">
    <w:name w:val="corte4 fondo Car3"/>
    <w:link w:val="corte4fondo"/>
    <w:locked/>
    <w:rsid w:val="002F6DC0"/>
    <w:rPr>
      <w:rFonts w:ascii="Arial" w:hAnsi="Arial" w:cs="Arial"/>
      <w:sz w:val="30"/>
      <w:szCs w:val="24"/>
    </w:rPr>
  </w:style>
  <w:style w:type="paragraph" w:customStyle="1" w:styleId="corte4fondo">
    <w:name w:val="corte4 fondo"/>
    <w:basedOn w:val="Normal"/>
    <w:link w:val="corte4fondoCar3"/>
    <w:qFormat/>
    <w:rsid w:val="002F6DC0"/>
    <w:pPr>
      <w:spacing w:after="0" w:line="360" w:lineRule="auto"/>
      <w:ind w:firstLine="709"/>
      <w:jc w:val="both"/>
    </w:pPr>
    <w:rPr>
      <w:rFonts w:ascii="Arial" w:hAnsi="Arial" w:cs="Arial"/>
      <w:sz w:val="30"/>
      <w:szCs w:val="24"/>
      <w:lang w:val="es-MX"/>
    </w:rPr>
  </w:style>
  <w:style w:type="table" w:styleId="Tablaconcuadrcula">
    <w:name w:val="Table Grid"/>
    <w:basedOn w:val="Tablanormal"/>
    <w:uiPriority w:val="39"/>
    <w:rsid w:val="00EE7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E7B74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C5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36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C5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3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SCJN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Gomez  , Mineli Michel</dc:creator>
  <cp:keywords/>
  <dc:description/>
  <cp:lastModifiedBy>BRUNO ALEJANDRO PATIÑO RENTERIA</cp:lastModifiedBy>
  <cp:revision>20</cp:revision>
  <dcterms:created xsi:type="dcterms:W3CDTF">2021-12-03T20:39:00Z</dcterms:created>
  <dcterms:modified xsi:type="dcterms:W3CDTF">2022-02-09T00:34:00Z</dcterms:modified>
</cp:coreProperties>
</file>