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E6758" w14:textId="77777777" w:rsidR="006F261F" w:rsidRPr="00173E12" w:rsidRDefault="006F261F" w:rsidP="00173E12">
      <w:pPr>
        <w:shd w:val="clear" w:color="auto" w:fill="668CD0"/>
        <w:spacing w:after="0" w:line="240" w:lineRule="auto"/>
        <w:jc w:val="center"/>
        <w:rPr>
          <w:rFonts w:ascii="Times New Roman" w:hAnsi="Times New Roman" w:cs="Times New Roman"/>
          <w:b/>
          <w:bCs/>
          <w:sz w:val="28"/>
          <w:szCs w:val="28"/>
          <w:lang w:val="es-MX"/>
        </w:rPr>
      </w:pPr>
      <w:r w:rsidRPr="00173E12">
        <w:rPr>
          <w:rFonts w:ascii="Times New Roman" w:hAnsi="Times New Roman" w:cs="Times New Roman"/>
          <w:b/>
          <w:bCs/>
          <w:sz w:val="28"/>
          <w:szCs w:val="28"/>
          <w:lang w:val="es-MX"/>
        </w:rPr>
        <w:t>RESEÑAS DE LA PRIMERA SALA</w:t>
      </w:r>
    </w:p>
    <w:p w14:paraId="4F5127D4" w14:textId="77777777" w:rsidR="00173E12" w:rsidRPr="00173E12" w:rsidRDefault="00173E12" w:rsidP="00173E12">
      <w:pPr>
        <w:spacing w:after="0" w:line="240" w:lineRule="auto"/>
        <w:jc w:val="both"/>
        <w:rPr>
          <w:rFonts w:ascii="Times New Roman" w:hAnsi="Times New Roman" w:cs="Times New Roman"/>
          <w:sz w:val="26"/>
          <w:szCs w:val="26"/>
          <w:lang w:val="es-MX"/>
        </w:rPr>
      </w:pPr>
    </w:p>
    <w:p w14:paraId="180F9362" w14:textId="7771D457" w:rsidR="006F261F" w:rsidRPr="00173E12" w:rsidRDefault="006F261F" w:rsidP="00173E12">
      <w:pPr>
        <w:spacing w:after="0" w:line="240" w:lineRule="auto"/>
        <w:jc w:val="center"/>
        <w:rPr>
          <w:rFonts w:ascii="Times New Roman" w:hAnsi="Times New Roman" w:cs="Times New Roman"/>
          <w:b/>
          <w:bCs/>
          <w:sz w:val="26"/>
          <w:szCs w:val="26"/>
          <w:lang w:val="es-MX"/>
        </w:rPr>
      </w:pPr>
      <w:r w:rsidRPr="00173E12">
        <w:rPr>
          <w:rFonts w:ascii="Times New Roman" w:hAnsi="Times New Roman" w:cs="Times New Roman"/>
          <w:b/>
          <w:bCs/>
          <w:sz w:val="26"/>
          <w:szCs w:val="26"/>
          <w:lang w:val="es-MX"/>
        </w:rPr>
        <w:t>AMPARO DIR</w:t>
      </w:r>
      <w:r w:rsidR="00E77042" w:rsidRPr="00173E12">
        <w:rPr>
          <w:rFonts w:ascii="Times New Roman" w:hAnsi="Times New Roman" w:cs="Times New Roman"/>
          <w:b/>
          <w:bCs/>
          <w:sz w:val="26"/>
          <w:szCs w:val="26"/>
          <w:lang w:val="es-MX"/>
        </w:rPr>
        <w:t>ECTO EN REVISIÓN 7653/2019</w:t>
      </w:r>
    </w:p>
    <w:p w14:paraId="64EC161F" w14:textId="19D3D2EF" w:rsidR="00173E12" w:rsidRPr="00173E12" w:rsidRDefault="00173E12" w:rsidP="00173E12">
      <w:pPr>
        <w:spacing w:after="0" w:line="240" w:lineRule="auto"/>
        <w:jc w:val="both"/>
        <w:rPr>
          <w:rFonts w:ascii="Times New Roman" w:hAnsi="Times New Roman" w:cs="Times New Roman"/>
          <w:sz w:val="26"/>
          <w:szCs w:val="26"/>
          <w:lang w:val="es-MX"/>
        </w:rPr>
      </w:pPr>
    </w:p>
    <w:p w14:paraId="60C3676B" w14:textId="31E624B0" w:rsidR="00173E12" w:rsidRPr="00173E12" w:rsidRDefault="00173E12" w:rsidP="00173E12">
      <w:pPr>
        <w:shd w:val="clear" w:color="auto" w:fill="DBDBDB" w:themeFill="accent3" w:themeFillTint="66"/>
        <w:spacing w:after="0" w:line="240" w:lineRule="auto"/>
        <w:jc w:val="center"/>
        <w:rPr>
          <w:rFonts w:ascii="Times New Roman" w:hAnsi="Times New Roman" w:cs="Times New Roman"/>
          <w:smallCaps/>
          <w:spacing w:val="2"/>
          <w:sz w:val="26"/>
          <w:szCs w:val="26"/>
          <w:lang w:val="es-MX"/>
        </w:rPr>
      </w:pPr>
      <w:bookmarkStart w:id="0" w:name="_Hlk96420496"/>
      <w:r w:rsidRPr="00173E12">
        <w:rPr>
          <w:rFonts w:ascii="Times New Roman" w:hAnsi="Times New Roman" w:cs="Times New Roman"/>
          <w:smallCaps/>
          <w:spacing w:val="2"/>
          <w:sz w:val="26"/>
          <w:szCs w:val="26"/>
          <w:lang w:val="es-MX"/>
        </w:rPr>
        <w:t>El derecho a la compensación económica en favor del cónyuge que se dedicó preponderantemente a las tareas del hogar, no puede depender del reconocimiento expreso que haga cada legislación estatal.</w:t>
      </w:r>
    </w:p>
    <w:p w14:paraId="43636982" w14:textId="77777777" w:rsidR="00173E12" w:rsidRPr="00173E12" w:rsidRDefault="00173E12" w:rsidP="00173E12">
      <w:pPr>
        <w:spacing w:after="0" w:line="240" w:lineRule="auto"/>
        <w:jc w:val="both"/>
        <w:rPr>
          <w:rFonts w:ascii="Times New Roman" w:hAnsi="Times New Roman" w:cs="Times New Roman"/>
          <w:sz w:val="24"/>
          <w:szCs w:val="24"/>
          <w:lang w:val="es-MX"/>
        </w:rPr>
      </w:pPr>
    </w:p>
    <w:p w14:paraId="57D380CF" w14:textId="77777777" w:rsidR="00173E12" w:rsidRPr="00173E12" w:rsidRDefault="00173E12" w:rsidP="00173E12">
      <w:pPr>
        <w:spacing w:after="0" w:line="240" w:lineRule="auto"/>
        <w:rPr>
          <w:rFonts w:ascii="Times New Roman" w:hAnsi="Times New Roman" w:cs="Times New Roman"/>
          <w:smallCaps/>
          <w:sz w:val="24"/>
          <w:szCs w:val="24"/>
          <w:lang w:val="es-MX"/>
        </w:rPr>
      </w:pPr>
      <w:r w:rsidRPr="00173E12">
        <w:rPr>
          <w:rFonts w:ascii="Times New Roman" w:hAnsi="Times New Roman" w:cs="Times New Roman"/>
          <w:b/>
          <w:bCs/>
          <w:smallCaps/>
          <w:sz w:val="24"/>
          <w:szCs w:val="24"/>
          <w:lang w:val="es-MX"/>
        </w:rPr>
        <w:t>Ponente: Ministra Ana Margarita Ríos Farjat</w:t>
      </w:r>
      <w:r w:rsidRPr="00173E12">
        <w:rPr>
          <w:rFonts w:ascii="Times New Roman" w:hAnsi="Times New Roman" w:cs="Times New Roman"/>
          <w:smallCaps/>
          <w:sz w:val="24"/>
          <w:szCs w:val="24"/>
          <w:lang w:val="es-MX"/>
        </w:rPr>
        <w:t>.</w:t>
      </w:r>
    </w:p>
    <w:p w14:paraId="68016435" w14:textId="226A3485" w:rsidR="00173E12" w:rsidRPr="00173E12" w:rsidRDefault="00173E12" w:rsidP="00173E12">
      <w:pPr>
        <w:spacing w:after="0" w:line="240" w:lineRule="auto"/>
        <w:rPr>
          <w:rFonts w:ascii="Times New Roman" w:hAnsi="Times New Roman" w:cs="Times New Roman"/>
          <w:smallCaps/>
          <w:sz w:val="24"/>
          <w:szCs w:val="24"/>
          <w:lang w:val="es-MX"/>
        </w:rPr>
      </w:pPr>
      <w:r w:rsidRPr="00173E12">
        <w:rPr>
          <w:rFonts w:ascii="Times New Roman" w:hAnsi="Times New Roman" w:cs="Times New Roman"/>
          <w:smallCaps/>
          <w:sz w:val="24"/>
          <w:szCs w:val="24"/>
          <w:lang w:val="es-MX"/>
        </w:rPr>
        <w:t>Secretaria: María Elena Corral Goyeneche.</w:t>
      </w:r>
    </w:p>
    <w:p w14:paraId="186E2B62" w14:textId="7404522A" w:rsidR="00173E12" w:rsidRPr="00173E12" w:rsidRDefault="00173E12" w:rsidP="00173E12">
      <w:pPr>
        <w:spacing w:after="0" w:line="240" w:lineRule="auto"/>
        <w:rPr>
          <w:rFonts w:ascii="Times New Roman" w:hAnsi="Times New Roman" w:cs="Times New Roman"/>
          <w:smallCaps/>
          <w:sz w:val="24"/>
          <w:szCs w:val="24"/>
          <w:lang w:val="es-MX"/>
        </w:rPr>
      </w:pPr>
      <w:r w:rsidRPr="00173E12">
        <w:rPr>
          <w:rFonts w:ascii="Times New Roman" w:hAnsi="Times New Roman" w:cs="Times New Roman"/>
          <w:smallCaps/>
          <w:sz w:val="24"/>
          <w:szCs w:val="24"/>
          <w:lang w:val="es-MX"/>
        </w:rPr>
        <w:t>Secretario Auxiliar: Alfonso Alexander López</w:t>
      </w:r>
      <w:r w:rsidR="00AF10AD">
        <w:rPr>
          <w:rFonts w:ascii="Times New Roman" w:hAnsi="Times New Roman" w:cs="Times New Roman"/>
          <w:smallCaps/>
          <w:sz w:val="24"/>
          <w:szCs w:val="24"/>
          <w:lang w:val="es-MX"/>
        </w:rPr>
        <w:t xml:space="preserve"> </w:t>
      </w:r>
      <w:r w:rsidRPr="00173E12">
        <w:rPr>
          <w:rFonts w:ascii="Times New Roman" w:hAnsi="Times New Roman" w:cs="Times New Roman"/>
          <w:smallCaps/>
          <w:sz w:val="24"/>
          <w:szCs w:val="24"/>
          <w:lang w:val="es-MX"/>
        </w:rPr>
        <w:t>Moreno.</w:t>
      </w:r>
    </w:p>
    <w:bookmarkEnd w:id="0"/>
    <w:p w14:paraId="5583182E" w14:textId="12478542" w:rsidR="00173E12" w:rsidRPr="00173E12" w:rsidRDefault="00173E12" w:rsidP="00173E12">
      <w:pPr>
        <w:spacing w:after="0" w:line="240" w:lineRule="auto"/>
        <w:jc w:val="both"/>
        <w:rPr>
          <w:rFonts w:ascii="Times New Roman" w:hAnsi="Times New Roman" w:cs="Times New Roman"/>
          <w:sz w:val="24"/>
          <w:szCs w:val="24"/>
          <w:lang w:val="es-MX"/>
        </w:rPr>
      </w:pPr>
    </w:p>
    <w:tbl>
      <w:tblPr>
        <w:tblStyle w:val="Tablaconcuadrcula"/>
        <w:tblW w:w="0" w:type="auto"/>
        <w:tblLook w:val="04A0" w:firstRow="1" w:lastRow="0" w:firstColumn="1" w:lastColumn="0" w:noHBand="0" w:noVBand="1"/>
      </w:tblPr>
      <w:tblGrid>
        <w:gridCol w:w="8828"/>
      </w:tblGrid>
      <w:tr w:rsidR="00173E12" w:rsidRPr="00173E12" w14:paraId="2712F494" w14:textId="77777777" w:rsidTr="000A31BD">
        <w:tc>
          <w:tcPr>
            <w:tcW w:w="8828" w:type="dxa"/>
            <w:shd w:val="clear" w:color="auto" w:fill="auto"/>
          </w:tcPr>
          <w:p w14:paraId="6B5FCB22" w14:textId="6D4714DA" w:rsidR="00173E12" w:rsidRDefault="00173E12" w:rsidP="00173E12">
            <w:pPr>
              <w:spacing w:after="0" w:line="240" w:lineRule="auto"/>
              <w:jc w:val="both"/>
              <w:rPr>
                <w:rFonts w:ascii="Times New Roman" w:hAnsi="Times New Roman" w:cs="Times New Roman"/>
                <w:b/>
                <w:bCs/>
                <w:sz w:val="20"/>
                <w:szCs w:val="20"/>
                <w:lang w:val="es-MX"/>
              </w:rPr>
            </w:pPr>
            <w:bookmarkStart w:id="1" w:name="_Hlk96420610"/>
            <w:r w:rsidRPr="00173E12">
              <w:rPr>
                <w:rFonts w:ascii="Times New Roman" w:hAnsi="Times New Roman" w:cs="Times New Roman"/>
                <w:b/>
                <w:bCs/>
                <w:sz w:val="20"/>
                <w:szCs w:val="20"/>
                <w:lang w:val="es-MX"/>
              </w:rPr>
              <w:t>Resumen:</w:t>
            </w:r>
          </w:p>
          <w:p w14:paraId="5AF7F1F2" w14:textId="77777777" w:rsidR="00173E12" w:rsidRPr="00173E12" w:rsidRDefault="00173E12" w:rsidP="00173E12">
            <w:pPr>
              <w:spacing w:after="0" w:line="240" w:lineRule="auto"/>
              <w:jc w:val="both"/>
              <w:rPr>
                <w:rFonts w:ascii="Times New Roman" w:hAnsi="Times New Roman" w:cs="Times New Roman"/>
                <w:b/>
                <w:bCs/>
                <w:sz w:val="20"/>
                <w:szCs w:val="20"/>
                <w:lang w:val="es-MX"/>
              </w:rPr>
            </w:pPr>
          </w:p>
          <w:p w14:paraId="6E793B17" w14:textId="77777777" w:rsidR="00345593" w:rsidRDefault="00173E12" w:rsidP="00173E12">
            <w:pPr>
              <w:spacing w:after="0" w:line="240" w:lineRule="auto"/>
              <w:jc w:val="both"/>
              <w:rPr>
                <w:rFonts w:ascii="Times New Roman" w:hAnsi="Times New Roman" w:cs="Times New Roman"/>
                <w:sz w:val="20"/>
                <w:szCs w:val="20"/>
                <w:lang w:val="es-MX"/>
              </w:rPr>
            </w:pPr>
            <w:r w:rsidRPr="00173E12">
              <w:rPr>
                <w:rFonts w:ascii="Times New Roman" w:hAnsi="Times New Roman" w:cs="Times New Roman"/>
                <w:sz w:val="20"/>
                <w:szCs w:val="20"/>
                <w:lang w:val="es-MX"/>
              </w:rPr>
              <w:t xml:space="preserve">Una mujer promovió juicio de amparo directo en el que planteó la inconstitucionalidad del artículo 162 del Código Civil para el Estado de Veracruz, vigente hasta el diez de junio de dos mil veinte, por no prever el pago de una pensión compensatoria sobre los bienes adquiridos durante el matrimonio celebrado bajo el régimen de separación de bienes, </w:t>
            </w:r>
            <w:r w:rsidR="00AF10AD">
              <w:rPr>
                <w:rFonts w:ascii="Times New Roman" w:hAnsi="Times New Roman" w:cs="Times New Roman"/>
                <w:sz w:val="20"/>
                <w:szCs w:val="20"/>
                <w:lang w:val="es-MX"/>
              </w:rPr>
              <w:t>lo cual estimó</w:t>
            </w:r>
            <w:r w:rsidRPr="00173E12">
              <w:rPr>
                <w:rFonts w:ascii="Times New Roman" w:hAnsi="Times New Roman" w:cs="Times New Roman"/>
                <w:sz w:val="20"/>
                <w:szCs w:val="20"/>
                <w:lang w:val="es-MX"/>
              </w:rPr>
              <w:t xml:space="preserve"> violatorio del principio de igualdad entre cónyuges. </w:t>
            </w:r>
          </w:p>
          <w:p w14:paraId="5E48BF86" w14:textId="77777777" w:rsidR="00345593" w:rsidRDefault="00345593" w:rsidP="00173E12">
            <w:pPr>
              <w:spacing w:after="0" w:line="240" w:lineRule="auto"/>
              <w:jc w:val="both"/>
              <w:rPr>
                <w:rFonts w:ascii="Times New Roman" w:hAnsi="Times New Roman" w:cs="Times New Roman"/>
                <w:sz w:val="20"/>
                <w:szCs w:val="20"/>
                <w:lang w:val="es-MX"/>
              </w:rPr>
            </w:pPr>
          </w:p>
          <w:p w14:paraId="2D5F18D4" w14:textId="30483C94" w:rsidR="00173E12" w:rsidRDefault="00173E12" w:rsidP="00173E12">
            <w:pPr>
              <w:spacing w:after="0" w:line="240" w:lineRule="auto"/>
              <w:jc w:val="both"/>
              <w:rPr>
                <w:rFonts w:ascii="Times New Roman" w:hAnsi="Times New Roman" w:cs="Times New Roman"/>
                <w:sz w:val="20"/>
                <w:szCs w:val="20"/>
                <w:lang w:val="es-MX"/>
              </w:rPr>
            </w:pPr>
            <w:r w:rsidRPr="00173E12">
              <w:rPr>
                <w:rFonts w:ascii="Times New Roman" w:hAnsi="Times New Roman" w:cs="Times New Roman"/>
                <w:sz w:val="20"/>
                <w:szCs w:val="20"/>
                <w:lang w:val="es-MX"/>
              </w:rPr>
              <w:t>El Tribunal Colegiado negó el amparo, por lo que la mujer interpuso el presente recurso de revisión.</w:t>
            </w:r>
          </w:p>
          <w:p w14:paraId="4AD3DD9A" w14:textId="77777777" w:rsidR="00173E12" w:rsidRPr="00173E12" w:rsidRDefault="00173E12" w:rsidP="00173E12">
            <w:pPr>
              <w:spacing w:after="0" w:line="240" w:lineRule="auto"/>
              <w:jc w:val="both"/>
              <w:rPr>
                <w:rFonts w:ascii="Times New Roman" w:hAnsi="Times New Roman" w:cs="Times New Roman"/>
                <w:sz w:val="20"/>
                <w:szCs w:val="20"/>
                <w:lang w:val="es-MX"/>
              </w:rPr>
            </w:pPr>
          </w:p>
          <w:p w14:paraId="41074BB5" w14:textId="4E23461F" w:rsidR="00173E12" w:rsidRDefault="00173E12" w:rsidP="00173E12">
            <w:pPr>
              <w:spacing w:after="0" w:line="240" w:lineRule="auto"/>
              <w:jc w:val="both"/>
              <w:rPr>
                <w:rFonts w:ascii="Times New Roman" w:hAnsi="Times New Roman" w:cs="Times New Roman"/>
                <w:sz w:val="20"/>
                <w:szCs w:val="20"/>
                <w:lang w:val="es-MX"/>
              </w:rPr>
            </w:pPr>
            <w:r w:rsidRPr="00173E12">
              <w:rPr>
                <w:rFonts w:ascii="Times New Roman" w:hAnsi="Times New Roman" w:cs="Times New Roman"/>
                <w:sz w:val="20"/>
                <w:szCs w:val="20"/>
                <w:lang w:val="es-MX"/>
              </w:rPr>
              <w:t>La Primera Sala analizó la constitucionalidad del artículo impugnado, a la luz del derecho de igualdad entre cónyuges y los límites de la libertad configurativa de los estados, conforme a lo cual determinó que el derecho a obtener una compensación económica no puede depender del reconocimiento expreso que haga cada legislación estatal.</w:t>
            </w:r>
          </w:p>
          <w:p w14:paraId="66FD8638" w14:textId="20859DE6" w:rsidR="00173E12" w:rsidRPr="00173E12" w:rsidRDefault="00173E12" w:rsidP="00173E12">
            <w:pPr>
              <w:spacing w:after="0" w:line="240" w:lineRule="auto"/>
              <w:jc w:val="both"/>
              <w:rPr>
                <w:rFonts w:ascii="Times New Roman" w:hAnsi="Times New Roman" w:cs="Times New Roman"/>
                <w:sz w:val="20"/>
                <w:szCs w:val="20"/>
                <w:lang w:val="es-MX"/>
              </w:rPr>
            </w:pPr>
          </w:p>
        </w:tc>
      </w:tr>
      <w:bookmarkEnd w:id="1"/>
    </w:tbl>
    <w:p w14:paraId="5CCFDFC2" w14:textId="2DC80AD1" w:rsidR="00173E12" w:rsidRPr="00173E12" w:rsidRDefault="00173E12" w:rsidP="00173E12">
      <w:pPr>
        <w:spacing w:after="0" w:line="240" w:lineRule="auto"/>
        <w:jc w:val="both"/>
        <w:rPr>
          <w:rFonts w:ascii="Times New Roman" w:hAnsi="Times New Roman" w:cs="Times New Roman"/>
          <w:sz w:val="24"/>
          <w:szCs w:val="24"/>
          <w:lang w:val="es-MX"/>
        </w:rPr>
      </w:pPr>
    </w:p>
    <w:p w14:paraId="14215DB9" w14:textId="4EC9049B" w:rsidR="006F261F" w:rsidRPr="00AF10AD" w:rsidRDefault="006F261F" w:rsidP="00173E12">
      <w:pPr>
        <w:spacing w:after="0" w:line="240" w:lineRule="auto"/>
        <w:jc w:val="both"/>
        <w:rPr>
          <w:rFonts w:ascii="Times New Roman" w:hAnsi="Times New Roman" w:cs="Times New Roman"/>
          <w:b/>
          <w:bCs/>
          <w:sz w:val="24"/>
          <w:szCs w:val="24"/>
          <w:shd w:val="clear" w:color="auto" w:fill="B4C6E7" w:themeFill="accent1" w:themeFillTint="66"/>
          <w:lang w:val="es-MX"/>
        </w:rPr>
      </w:pPr>
      <w:r w:rsidRPr="00AF10AD">
        <w:rPr>
          <w:rFonts w:ascii="Times New Roman" w:hAnsi="Times New Roman" w:cs="Times New Roman"/>
          <w:b/>
          <w:bCs/>
          <w:sz w:val="24"/>
          <w:szCs w:val="24"/>
          <w:shd w:val="clear" w:color="auto" w:fill="B4C6E7" w:themeFill="accent1" w:themeFillTint="66"/>
          <w:lang w:val="es-MX"/>
        </w:rPr>
        <w:t>Antecedentes del caso:</w:t>
      </w:r>
    </w:p>
    <w:p w14:paraId="10C27FD5" w14:textId="77777777" w:rsidR="00173E12" w:rsidRPr="00173E12" w:rsidRDefault="00173E12" w:rsidP="00173E12">
      <w:pPr>
        <w:spacing w:after="0" w:line="240" w:lineRule="auto"/>
        <w:jc w:val="both"/>
        <w:rPr>
          <w:rFonts w:ascii="Times New Roman" w:eastAsia="Times New Roman" w:hAnsi="Times New Roman" w:cs="Times New Roman"/>
          <w:color w:val="000000"/>
          <w:sz w:val="24"/>
          <w:szCs w:val="24"/>
          <w:lang w:val="es-MX" w:eastAsia="es-MX"/>
        </w:rPr>
      </w:pPr>
    </w:p>
    <w:p w14:paraId="4BC5DE2A" w14:textId="4DEB4FC8" w:rsidR="00B55E84" w:rsidRPr="00173E12" w:rsidRDefault="00372D01" w:rsidP="00173E12">
      <w:pPr>
        <w:spacing w:after="0" w:line="240" w:lineRule="auto"/>
        <w:jc w:val="both"/>
        <w:rPr>
          <w:rFonts w:ascii="Times New Roman" w:eastAsia="Times New Roman" w:hAnsi="Times New Roman" w:cs="Times New Roman"/>
          <w:color w:val="000000"/>
          <w:sz w:val="24"/>
          <w:szCs w:val="24"/>
          <w:lang w:val="es-MX" w:eastAsia="es-MX"/>
        </w:rPr>
      </w:pPr>
      <w:r w:rsidRPr="00173E12">
        <w:rPr>
          <w:rFonts w:ascii="Times New Roman" w:eastAsia="Times New Roman" w:hAnsi="Times New Roman" w:cs="Times New Roman"/>
          <w:color w:val="000000"/>
          <w:sz w:val="24"/>
          <w:szCs w:val="24"/>
          <w:lang w:val="es-MX" w:eastAsia="es-MX"/>
        </w:rPr>
        <w:t xml:space="preserve">Una pareja contrajo matrimonio bajo el régimen de separación de bienes. Posteriormente, el cónyuge demandó el divorcio </w:t>
      </w:r>
      <w:proofErr w:type="spellStart"/>
      <w:r w:rsidRPr="00173E12">
        <w:rPr>
          <w:rFonts w:ascii="Times New Roman" w:eastAsia="Times New Roman" w:hAnsi="Times New Roman" w:cs="Times New Roman"/>
          <w:color w:val="000000"/>
          <w:sz w:val="24"/>
          <w:szCs w:val="24"/>
          <w:lang w:val="es-MX" w:eastAsia="es-MX"/>
        </w:rPr>
        <w:t>incausado</w:t>
      </w:r>
      <w:proofErr w:type="spellEnd"/>
      <w:r w:rsidR="003530D4" w:rsidRPr="00173E12">
        <w:rPr>
          <w:rFonts w:ascii="Times New Roman" w:eastAsia="Times New Roman" w:hAnsi="Times New Roman" w:cs="Times New Roman"/>
          <w:color w:val="000000"/>
          <w:sz w:val="24"/>
          <w:szCs w:val="24"/>
          <w:lang w:val="es-MX" w:eastAsia="es-MX"/>
        </w:rPr>
        <w:t xml:space="preserve"> y la cancelación </w:t>
      </w:r>
      <w:r w:rsidR="00B55E84" w:rsidRPr="00173E12">
        <w:rPr>
          <w:rFonts w:ascii="Times New Roman" w:eastAsia="Times New Roman" w:hAnsi="Times New Roman" w:cs="Times New Roman"/>
          <w:color w:val="000000"/>
          <w:sz w:val="24"/>
          <w:szCs w:val="24"/>
          <w:lang w:val="es-MX" w:eastAsia="es-MX"/>
        </w:rPr>
        <w:t xml:space="preserve">de la pensión alimenticia decretada </w:t>
      </w:r>
      <w:r w:rsidR="00AF10AD">
        <w:rPr>
          <w:rFonts w:ascii="Times New Roman" w:eastAsia="Times New Roman" w:hAnsi="Times New Roman" w:cs="Times New Roman"/>
          <w:color w:val="000000"/>
          <w:sz w:val="24"/>
          <w:szCs w:val="24"/>
          <w:lang w:val="es-MX" w:eastAsia="es-MX"/>
        </w:rPr>
        <w:t>en</w:t>
      </w:r>
      <w:r w:rsidR="00B55E84" w:rsidRPr="00173E12">
        <w:rPr>
          <w:rFonts w:ascii="Times New Roman" w:eastAsia="Times New Roman" w:hAnsi="Times New Roman" w:cs="Times New Roman"/>
          <w:color w:val="000000"/>
          <w:sz w:val="24"/>
          <w:szCs w:val="24"/>
          <w:lang w:val="es-MX" w:eastAsia="es-MX"/>
        </w:rPr>
        <w:t xml:space="preserve"> favor</w:t>
      </w:r>
      <w:r w:rsidR="00993100" w:rsidRPr="00173E12">
        <w:rPr>
          <w:rFonts w:ascii="Times New Roman" w:eastAsia="Times New Roman" w:hAnsi="Times New Roman" w:cs="Times New Roman"/>
          <w:color w:val="000000"/>
          <w:sz w:val="24"/>
          <w:szCs w:val="24"/>
          <w:lang w:val="es-MX" w:eastAsia="es-MX"/>
        </w:rPr>
        <w:t xml:space="preserve"> de su esposa</w:t>
      </w:r>
      <w:r w:rsidRPr="00173E12">
        <w:rPr>
          <w:rFonts w:ascii="Times New Roman" w:eastAsia="Times New Roman" w:hAnsi="Times New Roman" w:cs="Times New Roman"/>
          <w:color w:val="000000"/>
          <w:sz w:val="24"/>
          <w:szCs w:val="24"/>
          <w:lang w:val="es-MX" w:eastAsia="es-MX"/>
        </w:rPr>
        <w:t xml:space="preserve">. Al dar contestación a la demanda instaurada en su contra, la señora solicitó, entre otras, el pago de una </w:t>
      </w:r>
      <w:r w:rsidR="003070FD" w:rsidRPr="00173E12">
        <w:rPr>
          <w:rFonts w:ascii="Times New Roman" w:eastAsia="Times New Roman" w:hAnsi="Times New Roman" w:cs="Times New Roman"/>
          <w:color w:val="000000"/>
          <w:sz w:val="24"/>
          <w:szCs w:val="24"/>
          <w:lang w:val="es-MX" w:eastAsia="es-MX"/>
        </w:rPr>
        <w:t>compensación</w:t>
      </w:r>
      <w:r w:rsidRPr="00173E12">
        <w:rPr>
          <w:rFonts w:ascii="Times New Roman" w:eastAsia="Times New Roman" w:hAnsi="Times New Roman" w:cs="Times New Roman"/>
          <w:color w:val="000000"/>
          <w:sz w:val="24"/>
          <w:szCs w:val="24"/>
          <w:lang w:val="es-MX" w:eastAsia="es-MX"/>
        </w:rPr>
        <w:t xml:space="preserve"> económica.</w:t>
      </w:r>
    </w:p>
    <w:p w14:paraId="6868152F" w14:textId="77777777" w:rsidR="00173E12" w:rsidRDefault="00173E12" w:rsidP="00173E12">
      <w:pPr>
        <w:spacing w:after="0" w:line="240" w:lineRule="auto"/>
        <w:jc w:val="both"/>
        <w:rPr>
          <w:rFonts w:ascii="Times New Roman" w:eastAsia="Calibri" w:hAnsi="Times New Roman" w:cs="Times New Roman"/>
          <w:sz w:val="24"/>
          <w:szCs w:val="24"/>
          <w:lang w:val="es-MX"/>
        </w:rPr>
      </w:pPr>
    </w:p>
    <w:p w14:paraId="664487CD" w14:textId="3AED1C16" w:rsidR="00B55E84" w:rsidRPr="00173E12" w:rsidRDefault="00B55E84" w:rsidP="00173E12">
      <w:pPr>
        <w:spacing w:after="0" w:line="240" w:lineRule="auto"/>
        <w:jc w:val="both"/>
        <w:rPr>
          <w:rFonts w:ascii="Times New Roman" w:eastAsia="Calibri" w:hAnsi="Times New Roman" w:cs="Times New Roman"/>
          <w:sz w:val="24"/>
          <w:szCs w:val="24"/>
          <w:lang w:val="es-MX"/>
        </w:rPr>
      </w:pPr>
      <w:r w:rsidRPr="00173E12">
        <w:rPr>
          <w:rFonts w:ascii="Times New Roman" w:eastAsia="Calibri" w:hAnsi="Times New Roman" w:cs="Times New Roman"/>
          <w:sz w:val="24"/>
          <w:szCs w:val="24"/>
          <w:lang w:val="es-MX"/>
        </w:rPr>
        <w:t xml:space="preserve">Sin embargo, </w:t>
      </w:r>
      <w:r w:rsidR="003070FD" w:rsidRPr="00173E12">
        <w:rPr>
          <w:rFonts w:ascii="Times New Roman" w:eastAsia="Calibri" w:hAnsi="Times New Roman" w:cs="Times New Roman"/>
          <w:sz w:val="24"/>
          <w:szCs w:val="24"/>
          <w:lang w:val="es-MX"/>
        </w:rPr>
        <w:t xml:space="preserve">dado que </w:t>
      </w:r>
      <w:r w:rsidRPr="00173E12">
        <w:rPr>
          <w:rFonts w:ascii="Times New Roman" w:eastAsia="Calibri" w:hAnsi="Times New Roman" w:cs="Times New Roman"/>
          <w:sz w:val="24"/>
          <w:szCs w:val="24"/>
          <w:lang w:val="es-MX"/>
        </w:rPr>
        <w:t xml:space="preserve">el artículo 162 del Código Civil </w:t>
      </w:r>
      <w:r w:rsidR="000E6410">
        <w:rPr>
          <w:rFonts w:ascii="Times New Roman" w:eastAsia="Calibri" w:hAnsi="Times New Roman" w:cs="Times New Roman"/>
          <w:sz w:val="24"/>
          <w:szCs w:val="24"/>
          <w:lang w:val="es-MX"/>
        </w:rPr>
        <w:t xml:space="preserve">para </w:t>
      </w:r>
      <w:r w:rsidRPr="00173E12">
        <w:rPr>
          <w:rFonts w:ascii="Times New Roman" w:eastAsia="Calibri" w:hAnsi="Times New Roman" w:cs="Times New Roman"/>
          <w:sz w:val="24"/>
          <w:szCs w:val="24"/>
          <w:lang w:val="es-MX"/>
        </w:rPr>
        <w:t xml:space="preserve">el Estado de Veracruz no contemplaba </w:t>
      </w:r>
      <w:r w:rsidR="003070FD" w:rsidRPr="00173E12">
        <w:rPr>
          <w:rFonts w:ascii="Times New Roman" w:eastAsia="Calibri" w:hAnsi="Times New Roman" w:cs="Times New Roman"/>
          <w:sz w:val="24"/>
          <w:szCs w:val="24"/>
          <w:lang w:val="es-MX"/>
        </w:rPr>
        <w:t xml:space="preserve">esta </w:t>
      </w:r>
      <w:r w:rsidRPr="00173E12">
        <w:rPr>
          <w:rFonts w:ascii="Times New Roman" w:eastAsia="Calibri" w:hAnsi="Times New Roman" w:cs="Times New Roman"/>
          <w:sz w:val="24"/>
          <w:szCs w:val="24"/>
          <w:lang w:val="es-MX"/>
        </w:rPr>
        <w:t>figura</w:t>
      </w:r>
      <w:r w:rsidR="003070FD" w:rsidRPr="00173E12">
        <w:rPr>
          <w:rFonts w:ascii="Times New Roman" w:eastAsia="Calibri" w:hAnsi="Times New Roman" w:cs="Times New Roman"/>
          <w:sz w:val="24"/>
          <w:szCs w:val="24"/>
          <w:lang w:val="es-MX"/>
        </w:rPr>
        <w:t>, la</w:t>
      </w:r>
      <w:r w:rsidRPr="00173E12">
        <w:rPr>
          <w:rFonts w:ascii="Times New Roman" w:eastAsia="Calibri" w:hAnsi="Times New Roman" w:cs="Times New Roman"/>
          <w:sz w:val="24"/>
          <w:szCs w:val="24"/>
          <w:lang w:val="es-MX"/>
        </w:rPr>
        <w:t xml:space="preserve"> señora </w:t>
      </w:r>
      <w:r w:rsidR="003070FD" w:rsidRPr="00173E12">
        <w:rPr>
          <w:rFonts w:ascii="Times New Roman" w:eastAsia="Calibri" w:hAnsi="Times New Roman" w:cs="Times New Roman"/>
          <w:sz w:val="24"/>
          <w:szCs w:val="24"/>
          <w:lang w:val="es-MX"/>
        </w:rPr>
        <w:t xml:space="preserve">reclamó su inconstitucionalidad, al considerar que violaba </w:t>
      </w:r>
      <w:r w:rsidRPr="00173E12">
        <w:rPr>
          <w:rFonts w:ascii="Times New Roman" w:eastAsia="Calibri" w:hAnsi="Times New Roman" w:cs="Times New Roman"/>
          <w:sz w:val="24"/>
          <w:szCs w:val="24"/>
          <w:lang w:val="es-MX"/>
        </w:rPr>
        <w:t>el principio de igualdad entre cónyuges,</w:t>
      </w:r>
      <w:r w:rsidR="00A06506" w:rsidRPr="00173E12">
        <w:rPr>
          <w:rFonts w:ascii="Times New Roman" w:eastAsia="Calibri" w:hAnsi="Times New Roman" w:cs="Times New Roman"/>
          <w:sz w:val="24"/>
          <w:szCs w:val="24"/>
          <w:lang w:val="es-MX"/>
        </w:rPr>
        <w:t xml:space="preserve"> por</w:t>
      </w:r>
      <w:r w:rsidRPr="00173E12">
        <w:rPr>
          <w:rFonts w:ascii="Times New Roman" w:eastAsia="Calibri" w:hAnsi="Times New Roman" w:cs="Times New Roman"/>
          <w:sz w:val="24"/>
          <w:szCs w:val="24"/>
          <w:lang w:val="es-MX"/>
        </w:rPr>
        <w:t xml:space="preserve"> no contemplar</w:t>
      </w:r>
      <w:r w:rsidR="00426E6E" w:rsidRPr="00173E12">
        <w:rPr>
          <w:rFonts w:ascii="Times New Roman" w:eastAsia="Calibri" w:hAnsi="Times New Roman" w:cs="Times New Roman"/>
          <w:sz w:val="24"/>
          <w:szCs w:val="24"/>
          <w:lang w:val="es-MX"/>
        </w:rPr>
        <w:t xml:space="preserve"> una compensación </w:t>
      </w:r>
      <w:r w:rsidRPr="00173E12">
        <w:rPr>
          <w:rFonts w:ascii="Times New Roman" w:eastAsia="Calibri" w:hAnsi="Times New Roman" w:cs="Times New Roman"/>
          <w:sz w:val="24"/>
          <w:szCs w:val="24"/>
          <w:lang w:val="es-MX"/>
        </w:rPr>
        <w:t>indemnizatori</w:t>
      </w:r>
      <w:r w:rsidR="00426E6E" w:rsidRPr="00173E12">
        <w:rPr>
          <w:rFonts w:ascii="Times New Roman" w:eastAsia="Calibri" w:hAnsi="Times New Roman" w:cs="Times New Roman"/>
          <w:sz w:val="24"/>
          <w:szCs w:val="24"/>
          <w:lang w:val="es-MX"/>
        </w:rPr>
        <w:t>a</w:t>
      </w:r>
      <w:r w:rsidRPr="00173E12">
        <w:rPr>
          <w:rFonts w:ascii="Times New Roman" w:eastAsia="Calibri" w:hAnsi="Times New Roman" w:cs="Times New Roman"/>
          <w:sz w:val="24"/>
          <w:szCs w:val="24"/>
          <w:lang w:val="es-MX"/>
        </w:rPr>
        <w:t xml:space="preserve"> de hasta el cincuenta por ciento</w:t>
      </w:r>
      <w:r w:rsidR="00426E6E" w:rsidRPr="00173E12">
        <w:rPr>
          <w:rFonts w:ascii="Times New Roman" w:eastAsia="Calibri" w:hAnsi="Times New Roman" w:cs="Times New Roman"/>
          <w:sz w:val="24"/>
          <w:szCs w:val="24"/>
          <w:lang w:val="es-MX"/>
        </w:rPr>
        <w:t xml:space="preserve"> sobre los bienes adquiridos durante el matrimonio,</w:t>
      </w:r>
      <w:r w:rsidRPr="00173E12">
        <w:rPr>
          <w:rFonts w:ascii="Times New Roman" w:eastAsia="Calibri" w:hAnsi="Times New Roman" w:cs="Times New Roman"/>
          <w:sz w:val="24"/>
          <w:szCs w:val="24"/>
          <w:lang w:val="es-MX"/>
        </w:rPr>
        <w:t xml:space="preserve"> en favor de</w:t>
      </w:r>
      <w:r w:rsidR="002D7937" w:rsidRPr="00173E12">
        <w:rPr>
          <w:rFonts w:ascii="Times New Roman" w:eastAsia="Calibri" w:hAnsi="Times New Roman" w:cs="Times New Roman"/>
          <w:sz w:val="24"/>
          <w:szCs w:val="24"/>
          <w:lang w:val="es-MX"/>
        </w:rPr>
        <w:t>l</w:t>
      </w:r>
      <w:r w:rsidRPr="00173E12">
        <w:rPr>
          <w:rFonts w:ascii="Times New Roman" w:eastAsia="Calibri" w:hAnsi="Times New Roman" w:cs="Times New Roman"/>
          <w:sz w:val="24"/>
          <w:szCs w:val="24"/>
          <w:lang w:val="es-MX"/>
        </w:rPr>
        <w:t xml:space="preserve"> cónyuge que </w:t>
      </w:r>
      <w:r w:rsidR="00A158A8" w:rsidRPr="00173E12">
        <w:rPr>
          <w:rFonts w:ascii="Times New Roman" w:eastAsia="Calibri" w:hAnsi="Times New Roman" w:cs="Times New Roman"/>
          <w:sz w:val="24"/>
          <w:szCs w:val="24"/>
          <w:lang w:val="es-MX"/>
        </w:rPr>
        <w:t>se haya</w:t>
      </w:r>
      <w:r w:rsidR="002D7937" w:rsidRPr="00173E12">
        <w:rPr>
          <w:rFonts w:ascii="Times New Roman" w:eastAsia="Calibri" w:hAnsi="Times New Roman" w:cs="Times New Roman"/>
          <w:sz w:val="24"/>
          <w:szCs w:val="24"/>
          <w:lang w:val="es-MX"/>
        </w:rPr>
        <w:t xml:space="preserve"> dedicado preponderantemente </w:t>
      </w:r>
      <w:r w:rsidRPr="00173E12">
        <w:rPr>
          <w:rFonts w:ascii="Times New Roman" w:eastAsia="Calibri" w:hAnsi="Times New Roman" w:cs="Times New Roman"/>
          <w:sz w:val="24"/>
          <w:szCs w:val="24"/>
          <w:lang w:val="es-MX"/>
        </w:rPr>
        <w:t>al trabajo doméstico y al cuidado de los hijos. Asimismo, argumentó que la ausencia de su regulación en el Código Civil estatal no constitu</w:t>
      </w:r>
      <w:r w:rsidR="00A158A8" w:rsidRPr="00173E12">
        <w:rPr>
          <w:rFonts w:ascii="Times New Roman" w:eastAsia="Calibri" w:hAnsi="Times New Roman" w:cs="Times New Roman"/>
          <w:sz w:val="24"/>
          <w:szCs w:val="24"/>
          <w:lang w:val="es-MX"/>
        </w:rPr>
        <w:t>ía</w:t>
      </w:r>
      <w:r w:rsidRPr="00173E12">
        <w:rPr>
          <w:rFonts w:ascii="Times New Roman" w:eastAsia="Calibri" w:hAnsi="Times New Roman" w:cs="Times New Roman"/>
          <w:sz w:val="24"/>
          <w:szCs w:val="24"/>
          <w:lang w:val="es-MX"/>
        </w:rPr>
        <w:t xml:space="preserve"> un impedimento para que el órgano colegiado se pronunci</w:t>
      </w:r>
      <w:r w:rsidR="00A158A8" w:rsidRPr="00173E12">
        <w:rPr>
          <w:rFonts w:ascii="Times New Roman" w:eastAsia="Calibri" w:hAnsi="Times New Roman" w:cs="Times New Roman"/>
          <w:sz w:val="24"/>
          <w:szCs w:val="24"/>
          <w:lang w:val="es-MX"/>
        </w:rPr>
        <w:t>ara</w:t>
      </w:r>
      <w:r w:rsidRPr="00173E12">
        <w:rPr>
          <w:rFonts w:ascii="Times New Roman" w:eastAsia="Calibri" w:hAnsi="Times New Roman" w:cs="Times New Roman"/>
          <w:sz w:val="24"/>
          <w:szCs w:val="24"/>
          <w:lang w:val="es-MX"/>
        </w:rPr>
        <w:t xml:space="preserve"> al respecto</w:t>
      </w:r>
      <w:r w:rsidR="00A158A8" w:rsidRPr="00173E12">
        <w:rPr>
          <w:rFonts w:ascii="Times New Roman" w:eastAsia="Calibri" w:hAnsi="Times New Roman" w:cs="Times New Roman"/>
          <w:sz w:val="24"/>
          <w:szCs w:val="24"/>
          <w:lang w:val="es-MX"/>
        </w:rPr>
        <w:t>,</w:t>
      </w:r>
      <w:r w:rsidRPr="00173E12">
        <w:rPr>
          <w:rFonts w:ascii="Times New Roman" w:eastAsia="Calibri" w:hAnsi="Times New Roman" w:cs="Times New Roman"/>
          <w:sz w:val="24"/>
          <w:szCs w:val="24"/>
          <w:lang w:val="es-MX"/>
        </w:rPr>
        <w:t xml:space="preserve"> pues su pretensión deriva del derecho humano de igualdad entre los cónyuges.</w:t>
      </w:r>
    </w:p>
    <w:p w14:paraId="6D681BB9" w14:textId="77777777" w:rsidR="00B55E84" w:rsidRPr="00173E12" w:rsidRDefault="00B55E84" w:rsidP="00173E12">
      <w:pPr>
        <w:spacing w:after="0" w:line="240" w:lineRule="auto"/>
        <w:jc w:val="both"/>
        <w:rPr>
          <w:rFonts w:ascii="Times New Roman" w:eastAsia="Times New Roman" w:hAnsi="Times New Roman" w:cs="Times New Roman"/>
          <w:color w:val="000000"/>
          <w:sz w:val="24"/>
          <w:szCs w:val="24"/>
          <w:lang w:val="es-MX" w:eastAsia="es-MX"/>
        </w:rPr>
      </w:pPr>
    </w:p>
    <w:p w14:paraId="367A7FE6" w14:textId="24ABC9C4" w:rsidR="006F261F" w:rsidRPr="00AF10AD" w:rsidRDefault="006F261F" w:rsidP="00173E12">
      <w:pPr>
        <w:spacing w:after="0" w:line="240" w:lineRule="auto"/>
        <w:jc w:val="both"/>
        <w:rPr>
          <w:rFonts w:ascii="Times New Roman" w:hAnsi="Times New Roman" w:cs="Times New Roman"/>
          <w:b/>
          <w:bCs/>
          <w:sz w:val="24"/>
          <w:szCs w:val="24"/>
          <w:shd w:val="clear" w:color="auto" w:fill="B4C6E7" w:themeFill="accent1" w:themeFillTint="66"/>
          <w:lang w:val="es-MX"/>
        </w:rPr>
      </w:pPr>
      <w:r w:rsidRPr="00AF10AD">
        <w:rPr>
          <w:rFonts w:ascii="Times New Roman" w:hAnsi="Times New Roman" w:cs="Times New Roman"/>
          <w:b/>
          <w:bCs/>
          <w:sz w:val="24"/>
          <w:szCs w:val="24"/>
          <w:shd w:val="clear" w:color="auto" w:fill="B4C6E7" w:themeFill="accent1" w:themeFillTint="66"/>
          <w:lang w:val="es-MX"/>
        </w:rPr>
        <w:t>Resolución de la Primera Sala:</w:t>
      </w:r>
    </w:p>
    <w:p w14:paraId="674F108F" w14:textId="77777777" w:rsidR="00173E12" w:rsidRDefault="00173E12" w:rsidP="00173E12">
      <w:pPr>
        <w:spacing w:after="0" w:line="240" w:lineRule="auto"/>
        <w:jc w:val="both"/>
        <w:rPr>
          <w:rFonts w:ascii="Times New Roman" w:eastAsia="Times New Roman" w:hAnsi="Times New Roman" w:cs="Times New Roman"/>
          <w:color w:val="000000"/>
          <w:sz w:val="24"/>
          <w:szCs w:val="24"/>
          <w:lang w:val="es-MX" w:eastAsia="es-MX"/>
        </w:rPr>
      </w:pPr>
    </w:p>
    <w:p w14:paraId="5A2086A7" w14:textId="0D9F533D" w:rsidR="002C41FD" w:rsidRPr="00173E12" w:rsidRDefault="006F261F" w:rsidP="00173E12">
      <w:pPr>
        <w:spacing w:after="0" w:line="240" w:lineRule="auto"/>
        <w:jc w:val="both"/>
        <w:rPr>
          <w:rFonts w:ascii="Times New Roman" w:hAnsi="Times New Roman" w:cs="Times New Roman"/>
          <w:bCs/>
          <w:sz w:val="24"/>
          <w:szCs w:val="24"/>
          <w:lang w:val="es-MX"/>
        </w:rPr>
      </w:pPr>
      <w:r w:rsidRPr="00173E12">
        <w:rPr>
          <w:rFonts w:ascii="Times New Roman" w:eastAsia="Times New Roman" w:hAnsi="Times New Roman" w:cs="Times New Roman"/>
          <w:color w:val="000000"/>
          <w:sz w:val="24"/>
          <w:szCs w:val="24"/>
          <w:lang w:val="es-MX" w:eastAsia="es-MX"/>
        </w:rPr>
        <w:t xml:space="preserve">En primer lugar, la Sala </w:t>
      </w:r>
      <w:r w:rsidR="009C48BD" w:rsidRPr="00173E12">
        <w:rPr>
          <w:rFonts w:ascii="Times New Roman" w:hAnsi="Times New Roman" w:cs="Times New Roman"/>
          <w:bCs/>
          <w:sz w:val="24"/>
          <w:szCs w:val="24"/>
          <w:lang w:val="es-MX"/>
        </w:rPr>
        <w:t xml:space="preserve">determinó que fue incorrecta la omisión del </w:t>
      </w:r>
      <w:r w:rsidR="002C41FD" w:rsidRPr="00173E12">
        <w:rPr>
          <w:rFonts w:ascii="Times New Roman" w:hAnsi="Times New Roman" w:cs="Times New Roman"/>
          <w:bCs/>
          <w:sz w:val="24"/>
          <w:szCs w:val="24"/>
          <w:lang w:val="es-MX"/>
        </w:rPr>
        <w:t>Tribunal Colegiado</w:t>
      </w:r>
      <w:r w:rsidR="009C48BD" w:rsidRPr="00173E12">
        <w:rPr>
          <w:rFonts w:ascii="Times New Roman" w:hAnsi="Times New Roman" w:cs="Times New Roman"/>
          <w:bCs/>
          <w:sz w:val="24"/>
          <w:szCs w:val="24"/>
          <w:lang w:val="es-MX"/>
        </w:rPr>
        <w:t xml:space="preserve"> de</w:t>
      </w:r>
      <w:r w:rsidR="002C41FD" w:rsidRPr="00173E12">
        <w:rPr>
          <w:rFonts w:ascii="Times New Roman" w:hAnsi="Times New Roman" w:cs="Times New Roman"/>
          <w:bCs/>
          <w:sz w:val="24"/>
          <w:szCs w:val="24"/>
          <w:lang w:val="es-MX"/>
        </w:rPr>
        <w:t xml:space="preserve"> estudiar el planteamiento de constitucionalidad </w:t>
      </w:r>
      <w:r w:rsidR="00983399" w:rsidRPr="00173E12">
        <w:rPr>
          <w:rFonts w:ascii="Times New Roman" w:hAnsi="Times New Roman" w:cs="Times New Roman"/>
          <w:bCs/>
          <w:sz w:val="24"/>
          <w:szCs w:val="24"/>
          <w:lang w:val="es-MX"/>
        </w:rPr>
        <w:t xml:space="preserve">expresado </w:t>
      </w:r>
      <w:r w:rsidR="002C41FD" w:rsidRPr="00173E12">
        <w:rPr>
          <w:rFonts w:ascii="Times New Roman" w:hAnsi="Times New Roman" w:cs="Times New Roman"/>
          <w:bCs/>
          <w:sz w:val="24"/>
          <w:szCs w:val="24"/>
          <w:lang w:val="es-MX"/>
        </w:rPr>
        <w:t xml:space="preserve">en relación con el artículo 162 del </w:t>
      </w:r>
      <w:r w:rsidR="002C41FD" w:rsidRPr="00173E12">
        <w:rPr>
          <w:rFonts w:ascii="Times New Roman" w:hAnsi="Times New Roman" w:cs="Times New Roman"/>
          <w:bCs/>
          <w:sz w:val="24"/>
          <w:szCs w:val="24"/>
          <w:lang w:val="es-MX"/>
        </w:rPr>
        <w:lastRenderedPageBreak/>
        <w:t>Código Civil de Veracruz</w:t>
      </w:r>
      <w:r w:rsidR="000E6410">
        <w:rPr>
          <w:rFonts w:ascii="Times New Roman" w:hAnsi="Times New Roman" w:cs="Times New Roman"/>
          <w:bCs/>
          <w:sz w:val="24"/>
          <w:szCs w:val="24"/>
          <w:lang w:val="es-MX"/>
        </w:rPr>
        <w:t>,</w:t>
      </w:r>
      <w:r w:rsidR="00037CEE" w:rsidRPr="00173E12">
        <w:rPr>
          <w:rStyle w:val="Refdenotaalpie"/>
          <w:rFonts w:ascii="Times New Roman" w:hAnsi="Times New Roman" w:cs="Times New Roman"/>
          <w:bCs/>
          <w:sz w:val="24"/>
          <w:szCs w:val="24"/>
          <w:lang w:val="es-MX"/>
        </w:rPr>
        <w:footnoteReference w:id="1"/>
      </w:r>
      <w:r w:rsidR="005F49D3" w:rsidRPr="00173E12">
        <w:rPr>
          <w:rFonts w:ascii="Times New Roman" w:hAnsi="Times New Roman" w:cs="Times New Roman"/>
          <w:bCs/>
          <w:sz w:val="24"/>
          <w:szCs w:val="24"/>
          <w:lang w:val="es-MX"/>
        </w:rPr>
        <w:t xml:space="preserve"> </w:t>
      </w:r>
      <w:r w:rsidR="005F49D3" w:rsidRPr="00173E12">
        <w:rPr>
          <w:rFonts w:ascii="Times New Roman" w:eastAsia="Times New Roman" w:hAnsi="Times New Roman" w:cs="Times New Roman"/>
          <w:color w:val="000000"/>
          <w:sz w:val="24"/>
          <w:szCs w:val="24"/>
          <w:lang w:val="es-MX" w:eastAsia="es-MX"/>
        </w:rPr>
        <w:t>vigente hasta el diez de junio de dos mil veinte,</w:t>
      </w:r>
      <w:r w:rsidR="002C41FD" w:rsidRPr="00173E12">
        <w:rPr>
          <w:rFonts w:ascii="Times New Roman" w:hAnsi="Times New Roman" w:cs="Times New Roman"/>
          <w:bCs/>
          <w:sz w:val="24"/>
          <w:szCs w:val="24"/>
          <w:lang w:val="es-MX"/>
        </w:rPr>
        <w:t xml:space="preserve"> </w:t>
      </w:r>
      <w:r w:rsidR="00983399" w:rsidRPr="00173E12">
        <w:rPr>
          <w:rFonts w:ascii="Times New Roman" w:hAnsi="Times New Roman" w:cs="Times New Roman"/>
          <w:bCs/>
          <w:sz w:val="24"/>
          <w:szCs w:val="24"/>
          <w:lang w:val="es-MX"/>
        </w:rPr>
        <w:t xml:space="preserve">al considerar que este precepto </w:t>
      </w:r>
      <w:r w:rsidR="002C41FD" w:rsidRPr="00173E12">
        <w:rPr>
          <w:rFonts w:ascii="Times New Roman" w:hAnsi="Times New Roman" w:cs="Times New Roman"/>
          <w:bCs/>
          <w:sz w:val="24"/>
          <w:szCs w:val="24"/>
          <w:lang w:val="es-MX"/>
        </w:rPr>
        <w:t>no fue aplicado durante la resolución recurrida</w:t>
      </w:r>
      <w:r w:rsidR="000E6410">
        <w:rPr>
          <w:rFonts w:ascii="Times New Roman" w:hAnsi="Times New Roman" w:cs="Times New Roman"/>
          <w:bCs/>
          <w:sz w:val="24"/>
          <w:szCs w:val="24"/>
          <w:lang w:val="es-MX"/>
        </w:rPr>
        <w:t>, t</w:t>
      </w:r>
      <w:r w:rsidR="00BB672B" w:rsidRPr="00173E12">
        <w:rPr>
          <w:rFonts w:ascii="Times New Roman" w:hAnsi="Times New Roman" w:cs="Times New Roman"/>
          <w:bCs/>
          <w:sz w:val="24"/>
          <w:szCs w:val="24"/>
          <w:lang w:val="es-MX"/>
        </w:rPr>
        <w:t>oda vez que la</w:t>
      </w:r>
      <w:r w:rsidR="002C41FD" w:rsidRPr="00173E12">
        <w:rPr>
          <w:rFonts w:ascii="Times New Roman" w:hAnsi="Times New Roman" w:cs="Times New Roman"/>
          <w:bCs/>
          <w:sz w:val="24"/>
          <w:szCs w:val="24"/>
          <w:lang w:val="es-MX"/>
        </w:rPr>
        <w:t xml:space="preserve"> inconstitucionalidad </w:t>
      </w:r>
      <w:r w:rsidR="00BB672B" w:rsidRPr="00173E12">
        <w:rPr>
          <w:rFonts w:ascii="Times New Roman" w:hAnsi="Times New Roman" w:cs="Times New Roman"/>
          <w:bCs/>
          <w:sz w:val="24"/>
          <w:szCs w:val="24"/>
          <w:lang w:val="es-MX"/>
        </w:rPr>
        <w:t>alegada se sustentó precisamente en</w:t>
      </w:r>
      <w:r w:rsidR="002C41FD" w:rsidRPr="00173E12">
        <w:rPr>
          <w:rFonts w:ascii="Times New Roman" w:hAnsi="Times New Roman" w:cs="Times New Roman"/>
          <w:bCs/>
          <w:sz w:val="24"/>
          <w:szCs w:val="24"/>
          <w:lang w:val="es-MX"/>
        </w:rPr>
        <w:t xml:space="preserve"> la</w:t>
      </w:r>
      <w:r w:rsidR="00DE2E8E" w:rsidRPr="00173E12">
        <w:rPr>
          <w:rFonts w:ascii="Times New Roman" w:hAnsi="Times New Roman" w:cs="Times New Roman"/>
          <w:bCs/>
          <w:sz w:val="24"/>
          <w:szCs w:val="24"/>
          <w:lang w:val="es-MX"/>
        </w:rPr>
        <w:t xml:space="preserve"> falta de regulación al respecto.</w:t>
      </w:r>
    </w:p>
    <w:p w14:paraId="7A6B2246" w14:textId="77777777" w:rsidR="00173E12" w:rsidRDefault="00173E12" w:rsidP="00173E12">
      <w:pPr>
        <w:spacing w:after="0" w:line="240" w:lineRule="auto"/>
        <w:jc w:val="both"/>
        <w:rPr>
          <w:rFonts w:ascii="Times New Roman" w:eastAsia="Times New Roman" w:hAnsi="Times New Roman" w:cs="Times New Roman"/>
          <w:color w:val="000000"/>
          <w:sz w:val="24"/>
          <w:szCs w:val="24"/>
          <w:lang w:val="es-MX" w:eastAsia="es-MX"/>
        </w:rPr>
      </w:pPr>
    </w:p>
    <w:p w14:paraId="321ACF12" w14:textId="3448F99E" w:rsidR="0025249A" w:rsidRPr="00173E12" w:rsidRDefault="006F261F" w:rsidP="00173E12">
      <w:pPr>
        <w:spacing w:after="0" w:line="240" w:lineRule="auto"/>
        <w:jc w:val="both"/>
        <w:rPr>
          <w:rFonts w:ascii="Times New Roman" w:eastAsia="Times New Roman" w:hAnsi="Times New Roman" w:cs="Times New Roman"/>
          <w:color w:val="000000"/>
          <w:sz w:val="24"/>
          <w:szCs w:val="24"/>
          <w:lang w:val="es-MX" w:eastAsia="es-MX"/>
        </w:rPr>
      </w:pPr>
      <w:r w:rsidRPr="00173E12">
        <w:rPr>
          <w:rFonts w:ascii="Times New Roman" w:eastAsia="Times New Roman" w:hAnsi="Times New Roman" w:cs="Times New Roman"/>
          <w:color w:val="000000"/>
          <w:sz w:val="24"/>
          <w:szCs w:val="24"/>
          <w:lang w:val="es-MX" w:eastAsia="es-MX"/>
        </w:rPr>
        <w:t xml:space="preserve">En segundo lugar, estableció que </w:t>
      </w:r>
      <w:r w:rsidRPr="00173E12">
        <w:rPr>
          <w:rFonts w:ascii="Times New Roman" w:hAnsi="Times New Roman" w:cs="Times New Roman"/>
          <w:sz w:val="24"/>
          <w:szCs w:val="24"/>
          <w:lang w:val="es-MX"/>
        </w:rPr>
        <w:t>el artículo</w:t>
      </w:r>
      <w:r w:rsidR="00B44A2D" w:rsidRPr="00173E12">
        <w:rPr>
          <w:rFonts w:ascii="Times New Roman" w:hAnsi="Times New Roman" w:cs="Times New Roman"/>
          <w:sz w:val="24"/>
          <w:szCs w:val="24"/>
          <w:lang w:val="es-MX"/>
        </w:rPr>
        <w:t xml:space="preserve"> impugnado</w:t>
      </w:r>
      <w:r w:rsidR="00DE2E8E" w:rsidRPr="00173E12">
        <w:rPr>
          <w:rFonts w:ascii="Times New Roman" w:hAnsi="Times New Roman" w:cs="Times New Roman"/>
          <w:sz w:val="24"/>
          <w:szCs w:val="24"/>
          <w:lang w:val="es-MX"/>
        </w:rPr>
        <w:t xml:space="preserve"> </w:t>
      </w:r>
      <w:r w:rsidR="0025249A" w:rsidRPr="00173E12">
        <w:rPr>
          <w:rFonts w:ascii="Times New Roman" w:hAnsi="Times New Roman" w:cs="Times New Roman"/>
          <w:sz w:val="24"/>
          <w:szCs w:val="24"/>
          <w:lang w:val="es-MX"/>
        </w:rPr>
        <w:t>no vulnera el principio de igualdad entre cónyuges</w:t>
      </w:r>
      <w:r w:rsidRPr="00173E12">
        <w:rPr>
          <w:rFonts w:ascii="Times New Roman" w:hAnsi="Times New Roman" w:cs="Times New Roman"/>
          <w:color w:val="000000"/>
          <w:sz w:val="24"/>
          <w:szCs w:val="24"/>
          <w:lang w:val="es-MX" w:eastAsia="es-MX"/>
        </w:rPr>
        <w:t xml:space="preserve">. </w:t>
      </w:r>
      <w:r w:rsidR="000E6410">
        <w:rPr>
          <w:rFonts w:ascii="Times New Roman" w:hAnsi="Times New Roman" w:cs="Times New Roman"/>
          <w:color w:val="000000"/>
          <w:sz w:val="24"/>
          <w:szCs w:val="24"/>
          <w:lang w:val="es-MX" w:eastAsia="es-MX"/>
        </w:rPr>
        <w:t>Esto</w:t>
      </w:r>
      <w:r w:rsidRPr="00173E12">
        <w:rPr>
          <w:rFonts w:ascii="Times New Roman" w:hAnsi="Times New Roman" w:cs="Times New Roman"/>
          <w:color w:val="000000"/>
          <w:sz w:val="24"/>
          <w:szCs w:val="24"/>
          <w:lang w:val="es-MX" w:eastAsia="es-MX"/>
        </w:rPr>
        <w:t xml:space="preserve">, porque a pesar de que </w:t>
      </w:r>
      <w:r w:rsidRPr="00173E12">
        <w:rPr>
          <w:rFonts w:ascii="Times New Roman" w:eastAsia="Times New Roman" w:hAnsi="Times New Roman" w:cs="Times New Roman"/>
          <w:color w:val="000000"/>
          <w:sz w:val="24"/>
          <w:szCs w:val="24"/>
          <w:lang w:val="es-MX" w:eastAsia="es-MX"/>
        </w:rPr>
        <w:t xml:space="preserve">dicho enunciado normativo </w:t>
      </w:r>
      <w:r w:rsidR="0025249A" w:rsidRPr="00173E12">
        <w:rPr>
          <w:rFonts w:ascii="Times New Roman" w:eastAsia="Times New Roman" w:hAnsi="Times New Roman" w:cs="Times New Roman"/>
          <w:color w:val="000000"/>
          <w:sz w:val="24"/>
          <w:szCs w:val="24"/>
          <w:lang w:val="es-MX" w:eastAsia="es-MX"/>
        </w:rPr>
        <w:t>solo regulaba, entre otros, el tema de indemnización por daños o perjuicios ocasionados al cónyuge inocente, dicha figura aludía al sistema de divorcio necesario</w:t>
      </w:r>
      <w:r w:rsidR="00976D2A" w:rsidRPr="00173E12">
        <w:rPr>
          <w:rFonts w:ascii="Times New Roman" w:eastAsia="Times New Roman" w:hAnsi="Times New Roman" w:cs="Times New Roman"/>
          <w:color w:val="000000"/>
          <w:sz w:val="24"/>
          <w:szCs w:val="24"/>
          <w:lang w:val="es-MX" w:eastAsia="es-MX"/>
        </w:rPr>
        <w:t xml:space="preserve">, </w:t>
      </w:r>
      <w:r w:rsidR="00BD57C3" w:rsidRPr="00173E12">
        <w:rPr>
          <w:rFonts w:ascii="Times New Roman" w:eastAsia="Times New Roman" w:hAnsi="Times New Roman" w:cs="Times New Roman"/>
          <w:color w:val="000000"/>
          <w:sz w:val="24"/>
          <w:szCs w:val="24"/>
          <w:lang w:val="es-MX" w:eastAsia="es-MX"/>
        </w:rPr>
        <w:t xml:space="preserve">por lo que aun cuando </w:t>
      </w:r>
      <w:r w:rsidR="00F167BA" w:rsidRPr="00173E12">
        <w:rPr>
          <w:rFonts w:ascii="Times New Roman" w:eastAsia="Times New Roman" w:hAnsi="Times New Roman" w:cs="Times New Roman"/>
          <w:color w:val="000000"/>
          <w:sz w:val="24"/>
          <w:szCs w:val="24"/>
          <w:lang w:val="es-MX" w:eastAsia="es-MX"/>
        </w:rPr>
        <w:t xml:space="preserve">ese ordenamiento </w:t>
      </w:r>
      <w:r w:rsidR="00BD57C3" w:rsidRPr="00173E12">
        <w:rPr>
          <w:rFonts w:ascii="Times New Roman" w:eastAsia="Times New Roman" w:hAnsi="Times New Roman" w:cs="Times New Roman"/>
          <w:color w:val="000000"/>
          <w:sz w:val="24"/>
          <w:szCs w:val="24"/>
          <w:lang w:val="es-MX" w:eastAsia="es-MX"/>
        </w:rPr>
        <w:t xml:space="preserve">no previere el pago de una compensación económica, esto </w:t>
      </w:r>
      <w:r w:rsidR="00F73CC8" w:rsidRPr="00173E12">
        <w:rPr>
          <w:rFonts w:ascii="Times New Roman" w:eastAsia="Times New Roman" w:hAnsi="Times New Roman" w:cs="Times New Roman"/>
          <w:color w:val="000000"/>
          <w:sz w:val="24"/>
          <w:szCs w:val="24"/>
          <w:lang w:val="es-MX" w:eastAsia="es-MX"/>
        </w:rPr>
        <w:t>se d</w:t>
      </w:r>
      <w:r w:rsidR="00BD57C3" w:rsidRPr="00173E12">
        <w:rPr>
          <w:rFonts w:ascii="Times New Roman" w:eastAsia="Times New Roman" w:hAnsi="Times New Roman" w:cs="Times New Roman"/>
          <w:color w:val="000000"/>
          <w:sz w:val="24"/>
          <w:szCs w:val="24"/>
          <w:lang w:val="es-MX" w:eastAsia="es-MX"/>
        </w:rPr>
        <w:t>ebía a su propia composición normati</w:t>
      </w:r>
      <w:r w:rsidR="00F73CC8" w:rsidRPr="00173E12">
        <w:rPr>
          <w:rFonts w:ascii="Times New Roman" w:eastAsia="Times New Roman" w:hAnsi="Times New Roman" w:cs="Times New Roman"/>
          <w:color w:val="000000"/>
          <w:sz w:val="24"/>
          <w:szCs w:val="24"/>
          <w:lang w:val="es-MX" w:eastAsia="es-MX"/>
        </w:rPr>
        <w:t>va.</w:t>
      </w:r>
    </w:p>
    <w:p w14:paraId="02C6BB5D" w14:textId="77777777" w:rsidR="00173E12" w:rsidRDefault="00173E12" w:rsidP="00173E12">
      <w:pPr>
        <w:spacing w:after="0" w:line="240" w:lineRule="auto"/>
        <w:jc w:val="both"/>
        <w:rPr>
          <w:rFonts w:ascii="Times New Roman" w:eastAsia="Times New Roman" w:hAnsi="Times New Roman" w:cs="Times New Roman"/>
          <w:color w:val="000000"/>
          <w:sz w:val="24"/>
          <w:szCs w:val="24"/>
          <w:lang w:val="es-MX" w:eastAsia="es-MX"/>
        </w:rPr>
      </w:pPr>
    </w:p>
    <w:p w14:paraId="0391EB64" w14:textId="15521B2F" w:rsidR="00411A83" w:rsidRPr="00173E12" w:rsidRDefault="00557634" w:rsidP="00173E12">
      <w:pPr>
        <w:spacing w:after="0" w:line="240" w:lineRule="auto"/>
        <w:jc w:val="both"/>
        <w:rPr>
          <w:rFonts w:ascii="Times New Roman" w:eastAsia="Times New Roman" w:hAnsi="Times New Roman" w:cs="Times New Roman"/>
          <w:b/>
          <w:bCs/>
          <w:color w:val="000000"/>
          <w:sz w:val="24"/>
          <w:szCs w:val="24"/>
          <w:lang w:val="es-MX" w:eastAsia="es-MX"/>
        </w:rPr>
      </w:pPr>
      <w:r w:rsidRPr="00173E12">
        <w:rPr>
          <w:rFonts w:ascii="Times New Roman" w:eastAsia="Times New Roman" w:hAnsi="Times New Roman" w:cs="Times New Roman"/>
          <w:color w:val="000000"/>
          <w:sz w:val="24"/>
          <w:szCs w:val="24"/>
          <w:lang w:val="es-MX" w:eastAsia="es-MX"/>
        </w:rPr>
        <w:t xml:space="preserve">Sin embargo, </w:t>
      </w:r>
      <w:r w:rsidR="009B6EFD" w:rsidRPr="00173E12">
        <w:rPr>
          <w:rFonts w:ascii="Times New Roman" w:eastAsia="Times New Roman" w:hAnsi="Times New Roman" w:cs="Times New Roman"/>
          <w:color w:val="000000"/>
          <w:sz w:val="24"/>
          <w:szCs w:val="24"/>
          <w:lang w:val="es-MX" w:eastAsia="es-MX"/>
        </w:rPr>
        <w:t xml:space="preserve">en </w:t>
      </w:r>
      <w:r w:rsidR="00A06506" w:rsidRPr="00173E12">
        <w:rPr>
          <w:rFonts w:ascii="Times New Roman" w:eastAsia="Times New Roman" w:hAnsi="Times New Roman" w:cs="Times New Roman"/>
          <w:color w:val="000000"/>
          <w:sz w:val="24"/>
          <w:szCs w:val="24"/>
          <w:lang w:val="es-MX" w:eastAsia="es-MX"/>
        </w:rPr>
        <w:t>cuanto al tema de</w:t>
      </w:r>
      <w:r w:rsidR="009B6EFD" w:rsidRPr="00173E12">
        <w:rPr>
          <w:rFonts w:ascii="Times New Roman" w:eastAsia="Times New Roman" w:hAnsi="Times New Roman" w:cs="Times New Roman"/>
          <w:color w:val="000000"/>
          <w:sz w:val="24"/>
          <w:szCs w:val="24"/>
          <w:lang w:val="es-MX" w:eastAsia="es-MX"/>
        </w:rPr>
        <w:t xml:space="preserve"> la ausencia de la regulación de </w:t>
      </w:r>
      <w:r w:rsidRPr="00173E12">
        <w:rPr>
          <w:rFonts w:ascii="Times New Roman" w:eastAsia="Times New Roman" w:hAnsi="Times New Roman" w:cs="Times New Roman"/>
          <w:color w:val="000000"/>
          <w:sz w:val="24"/>
          <w:szCs w:val="24"/>
          <w:lang w:val="es-MX" w:eastAsia="es-MX"/>
        </w:rPr>
        <w:t xml:space="preserve">la </w:t>
      </w:r>
      <w:r w:rsidR="009B6EFD" w:rsidRPr="00173E12">
        <w:rPr>
          <w:rFonts w:ascii="Times New Roman" w:eastAsia="Times New Roman" w:hAnsi="Times New Roman" w:cs="Times New Roman"/>
          <w:color w:val="000000"/>
          <w:sz w:val="24"/>
          <w:szCs w:val="24"/>
          <w:lang w:val="es-MX" w:eastAsia="es-MX"/>
        </w:rPr>
        <w:t>figura</w:t>
      </w:r>
      <w:r w:rsidR="000E6410">
        <w:rPr>
          <w:rFonts w:ascii="Times New Roman" w:eastAsia="Times New Roman" w:hAnsi="Times New Roman" w:cs="Times New Roman"/>
          <w:color w:val="000000"/>
          <w:sz w:val="24"/>
          <w:szCs w:val="24"/>
          <w:lang w:val="es-MX" w:eastAsia="es-MX"/>
        </w:rPr>
        <w:t xml:space="preserve"> referida</w:t>
      </w:r>
      <w:r w:rsidR="00A3784D" w:rsidRPr="00173E12">
        <w:rPr>
          <w:rFonts w:ascii="Times New Roman" w:eastAsia="Times New Roman" w:hAnsi="Times New Roman" w:cs="Times New Roman"/>
          <w:color w:val="000000"/>
          <w:sz w:val="24"/>
          <w:szCs w:val="24"/>
          <w:lang w:val="es-MX" w:eastAsia="es-MX"/>
        </w:rPr>
        <w:t>, a la luz del derecho humano de igualdad entre cónyuges</w:t>
      </w:r>
      <w:r w:rsidR="00717320" w:rsidRPr="00173E12">
        <w:rPr>
          <w:rFonts w:ascii="Times New Roman" w:eastAsia="Times New Roman" w:hAnsi="Times New Roman" w:cs="Times New Roman"/>
          <w:color w:val="000000"/>
          <w:sz w:val="24"/>
          <w:szCs w:val="24"/>
          <w:lang w:val="es-MX" w:eastAsia="es-MX"/>
        </w:rPr>
        <w:t>,</w:t>
      </w:r>
      <w:r w:rsidR="00BF6159" w:rsidRPr="00173E12">
        <w:rPr>
          <w:rFonts w:ascii="Times New Roman" w:eastAsia="Times New Roman" w:hAnsi="Times New Roman" w:cs="Times New Roman"/>
          <w:color w:val="000000"/>
          <w:sz w:val="24"/>
          <w:szCs w:val="24"/>
          <w:lang w:val="es-MX" w:eastAsia="es-MX"/>
        </w:rPr>
        <w:t xml:space="preserve"> la Primera Sala, </w:t>
      </w:r>
      <w:r w:rsidR="003A1079" w:rsidRPr="00173E12">
        <w:rPr>
          <w:rFonts w:ascii="Times New Roman" w:eastAsia="Times New Roman" w:hAnsi="Times New Roman" w:cs="Times New Roman"/>
          <w:color w:val="000000"/>
          <w:sz w:val="24"/>
          <w:szCs w:val="24"/>
          <w:lang w:val="es-MX" w:eastAsia="es-MX"/>
        </w:rPr>
        <w:t>determinó</w:t>
      </w:r>
      <w:r w:rsidR="00BF6159" w:rsidRPr="00173E12">
        <w:rPr>
          <w:rFonts w:ascii="Times New Roman" w:eastAsia="Times New Roman" w:hAnsi="Times New Roman" w:cs="Times New Roman"/>
          <w:color w:val="000000"/>
          <w:sz w:val="24"/>
          <w:szCs w:val="24"/>
          <w:lang w:val="es-MX" w:eastAsia="es-MX"/>
        </w:rPr>
        <w:t xml:space="preserve"> que </w:t>
      </w:r>
      <w:r w:rsidR="00411A83" w:rsidRPr="00E04042">
        <w:rPr>
          <w:rFonts w:ascii="Times New Roman" w:eastAsia="Times New Roman" w:hAnsi="Times New Roman" w:cs="Times New Roman"/>
          <w:color w:val="000000"/>
          <w:sz w:val="24"/>
          <w:szCs w:val="24"/>
          <w:lang w:val="es-MX" w:eastAsia="es-MX"/>
        </w:rPr>
        <w:t>sí es procedente la compensación económica en caso de divorcio, aun ante la ausencia de su regulación</w:t>
      </w:r>
      <w:r w:rsidR="003A1079" w:rsidRPr="00E04042">
        <w:rPr>
          <w:rFonts w:ascii="Times New Roman" w:eastAsia="Times New Roman" w:hAnsi="Times New Roman" w:cs="Times New Roman"/>
          <w:color w:val="000000"/>
          <w:sz w:val="24"/>
          <w:szCs w:val="24"/>
          <w:lang w:val="es-MX" w:eastAsia="es-MX"/>
        </w:rPr>
        <w:t xml:space="preserve"> específica en el ordenamiento sustantivo.</w:t>
      </w:r>
    </w:p>
    <w:p w14:paraId="50DA7F5C" w14:textId="77777777" w:rsidR="00173E12" w:rsidRDefault="00173E12" w:rsidP="00173E12">
      <w:pPr>
        <w:spacing w:after="0" w:line="240" w:lineRule="auto"/>
        <w:jc w:val="both"/>
        <w:rPr>
          <w:rFonts w:ascii="Times New Roman" w:eastAsia="Times New Roman" w:hAnsi="Times New Roman" w:cs="Times New Roman"/>
          <w:color w:val="000000"/>
          <w:sz w:val="24"/>
          <w:szCs w:val="24"/>
          <w:lang w:val="es-MX" w:eastAsia="es-MX"/>
        </w:rPr>
      </w:pPr>
    </w:p>
    <w:p w14:paraId="493D8F56" w14:textId="09E98F5A" w:rsidR="00B64F0C" w:rsidRPr="00173E12" w:rsidRDefault="00411A83" w:rsidP="00173E12">
      <w:pPr>
        <w:spacing w:after="0" w:line="240" w:lineRule="auto"/>
        <w:jc w:val="both"/>
        <w:rPr>
          <w:rFonts w:ascii="Times New Roman" w:eastAsia="Times New Roman" w:hAnsi="Times New Roman" w:cs="Times New Roman"/>
          <w:color w:val="000000"/>
          <w:sz w:val="24"/>
          <w:szCs w:val="24"/>
          <w:lang w:val="es-MX" w:eastAsia="es-MX"/>
        </w:rPr>
      </w:pPr>
      <w:r w:rsidRPr="00173E12">
        <w:rPr>
          <w:rFonts w:ascii="Times New Roman" w:eastAsia="Times New Roman" w:hAnsi="Times New Roman" w:cs="Times New Roman"/>
          <w:color w:val="000000"/>
          <w:sz w:val="24"/>
          <w:szCs w:val="24"/>
          <w:lang w:val="es-MX" w:eastAsia="es-MX"/>
        </w:rPr>
        <w:t xml:space="preserve">Lo anterior, </w:t>
      </w:r>
      <w:r w:rsidR="003A1079" w:rsidRPr="00173E12">
        <w:rPr>
          <w:rFonts w:ascii="Times New Roman" w:eastAsia="Times New Roman" w:hAnsi="Times New Roman" w:cs="Times New Roman"/>
          <w:color w:val="000000"/>
          <w:sz w:val="24"/>
          <w:szCs w:val="24"/>
          <w:lang w:val="es-MX" w:eastAsia="es-MX"/>
        </w:rPr>
        <w:t xml:space="preserve">porque de no ser así, se generaría </w:t>
      </w:r>
      <w:r w:rsidR="00BF6159" w:rsidRPr="00173E12">
        <w:rPr>
          <w:rFonts w:ascii="Times New Roman" w:eastAsia="Times New Roman" w:hAnsi="Times New Roman" w:cs="Times New Roman"/>
          <w:color w:val="000000"/>
          <w:sz w:val="24"/>
          <w:szCs w:val="24"/>
          <w:lang w:val="es-MX" w:eastAsia="es-MX"/>
        </w:rPr>
        <w:t>una violación directa a</w:t>
      </w:r>
      <w:r w:rsidR="00DA79DC" w:rsidRPr="00173E12">
        <w:rPr>
          <w:rFonts w:ascii="Times New Roman" w:eastAsia="Times New Roman" w:hAnsi="Times New Roman" w:cs="Times New Roman"/>
          <w:color w:val="000000"/>
          <w:sz w:val="24"/>
          <w:szCs w:val="24"/>
          <w:lang w:val="es-MX" w:eastAsia="es-MX"/>
        </w:rPr>
        <w:t>l principio de igualdad entre cónyuges</w:t>
      </w:r>
      <w:r w:rsidR="003A1079" w:rsidRPr="00173E12">
        <w:rPr>
          <w:rFonts w:ascii="Times New Roman" w:eastAsia="Times New Roman" w:hAnsi="Times New Roman" w:cs="Times New Roman"/>
          <w:color w:val="000000"/>
          <w:sz w:val="24"/>
          <w:szCs w:val="24"/>
          <w:lang w:val="es-MX" w:eastAsia="es-MX"/>
        </w:rPr>
        <w:t xml:space="preserve"> reconocido </w:t>
      </w:r>
      <w:r w:rsidR="00C2394D" w:rsidRPr="00173E12">
        <w:rPr>
          <w:rFonts w:ascii="Times New Roman" w:eastAsia="Times New Roman" w:hAnsi="Times New Roman" w:cs="Times New Roman"/>
          <w:color w:val="000000"/>
          <w:sz w:val="24"/>
          <w:szCs w:val="24"/>
          <w:lang w:val="es-MX" w:eastAsia="es-MX"/>
        </w:rPr>
        <w:t xml:space="preserve">constitucional y convencionalmente, el cual tiene el alcance </w:t>
      </w:r>
      <w:r w:rsidR="00B64F0C" w:rsidRPr="00173E12">
        <w:rPr>
          <w:rFonts w:ascii="Times New Roman" w:eastAsia="Times New Roman" w:hAnsi="Times New Roman" w:cs="Times New Roman"/>
          <w:color w:val="000000"/>
          <w:sz w:val="24"/>
          <w:szCs w:val="24"/>
          <w:lang w:val="es-MX" w:eastAsia="es-MX"/>
        </w:rPr>
        <w:t>de proteger la repartición de los ingresos y bienes, particularmente</w:t>
      </w:r>
      <w:r w:rsidR="00C2394D" w:rsidRPr="00173E12">
        <w:rPr>
          <w:rFonts w:ascii="Times New Roman" w:eastAsia="Times New Roman" w:hAnsi="Times New Roman" w:cs="Times New Roman"/>
          <w:color w:val="000000"/>
          <w:sz w:val="24"/>
          <w:szCs w:val="24"/>
          <w:lang w:val="es-MX" w:eastAsia="es-MX"/>
        </w:rPr>
        <w:t>,</w:t>
      </w:r>
      <w:r w:rsidR="00B64F0C" w:rsidRPr="00173E12">
        <w:rPr>
          <w:rFonts w:ascii="Times New Roman" w:eastAsia="Times New Roman" w:hAnsi="Times New Roman" w:cs="Times New Roman"/>
          <w:color w:val="000000"/>
          <w:sz w:val="24"/>
          <w:szCs w:val="24"/>
          <w:lang w:val="es-MX" w:eastAsia="es-MX"/>
        </w:rPr>
        <w:t xml:space="preserve"> respecto a aquellos adquiridos dentro del matrimonio. Por tanto, cuando el matrimonio se contrajo bajo el régimen de separación de bienes, su disolución puede dar lugar al pago de una compensación económica o indemnización hasta por un porcentaje de los bienes adquiridos.</w:t>
      </w:r>
    </w:p>
    <w:p w14:paraId="77F87F76" w14:textId="77777777" w:rsidR="00173E12" w:rsidRDefault="00173E12" w:rsidP="00173E12">
      <w:pPr>
        <w:spacing w:after="0" w:line="240" w:lineRule="auto"/>
        <w:jc w:val="both"/>
        <w:rPr>
          <w:rFonts w:ascii="Times New Roman" w:eastAsia="Times New Roman" w:hAnsi="Times New Roman" w:cs="Times New Roman"/>
          <w:color w:val="000000"/>
          <w:sz w:val="24"/>
          <w:szCs w:val="24"/>
          <w:lang w:val="es-MX" w:eastAsia="es-MX"/>
        </w:rPr>
      </w:pPr>
    </w:p>
    <w:p w14:paraId="26096169" w14:textId="602D28CA" w:rsidR="00FE3D50" w:rsidRPr="00173E12" w:rsidRDefault="00B64F0C" w:rsidP="00173E12">
      <w:pPr>
        <w:spacing w:after="0" w:line="240" w:lineRule="auto"/>
        <w:jc w:val="both"/>
        <w:rPr>
          <w:rFonts w:ascii="Times New Roman" w:hAnsi="Times New Roman" w:cs="Times New Roman"/>
          <w:sz w:val="24"/>
          <w:szCs w:val="24"/>
          <w:lang w:val="es-MX"/>
        </w:rPr>
      </w:pPr>
      <w:r w:rsidRPr="00173E12">
        <w:rPr>
          <w:rFonts w:ascii="Times New Roman" w:eastAsia="Times New Roman" w:hAnsi="Times New Roman" w:cs="Times New Roman"/>
          <w:color w:val="000000"/>
          <w:sz w:val="24"/>
          <w:szCs w:val="24"/>
          <w:lang w:val="es-MX" w:eastAsia="es-MX"/>
        </w:rPr>
        <w:t>Por otra parte,</w:t>
      </w:r>
      <w:r w:rsidR="00C2394D" w:rsidRPr="00173E12">
        <w:rPr>
          <w:rFonts w:ascii="Times New Roman" w:eastAsia="Times New Roman" w:hAnsi="Times New Roman" w:cs="Times New Roman"/>
          <w:color w:val="000000"/>
          <w:sz w:val="24"/>
          <w:szCs w:val="24"/>
          <w:lang w:val="es-MX" w:eastAsia="es-MX"/>
        </w:rPr>
        <w:t xml:space="preserve"> la Sala determinó que ante la existencia de </w:t>
      </w:r>
      <w:r w:rsidRPr="00173E12">
        <w:rPr>
          <w:rFonts w:ascii="Times New Roman" w:eastAsia="Times New Roman" w:hAnsi="Times New Roman" w:cs="Times New Roman"/>
          <w:color w:val="000000"/>
          <w:sz w:val="24"/>
          <w:szCs w:val="24"/>
          <w:lang w:val="es-MX" w:eastAsia="es-MX"/>
        </w:rPr>
        <w:t xml:space="preserve">la obligación </w:t>
      </w:r>
      <w:r w:rsidR="00411A83" w:rsidRPr="00173E12">
        <w:rPr>
          <w:rFonts w:ascii="Times New Roman" w:eastAsia="Times New Roman" w:hAnsi="Times New Roman" w:cs="Times New Roman"/>
          <w:color w:val="000000"/>
          <w:sz w:val="24"/>
          <w:szCs w:val="24"/>
          <w:lang w:val="es-MX" w:eastAsia="es-MX"/>
        </w:rPr>
        <w:t>del Estado Mexicano</w:t>
      </w:r>
      <w:r w:rsidR="00C2394D" w:rsidRPr="00173E12">
        <w:rPr>
          <w:rFonts w:ascii="Times New Roman" w:eastAsia="Times New Roman" w:hAnsi="Times New Roman" w:cs="Times New Roman"/>
          <w:color w:val="000000"/>
          <w:sz w:val="24"/>
          <w:szCs w:val="24"/>
          <w:lang w:val="es-MX" w:eastAsia="es-MX"/>
        </w:rPr>
        <w:t xml:space="preserve"> </w:t>
      </w:r>
      <w:r w:rsidR="005B32BC" w:rsidRPr="00173E12">
        <w:rPr>
          <w:rFonts w:ascii="Times New Roman" w:eastAsia="Times New Roman" w:hAnsi="Times New Roman" w:cs="Times New Roman"/>
          <w:color w:val="000000"/>
          <w:sz w:val="24"/>
          <w:szCs w:val="24"/>
          <w:lang w:val="es-MX" w:eastAsia="es-MX"/>
        </w:rPr>
        <w:t xml:space="preserve">de garantizar los derechos humanos y, derivada de </w:t>
      </w:r>
      <w:r w:rsidR="00403D25" w:rsidRPr="00173E12">
        <w:rPr>
          <w:rFonts w:ascii="Times New Roman" w:eastAsia="Times New Roman" w:hAnsi="Times New Roman" w:cs="Times New Roman"/>
          <w:color w:val="000000"/>
          <w:sz w:val="24"/>
          <w:szCs w:val="24"/>
          <w:lang w:val="es-MX" w:eastAsia="es-MX"/>
        </w:rPr>
        <w:t>e</w:t>
      </w:r>
      <w:r w:rsidR="005B32BC" w:rsidRPr="00173E12">
        <w:rPr>
          <w:rFonts w:ascii="Times New Roman" w:eastAsia="Times New Roman" w:hAnsi="Times New Roman" w:cs="Times New Roman"/>
          <w:color w:val="000000"/>
          <w:sz w:val="24"/>
          <w:szCs w:val="24"/>
          <w:lang w:val="es-MX" w:eastAsia="es-MX"/>
        </w:rPr>
        <w:t xml:space="preserve">sta, los deberes de prevenir y reparar cualquier violación de esta naturaleza, </w:t>
      </w:r>
      <w:r w:rsidR="00C2394D" w:rsidRPr="00173E12">
        <w:rPr>
          <w:rFonts w:ascii="Times New Roman" w:eastAsia="Times New Roman" w:hAnsi="Times New Roman" w:cs="Times New Roman"/>
          <w:color w:val="000000"/>
          <w:sz w:val="24"/>
          <w:szCs w:val="24"/>
          <w:lang w:val="es-MX" w:eastAsia="es-MX"/>
        </w:rPr>
        <w:t xml:space="preserve">es que la protección a un derecho humano (como el de igualdad entre cónyuges) </w:t>
      </w:r>
      <w:r w:rsidR="005B32BC" w:rsidRPr="00173E12">
        <w:rPr>
          <w:rFonts w:ascii="Times New Roman" w:eastAsia="Times New Roman" w:hAnsi="Times New Roman" w:cs="Times New Roman"/>
          <w:color w:val="000000"/>
          <w:sz w:val="24"/>
          <w:szCs w:val="24"/>
          <w:lang w:val="es-MX" w:eastAsia="es-MX"/>
        </w:rPr>
        <w:t>no puede quedar subordinada a la libertad de configuración que tienen las entidades federativas.</w:t>
      </w:r>
      <w:r w:rsidR="00FE3D50" w:rsidRPr="00173E12">
        <w:rPr>
          <w:rFonts w:ascii="Times New Roman" w:eastAsia="Times New Roman" w:hAnsi="Times New Roman" w:cs="Times New Roman"/>
          <w:color w:val="000000"/>
          <w:sz w:val="24"/>
          <w:szCs w:val="24"/>
          <w:lang w:val="es-MX" w:eastAsia="es-MX"/>
        </w:rPr>
        <w:t xml:space="preserve"> Razón por la cual, el </w:t>
      </w:r>
      <w:r w:rsidR="008F0277" w:rsidRPr="00173E12">
        <w:rPr>
          <w:rFonts w:ascii="Times New Roman" w:hAnsi="Times New Roman" w:cs="Times New Roman"/>
          <w:sz w:val="24"/>
          <w:szCs w:val="24"/>
          <w:lang w:val="es-MX"/>
        </w:rPr>
        <w:t>derecho a obtener una compensación económica no puede depender del reconocimiento expreso que haga cada legislación estatal</w:t>
      </w:r>
      <w:r w:rsidR="008367E0" w:rsidRPr="00173E12">
        <w:rPr>
          <w:rFonts w:ascii="Times New Roman" w:hAnsi="Times New Roman" w:cs="Times New Roman"/>
          <w:sz w:val="24"/>
          <w:szCs w:val="24"/>
          <w:lang w:val="es-MX"/>
        </w:rPr>
        <w:t>.</w:t>
      </w:r>
    </w:p>
    <w:p w14:paraId="6A0585C4" w14:textId="77777777" w:rsidR="00173E12" w:rsidRDefault="00173E12" w:rsidP="00173E12">
      <w:pPr>
        <w:spacing w:after="0" w:line="240" w:lineRule="auto"/>
        <w:jc w:val="both"/>
        <w:rPr>
          <w:rFonts w:ascii="Times New Roman" w:hAnsi="Times New Roman" w:cs="Times New Roman"/>
          <w:sz w:val="24"/>
          <w:szCs w:val="24"/>
          <w:lang w:val="es-MX"/>
        </w:rPr>
      </w:pPr>
    </w:p>
    <w:p w14:paraId="4E72BBD3" w14:textId="7F28CAAA" w:rsidR="00472466" w:rsidRPr="00173E12" w:rsidRDefault="000E6410" w:rsidP="00173E12">
      <w:pPr>
        <w:spacing w:after="0" w:line="24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De esta manera</w:t>
      </w:r>
      <w:r w:rsidR="00472466" w:rsidRPr="00173E12">
        <w:rPr>
          <w:rFonts w:ascii="Times New Roman" w:hAnsi="Times New Roman" w:cs="Times New Roman"/>
          <w:sz w:val="24"/>
          <w:szCs w:val="24"/>
          <w:lang w:val="es-MX"/>
        </w:rPr>
        <w:t xml:space="preserve">, </w:t>
      </w:r>
      <w:r>
        <w:rPr>
          <w:rFonts w:ascii="Times New Roman" w:hAnsi="Times New Roman" w:cs="Times New Roman"/>
          <w:sz w:val="24"/>
          <w:szCs w:val="24"/>
          <w:lang w:val="es-MX"/>
        </w:rPr>
        <w:t>la Primera Sala</w:t>
      </w:r>
      <w:r w:rsidRPr="00173E12">
        <w:rPr>
          <w:rFonts w:ascii="Times New Roman" w:hAnsi="Times New Roman" w:cs="Times New Roman"/>
          <w:sz w:val="24"/>
          <w:szCs w:val="24"/>
          <w:lang w:val="es-MX"/>
        </w:rPr>
        <w:t xml:space="preserve"> </w:t>
      </w:r>
      <w:r w:rsidR="00472466" w:rsidRPr="00173E12">
        <w:rPr>
          <w:rFonts w:ascii="Times New Roman" w:hAnsi="Times New Roman" w:cs="Times New Roman"/>
          <w:sz w:val="24"/>
          <w:szCs w:val="24"/>
          <w:lang w:val="es-MX"/>
        </w:rPr>
        <w:t>concluyó</w:t>
      </w:r>
      <w:r w:rsidR="008367E0" w:rsidRPr="00173E12">
        <w:rPr>
          <w:rFonts w:ascii="Times New Roman" w:hAnsi="Times New Roman" w:cs="Times New Roman"/>
          <w:sz w:val="24"/>
          <w:szCs w:val="24"/>
          <w:lang w:val="es-MX"/>
        </w:rPr>
        <w:t xml:space="preserve"> que el reconocimiento de una indemnización patrimonial, independientemente de la modalidad en que lo realice cada entidad federativa, no puede partir de su previsión en una ley o código estatal, sino que </w:t>
      </w:r>
      <w:r w:rsidR="006C1DF7" w:rsidRPr="00173E12">
        <w:rPr>
          <w:rFonts w:ascii="Times New Roman" w:hAnsi="Times New Roman" w:cs="Times New Roman"/>
          <w:sz w:val="24"/>
          <w:szCs w:val="24"/>
          <w:lang w:val="es-MX"/>
        </w:rPr>
        <w:t xml:space="preserve">debe </w:t>
      </w:r>
      <w:r w:rsidR="008367E0" w:rsidRPr="00173E12">
        <w:rPr>
          <w:rFonts w:ascii="Times New Roman" w:hAnsi="Times New Roman" w:cs="Times New Roman"/>
          <w:sz w:val="24"/>
          <w:szCs w:val="24"/>
          <w:lang w:val="es-MX"/>
        </w:rPr>
        <w:t>at</w:t>
      </w:r>
      <w:r w:rsidR="006C1DF7" w:rsidRPr="00173E12">
        <w:rPr>
          <w:rFonts w:ascii="Times New Roman" w:hAnsi="Times New Roman" w:cs="Times New Roman"/>
          <w:sz w:val="24"/>
          <w:szCs w:val="24"/>
          <w:lang w:val="es-MX"/>
        </w:rPr>
        <w:t>ender</w:t>
      </w:r>
      <w:r w:rsidR="008367E0" w:rsidRPr="00173E12">
        <w:rPr>
          <w:rFonts w:ascii="Times New Roman" w:hAnsi="Times New Roman" w:cs="Times New Roman"/>
          <w:sz w:val="24"/>
          <w:szCs w:val="24"/>
          <w:lang w:val="es-MX"/>
        </w:rPr>
        <w:t xml:space="preserve"> a los principio constitucionales y convencionales de igualdad sustantiva e igualdad entre cón</w:t>
      </w:r>
      <w:r w:rsidR="00B415D0" w:rsidRPr="00173E12">
        <w:rPr>
          <w:rFonts w:ascii="Times New Roman" w:hAnsi="Times New Roman" w:cs="Times New Roman"/>
          <w:sz w:val="24"/>
          <w:szCs w:val="24"/>
          <w:lang w:val="es-MX"/>
        </w:rPr>
        <w:t>yuges.</w:t>
      </w:r>
    </w:p>
    <w:p w14:paraId="4EF38508" w14:textId="77777777" w:rsidR="00173E12" w:rsidRDefault="00173E12" w:rsidP="00173E12">
      <w:pPr>
        <w:spacing w:after="0" w:line="240" w:lineRule="auto"/>
        <w:jc w:val="both"/>
        <w:rPr>
          <w:rFonts w:ascii="Times New Roman" w:hAnsi="Times New Roman" w:cs="Times New Roman"/>
          <w:sz w:val="24"/>
          <w:szCs w:val="24"/>
          <w:lang w:val="es-MX"/>
        </w:rPr>
      </w:pPr>
    </w:p>
    <w:p w14:paraId="7E304BB6" w14:textId="70E9A889" w:rsidR="00E21F2E" w:rsidRPr="00173E12" w:rsidRDefault="00B415D0" w:rsidP="00173E12">
      <w:pPr>
        <w:spacing w:after="0" w:line="240" w:lineRule="auto"/>
        <w:jc w:val="both"/>
        <w:rPr>
          <w:rFonts w:ascii="Times New Roman" w:hAnsi="Times New Roman" w:cs="Times New Roman"/>
          <w:sz w:val="24"/>
          <w:szCs w:val="24"/>
          <w:lang w:val="es-MX"/>
        </w:rPr>
      </w:pPr>
      <w:r w:rsidRPr="00173E12">
        <w:rPr>
          <w:rFonts w:ascii="Times New Roman" w:hAnsi="Times New Roman" w:cs="Times New Roman"/>
          <w:sz w:val="24"/>
          <w:szCs w:val="24"/>
          <w:lang w:val="es-MX"/>
        </w:rPr>
        <w:t>De tal suerte que se surte la obligación de los órganos jurisdiccionales de interpretar de forma extensiva el reconocimiento y aplicación de dichos derechos humanos</w:t>
      </w:r>
      <w:r w:rsidR="00472466" w:rsidRPr="00173E12">
        <w:rPr>
          <w:rFonts w:ascii="Times New Roman" w:hAnsi="Times New Roman" w:cs="Times New Roman"/>
          <w:sz w:val="24"/>
          <w:szCs w:val="24"/>
          <w:lang w:val="es-MX"/>
        </w:rPr>
        <w:t xml:space="preserve"> y, por tanto, se deberá </w:t>
      </w:r>
      <w:r w:rsidR="00472466" w:rsidRPr="00173E12">
        <w:rPr>
          <w:rFonts w:ascii="Times New Roman" w:hAnsi="Times New Roman" w:cs="Times New Roman"/>
          <w:sz w:val="24"/>
          <w:szCs w:val="24"/>
          <w:lang w:val="es-MX"/>
        </w:rPr>
        <w:lastRenderedPageBreak/>
        <w:t xml:space="preserve">reconocer </w:t>
      </w:r>
      <w:r w:rsidR="00A11BEC" w:rsidRPr="00173E12">
        <w:rPr>
          <w:rFonts w:ascii="Times New Roman" w:hAnsi="Times New Roman" w:cs="Times New Roman"/>
          <w:sz w:val="24"/>
          <w:szCs w:val="24"/>
          <w:lang w:val="es-MX"/>
        </w:rPr>
        <w:t>la compensación económica como un mecanismo resarcitorio ante la necesidad de subsanar el desequilibrio entre los cónyuges, por haber asumido las cargas domésticas y de cuidado</w:t>
      </w:r>
      <w:r w:rsidR="00453394" w:rsidRPr="00173E12">
        <w:rPr>
          <w:rFonts w:ascii="Times New Roman" w:hAnsi="Times New Roman" w:cs="Times New Roman"/>
          <w:sz w:val="24"/>
          <w:szCs w:val="24"/>
          <w:lang w:val="es-MX"/>
        </w:rPr>
        <w:t xml:space="preserve"> y, </w:t>
      </w:r>
      <w:r w:rsidR="00B10120" w:rsidRPr="00173E12">
        <w:rPr>
          <w:rFonts w:ascii="Times New Roman" w:hAnsi="Times New Roman" w:cs="Times New Roman"/>
          <w:sz w:val="24"/>
          <w:szCs w:val="24"/>
          <w:lang w:val="es-MX"/>
        </w:rPr>
        <w:t>en consecuencia</w:t>
      </w:r>
      <w:r w:rsidR="00453394" w:rsidRPr="00173E12">
        <w:rPr>
          <w:rFonts w:ascii="Times New Roman" w:hAnsi="Times New Roman" w:cs="Times New Roman"/>
          <w:sz w:val="24"/>
          <w:szCs w:val="24"/>
          <w:lang w:val="es-MX"/>
        </w:rPr>
        <w:t xml:space="preserve">, </w:t>
      </w:r>
      <w:r w:rsidR="00CB2942" w:rsidRPr="00173E12">
        <w:rPr>
          <w:rFonts w:ascii="Times New Roman" w:hAnsi="Times New Roman" w:cs="Times New Roman"/>
          <w:sz w:val="24"/>
          <w:szCs w:val="24"/>
          <w:lang w:val="es-MX"/>
        </w:rPr>
        <w:t xml:space="preserve">la </w:t>
      </w:r>
      <w:r w:rsidR="00494256" w:rsidRPr="00173E12">
        <w:rPr>
          <w:rFonts w:ascii="Times New Roman" w:hAnsi="Times New Roman" w:cs="Times New Roman"/>
          <w:sz w:val="24"/>
          <w:szCs w:val="24"/>
          <w:lang w:val="es-MX"/>
        </w:rPr>
        <w:t>ausencia</w:t>
      </w:r>
      <w:r w:rsidR="00CB2942" w:rsidRPr="00173E12">
        <w:rPr>
          <w:rFonts w:ascii="Times New Roman" w:hAnsi="Times New Roman" w:cs="Times New Roman"/>
          <w:sz w:val="24"/>
          <w:szCs w:val="24"/>
          <w:lang w:val="es-MX"/>
        </w:rPr>
        <w:t xml:space="preserve"> de </w:t>
      </w:r>
      <w:r w:rsidR="00453394" w:rsidRPr="00173E12">
        <w:rPr>
          <w:rFonts w:ascii="Times New Roman" w:hAnsi="Times New Roman" w:cs="Times New Roman"/>
          <w:sz w:val="24"/>
          <w:szCs w:val="24"/>
          <w:lang w:val="es-MX"/>
        </w:rPr>
        <w:t xml:space="preserve">su </w:t>
      </w:r>
      <w:r w:rsidR="00CB2942" w:rsidRPr="00173E12">
        <w:rPr>
          <w:rFonts w:ascii="Times New Roman" w:hAnsi="Times New Roman" w:cs="Times New Roman"/>
          <w:sz w:val="24"/>
          <w:szCs w:val="24"/>
          <w:lang w:val="es-MX"/>
        </w:rPr>
        <w:t>regulación expresa</w:t>
      </w:r>
      <w:r w:rsidR="00363A88" w:rsidRPr="00173E12">
        <w:rPr>
          <w:rFonts w:ascii="Times New Roman" w:hAnsi="Times New Roman" w:cs="Times New Roman"/>
          <w:sz w:val="24"/>
          <w:szCs w:val="24"/>
          <w:lang w:val="es-MX"/>
        </w:rPr>
        <w:t>, no debe er</w:t>
      </w:r>
      <w:r w:rsidR="003828FD" w:rsidRPr="00173E12">
        <w:rPr>
          <w:rFonts w:ascii="Times New Roman" w:hAnsi="Times New Roman" w:cs="Times New Roman"/>
          <w:sz w:val="24"/>
          <w:szCs w:val="24"/>
          <w:lang w:val="es-MX"/>
        </w:rPr>
        <w:t>igirse en impedimento para que el órgano jurisdiccional se pronuncie al respecto.</w:t>
      </w:r>
    </w:p>
    <w:p w14:paraId="07FCE837" w14:textId="77777777" w:rsidR="00173E12" w:rsidRDefault="00173E12" w:rsidP="00173E12">
      <w:pPr>
        <w:spacing w:after="0" w:line="240" w:lineRule="auto"/>
        <w:jc w:val="both"/>
        <w:rPr>
          <w:rFonts w:ascii="Times New Roman" w:hAnsi="Times New Roman" w:cs="Times New Roman"/>
          <w:sz w:val="24"/>
          <w:szCs w:val="24"/>
          <w:lang w:val="es-MX"/>
        </w:rPr>
      </w:pPr>
    </w:p>
    <w:p w14:paraId="4360E445" w14:textId="5AF3D24B" w:rsidR="006F261F" w:rsidRPr="00173E12" w:rsidRDefault="00B10120" w:rsidP="00173E12">
      <w:pPr>
        <w:spacing w:after="0" w:line="240" w:lineRule="auto"/>
        <w:jc w:val="both"/>
        <w:rPr>
          <w:rFonts w:ascii="Times New Roman" w:hAnsi="Times New Roman" w:cs="Times New Roman"/>
          <w:sz w:val="24"/>
          <w:szCs w:val="24"/>
          <w:lang w:val="es-MX"/>
        </w:rPr>
      </w:pPr>
      <w:r w:rsidRPr="00173E12">
        <w:rPr>
          <w:rFonts w:ascii="Times New Roman" w:hAnsi="Times New Roman" w:cs="Times New Roman"/>
          <w:sz w:val="24"/>
          <w:szCs w:val="24"/>
          <w:lang w:val="es-MX"/>
        </w:rPr>
        <w:t>B</w:t>
      </w:r>
      <w:r w:rsidR="006F261F" w:rsidRPr="00173E12">
        <w:rPr>
          <w:rFonts w:ascii="Times New Roman" w:hAnsi="Times New Roman" w:cs="Times New Roman"/>
          <w:sz w:val="24"/>
          <w:szCs w:val="24"/>
          <w:lang w:val="es-MX"/>
        </w:rPr>
        <w:t xml:space="preserve">ajo la interpretación conforme establecida, la Primera Sala declaró </w:t>
      </w:r>
      <w:r w:rsidR="006846F6" w:rsidRPr="00173E12">
        <w:rPr>
          <w:rFonts w:ascii="Times New Roman" w:hAnsi="Times New Roman" w:cs="Times New Roman"/>
          <w:sz w:val="24"/>
          <w:szCs w:val="24"/>
          <w:lang w:val="es-MX"/>
        </w:rPr>
        <w:t>constitucional</w:t>
      </w:r>
      <w:r w:rsidR="006F261F" w:rsidRPr="00173E12">
        <w:rPr>
          <w:rFonts w:ascii="Times New Roman" w:hAnsi="Times New Roman" w:cs="Times New Roman"/>
          <w:sz w:val="24"/>
          <w:szCs w:val="24"/>
          <w:lang w:val="es-MX"/>
        </w:rPr>
        <w:t xml:space="preserve"> el artículo </w:t>
      </w:r>
      <w:r w:rsidR="00B64F0C" w:rsidRPr="00173E12">
        <w:rPr>
          <w:rFonts w:ascii="Times New Roman" w:hAnsi="Times New Roman" w:cs="Times New Roman"/>
          <w:sz w:val="24"/>
          <w:szCs w:val="24"/>
          <w:lang w:val="es-MX"/>
        </w:rPr>
        <w:t>162</w:t>
      </w:r>
      <w:r w:rsidR="006F261F" w:rsidRPr="00173E12">
        <w:rPr>
          <w:rFonts w:ascii="Times New Roman" w:hAnsi="Times New Roman" w:cs="Times New Roman"/>
          <w:sz w:val="24"/>
          <w:szCs w:val="24"/>
          <w:lang w:val="es-MX"/>
        </w:rPr>
        <w:t xml:space="preserve"> de</w:t>
      </w:r>
      <w:r w:rsidR="00B64F0C" w:rsidRPr="00173E12">
        <w:rPr>
          <w:rFonts w:ascii="Times New Roman" w:hAnsi="Times New Roman" w:cs="Times New Roman"/>
          <w:sz w:val="24"/>
          <w:szCs w:val="24"/>
          <w:lang w:val="es-MX"/>
        </w:rPr>
        <w:t>l</w:t>
      </w:r>
      <w:r w:rsidR="006F261F" w:rsidRPr="00173E12">
        <w:rPr>
          <w:rFonts w:ascii="Times New Roman" w:hAnsi="Times New Roman" w:cs="Times New Roman"/>
          <w:sz w:val="24"/>
          <w:szCs w:val="24"/>
          <w:lang w:val="es-MX"/>
        </w:rPr>
        <w:t xml:space="preserve"> </w:t>
      </w:r>
      <w:r w:rsidR="00B64F0C" w:rsidRPr="00173E12">
        <w:rPr>
          <w:rFonts w:ascii="Times New Roman" w:hAnsi="Times New Roman" w:cs="Times New Roman"/>
          <w:sz w:val="24"/>
          <w:szCs w:val="24"/>
          <w:lang w:val="es-MX"/>
        </w:rPr>
        <w:t>Código Civil del Estado de Veracruz</w:t>
      </w:r>
      <w:r w:rsidR="006F261F" w:rsidRPr="00173E12">
        <w:rPr>
          <w:rFonts w:ascii="Times New Roman" w:hAnsi="Times New Roman" w:cs="Times New Roman"/>
          <w:sz w:val="24"/>
          <w:szCs w:val="24"/>
          <w:lang w:val="es-MX"/>
        </w:rPr>
        <w:t>.</w:t>
      </w:r>
    </w:p>
    <w:p w14:paraId="234B8450" w14:textId="77777777" w:rsidR="00173E12" w:rsidRDefault="00173E12" w:rsidP="00173E12">
      <w:pPr>
        <w:spacing w:after="0" w:line="240" w:lineRule="auto"/>
        <w:jc w:val="both"/>
        <w:rPr>
          <w:rFonts w:ascii="Times New Roman" w:eastAsia="Times New Roman" w:hAnsi="Times New Roman" w:cs="Times New Roman"/>
          <w:b/>
          <w:bCs/>
          <w:color w:val="000000"/>
          <w:sz w:val="24"/>
          <w:szCs w:val="24"/>
          <w:lang w:val="es-MX" w:eastAsia="es-MX"/>
        </w:rPr>
      </w:pPr>
    </w:p>
    <w:p w14:paraId="77221370" w14:textId="0C653FC1" w:rsidR="006F261F" w:rsidRPr="00AF10AD" w:rsidRDefault="006F261F" w:rsidP="00173E12">
      <w:pPr>
        <w:spacing w:after="0" w:line="240" w:lineRule="auto"/>
        <w:jc w:val="both"/>
        <w:rPr>
          <w:rFonts w:ascii="Times New Roman" w:hAnsi="Times New Roman" w:cs="Times New Roman"/>
          <w:b/>
          <w:bCs/>
          <w:sz w:val="24"/>
          <w:szCs w:val="24"/>
          <w:shd w:val="clear" w:color="auto" w:fill="B4C6E7" w:themeFill="accent1" w:themeFillTint="66"/>
          <w:lang w:val="es-MX"/>
        </w:rPr>
      </w:pPr>
      <w:r w:rsidRPr="00AF10AD">
        <w:rPr>
          <w:rFonts w:ascii="Times New Roman" w:hAnsi="Times New Roman" w:cs="Times New Roman"/>
          <w:b/>
          <w:bCs/>
          <w:sz w:val="24"/>
          <w:szCs w:val="24"/>
          <w:shd w:val="clear" w:color="auto" w:fill="B4C6E7" w:themeFill="accent1" w:themeFillTint="66"/>
          <w:lang w:val="es-MX"/>
        </w:rPr>
        <w:t>Votación:</w:t>
      </w:r>
    </w:p>
    <w:p w14:paraId="158413EC" w14:textId="77777777" w:rsidR="00173E12" w:rsidRPr="00173E12" w:rsidRDefault="00173E12" w:rsidP="00173E12">
      <w:pPr>
        <w:spacing w:after="0" w:line="240" w:lineRule="auto"/>
        <w:jc w:val="both"/>
        <w:rPr>
          <w:rFonts w:ascii="Times New Roman" w:eastAsia="Times New Roman" w:hAnsi="Times New Roman" w:cs="Times New Roman"/>
          <w:color w:val="000000"/>
          <w:sz w:val="24"/>
          <w:szCs w:val="24"/>
          <w:lang w:val="es-MX" w:eastAsia="es-MX"/>
        </w:rPr>
      </w:pPr>
    </w:p>
    <w:p w14:paraId="3F9DEDD2" w14:textId="0F35B607" w:rsidR="006F261F" w:rsidRPr="00173E12" w:rsidRDefault="006F261F" w:rsidP="00173E12">
      <w:pPr>
        <w:spacing w:after="0" w:line="240" w:lineRule="auto"/>
        <w:jc w:val="both"/>
        <w:rPr>
          <w:rFonts w:ascii="Times New Roman" w:eastAsia="Times New Roman" w:hAnsi="Times New Roman" w:cs="Times New Roman"/>
          <w:color w:val="000000"/>
          <w:sz w:val="24"/>
          <w:szCs w:val="24"/>
          <w:lang w:val="es-MX" w:eastAsia="es-MX"/>
        </w:rPr>
      </w:pPr>
      <w:r w:rsidRPr="00173E12">
        <w:rPr>
          <w:rFonts w:ascii="Times New Roman" w:eastAsia="Times New Roman" w:hAnsi="Times New Roman" w:cs="Times New Roman"/>
          <w:color w:val="000000"/>
          <w:sz w:val="24"/>
          <w:szCs w:val="24"/>
          <w:lang w:val="es-MX" w:eastAsia="es-MX"/>
        </w:rPr>
        <w:t xml:space="preserve">El asunto fue aprobado </w:t>
      </w:r>
      <w:r w:rsidR="000E6410">
        <w:rPr>
          <w:rFonts w:ascii="Times New Roman" w:eastAsia="Times New Roman" w:hAnsi="Times New Roman" w:cs="Times New Roman"/>
          <w:color w:val="000000"/>
          <w:sz w:val="24"/>
          <w:szCs w:val="24"/>
          <w:lang w:val="es-MX" w:eastAsia="es-MX"/>
        </w:rPr>
        <w:t xml:space="preserve">en sesión de la Primera Sala del 10 de noviembre de 2021, </w:t>
      </w:r>
      <w:r w:rsidRPr="00173E12">
        <w:rPr>
          <w:rFonts w:ascii="Times New Roman" w:eastAsia="Times New Roman" w:hAnsi="Times New Roman" w:cs="Times New Roman"/>
          <w:color w:val="000000"/>
          <w:sz w:val="24"/>
          <w:szCs w:val="24"/>
          <w:lang w:val="es-MX" w:eastAsia="es-MX"/>
        </w:rPr>
        <w:t xml:space="preserve">por </w:t>
      </w:r>
      <w:r w:rsidR="00B55E84" w:rsidRPr="00173E12">
        <w:rPr>
          <w:rFonts w:ascii="Times New Roman" w:eastAsia="Times New Roman" w:hAnsi="Times New Roman" w:cs="Times New Roman"/>
          <w:color w:val="000000"/>
          <w:sz w:val="24"/>
          <w:szCs w:val="24"/>
          <w:lang w:val="es-MX" w:eastAsia="es-MX"/>
        </w:rPr>
        <w:t xml:space="preserve">unanimidad de cinco votos de la </w:t>
      </w:r>
      <w:proofErr w:type="gramStart"/>
      <w:r w:rsidR="00B55E84" w:rsidRPr="00173E12">
        <w:rPr>
          <w:rFonts w:ascii="Times New Roman" w:eastAsia="Times New Roman" w:hAnsi="Times New Roman" w:cs="Times New Roman"/>
          <w:color w:val="000000"/>
          <w:sz w:val="24"/>
          <w:szCs w:val="24"/>
          <w:lang w:val="es-MX" w:eastAsia="es-MX"/>
        </w:rPr>
        <w:t>Ministra</w:t>
      </w:r>
      <w:proofErr w:type="gramEnd"/>
      <w:r w:rsidR="00B55E84" w:rsidRPr="00173E12">
        <w:rPr>
          <w:rFonts w:ascii="Times New Roman" w:eastAsia="Times New Roman" w:hAnsi="Times New Roman" w:cs="Times New Roman"/>
          <w:color w:val="000000"/>
          <w:sz w:val="24"/>
          <w:szCs w:val="24"/>
          <w:lang w:val="es-MX" w:eastAsia="es-MX"/>
        </w:rPr>
        <w:t xml:space="preserve"> Norma Lucía Piña Hernández y de los Ministros Juan Luis González Alcántara Carrancá</w:t>
      </w:r>
      <w:r w:rsidR="004D54CF" w:rsidRPr="00173E12">
        <w:rPr>
          <w:rFonts w:ascii="Times New Roman" w:eastAsia="Times New Roman" w:hAnsi="Times New Roman" w:cs="Times New Roman"/>
          <w:color w:val="000000"/>
          <w:sz w:val="24"/>
          <w:szCs w:val="24"/>
          <w:lang w:val="es-MX" w:eastAsia="es-MX"/>
        </w:rPr>
        <w:t xml:space="preserve"> y</w:t>
      </w:r>
      <w:r w:rsidR="00B55E84" w:rsidRPr="00173E12">
        <w:rPr>
          <w:rFonts w:ascii="Times New Roman" w:eastAsia="Times New Roman" w:hAnsi="Times New Roman" w:cs="Times New Roman"/>
          <w:color w:val="000000"/>
          <w:sz w:val="24"/>
          <w:szCs w:val="24"/>
          <w:lang w:val="es-MX" w:eastAsia="es-MX"/>
        </w:rPr>
        <w:t xml:space="preserve"> Jorge Mario Pardo Rebolledo, quienes se reserva</w:t>
      </w:r>
      <w:r w:rsidR="004D54CF" w:rsidRPr="00173E12">
        <w:rPr>
          <w:rFonts w:ascii="Times New Roman" w:eastAsia="Times New Roman" w:hAnsi="Times New Roman" w:cs="Times New Roman"/>
          <w:color w:val="000000"/>
          <w:sz w:val="24"/>
          <w:szCs w:val="24"/>
          <w:lang w:val="es-MX" w:eastAsia="es-MX"/>
        </w:rPr>
        <w:t>ro</w:t>
      </w:r>
      <w:r w:rsidR="00B55E84" w:rsidRPr="00173E12">
        <w:rPr>
          <w:rFonts w:ascii="Times New Roman" w:eastAsia="Times New Roman" w:hAnsi="Times New Roman" w:cs="Times New Roman"/>
          <w:color w:val="000000"/>
          <w:sz w:val="24"/>
          <w:szCs w:val="24"/>
          <w:lang w:val="es-MX" w:eastAsia="es-MX"/>
        </w:rPr>
        <w:t xml:space="preserve">n su derecho a formular voto concurrente, </w:t>
      </w:r>
      <w:r w:rsidR="004D54CF" w:rsidRPr="00173E12">
        <w:rPr>
          <w:rFonts w:ascii="Times New Roman" w:eastAsia="Times New Roman" w:hAnsi="Times New Roman" w:cs="Times New Roman"/>
          <w:color w:val="000000"/>
          <w:sz w:val="24"/>
          <w:szCs w:val="24"/>
          <w:lang w:val="es-MX" w:eastAsia="es-MX"/>
        </w:rPr>
        <w:t xml:space="preserve">así como del Ministro </w:t>
      </w:r>
      <w:r w:rsidR="00B55E84" w:rsidRPr="00173E12">
        <w:rPr>
          <w:rFonts w:ascii="Times New Roman" w:eastAsia="Times New Roman" w:hAnsi="Times New Roman" w:cs="Times New Roman"/>
          <w:color w:val="000000"/>
          <w:sz w:val="24"/>
          <w:szCs w:val="24"/>
          <w:lang w:val="es-MX" w:eastAsia="es-MX"/>
        </w:rPr>
        <w:t xml:space="preserve">Alfredo Gutiérrez Ortiz Mena y </w:t>
      </w:r>
      <w:r w:rsidR="004D54CF" w:rsidRPr="00173E12">
        <w:rPr>
          <w:rFonts w:ascii="Times New Roman" w:eastAsia="Times New Roman" w:hAnsi="Times New Roman" w:cs="Times New Roman"/>
          <w:color w:val="000000"/>
          <w:sz w:val="24"/>
          <w:szCs w:val="24"/>
          <w:lang w:val="es-MX" w:eastAsia="es-MX"/>
        </w:rPr>
        <w:t xml:space="preserve">de </w:t>
      </w:r>
      <w:r w:rsidR="00B55E84" w:rsidRPr="00173E12">
        <w:rPr>
          <w:rFonts w:ascii="Times New Roman" w:eastAsia="Times New Roman" w:hAnsi="Times New Roman" w:cs="Times New Roman"/>
          <w:color w:val="000000"/>
          <w:sz w:val="24"/>
          <w:szCs w:val="24"/>
          <w:lang w:val="es-MX" w:eastAsia="es-MX"/>
        </w:rPr>
        <w:t>la Ministra Presidenta Ana Margarita Ríos Farjat (Ponente).</w:t>
      </w:r>
    </w:p>
    <w:p w14:paraId="31580677" w14:textId="18FCC1A6" w:rsidR="00173E12" w:rsidRPr="00173E12" w:rsidRDefault="00173E12" w:rsidP="00173E12">
      <w:pPr>
        <w:spacing w:after="0" w:line="240" w:lineRule="auto"/>
        <w:jc w:val="both"/>
        <w:rPr>
          <w:rFonts w:ascii="Times New Roman" w:eastAsia="Times New Roman" w:hAnsi="Times New Roman" w:cs="Times New Roman"/>
          <w:color w:val="000000"/>
          <w:sz w:val="24"/>
          <w:szCs w:val="24"/>
          <w:lang w:val="es-MX" w:eastAsia="es-MX"/>
        </w:rPr>
      </w:pPr>
    </w:p>
    <w:tbl>
      <w:tblPr>
        <w:tblStyle w:val="Tablaconcuadrcula"/>
        <w:tblW w:w="0" w:type="auto"/>
        <w:tblLook w:val="04A0" w:firstRow="1" w:lastRow="0" w:firstColumn="1" w:lastColumn="0" w:noHBand="0" w:noVBand="1"/>
      </w:tblPr>
      <w:tblGrid>
        <w:gridCol w:w="8808"/>
      </w:tblGrid>
      <w:tr w:rsidR="00173E12" w:rsidRPr="00173E12" w14:paraId="293BA2BE" w14:textId="77777777" w:rsidTr="000A31BD">
        <w:tc>
          <w:tcPr>
            <w:tcW w:w="8828" w:type="dxa"/>
            <w:tcBorders>
              <w:top w:val="single" w:sz="12" w:space="0" w:color="2E74B5" w:themeColor="accent5" w:themeShade="BF"/>
              <w:left w:val="single" w:sz="12" w:space="0" w:color="2E74B5" w:themeColor="accent5" w:themeShade="BF"/>
              <w:bottom w:val="single" w:sz="12" w:space="0" w:color="2E74B5" w:themeColor="accent5" w:themeShade="BF"/>
              <w:right w:val="single" w:sz="12" w:space="0" w:color="2E74B5" w:themeColor="accent5" w:themeShade="BF"/>
            </w:tcBorders>
            <w:shd w:val="clear" w:color="auto" w:fill="auto"/>
          </w:tcPr>
          <w:p w14:paraId="18725339" w14:textId="77777777" w:rsidR="00173E12" w:rsidRPr="00173E12" w:rsidRDefault="00173E12" w:rsidP="000A31BD">
            <w:pPr>
              <w:jc w:val="both"/>
              <w:rPr>
                <w:rFonts w:ascii="Times New Roman" w:hAnsi="Times New Roman" w:cs="Times New Roman"/>
                <w:sz w:val="20"/>
                <w:szCs w:val="20"/>
                <w:lang w:val="es-MX"/>
              </w:rPr>
            </w:pPr>
            <w:bookmarkStart w:id="2" w:name="_Hlk96420792"/>
          </w:p>
          <w:p w14:paraId="74EF6076" w14:textId="77777777" w:rsidR="00173E12" w:rsidRPr="00173E12" w:rsidRDefault="00173E12" w:rsidP="000A31BD">
            <w:pPr>
              <w:jc w:val="both"/>
              <w:rPr>
                <w:rFonts w:ascii="Times New Roman" w:hAnsi="Times New Roman" w:cs="Times New Roman"/>
                <w:sz w:val="20"/>
                <w:szCs w:val="20"/>
                <w:lang w:val="es-MX"/>
              </w:rPr>
            </w:pPr>
            <w:r w:rsidRPr="00173E12">
              <w:rPr>
                <w:rFonts w:ascii="Times New Roman" w:hAnsi="Times New Roman" w:cs="Times New Roman"/>
                <w:sz w:val="20"/>
                <w:szCs w:val="20"/>
                <w:lang w:val="es-MX"/>
              </w:rPr>
              <w:t>Documento con fines de difusión. Las únicas fuentes oficiales son las sentencias emitidas por la Suprema Corte de Justicia de la Nación, así como el Semanario Judicial de la Federación y su Gaceta.</w:t>
            </w:r>
          </w:p>
          <w:p w14:paraId="1E5475E5" w14:textId="77777777" w:rsidR="00173E12" w:rsidRPr="00173E12" w:rsidRDefault="00173E12" w:rsidP="000A31BD">
            <w:pPr>
              <w:jc w:val="both"/>
              <w:rPr>
                <w:rFonts w:ascii="Times New Roman" w:hAnsi="Times New Roman" w:cs="Times New Roman"/>
                <w:sz w:val="20"/>
                <w:szCs w:val="20"/>
                <w:lang w:val="es-MX"/>
              </w:rPr>
            </w:pPr>
          </w:p>
        </w:tc>
      </w:tr>
      <w:bookmarkEnd w:id="2"/>
    </w:tbl>
    <w:p w14:paraId="339DBC8C" w14:textId="77777777" w:rsidR="00173E12" w:rsidRPr="00173E12" w:rsidRDefault="00173E12" w:rsidP="00173E12">
      <w:pPr>
        <w:spacing w:after="0" w:line="240" w:lineRule="auto"/>
        <w:jc w:val="both"/>
        <w:rPr>
          <w:rFonts w:ascii="Times New Roman" w:eastAsia="Times New Roman" w:hAnsi="Times New Roman" w:cs="Times New Roman"/>
          <w:color w:val="000000"/>
          <w:sz w:val="24"/>
          <w:szCs w:val="24"/>
          <w:lang w:val="es-MX" w:eastAsia="es-MX"/>
        </w:rPr>
      </w:pPr>
    </w:p>
    <w:sectPr w:rsidR="00173E12" w:rsidRPr="00173E12">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ECF9A" w14:textId="77777777" w:rsidR="00F4706B" w:rsidRDefault="00F4706B" w:rsidP="006F261F">
      <w:pPr>
        <w:spacing w:after="0" w:line="240" w:lineRule="auto"/>
      </w:pPr>
      <w:r>
        <w:separator/>
      </w:r>
    </w:p>
  </w:endnote>
  <w:endnote w:type="continuationSeparator" w:id="0">
    <w:p w14:paraId="187F1EC6" w14:textId="77777777" w:rsidR="00F4706B" w:rsidRDefault="00F4706B" w:rsidP="006F2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697822"/>
      <w:docPartObj>
        <w:docPartGallery w:val="Page Numbers (Bottom of Page)"/>
        <w:docPartUnique/>
      </w:docPartObj>
    </w:sdtPr>
    <w:sdtEndPr>
      <w:rPr>
        <w:rFonts w:ascii="Times New Roman" w:hAnsi="Times New Roman" w:cs="Times New Roman"/>
      </w:rPr>
    </w:sdtEndPr>
    <w:sdtContent>
      <w:p w14:paraId="24AB99D3" w14:textId="3149A02D" w:rsidR="00AF10AD" w:rsidRPr="00AF10AD" w:rsidRDefault="00AF10AD">
        <w:pPr>
          <w:pStyle w:val="Piedepgina"/>
          <w:jc w:val="center"/>
          <w:rPr>
            <w:rFonts w:ascii="Times New Roman" w:hAnsi="Times New Roman" w:cs="Times New Roman"/>
          </w:rPr>
        </w:pPr>
        <w:r w:rsidRPr="00AF10AD">
          <w:rPr>
            <w:rFonts w:ascii="Times New Roman" w:hAnsi="Times New Roman" w:cs="Times New Roman"/>
          </w:rPr>
          <w:fldChar w:fldCharType="begin"/>
        </w:r>
        <w:r w:rsidRPr="00AF10AD">
          <w:rPr>
            <w:rFonts w:ascii="Times New Roman" w:hAnsi="Times New Roman" w:cs="Times New Roman"/>
          </w:rPr>
          <w:instrText>PAGE   \* MERGEFORMAT</w:instrText>
        </w:r>
        <w:r w:rsidRPr="00AF10AD">
          <w:rPr>
            <w:rFonts w:ascii="Times New Roman" w:hAnsi="Times New Roman" w:cs="Times New Roman"/>
          </w:rPr>
          <w:fldChar w:fldCharType="separate"/>
        </w:r>
        <w:r w:rsidRPr="00AF10AD">
          <w:rPr>
            <w:rFonts w:ascii="Times New Roman" w:hAnsi="Times New Roman" w:cs="Times New Roman"/>
            <w:lang w:val="es-ES"/>
          </w:rPr>
          <w:t>2</w:t>
        </w:r>
        <w:r w:rsidRPr="00AF10AD">
          <w:rPr>
            <w:rFonts w:ascii="Times New Roman" w:hAnsi="Times New Roman" w:cs="Times New Roman"/>
          </w:rPr>
          <w:fldChar w:fldCharType="end"/>
        </w:r>
      </w:p>
    </w:sdtContent>
  </w:sdt>
  <w:p w14:paraId="51D818E7" w14:textId="77777777" w:rsidR="00EF4806" w:rsidRDefault="00F470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ADB57" w14:textId="77777777" w:rsidR="00F4706B" w:rsidRDefault="00F4706B" w:rsidP="006F261F">
      <w:pPr>
        <w:spacing w:after="0" w:line="240" w:lineRule="auto"/>
      </w:pPr>
      <w:r>
        <w:separator/>
      </w:r>
    </w:p>
  </w:footnote>
  <w:footnote w:type="continuationSeparator" w:id="0">
    <w:p w14:paraId="0DA2F4C9" w14:textId="77777777" w:rsidR="00F4706B" w:rsidRDefault="00F4706B" w:rsidP="006F261F">
      <w:pPr>
        <w:spacing w:after="0" w:line="240" w:lineRule="auto"/>
      </w:pPr>
      <w:r>
        <w:continuationSeparator/>
      </w:r>
    </w:p>
  </w:footnote>
  <w:footnote w:id="1">
    <w:p w14:paraId="7FD4D4FC" w14:textId="77777777" w:rsidR="003B3CD9" w:rsidRPr="00173E12" w:rsidRDefault="00037CEE" w:rsidP="003B3CD9">
      <w:pPr>
        <w:pStyle w:val="Textonotapie"/>
        <w:jc w:val="both"/>
        <w:rPr>
          <w:rFonts w:ascii="Times New Roman" w:hAnsi="Times New Roman" w:cs="Times New Roman"/>
          <w:lang w:val="es-MX"/>
        </w:rPr>
      </w:pPr>
      <w:r w:rsidRPr="00173E12">
        <w:rPr>
          <w:rStyle w:val="Refdenotaalpie"/>
          <w:rFonts w:ascii="Times New Roman" w:hAnsi="Times New Roman" w:cs="Times New Roman"/>
        </w:rPr>
        <w:footnoteRef/>
      </w:r>
      <w:r w:rsidRPr="00173E12">
        <w:rPr>
          <w:rFonts w:ascii="Times New Roman" w:hAnsi="Times New Roman" w:cs="Times New Roman"/>
          <w:lang w:val="es-MX"/>
        </w:rPr>
        <w:t xml:space="preserve"> </w:t>
      </w:r>
      <w:r w:rsidR="003B3CD9" w:rsidRPr="00173E12">
        <w:rPr>
          <w:rFonts w:ascii="Times New Roman" w:hAnsi="Times New Roman" w:cs="Times New Roman"/>
          <w:b/>
          <w:bCs/>
          <w:lang w:val="es-ES_tradnl"/>
        </w:rPr>
        <w:t xml:space="preserve">Artículo 162. </w:t>
      </w:r>
      <w:r w:rsidR="003B3CD9" w:rsidRPr="00173E12">
        <w:rPr>
          <w:rFonts w:ascii="Times New Roman" w:hAnsi="Times New Roman" w:cs="Times New Roman"/>
          <w:lang w:val="es-ES_tradnl"/>
        </w:rPr>
        <w:t>En los casos de divorcio, el Juez, tomando en cuenta las circunstancias del caso, y entre ellas la capacidad para trabajar de los cónyuges y su situación económica, sentenciará al culpable al pago de alimentos en favor del inocente. Este derecho lo disfrutará en tanto viva honestamente y no contraiga nupcias. Además, cuando por el divorcio se originen daños o perjuicios a los intereses del cónyuge inocente, el culpable responderá de ellos como autor de un hecho ilícito.</w:t>
      </w:r>
    </w:p>
    <w:p w14:paraId="65964135" w14:textId="22FBC3DB" w:rsidR="00037CEE" w:rsidRPr="00173E12" w:rsidRDefault="003B3CD9" w:rsidP="003B3CD9">
      <w:pPr>
        <w:pStyle w:val="Textonotapie"/>
        <w:jc w:val="both"/>
        <w:rPr>
          <w:rFonts w:ascii="Times New Roman" w:hAnsi="Times New Roman" w:cs="Times New Roman"/>
          <w:lang w:val="es-MX"/>
        </w:rPr>
      </w:pPr>
      <w:r w:rsidRPr="00173E12">
        <w:rPr>
          <w:rFonts w:ascii="Times New Roman" w:hAnsi="Times New Roman" w:cs="Times New Roman"/>
          <w:lang w:val="es-ES_tradnl"/>
        </w:rPr>
        <w:t>En el divorcio por mutuo consentimiento, salvo pacto en contrario los cónyuges no tienen derecho a pensión alimenticia, ni a la indemnización que concede este artículo. Igualmente, en el caso de la causal prevista en la fracción XVII del artículo 141 de este ordenamiento, excepto que el juez tomando en cuenta la necesidad manifiesta de uno de los dos, determine pensión a su favor.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A310B"/>
    <w:multiLevelType w:val="hybridMultilevel"/>
    <w:tmpl w:val="5C2C8C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1F"/>
    <w:rsid w:val="00037CEE"/>
    <w:rsid w:val="000E6410"/>
    <w:rsid w:val="001279A6"/>
    <w:rsid w:val="00173E12"/>
    <w:rsid w:val="00195DBD"/>
    <w:rsid w:val="001B06B0"/>
    <w:rsid w:val="001C1863"/>
    <w:rsid w:val="0025249A"/>
    <w:rsid w:val="00276C8E"/>
    <w:rsid w:val="00281915"/>
    <w:rsid w:val="002C41FD"/>
    <w:rsid w:val="002D7937"/>
    <w:rsid w:val="002F0873"/>
    <w:rsid w:val="002F286C"/>
    <w:rsid w:val="003070FD"/>
    <w:rsid w:val="00322B39"/>
    <w:rsid w:val="00345593"/>
    <w:rsid w:val="003530D4"/>
    <w:rsid w:val="00353407"/>
    <w:rsid w:val="00363A88"/>
    <w:rsid w:val="00372D01"/>
    <w:rsid w:val="003828FD"/>
    <w:rsid w:val="003A1079"/>
    <w:rsid w:val="003A5FED"/>
    <w:rsid w:val="003B3CD9"/>
    <w:rsid w:val="003E6192"/>
    <w:rsid w:val="00403D25"/>
    <w:rsid w:val="00411A83"/>
    <w:rsid w:val="00426E6E"/>
    <w:rsid w:val="00453394"/>
    <w:rsid w:val="00472466"/>
    <w:rsid w:val="00486978"/>
    <w:rsid w:val="00494256"/>
    <w:rsid w:val="004D54CF"/>
    <w:rsid w:val="004F3400"/>
    <w:rsid w:val="00557634"/>
    <w:rsid w:val="005B0423"/>
    <w:rsid w:val="005B32BC"/>
    <w:rsid w:val="005F331F"/>
    <w:rsid w:val="005F49D3"/>
    <w:rsid w:val="0062512D"/>
    <w:rsid w:val="006846F6"/>
    <w:rsid w:val="006C1DF7"/>
    <w:rsid w:val="006F1FE0"/>
    <w:rsid w:val="006F261F"/>
    <w:rsid w:val="00717320"/>
    <w:rsid w:val="007F4455"/>
    <w:rsid w:val="008367E0"/>
    <w:rsid w:val="00844DDF"/>
    <w:rsid w:val="008A2B97"/>
    <w:rsid w:val="008F0277"/>
    <w:rsid w:val="00970642"/>
    <w:rsid w:val="00976D2A"/>
    <w:rsid w:val="00983399"/>
    <w:rsid w:val="00993100"/>
    <w:rsid w:val="009B6EFD"/>
    <w:rsid w:val="009C48BD"/>
    <w:rsid w:val="009D2AEB"/>
    <w:rsid w:val="00A06506"/>
    <w:rsid w:val="00A11BEC"/>
    <w:rsid w:val="00A158A8"/>
    <w:rsid w:val="00A3784D"/>
    <w:rsid w:val="00A645EE"/>
    <w:rsid w:val="00A84028"/>
    <w:rsid w:val="00A92360"/>
    <w:rsid w:val="00AF10AD"/>
    <w:rsid w:val="00B10120"/>
    <w:rsid w:val="00B32AAA"/>
    <w:rsid w:val="00B34FA1"/>
    <w:rsid w:val="00B415D0"/>
    <w:rsid w:val="00B423CA"/>
    <w:rsid w:val="00B44A2D"/>
    <w:rsid w:val="00B55E84"/>
    <w:rsid w:val="00B64F0C"/>
    <w:rsid w:val="00BA7837"/>
    <w:rsid w:val="00BB672B"/>
    <w:rsid w:val="00BD57C3"/>
    <w:rsid w:val="00BF10DE"/>
    <w:rsid w:val="00BF5CE9"/>
    <w:rsid w:val="00BF6159"/>
    <w:rsid w:val="00C00FEF"/>
    <w:rsid w:val="00C2272C"/>
    <w:rsid w:val="00C2394D"/>
    <w:rsid w:val="00C97BBF"/>
    <w:rsid w:val="00CB2942"/>
    <w:rsid w:val="00CD356A"/>
    <w:rsid w:val="00D257C0"/>
    <w:rsid w:val="00D41455"/>
    <w:rsid w:val="00D62E4B"/>
    <w:rsid w:val="00DA79DC"/>
    <w:rsid w:val="00DE2E8E"/>
    <w:rsid w:val="00E04042"/>
    <w:rsid w:val="00E050F6"/>
    <w:rsid w:val="00E21F2E"/>
    <w:rsid w:val="00E77042"/>
    <w:rsid w:val="00EB2C3D"/>
    <w:rsid w:val="00EC46FD"/>
    <w:rsid w:val="00F167BA"/>
    <w:rsid w:val="00F4706B"/>
    <w:rsid w:val="00F73CC8"/>
    <w:rsid w:val="00FE3D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487D"/>
  <w15:chartTrackingRefBased/>
  <w15:docId w15:val="{7D02FAD7-DA72-FD4B-9C2E-18742449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1F"/>
    <w:pPr>
      <w:spacing w:after="160" w:line="259" w:lineRule="auto"/>
    </w:pPr>
    <w:rPr>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F26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261F"/>
    <w:rPr>
      <w:sz w:val="22"/>
      <w:szCs w:val="22"/>
      <w:lang w:val="en-US"/>
    </w:rPr>
  </w:style>
  <w:style w:type="character" w:styleId="Refdecomentario">
    <w:name w:val="annotation reference"/>
    <w:basedOn w:val="Fuentedeprrafopredeter"/>
    <w:uiPriority w:val="99"/>
    <w:semiHidden/>
    <w:unhideWhenUsed/>
    <w:rsid w:val="006F261F"/>
    <w:rPr>
      <w:sz w:val="16"/>
      <w:szCs w:val="16"/>
    </w:rPr>
  </w:style>
  <w:style w:type="paragraph" w:styleId="Textocomentario">
    <w:name w:val="annotation text"/>
    <w:basedOn w:val="Normal"/>
    <w:link w:val="TextocomentarioCar"/>
    <w:uiPriority w:val="99"/>
    <w:semiHidden/>
    <w:unhideWhenUsed/>
    <w:rsid w:val="006F26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261F"/>
    <w:rPr>
      <w:sz w:val="20"/>
      <w:szCs w:val="20"/>
      <w:lang w:val="en-US"/>
    </w:rPr>
  </w:style>
  <w:style w:type="paragraph" w:styleId="Textonotapie">
    <w:name w:val="footnote text"/>
    <w:aliases w:val="Footnote Text Char Char Char Char Char,Footnote Text Char Char Char Char,Footnote reference,FA Fu,Car,Footnote Text Char Char Char,Footnote Text Cha,FA Fußnotentext,FA Fuﬂnotentext,Footnote Text Char Char,Car Car Car,FA Fu?notentext,Ca, C"/>
    <w:basedOn w:val="Normal"/>
    <w:link w:val="TextonotapieCar"/>
    <w:unhideWhenUsed/>
    <w:qFormat/>
    <w:rsid w:val="006F261F"/>
    <w:pPr>
      <w:spacing w:after="0" w:line="240" w:lineRule="auto"/>
    </w:pPr>
    <w:rPr>
      <w:sz w:val="20"/>
      <w:szCs w:val="20"/>
    </w:rPr>
  </w:style>
  <w:style w:type="character" w:customStyle="1" w:styleId="TextonotapieCar">
    <w:name w:val="Texto nota pie Car"/>
    <w:aliases w:val="Footnote Text Char Char Char Char Char Car1,Footnote Text Char Char Char Char Car1,Footnote reference Car1,FA Fu Car1,Car Car1,Footnote Text Char Char Char Car1,Footnote Text Cha Car1,FA Fußnotentext Car1,FA Fuﬂnotentext Car1,Ca Car"/>
    <w:basedOn w:val="Fuentedeprrafopredeter"/>
    <w:link w:val="Textonotapie"/>
    <w:uiPriority w:val="99"/>
    <w:semiHidden/>
    <w:rsid w:val="006F261F"/>
    <w:rPr>
      <w:sz w:val="20"/>
      <w:szCs w:val="20"/>
      <w:lang w:val="en-US"/>
    </w:rPr>
  </w:style>
  <w:style w:type="character" w:styleId="Refdenotaalpie">
    <w:name w:val="footnote reference"/>
    <w:basedOn w:val="Fuentedeprrafopredeter"/>
    <w:uiPriority w:val="99"/>
    <w:semiHidden/>
    <w:unhideWhenUsed/>
    <w:rsid w:val="006F261F"/>
    <w:rPr>
      <w:vertAlign w:val="superscript"/>
    </w:rPr>
  </w:style>
  <w:style w:type="character" w:customStyle="1" w:styleId="TextonotapieCar1">
    <w:name w:val="Texto nota pie Car1"/>
    <w:aliases w:val="Footnote Text Char Char Char Char Char Car,Footnote Text Char Char Char Char Car,Footnote reference Car,FA Fu Car,Car Car,Footnote Text Char Char Char Car,Footnote Text Cha Car,FA Fußnotentext Car,FA Fuﬂnotentext Car,Car Car Car Car"/>
    <w:uiPriority w:val="99"/>
    <w:qFormat/>
    <w:locked/>
    <w:rsid w:val="006F261F"/>
  </w:style>
  <w:style w:type="paragraph" w:styleId="Prrafodelista">
    <w:name w:val="List Paragraph"/>
    <w:aliases w:val="Párrafo de lista1,List Paragraph1,Colorful List - Accent 11,TEXTO GENERAL SENTENCIAS,Cuadrícula clara - Énfasis 31,Párrafo Normal,Dot pt,No Spacing1,List Paragraph Char Char Char,Indicator Text,Numbered Para 1,Trascripción,PARRAFO,lp1"/>
    <w:basedOn w:val="Normal"/>
    <w:uiPriority w:val="34"/>
    <w:qFormat/>
    <w:rsid w:val="003A5FED"/>
    <w:pPr>
      <w:spacing w:after="0" w:line="240" w:lineRule="auto"/>
      <w:ind w:left="708"/>
    </w:pPr>
    <w:rPr>
      <w:rFonts w:ascii="Times New Roman" w:eastAsia="Times New Roman" w:hAnsi="Times New Roman" w:cs="Times New Roman"/>
      <w:sz w:val="24"/>
      <w:szCs w:val="24"/>
      <w:lang w:val="es-ES_tradnl" w:eastAsia="es-ES_tradnl"/>
    </w:rPr>
  </w:style>
  <w:style w:type="paragraph" w:styleId="Encabezado">
    <w:name w:val="header"/>
    <w:basedOn w:val="Normal"/>
    <w:link w:val="EncabezadoCar"/>
    <w:uiPriority w:val="99"/>
    <w:unhideWhenUsed/>
    <w:rsid w:val="00B32A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2AAA"/>
    <w:rPr>
      <w:sz w:val="22"/>
      <w:szCs w:val="22"/>
      <w:lang w:val="en-US"/>
    </w:rPr>
  </w:style>
  <w:style w:type="table" w:styleId="Tablaconcuadrcula">
    <w:name w:val="Table Grid"/>
    <w:basedOn w:val="Tablanormal"/>
    <w:uiPriority w:val="39"/>
    <w:rsid w:val="00173E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F10AD"/>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A4617-384E-496D-A86D-53B18434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976</Words>
  <Characters>5370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Mineli Michel Colin Gomez</dc:creator>
  <cp:keywords/>
  <dc:description/>
  <cp:lastModifiedBy>BRUNO ALEJANDRO PATIÑO RENTERIA</cp:lastModifiedBy>
  <cp:revision>8</cp:revision>
  <dcterms:created xsi:type="dcterms:W3CDTF">2022-02-22T16:27:00Z</dcterms:created>
  <dcterms:modified xsi:type="dcterms:W3CDTF">2022-03-09T17:59:00Z</dcterms:modified>
</cp:coreProperties>
</file>