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9A13" w14:textId="77777777" w:rsidR="002D1AF0" w:rsidRPr="00FF4ACC" w:rsidRDefault="002D1AF0" w:rsidP="002D1AF0">
      <w:pPr>
        <w:tabs>
          <w:tab w:val="left" w:pos="709"/>
          <w:tab w:val="left" w:pos="8647"/>
        </w:tabs>
        <w:ind w:left="3686" w:right="-93"/>
        <w:rPr>
          <w:rFonts w:cs="Arial"/>
          <w:b/>
          <w:szCs w:val="26"/>
        </w:rPr>
      </w:pPr>
      <w:r w:rsidRPr="00FF4ACC">
        <w:rPr>
          <w:rFonts w:cs="Arial"/>
          <w:b/>
          <w:szCs w:val="26"/>
        </w:rPr>
        <w:t>AMPARO EN REVISIÓN 97/2022</w:t>
      </w:r>
    </w:p>
    <w:p w14:paraId="36E8851F" w14:textId="40918948" w:rsidR="002D1AF0" w:rsidRPr="00FF4ACC" w:rsidRDefault="002D1AF0" w:rsidP="002D1AF0">
      <w:pPr>
        <w:pStyle w:val="corte1datos"/>
        <w:tabs>
          <w:tab w:val="left" w:pos="709"/>
          <w:tab w:val="left" w:pos="8647"/>
        </w:tabs>
        <w:ind w:left="3686"/>
        <w:rPr>
          <w:rFonts w:cs="Arial"/>
          <w:sz w:val="26"/>
          <w:szCs w:val="26"/>
        </w:rPr>
      </w:pPr>
      <w:r w:rsidRPr="00FF4ACC">
        <w:rPr>
          <w:rFonts w:cs="Arial"/>
          <w:sz w:val="26"/>
          <w:szCs w:val="26"/>
        </w:rPr>
        <w:t xml:space="preserve">RECURRENTE: </w:t>
      </w:r>
      <w:r w:rsidR="00B71CD2">
        <w:rPr>
          <w:rFonts w:cs="Arial"/>
          <w:sz w:val="26"/>
          <w:szCs w:val="26"/>
        </w:rPr>
        <w:t>**********</w:t>
      </w:r>
      <w:r w:rsidRPr="00FF4ACC">
        <w:rPr>
          <w:rFonts w:cs="Arial"/>
          <w:sz w:val="26"/>
          <w:szCs w:val="26"/>
        </w:rPr>
        <w:t xml:space="preserve"> (TERCERO INTERESADO)</w:t>
      </w:r>
    </w:p>
    <w:p w14:paraId="1147D546" w14:textId="77777777" w:rsidR="002D1AF0" w:rsidRPr="00FF4ACC" w:rsidRDefault="002D1AF0" w:rsidP="002D1AF0">
      <w:pPr>
        <w:pStyle w:val="CORTE2PONENTE0"/>
        <w:rPr>
          <w:rFonts w:cs="Arial"/>
          <w:b w:val="0"/>
          <w:spacing w:val="-20"/>
          <w:sz w:val="26"/>
          <w:szCs w:val="26"/>
          <w:lang w:val="es-ES_tradnl"/>
        </w:rPr>
      </w:pPr>
    </w:p>
    <w:p w14:paraId="0BCD9E32" w14:textId="77777777" w:rsidR="002D1AF0" w:rsidRPr="00FF4ACC" w:rsidRDefault="002D1AF0" w:rsidP="002D1AF0">
      <w:pPr>
        <w:pStyle w:val="CORTE2PONENTE0"/>
        <w:rPr>
          <w:rFonts w:cs="Arial"/>
          <w:b w:val="0"/>
          <w:spacing w:val="-20"/>
          <w:sz w:val="26"/>
          <w:szCs w:val="26"/>
          <w:lang w:val="es-ES_tradnl"/>
        </w:rPr>
      </w:pPr>
    </w:p>
    <w:p w14:paraId="6A3AADBE" w14:textId="77777777" w:rsidR="002D1AF0" w:rsidRPr="00FF4ACC" w:rsidRDefault="002D1AF0" w:rsidP="002D1AF0">
      <w:pPr>
        <w:pStyle w:val="CORTE2PONENTE0"/>
        <w:rPr>
          <w:rFonts w:cs="Arial"/>
          <w:b w:val="0"/>
          <w:spacing w:val="-20"/>
          <w:sz w:val="16"/>
          <w:szCs w:val="16"/>
          <w:lang w:val="es-ES_tradnl"/>
        </w:rPr>
      </w:pPr>
      <w:r w:rsidRPr="00FF4ACC">
        <w:rPr>
          <w:rFonts w:cs="Arial"/>
          <w:b w:val="0"/>
          <w:spacing w:val="-20"/>
          <w:sz w:val="16"/>
          <w:szCs w:val="16"/>
          <w:lang w:val="es-ES_tradnl"/>
        </w:rPr>
        <w:t>VISTO BUENO</w:t>
      </w:r>
    </w:p>
    <w:p w14:paraId="68283A19" w14:textId="77777777" w:rsidR="002D1AF0" w:rsidRPr="00FF4ACC" w:rsidRDefault="002D1AF0" w:rsidP="002D1AF0">
      <w:pPr>
        <w:pStyle w:val="CORTE2PONENTE0"/>
        <w:rPr>
          <w:rFonts w:cs="Arial"/>
          <w:b w:val="0"/>
          <w:sz w:val="16"/>
          <w:szCs w:val="16"/>
          <w:lang w:val="es-ES_tradnl"/>
        </w:rPr>
      </w:pPr>
      <w:r w:rsidRPr="00FF4ACC">
        <w:rPr>
          <w:rFonts w:cs="Arial"/>
          <w:b w:val="0"/>
          <w:sz w:val="16"/>
          <w:szCs w:val="16"/>
          <w:lang w:val="es-ES_tradnl"/>
        </w:rPr>
        <w:t>MINISTRO</w:t>
      </w:r>
    </w:p>
    <w:p w14:paraId="6A49B662" w14:textId="77777777" w:rsidR="002D1AF0" w:rsidRPr="00FF4ACC" w:rsidRDefault="002D1AF0" w:rsidP="002D1AF0">
      <w:pPr>
        <w:pStyle w:val="corte2ponente"/>
        <w:rPr>
          <w:rFonts w:cs="Arial"/>
          <w:sz w:val="26"/>
          <w:szCs w:val="26"/>
        </w:rPr>
      </w:pPr>
      <w:r w:rsidRPr="00FF4ACC">
        <w:rPr>
          <w:rFonts w:cs="Arial"/>
          <w:sz w:val="26"/>
          <w:szCs w:val="26"/>
        </w:rPr>
        <w:t>PONENTE: MINISTRO alfredo gutiérrez ortiz mena</w:t>
      </w:r>
    </w:p>
    <w:p w14:paraId="28E6BD9F" w14:textId="77777777" w:rsidR="002D1AF0" w:rsidRPr="00FF4ACC" w:rsidRDefault="002D1AF0" w:rsidP="002D1AF0">
      <w:pPr>
        <w:pStyle w:val="corte2ponente"/>
        <w:rPr>
          <w:rFonts w:cs="Arial"/>
          <w:b w:val="0"/>
          <w:sz w:val="16"/>
          <w:szCs w:val="16"/>
        </w:rPr>
      </w:pPr>
      <w:r w:rsidRPr="00FF4ACC">
        <w:rPr>
          <w:rFonts w:cs="Arial"/>
          <w:b w:val="0"/>
          <w:sz w:val="26"/>
          <w:szCs w:val="26"/>
        </w:rPr>
        <w:br/>
      </w:r>
      <w:r w:rsidRPr="00FF4ACC">
        <w:rPr>
          <w:rFonts w:cs="Arial"/>
          <w:b w:val="0"/>
          <w:sz w:val="16"/>
          <w:szCs w:val="16"/>
        </w:rPr>
        <w:t>cotejÓ</w:t>
      </w:r>
    </w:p>
    <w:p w14:paraId="37054571" w14:textId="77777777" w:rsidR="002D1AF0" w:rsidRPr="00FF4ACC" w:rsidRDefault="002D1AF0" w:rsidP="002D1AF0">
      <w:pPr>
        <w:pStyle w:val="corte2ponente"/>
        <w:rPr>
          <w:rFonts w:cs="Arial"/>
          <w:sz w:val="26"/>
          <w:szCs w:val="26"/>
        </w:rPr>
      </w:pPr>
      <w:r w:rsidRPr="00FF4ACC">
        <w:rPr>
          <w:rFonts w:cs="Arial"/>
          <w:sz w:val="26"/>
          <w:szCs w:val="26"/>
        </w:rPr>
        <w:t>SECRETARIo: JESÚS ROJAS IBÁÑEZ</w:t>
      </w:r>
    </w:p>
    <w:p w14:paraId="6045E13B" w14:textId="77777777" w:rsidR="002D1AF0" w:rsidRPr="00FF4ACC" w:rsidRDefault="002D1AF0" w:rsidP="002D1AF0">
      <w:pPr>
        <w:pStyle w:val="corte2ponente"/>
        <w:rPr>
          <w:rFonts w:cs="Arial"/>
          <w:sz w:val="26"/>
          <w:szCs w:val="26"/>
        </w:rPr>
      </w:pPr>
      <w:r w:rsidRPr="00FF4ACC">
        <w:rPr>
          <w:rFonts w:cs="Arial"/>
          <w:sz w:val="26"/>
          <w:szCs w:val="26"/>
        </w:rPr>
        <w:t xml:space="preserve">SECRETARIA AUXILIAR: GABRIELA PONCE BÁEZ </w:t>
      </w:r>
    </w:p>
    <w:p w14:paraId="73DE84D3" w14:textId="77777777" w:rsidR="002D1AF0" w:rsidRPr="00DB5066" w:rsidRDefault="002D1AF0" w:rsidP="002D1AF0">
      <w:pPr>
        <w:pStyle w:val="corte2ponente"/>
        <w:ind w:right="51"/>
        <w:rPr>
          <w:rFonts w:cs="Arial"/>
          <w:sz w:val="26"/>
          <w:szCs w:val="26"/>
        </w:rPr>
      </w:pPr>
      <w:r w:rsidRPr="00DB5066">
        <w:rPr>
          <w:rFonts w:cs="Arial"/>
          <w:sz w:val="26"/>
          <w:szCs w:val="26"/>
        </w:rPr>
        <w:t xml:space="preserve"> </w:t>
      </w:r>
    </w:p>
    <w:p w14:paraId="3A9A7E2D" w14:textId="77777777" w:rsidR="002D1AF0" w:rsidRDefault="002D1AF0" w:rsidP="002D1AF0">
      <w:pPr>
        <w:jc w:val="center"/>
        <w:rPr>
          <w:rFonts w:cs="Arial"/>
          <w:b/>
          <w:szCs w:val="26"/>
        </w:rPr>
      </w:pPr>
      <w:r w:rsidRPr="004301D4">
        <w:rPr>
          <w:rFonts w:cs="Arial"/>
          <w:b/>
          <w:szCs w:val="26"/>
        </w:rPr>
        <w:t>ÍNDICE TEMÁTICO</w:t>
      </w:r>
    </w:p>
    <w:p w14:paraId="53E75100" w14:textId="77777777" w:rsidR="002D1AF0" w:rsidRPr="00645A67" w:rsidRDefault="002D1AF0" w:rsidP="002D1AF0">
      <w:pPr>
        <w:tabs>
          <w:tab w:val="left" w:pos="426"/>
        </w:tabs>
        <w:spacing w:before="240" w:after="240"/>
        <w:rPr>
          <w:rFonts w:eastAsia="Calibri" w:cs="Arial"/>
          <w:bCs/>
          <w:szCs w:val="26"/>
          <w:lang w:val="es-MX" w:eastAsia="es-ES"/>
        </w:rPr>
      </w:pPr>
      <w:r>
        <w:rPr>
          <w:rFonts w:cs="Arial"/>
          <w:b/>
          <w:szCs w:val="26"/>
        </w:rPr>
        <w:t>Hechos:</w:t>
      </w:r>
      <w:r>
        <w:rPr>
          <w:rFonts w:eastAsia="Calibri" w:cs="Arial"/>
          <w:bCs/>
          <w:szCs w:val="26"/>
          <w:lang w:val="es-MX" w:eastAsia="es-ES"/>
        </w:rPr>
        <w:t xml:space="preserve"> El asunto deriva de un juicio ejecutivo mercantil en el que el tercero extraño a juicio interpuso un incidente de nulidad de notificaciones cuya admisión fue impugnada por la parte actora a través de una revocación, misma que fue declarada fundada, razón por la cual, el tercero promovió juicio de amparo indirecto, el cual le fue concedido, por lo que en la revisión, el recurrente solicitó que este Alto Tribunal ejerciera su facultad de atracción porque a su juicio, no existe claridad respecto al plazo que debe regir para la interposición de los incidentes de nulidad de notificaciones. Al aceptarse la atracción, este Alto Tribunal resuelve el presente recurso de revisión.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578"/>
        <w:gridCol w:w="4961"/>
        <w:gridCol w:w="1083"/>
      </w:tblGrid>
      <w:tr w:rsidR="002D1AF0" w:rsidRPr="00DA593D" w14:paraId="5054B1AB" w14:textId="77777777" w:rsidTr="00974B87">
        <w:trPr>
          <w:trHeight w:val="641"/>
        </w:trPr>
        <w:tc>
          <w:tcPr>
            <w:tcW w:w="678" w:type="dxa"/>
            <w:tcBorders>
              <w:top w:val="single" w:sz="4" w:space="0" w:color="auto"/>
              <w:left w:val="single" w:sz="4" w:space="0" w:color="auto"/>
              <w:bottom w:val="single" w:sz="4" w:space="0" w:color="auto"/>
              <w:right w:val="single" w:sz="4" w:space="0" w:color="auto"/>
            </w:tcBorders>
            <w:shd w:val="clear" w:color="auto" w:fill="D9D9D9"/>
            <w:vAlign w:val="center"/>
          </w:tcPr>
          <w:p w14:paraId="6C1B3FDE" w14:textId="77777777" w:rsidR="002D1AF0" w:rsidRPr="00DA593D" w:rsidRDefault="002D1AF0" w:rsidP="00974B87">
            <w:pPr>
              <w:tabs>
                <w:tab w:val="left" w:pos="426"/>
              </w:tabs>
              <w:jc w:val="center"/>
              <w:rPr>
                <w:rFonts w:eastAsia="Calibri" w:cs="Arial"/>
                <w:b/>
                <w:bCs/>
                <w:sz w:val="24"/>
                <w:szCs w:val="24"/>
                <w:lang w:val="es-MX" w:eastAsia="es-ES"/>
              </w:rPr>
            </w:pPr>
          </w:p>
        </w:tc>
        <w:tc>
          <w:tcPr>
            <w:tcW w:w="2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6E23CD" w14:textId="77777777" w:rsidR="002D1AF0" w:rsidRPr="00DA593D" w:rsidRDefault="002D1AF0" w:rsidP="00974B87">
            <w:pPr>
              <w:tabs>
                <w:tab w:val="left" w:pos="426"/>
              </w:tabs>
              <w:spacing w:before="240" w:after="240"/>
              <w:rPr>
                <w:rFonts w:eastAsia="Calibri" w:cs="Arial"/>
                <w:b/>
                <w:bCs/>
                <w:sz w:val="24"/>
                <w:szCs w:val="24"/>
                <w:lang w:val="es-MX" w:eastAsia="es-ES"/>
              </w:rPr>
            </w:pPr>
            <w:r w:rsidRPr="00DA593D">
              <w:rPr>
                <w:rFonts w:eastAsia="Calibri" w:cs="Arial"/>
                <w:b/>
                <w:bCs/>
                <w:sz w:val="24"/>
                <w:szCs w:val="24"/>
                <w:lang w:val="es-MX" w:eastAsia="es-ES"/>
              </w:rPr>
              <w:t>Apartado</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606EED" w14:textId="77777777" w:rsidR="002D1AF0" w:rsidRPr="00DA593D" w:rsidRDefault="002D1AF0" w:rsidP="00974B87">
            <w:pPr>
              <w:tabs>
                <w:tab w:val="left" w:pos="426"/>
              </w:tabs>
              <w:spacing w:before="240" w:after="240"/>
              <w:jc w:val="center"/>
              <w:rPr>
                <w:rFonts w:eastAsia="Calibri" w:cs="Arial"/>
                <w:b/>
                <w:bCs/>
                <w:sz w:val="24"/>
                <w:szCs w:val="24"/>
                <w:lang w:val="es-MX" w:eastAsia="es-ES"/>
              </w:rPr>
            </w:pPr>
            <w:r w:rsidRPr="00DA593D">
              <w:rPr>
                <w:rFonts w:eastAsia="Calibri" w:cs="Arial"/>
                <w:b/>
                <w:bCs/>
                <w:sz w:val="24"/>
                <w:szCs w:val="24"/>
                <w:lang w:val="es-MX" w:eastAsia="es-ES"/>
              </w:rPr>
              <w:t>Criterio y decisión</w:t>
            </w: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8C52E4" w14:textId="77777777" w:rsidR="002D1AF0" w:rsidRPr="00DA593D" w:rsidRDefault="002D1AF0" w:rsidP="00974B87">
            <w:pPr>
              <w:tabs>
                <w:tab w:val="left" w:pos="426"/>
              </w:tabs>
              <w:jc w:val="center"/>
              <w:rPr>
                <w:rFonts w:eastAsia="Calibri" w:cs="Arial"/>
                <w:b/>
                <w:bCs/>
                <w:sz w:val="24"/>
                <w:szCs w:val="24"/>
                <w:lang w:val="es-MX" w:eastAsia="es-ES"/>
              </w:rPr>
            </w:pPr>
            <w:r w:rsidRPr="00DA593D">
              <w:rPr>
                <w:rFonts w:eastAsia="Calibri" w:cs="Arial"/>
                <w:b/>
                <w:bCs/>
                <w:sz w:val="24"/>
                <w:szCs w:val="24"/>
                <w:lang w:val="es-MX" w:eastAsia="es-ES"/>
              </w:rPr>
              <w:t>Págs.</w:t>
            </w:r>
          </w:p>
        </w:tc>
      </w:tr>
      <w:tr w:rsidR="002D1AF0" w:rsidRPr="00DA593D" w14:paraId="5C799445" w14:textId="77777777" w:rsidTr="00974B87">
        <w:trPr>
          <w:trHeight w:val="569"/>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D9D7" w14:textId="77777777" w:rsidR="002D1AF0" w:rsidRPr="00DA593D" w:rsidRDefault="002D1AF0" w:rsidP="00974B87">
            <w:pPr>
              <w:tabs>
                <w:tab w:val="left" w:pos="426"/>
              </w:tabs>
              <w:jc w:val="center"/>
              <w:rPr>
                <w:rFonts w:eastAsia="Calibri" w:cs="Arial"/>
                <w:b/>
                <w:bCs/>
                <w:sz w:val="24"/>
                <w:szCs w:val="24"/>
                <w:lang w:val="es-MX" w:eastAsia="es-ES"/>
              </w:rPr>
            </w:pPr>
            <w:r w:rsidRPr="00DA593D">
              <w:rPr>
                <w:rFonts w:eastAsia="Calibri" w:cs="Arial"/>
                <w:b/>
                <w:bCs/>
                <w:sz w:val="24"/>
                <w:szCs w:val="24"/>
                <w:lang w:val="es-MX" w:eastAsia="es-ES"/>
              </w:rPr>
              <w:t>I.</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FC73" w14:textId="77777777" w:rsidR="002D1AF0" w:rsidRPr="00DA593D" w:rsidRDefault="002D1AF0" w:rsidP="00974B87">
            <w:pPr>
              <w:tabs>
                <w:tab w:val="left" w:pos="426"/>
              </w:tabs>
              <w:spacing w:before="240" w:after="240"/>
              <w:rPr>
                <w:rFonts w:eastAsia="Calibri" w:cs="Arial"/>
                <w:b/>
                <w:bCs/>
                <w:sz w:val="24"/>
                <w:szCs w:val="24"/>
                <w:lang w:val="es-MX" w:eastAsia="es-ES"/>
              </w:rPr>
            </w:pPr>
            <w:r w:rsidRPr="00DA593D">
              <w:rPr>
                <w:rFonts w:eastAsia="Calibri" w:cs="Arial"/>
                <w:b/>
                <w:bCs/>
                <w:sz w:val="24"/>
                <w:szCs w:val="24"/>
                <w:lang w:val="es-MX" w:eastAsia="es-ES"/>
              </w:rPr>
              <w:t>ANTECEDENTES Y TRÁMITE DEL JUICIO DE AMPARO</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07DE9E79"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El tercero interesado impugnó la concesión de amparo otorgada por el Juez de Distrito y a su vez, solicitó a este Alto Tribunal ejerciera su facultad de atracción.</w:t>
            </w:r>
          </w:p>
          <w:p w14:paraId="02724182" w14:textId="77777777" w:rsidR="002D1AF0" w:rsidRPr="00DA593D" w:rsidRDefault="002D1AF0" w:rsidP="00974B87">
            <w:pPr>
              <w:tabs>
                <w:tab w:val="left" w:pos="426"/>
              </w:tabs>
              <w:spacing w:before="240" w:after="240"/>
              <w:rPr>
                <w:rFonts w:eastAsia="Calibri" w:cs="Arial"/>
                <w:bCs/>
                <w:sz w:val="24"/>
                <w:szCs w:val="24"/>
                <w:lang w:val="es-MX" w:eastAsia="es-ES"/>
              </w:rPr>
            </w:pPr>
            <w:r>
              <w:rPr>
                <w:rFonts w:eastAsia="Calibri" w:cs="Arial"/>
                <w:bCs/>
                <w:sz w:val="24"/>
                <w:szCs w:val="24"/>
                <w:lang w:val="es-MX" w:eastAsia="es-ES"/>
              </w:rPr>
              <w:t>Est</w:t>
            </w:r>
            <w:r w:rsidRPr="00DA593D">
              <w:rPr>
                <w:rFonts w:eastAsia="Calibri" w:cs="Arial"/>
                <w:bCs/>
                <w:sz w:val="24"/>
                <w:szCs w:val="24"/>
                <w:lang w:val="es-MX" w:eastAsia="es-ES"/>
              </w:rPr>
              <w:t xml:space="preserve">a Primera Sala determinó atraer el recurso de revisión, por lo que se le dio el trámite correspondiente. </w:t>
            </w:r>
          </w:p>
          <w:p w14:paraId="7447B885" w14:textId="77777777" w:rsidR="002D1AF0" w:rsidRPr="00DA593D" w:rsidRDefault="002D1AF0" w:rsidP="00974B87">
            <w:pPr>
              <w:tabs>
                <w:tab w:val="left" w:pos="426"/>
              </w:tabs>
              <w:spacing w:before="240" w:after="240"/>
              <w:rPr>
                <w:rFonts w:eastAsia="Calibri" w:cs="Arial"/>
                <w:bCs/>
                <w:sz w:val="24"/>
                <w:szCs w:val="24"/>
                <w:lang w:val="es-MX" w:eastAsia="es-ES"/>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E7EAB2B" w14:textId="77777777" w:rsidR="002D1AF0" w:rsidRPr="00DA593D" w:rsidRDefault="002D1AF0" w:rsidP="00974B87">
            <w:pPr>
              <w:tabs>
                <w:tab w:val="left" w:pos="426"/>
              </w:tabs>
              <w:rPr>
                <w:rFonts w:eastAsia="Calibri" w:cs="Arial"/>
                <w:bCs/>
                <w:sz w:val="24"/>
                <w:szCs w:val="24"/>
                <w:lang w:val="es-MX" w:eastAsia="es-ES"/>
              </w:rPr>
            </w:pPr>
            <w:r w:rsidRPr="00DA593D">
              <w:rPr>
                <w:rFonts w:eastAsia="Calibri" w:cs="Arial"/>
                <w:bCs/>
                <w:sz w:val="24"/>
                <w:szCs w:val="24"/>
                <w:lang w:val="es-MX" w:eastAsia="es-ES"/>
              </w:rPr>
              <w:t>1-5</w:t>
            </w:r>
          </w:p>
        </w:tc>
      </w:tr>
      <w:tr w:rsidR="002D1AF0" w:rsidRPr="00DA593D" w14:paraId="4BACD969" w14:textId="77777777" w:rsidTr="00974B87">
        <w:trPr>
          <w:trHeight w:val="50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9FA73" w14:textId="77777777" w:rsidR="002D1AF0" w:rsidRPr="00DA593D" w:rsidRDefault="002D1AF0" w:rsidP="00974B87">
            <w:pPr>
              <w:tabs>
                <w:tab w:val="left" w:pos="426"/>
              </w:tabs>
              <w:jc w:val="center"/>
              <w:rPr>
                <w:rFonts w:eastAsia="Calibri" w:cs="Arial"/>
                <w:b/>
                <w:bCs/>
                <w:sz w:val="24"/>
                <w:szCs w:val="24"/>
                <w:lang w:val="es-MX" w:eastAsia="es-ES"/>
              </w:rPr>
            </w:pPr>
            <w:r w:rsidRPr="00DA593D">
              <w:rPr>
                <w:rFonts w:eastAsia="Calibri" w:cs="Arial"/>
                <w:b/>
                <w:bCs/>
                <w:sz w:val="24"/>
                <w:szCs w:val="24"/>
                <w:lang w:val="es-MX" w:eastAsia="es-ES"/>
              </w:rPr>
              <w:t>II.</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9F062" w14:textId="77777777" w:rsidR="002D1AF0" w:rsidRPr="00DA593D" w:rsidRDefault="002D1AF0" w:rsidP="00974B87">
            <w:pPr>
              <w:tabs>
                <w:tab w:val="left" w:pos="426"/>
              </w:tabs>
              <w:spacing w:before="240" w:after="240"/>
              <w:rPr>
                <w:rFonts w:eastAsia="Calibri" w:cs="Arial"/>
                <w:b/>
                <w:bCs/>
                <w:sz w:val="24"/>
                <w:szCs w:val="24"/>
                <w:lang w:val="es-MX" w:eastAsia="es-ES"/>
              </w:rPr>
            </w:pPr>
            <w:r w:rsidRPr="00DA593D">
              <w:rPr>
                <w:rFonts w:eastAsia="Calibri" w:cs="Arial"/>
                <w:b/>
                <w:bCs/>
                <w:sz w:val="24"/>
                <w:szCs w:val="24"/>
                <w:lang w:val="es-MX" w:eastAsia="es-ES"/>
              </w:rPr>
              <w:t xml:space="preserve">COMPETENCIA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6597BAF0"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Esta Primera Sala es competente para conocer del asunto. </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08EB7324" w14:textId="77777777" w:rsidR="002D1AF0" w:rsidRPr="00DA593D" w:rsidRDefault="002D1AF0" w:rsidP="00974B87">
            <w:pPr>
              <w:tabs>
                <w:tab w:val="left" w:pos="426"/>
              </w:tabs>
              <w:rPr>
                <w:rFonts w:eastAsia="Calibri" w:cs="Arial"/>
                <w:bCs/>
                <w:sz w:val="24"/>
                <w:szCs w:val="24"/>
                <w:lang w:val="es-MX" w:eastAsia="es-ES"/>
              </w:rPr>
            </w:pPr>
            <w:r w:rsidRPr="00DA593D">
              <w:rPr>
                <w:rFonts w:eastAsia="Calibri" w:cs="Arial"/>
                <w:bCs/>
                <w:sz w:val="24"/>
                <w:szCs w:val="24"/>
                <w:lang w:val="es-MX" w:eastAsia="es-ES"/>
              </w:rPr>
              <w:t>5</w:t>
            </w:r>
          </w:p>
        </w:tc>
      </w:tr>
      <w:tr w:rsidR="002D1AF0" w:rsidRPr="00DA593D" w14:paraId="3055C524" w14:textId="77777777" w:rsidTr="00974B87">
        <w:trPr>
          <w:trHeight w:val="50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11D66DD" w14:textId="77777777" w:rsidR="002D1AF0" w:rsidRPr="00DA593D" w:rsidRDefault="002D1AF0" w:rsidP="00974B87">
            <w:pPr>
              <w:tabs>
                <w:tab w:val="left" w:pos="426"/>
              </w:tabs>
              <w:jc w:val="center"/>
              <w:rPr>
                <w:rFonts w:eastAsia="Calibri" w:cs="Arial"/>
                <w:b/>
                <w:bCs/>
                <w:sz w:val="24"/>
                <w:szCs w:val="24"/>
                <w:lang w:val="es-MX" w:eastAsia="es-ES"/>
              </w:rPr>
            </w:pPr>
            <w:r w:rsidRPr="00DA593D">
              <w:rPr>
                <w:rFonts w:eastAsia="Calibri" w:cs="Arial"/>
                <w:b/>
                <w:bCs/>
                <w:sz w:val="24"/>
                <w:szCs w:val="24"/>
                <w:lang w:val="es-MX" w:eastAsia="es-ES"/>
              </w:rPr>
              <w:t>III.</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1FFFFE55" w14:textId="77777777" w:rsidR="002D1AF0" w:rsidRPr="00DA593D" w:rsidRDefault="002D1AF0" w:rsidP="00974B87">
            <w:pPr>
              <w:tabs>
                <w:tab w:val="left" w:pos="426"/>
              </w:tabs>
              <w:spacing w:before="240" w:after="240"/>
              <w:rPr>
                <w:rFonts w:eastAsia="Calibri" w:cs="Arial"/>
                <w:b/>
                <w:bCs/>
                <w:sz w:val="24"/>
                <w:szCs w:val="24"/>
                <w:lang w:val="es-MX" w:eastAsia="es-ES"/>
              </w:rPr>
            </w:pPr>
            <w:r w:rsidRPr="00DA593D">
              <w:rPr>
                <w:rFonts w:eastAsia="Calibri" w:cs="Arial"/>
                <w:b/>
                <w:bCs/>
                <w:sz w:val="24"/>
                <w:szCs w:val="24"/>
                <w:lang w:val="es-MX" w:eastAsia="es-ES"/>
              </w:rPr>
              <w:t xml:space="preserve">OPORTUNIDAD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ACCD8BF"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El recurso </w:t>
            </w:r>
            <w:r>
              <w:rPr>
                <w:rFonts w:eastAsia="Calibri" w:cs="Arial"/>
                <w:bCs/>
                <w:sz w:val="24"/>
                <w:szCs w:val="24"/>
                <w:lang w:val="es-MX" w:eastAsia="es-ES"/>
              </w:rPr>
              <w:t>s</w:t>
            </w:r>
            <w:r w:rsidRPr="00DA593D">
              <w:rPr>
                <w:rFonts w:eastAsia="Calibri" w:cs="Arial"/>
                <w:bCs/>
                <w:sz w:val="24"/>
                <w:szCs w:val="24"/>
                <w:lang w:val="es-MX" w:eastAsia="es-ES"/>
              </w:rPr>
              <w:t xml:space="preserve">e interpuso de manera oportuna. </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FA3F75E" w14:textId="77777777" w:rsidR="002D1AF0" w:rsidRPr="00DA593D" w:rsidRDefault="002D1AF0" w:rsidP="00974B87">
            <w:pPr>
              <w:tabs>
                <w:tab w:val="left" w:pos="426"/>
              </w:tabs>
              <w:rPr>
                <w:rFonts w:eastAsia="Calibri" w:cs="Arial"/>
                <w:bCs/>
                <w:sz w:val="24"/>
                <w:szCs w:val="24"/>
                <w:lang w:val="es-MX" w:eastAsia="es-ES"/>
              </w:rPr>
            </w:pPr>
            <w:r w:rsidRPr="00DA593D">
              <w:rPr>
                <w:rFonts w:eastAsia="Calibri" w:cs="Arial"/>
                <w:bCs/>
                <w:sz w:val="24"/>
                <w:szCs w:val="24"/>
                <w:lang w:val="es-MX" w:eastAsia="es-ES"/>
              </w:rPr>
              <w:t>5 y 6</w:t>
            </w:r>
          </w:p>
        </w:tc>
      </w:tr>
      <w:tr w:rsidR="002D1AF0" w:rsidRPr="00DA593D" w14:paraId="2E9C4394" w14:textId="77777777" w:rsidTr="00974B87">
        <w:trPr>
          <w:trHeight w:val="55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B072" w14:textId="77777777" w:rsidR="002D1AF0" w:rsidRPr="00DA593D" w:rsidRDefault="002D1AF0" w:rsidP="00974B87">
            <w:pPr>
              <w:tabs>
                <w:tab w:val="left" w:pos="426"/>
              </w:tabs>
              <w:jc w:val="center"/>
              <w:rPr>
                <w:rFonts w:eastAsia="Calibri" w:cs="Arial"/>
                <w:b/>
                <w:bCs/>
                <w:sz w:val="24"/>
                <w:szCs w:val="24"/>
                <w:lang w:val="es-MX" w:eastAsia="es-ES"/>
              </w:rPr>
            </w:pPr>
            <w:r w:rsidRPr="00DA593D">
              <w:rPr>
                <w:rFonts w:eastAsia="Calibri" w:cs="Arial"/>
                <w:b/>
                <w:bCs/>
                <w:sz w:val="24"/>
                <w:szCs w:val="24"/>
                <w:lang w:val="es-MX" w:eastAsia="es-ES"/>
              </w:rPr>
              <w:t>IV.</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6215F25C" w14:textId="77777777" w:rsidR="002D1AF0" w:rsidRPr="00DA593D" w:rsidRDefault="002D1AF0" w:rsidP="00974B87">
            <w:pPr>
              <w:tabs>
                <w:tab w:val="left" w:pos="426"/>
              </w:tabs>
              <w:spacing w:before="240" w:after="240"/>
              <w:rPr>
                <w:rFonts w:eastAsia="Calibri" w:cs="Arial"/>
                <w:b/>
                <w:bCs/>
                <w:sz w:val="24"/>
                <w:szCs w:val="24"/>
                <w:lang w:val="es-MX" w:eastAsia="es-ES"/>
              </w:rPr>
            </w:pPr>
            <w:r w:rsidRPr="00DA593D">
              <w:rPr>
                <w:rFonts w:eastAsia="Calibri" w:cs="Arial"/>
                <w:b/>
                <w:bCs/>
                <w:sz w:val="24"/>
                <w:szCs w:val="24"/>
                <w:lang w:val="es-MX" w:eastAsia="es-ES"/>
              </w:rPr>
              <w:t>LEGITIMACIÓN</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7EFF914E"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El recurso de revisión se interpuso por parte legitimada para ello.</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D764E08" w14:textId="77777777" w:rsidR="002D1AF0" w:rsidRPr="00DA593D" w:rsidRDefault="002D1AF0" w:rsidP="00974B87">
            <w:pPr>
              <w:tabs>
                <w:tab w:val="left" w:pos="426"/>
              </w:tabs>
              <w:rPr>
                <w:rFonts w:eastAsia="Calibri" w:cs="Arial"/>
                <w:bCs/>
                <w:sz w:val="24"/>
                <w:szCs w:val="24"/>
                <w:lang w:val="es-MX" w:eastAsia="es-ES"/>
              </w:rPr>
            </w:pPr>
            <w:r w:rsidRPr="00DA593D">
              <w:rPr>
                <w:rFonts w:eastAsia="Calibri" w:cs="Arial"/>
                <w:bCs/>
                <w:sz w:val="24"/>
                <w:szCs w:val="24"/>
                <w:lang w:val="es-MX" w:eastAsia="es-ES"/>
              </w:rPr>
              <w:t>6</w:t>
            </w:r>
          </w:p>
        </w:tc>
      </w:tr>
      <w:tr w:rsidR="002D1AF0" w:rsidRPr="00DA593D" w14:paraId="534CEAC0" w14:textId="77777777" w:rsidTr="00974B87">
        <w:trPr>
          <w:trHeight w:val="55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940DC" w14:textId="77777777" w:rsidR="002D1AF0" w:rsidRPr="00DA593D" w:rsidRDefault="002D1AF0" w:rsidP="00974B87">
            <w:pPr>
              <w:tabs>
                <w:tab w:val="left" w:pos="426"/>
              </w:tabs>
              <w:jc w:val="center"/>
              <w:rPr>
                <w:rFonts w:eastAsia="Calibri" w:cs="Arial"/>
                <w:b/>
                <w:bCs/>
                <w:sz w:val="24"/>
                <w:szCs w:val="24"/>
                <w:lang w:val="es-MX" w:eastAsia="es-ES"/>
              </w:rPr>
            </w:pPr>
            <w:r w:rsidRPr="00DA593D">
              <w:rPr>
                <w:rFonts w:eastAsia="Calibri" w:cs="Arial"/>
                <w:b/>
                <w:bCs/>
                <w:sz w:val="24"/>
                <w:szCs w:val="24"/>
                <w:lang w:val="es-MX" w:eastAsia="es-ES"/>
              </w:rPr>
              <w:t>V.</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0553" w14:textId="77777777" w:rsidR="002D1AF0" w:rsidRPr="00DA593D" w:rsidRDefault="002D1AF0" w:rsidP="00974B87">
            <w:pPr>
              <w:tabs>
                <w:tab w:val="left" w:pos="426"/>
              </w:tabs>
              <w:spacing w:before="240" w:after="240"/>
              <w:rPr>
                <w:rFonts w:eastAsia="Calibri" w:cs="Arial"/>
                <w:b/>
                <w:bCs/>
                <w:sz w:val="24"/>
                <w:szCs w:val="24"/>
                <w:lang w:val="es-MX" w:eastAsia="es-ES"/>
              </w:rPr>
            </w:pPr>
            <w:r w:rsidRPr="00DA593D">
              <w:rPr>
                <w:rFonts w:eastAsia="Calibri" w:cs="Arial"/>
                <w:b/>
                <w:bCs/>
                <w:sz w:val="24"/>
                <w:szCs w:val="24"/>
                <w:lang w:val="es-MX" w:eastAsia="es-ES"/>
              </w:rPr>
              <w:t>ELEMENTOS NECESARIOS PARA RESOLVER</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67CB0CFA"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Se sintetizan los conceptos de violación, las consideraciones de la sentencia de amparo, los agravios hechos valer por en el recurso de revisión. </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3BDCC20" w14:textId="77777777" w:rsidR="002D1AF0" w:rsidRPr="00DA593D" w:rsidRDefault="002D1AF0" w:rsidP="00974B87">
            <w:pPr>
              <w:tabs>
                <w:tab w:val="left" w:pos="426"/>
              </w:tabs>
              <w:rPr>
                <w:rFonts w:eastAsia="Calibri" w:cs="Arial"/>
                <w:bCs/>
                <w:sz w:val="24"/>
                <w:szCs w:val="24"/>
                <w:lang w:val="es-MX" w:eastAsia="es-ES"/>
              </w:rPr>
            </w:pPr>
            <w:r w:rsidRPr="00DA593D">
              <w:rPr>
                <w:rFonts w:eastAsia="Calibri" w:cs="Arial"/>
                <w:bCs/>
                <w:sz w:val="24"/>
                <w:szCs w:val="24"/>
                <w:lang w:val="es-MX" w:eastAsia="es-ES"/>
              </w:rPr>
              <w:t>6-13</w:t>
            </w:r>
          </w:p>
        </w:tc>
      </w:tr>
      <w:tr w:rsidR="002D1AF0" w:rsidRPr="00DA593D" w14:paraId="58966E9B" w14:textId="77777777" w:rsidTr="00974B87">
        <w:trPr>
          <w:trHeight w:val="55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8D69CCB" w14:textId="77777777" w:rsidR="002D1AF0" w:rsidRPr="00DA593D" w:rsidRDefault="002D1AF0" w:rsidP="00974B87">
            <w:pPr>
              <w:tabs>
                <w:tab w:val="left" w:pos="426"/>
              </w:tabs>
              <w:jc w:val="center"/>
              <w:rPr>
                <w:rFonts w:eastAsia="Calibri" w:cs="Arial"/>
                <w:b/>
                <w:bCs/>
                <w:sz w:val="24"/>
                <w:szCs w:val="24"/>
                <w:lang w:val="es-MX" w:eastAsia="es-ES"/>
              </w:rPr>
            </w:pPr>
            <w:r w:rsidRPr="00DA593D">
              <w:rPr>
                <w:rFonts w:eastAsia="Calibri" w:cs="Arial"/>
                <w:b/>
                <w:bCs/>
                <w:sz w:val="24"/>
                <w:szCs w:val="24"/>
                <w:lang w:val="es-MX" w:eastAsia="es-ES"/>
              </w:rPr>
              <w:lastRenderedPageBreak/>
              <w:t>VI.</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6C49F7CD" w14:textId="77777777" w:rsidR="002D1AF0" w:rsidRPr="00DA593D" w:rsidRDefault="002D1AF0" w:rsidP="00974B87">
            <w:pPr>
              <w:tabs>
                <w:tab w:val="left" w:pos="426"/>
              </w:tabs>
              <w:spacing w:before="240" w:after="240"/>
              <w:rPr>
                <w:rFonts w:eastAsia="Calibri" w:cs="Arial"/>
                <w:b/>
                <w:bCs/>
                <w:sz w:val="24"/>
                <w:szCs w:val="24"/>
                <w:lang w:val="es-MX" w:eastAsia="es-ES"/>
              </w:rPr>
            </w:pPr>
            <w:r w:rsidRPr="00DA593D">
              <w:rPr>
                <w:rFonts w:eastAsia="Calibri" w:cs="Arial"/>
                <w:b/>
                <w:bCs/>
                <w:sz w:val="24"/>
                <w:szCs w:val="24"/>
                <w:lang w:val="es-MX" w:eastAsia="es-ES"/>
              </w:rPr>
              <w:t>ESTUDIO DE FONDO</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CB46E6D"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El incidente de nulidad de notificaciones en el juicio mercantil debe promoverse en la subsecuente actuación en que comparezca la parte afectada, a partir de que se evidencie o desprenda el conocimiento de la notificación irregular. </w:t>
            </w:r>
          </w:p>
          <w:p w14:paraId="60FD4EA5"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Por tal razón, se considera acertada la conclusión a la que arribó el Juez de Distrito al conceder la protección constitucional; y, por tanto, deben considerarse infundados los agravios del recurrente. </w:t>
            </w:r>
          </w:p>
          <w:p w14:paraId="70BF044D"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El que se considere que el incidente de nulidad de notificaciones puede interponerse en la siguiente actuación a que se tenga conocimiento de la notificación que se considera se debe invalidar, no vulnera el derecho a la seguridad jurídica y de justicia pronta, dado que este podrá interponerse en cualquier momento hasta antes de que se pronuncie sentencia definitiva, lo que garantiza que no se consumen actos de manera irremediable en perjuicio de la parte que no tuvo conocimiento de las actuaciones correspondientes y sin que tenga a su alcance un recurso mediante el cual pueda hacer valer sus pretensiones. </w:t>
            </w:r>
          </w:p>
          <w:p w14:paraId="6B15018B"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El hecho de que se considere la posibilidad de interponer el incidente de nulidad de notificaciones en la actuación subsecuente a la que el </w:t>
            </w:r>
            <w:proofErr w:type="spellStart"/>
            <w:r w:rsidRPr="00DA593D">
              <w:rPr>
                <w:rFonts w:eastAsia="Calibri" w:cs="Arial"/>
                <w:bCs/>
                <w:sz w:val="24"/>
                <w:szCs w:val="24"/>
                <w:lang w:val="es-MX" w:eastAsia="es-ES"/>
              </w:rPr>
              <w:t>incidentista</w:t>
            </w:r>
            <w:proofErr w:type="spellEnd"/>
            <w:r w:rsidRPr="00DA593D">
              <w:rPr>
                <w:rFonts w:eastAsia="Calibri" w:cs="Arial"/>
                <w:bCs/>
                <w:sz w:val="24"/>
                <w:szCs w:val="24"/>
                <w:lang w:val="es-MX" w:eastAsia="es-ES"/>
              </w:rPr>
              <w:t xml:space="preserve"> tenga conocimiento del acto tildado de ilegal o nulo, no vulnera el acceso a la justicia del recurrente, ni se deja al arbitrio de las partes el plazo para interponerlo, dado que, este puede interponerse, hasta antes del dictado de la sentencia definitiva, e incluso, después del dictado de la sentencia bajo ciertas condiciones, no de manera indefinida como lo pretende hacer ver el tercero interesado hoy recurrente, ya que debe recordarse que los juicios también se encuentran sujetos a ciertos plazos. </w:t>
            </w:r>
          </w:p>
          <w:p w14:paraId="1FE93034"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Si bien se aprecia que el Código de Comercio es omiso en regular el incidente de nulidad de notificaciones en específico, lo cierto es que ello no implica que el plazo para interponer el incidente se pueda prolongar indefinidamente, ya que, frente a la omisión de la ley, es viable aplicar supletoriamente el Código Federal de Procedimientos Civiles o los códigos adjetivos locales, en aras de </w:t>
            </w:r>
            <w:r w:rsidRPr="00DA593D">
              <w:rPr>
                <w:rFonts w:eastAsia="Calibri" w:cs="Arial"/>
                <w:bCs/>
                <w:sz w:val="24"/>
                <w:szCs w:val="24"/>
                <w:lang w:val="es-MX" w:eastAsia="es-ES"/>
              </w:rPr>
              <w:lastRenderedPageBreak/>
              <w:t xml:space="preserve">salvaguardar el derecho de acceso a la justicia de todas las partes involucradas en el juicio. </w:t>
            </w:r>
          </w:p>
          <w:p w14:paraId="4FEAF45C"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Atendiendo a lo establecido en el artículo 1,054, del Código de Comercio, que justamente señala que los juicios mercantiles se regirán por las disposiciones del propio Código, o en su defecto, que se aplicará supletoriamente el Código Federal de Procedimientos Civiles, y en caso de que este no regule suficientemente la institución cuya supletoriedad se requiera, se podrá aplicar la ley de procedimientos local respectiva, lo que confirma lo infundado de lo apuntado por la parte recurrente. </w:t>
            </w:r>
          </w:p>
          <w:p w14:paraId="03AD537A"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Del numeral se desprende que los juicios mercantiles se regirán por las disposiciones del libro relativo, y en su defecto se aplicará la ley supletoria al Código de Comercio, en los siguientes supuestos: a) cuando no exista un convenio de las partes sobre el procedimiento ante tribunales en los términos de los artículos anteriores; b) cuando las leyes mercantiles no establezcan un procedimiento especial o una supletoriedad expresa. </w:t>
            </w:r>
          </w:p>
          <w:p w14:paraId="2B6831EF"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Esta supletoriedad fue establecida por el propio legislador federal y conforme a lo que ha establecido este Alto Tribunal, la supletoriedad del Código Federal de Procedimientos Civiles procede no sólo cuando en el Código de Comercio no se reglamenta o se haga de manera insuficiente o deficiente una institución que se encuentra contemplada en tal ley, sino también cuando no encontrándose comprendida tal institución, su aplicación sea congruente con los principios de los procesos mercantiles, e indispensable para su trámite y resolución. </w:t>
            </w:r>
          </w:p>
          <w:p w14:paraId="575063A8"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La suplencia procede no sólo respecto de instituciones en ella contempladas pero que no se encuentren reglamentadas, o bien, que se encuentran reglamentadas en forma insuficiente o deficiente, sino también en el caso de instituciones no establecidas en tal ley, a condición de que, por una parte, sea indispensable para el juzgador acudir a tal supletoriedad para solucionar el conflicto que se le plantee y, por la otra, de que la institución se aplique en forma supletoria o esté en contradicción con el conjunto de normas cuyas lagunas de llenar, sino que </w:t>
            </w:r>
            <w:r w:rsidRPr="00DA593D">
              <w:rPr>
                <w:rFonts w:eastAsia="Calibri" w:cs="Arial"/>
                <w:bCs/>
                <w:sz w:val="24"/>
                <w:szCs w:val="24"/>
                <w:lang w:val="es-MX" w:eastAsia="es-ES"/>
              </w:rPr>
              <w:lastRenderedPageBreak/>
              <w:t xml:space="preserve">sea congruente con los principios de los procesos que reglamenta . </w:t>
            </w:r>
          </w:p>
          <w:p w14:paraId="420C08F6"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Por tanto, en contradicción con lo apuntado en los agravios, esta Sala recalca que no existe vulneración del derecho de acceso a la justicia con el hecho de que se permita la interposición del incidente de nulidad de notificaciones en la “actuación subsecuente” a que se tenga conocimiento de la actuación que se considera se debe nulificar, ya que está dispuesto en la propia legislación el que esto podrá suceder en un momento determinado, en virtud de la supletoriedad que el propio Código de Comercio señala. </w:t>
            </w:r>
          </w:p>
          <w:p w14:paraId="62C0928B"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 xml:space="preserve">En la resolución de la solicitud de ejercicio de la facultad de atracción se apuntó que la tesis P./J. 23/2016 podía ser aplicable para resolver el presente asunto. </w:t>
            </w:r>
          </w:p>
          <w:p w14:paraId="10C2BBC9"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Pero no es posible realizar tal aplicación porque el plazo que se contempla en dicho criterio no se estableció para un juicio de naturaleza diversa a la de amparo.</w:t>
            </w:r>
          </w:p>
          <w:p w14:paraId="19AAC6F8" w14:textId="77777777" w:rsidR="002D1AF0" w:rsidRPr="00DA593D" w:rsidRDefault="002D1AF0" w:rsidP="00974B87">
            <w:pPr>
              <w:tabs>
                <w:tab w:val="left" w:pos="426"/>
              </w:tabs>
              <w:spacing w:before="240" w:after="240"/>
              <w:rPr>
                <w:rFonts w:eastAsia="Calibri" w:cs="Arial"/>
                <w:bCs/>
                <w:sz w:val="24"/>
                <w:szCs w:val="24"/>
                <w:lang w:val="es-MX" w:eastAsia="es-ES"/>
              </w:rPr>
            </w:pPr>
            <w:r w:rsidRPr="00DA593D">
              <w:rPr>
                <w:rFonts w:eastAsia="Calibri" w:cs="Arial"/>
                <w:bCs/>
                <w:sz w:val="24"/>
                <w:szCs w:val="24"/>
                <w:lang w:val="es-MX" w:eastAsia="es-ES"/>
              </w:rPr>
              <w:t>En conclusión, debe considerarse la inaplicabilidad del artículo 1,079 del Código de Comercio, en su fracción IV, así como del artículo 297, fracción II, del Código Federal de Procedimientos Civiles para determinar el plazo para interponer el incidente de nulidad de notificaciones en un juicio mercantil, ya que de conformidad con el artículo 1,054 del Código de Comercio, el Código de Procedimientos Civiles para el Estado de Oaxaca, en su artículo 74, prevé que la incidencia debe promoverse en la actuación subsecuente en la que intervenga el afectado, esto, en virtud de que ni el Código de Comercio, ni el Código Federal de Procedimientos Civiles no contemplan el plazo para plantear el incidente de nulidad de actuaciones.</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79FCD5E" w14:textId="77777777" w:rsidR="002D1AF0" w:rsidRPr="00DA593D" w:rsidRDefault="002D1AF0" w:rsidP="00974B87">
            <w:pPr>
              <w:tabs>
                <w:tab w:val="left" w:pos="426"/>
              </w:tabs>
              <w:rPr>
                <w:rFonts w:eastAsia="Calibri" w:cs="Arial"/>
                <w:bCs/>
                <w:sz w:val="24"/>
                <w:szCs w:val="24"/>
                <w:lang w:val="es-MX" w:eastAsia="es-ES"/>
              </w:rPr>
            </w:pPr>
            <w:r w:rsidRPr="00DA593D">
              <w:rPr>
                <w:rFonts w:eastAsia="Calibri" w:cs="Arial"/>
                <w:bCs/>
                <w:sz w:val="24"/>
                <w:szCs w:val="24"/>
                <w:lang w:val="es-MX" w:eastAsia="es-ES"/>
              </w:rPr>
              <w:lastRenderedPageBreak/>
              <w:t>1</w:t>
            </w:r>
            <w:r>
              <w:rPr>
                <w:rFonts w:eastAsia="Calibri" w:cs="Arial"/>
                <w:bCs/>
                <w:sz w:val="24"/>
                <w:szCs w:val="24"/>
                <w:lang w:val="es-MX" w:eastAsia="es-ES"/>
              </w:rPr>
              <w:t>3</w:t>
            </w:r>
            <w:r w:rsidRPr="00DA593D">
              <w:rPr>
                <w:rFonts w:eastAsia="Calibri" w:cs="Arial"/>
                <w:bCs/>
                <w:sz w:val="24"/>
                <w:szCs w:val="24"/>
                <w:lang w:val="es-MX" w:eastAsia="es-ES"/>
              </w:rPr>
              <w:t>-30</w:t>
            </w:r>
          </w:p>
        </w:tc>
      </w:tr>
      <w:tr w:rsidR="002D1AF0" w:rsidRPr="00DA593D" w14:paraId="3E5BE447" w14:textId="77777777" w:rsidTr="00974B87">
        <w:trPr>
          <w:trHeight w:val="882"/>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19E3" w14:textId="77777777" w:rsidR="002D1AF0" w:rsidRPr="00DA593D" w:rsidRDefault="002D1AF0" w:rsidP="00974B87">
            <w:pPr>
              <w:tabs>
                <w:tab w:val="left" w:pos="426"/>
              </w:tabs>
              <w:jc w:val="center"/>
              <w:rPr>
                <w:rFonts w:eastAsia="Calibri" w:cs="Arial"/>
                <w:b/>
                <w:bCs/>
                <w:sz w:val="24"/>
                <w:szCs w:val="24"/>
                <w:lang w:val="es-MX" w:eastAsia="es-ES"/>
              </w:rPr>
            </w:pPr>
            <w:r w:rsidRPr="00DA593D">
              <w:rPr>
                <w:rFonts w:eastAsia="Calibri" w:cs="Arial"/>
                <w:b/>
                <w:bCs/>
                <w:sz w:val="24"/>
                <w:szCs w:val="24"/>
                <w:lang w:val="es-MX" w:eastAsia="es-ES"/>
              </w:rPr>
              <w:lastRenderedPageBreak/>
              <w:t>VII.</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3CA52" w14:textId="77777777" w:rsidR="002D1AF0" w:rsidRPr="00DA593D" w:rsidRDefault="002D1AF0" w:rsidP="00974B87">
            <w:pPr>
              <w:tabs>
                <w:tab w:val="left" w:pos="426"/>
              </w:tabs>
              <w:spacing w:before="240" w:after="240"/>
              <w:rPr>
                <w:rFonts w:eastAsia="Calibri" w:cs="Arial"/>
                <w:b/>
                <w:bCs/>
                <w:sz w:val="24"/>
                <w:szCs w:val="24"/>
                <w:lang w:val="es-MX" w:eastAsia="es-ES"/>
              </w:rPr>
            </w:pPr>
            <w:r>
              <w:rPr>
                <w:rFonts w:eastAsia="Calibri" w:cs="Arial"/>
                <w:b/>
                <w:bCs/>
                <w:sz w:val="24"/>
                <w:szCs w:val="24"/>
                <w:lang w:val="es-MX" w:eastAsia="es-ES"/>
              </w:rPr>
              <w:t>RESOLUTIVOS</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6F056FBF" w14:textId="37932475" w:rsidR="002D1AF0" w:rsidRPr="0010476B" w:rsidRDefault="002D1AF0" w:rsidP="00974B87">
            <w:pPr>
              <w:tabs>
                <w:tab w:val="left" w:pos="426"/>
              </w:tabs>
              <w:spacing w:before="240" w:after="240"/>
              <w:rPr>
                <w:rFonts w:eastAsia="Calibri" w:cs="Arial"/>
                <w:bCs/>
                <w:sz w:val="24"/>
                <w:szCs w:val="24"/>
                <w:lang w:val="es-MX" w:eastAsia="es-ES"/>
              </w:rPr>
            </w:pPr>
            <w:r w:rsidRPr="0010476B">
              <w:rPr>
                <w:rFonts w:eastAsia="Calibri" w:cs="Arial"/>
                <w:bCs/>
                <w:sz w:val="24"/>
                <w:szCs w:val="24"/>
                <w:lang w:val="es-MX" w:eastAsia="es-ES"/>
              </w:rPr>
              <w:t xml:space="preserve">PRIMERO. En la materia de la revisión, se confirma la sentencia dictada </w:t>
            </w:r>
            <w:r>
              <w:rPr>
                <w:rFonts w:eastAsia="Calibri" w:cs="Arial"/>
                <w:bCs/>
                <w:sz w:val="24"/>
                <w:szCs w:val="24"/>
                <w:lang w:val="es-MX" w:eastAsia="es-ES"/>
              </w:rPr>
              <w:t xml:space="preserve">el </w:t>
            </w:r>
            <w:r w:rsidRPr="0010476B">
              <w:rPr>
                <w:rFonts w:eastAsia="Calibri" w:cs="Arial"/>
                <w:bCs/>
                <w:sz w:val="24"/>
                <w:szCs w:val="24"/>
                <w:lang w:val="es-MX" w:eastAsia="es-ES"/>
              </w:rPr>
              <w:t xml:space="preserve">veintisiete de octubre de dos mil veinte por el Juez Quinto de Distrito en el Estado de Oaxaca, con residencia en San Bartolo Coyotepec, Oaxaca, en el juicio de amparo indirecto </w:t>
            </w:r>
            <w:r w:rsidR="00C1718A">
              <w:rPr>
                <w:rFonts w:eastAsia="Calibri" w:cs="Arial"/>
                <w:bCs/>
                <w:sz w:val="24"/>
                <w:szCs w:val="24"/>
                <w:lang w:val="es-MX" w:eastAsia="es-ES"/>
              </w:rPr>
              <w:t>**********</w:t>
            </w:r>
            <w:r w:rsidRPr="0010476B">
              <w:rPr>
                <w:rFonts w:eastAsia="Calibri" w:cs="Arial"/>
                <w:bCs/>
                <w:sz w:val="24"/>
                <w:szCs w:val="24"/>
                <w:lang w:val="es-MX" w:eastAsia="es-ES"/>
              </w:rPr>
              <w:t xml:space="preserve">. </w:t>
            </w:r>
          </w:p>
          <w:p w14:paraId="3E9CE8EC" w14:textId="0A77822F" w:rsidR="002D1AF0" w:rsidRPr="00DA593D" w:rsidRDefault="002D1AF0" w:rsidP="00974B87">
            <w:pPr>
              <w:tabs>
                <w:tab w:val="left" w:pos="426"/>
              </w:tabs>
              <w:spacing w:before="240" w:after="240"/>
              <w:rPr>
                <w:rFonts w:eastAsia="Calibri" w:cs="Arial"/>
                <w:bCs/>
                <w:sz w:val="24"/>
                <w:szCs w:val="24"/>
                <w:lang w:val="es-MX" w:eastAsia="es-ES"/>
              </w:rPr>
            </w:pPr>
            <w:r w:rsidRPr="0010476B">
              <w:rPr>
                <w:rFonts w:eastAsia="Calibri" w:cs="Arial"/>
                <w:bCs/>
                <w:sz w:val="24"/>
                <w:szCs w:val="24"/>
                <w:lang w:val="es-MX" w:eastAsia="es-ES"/>
              </w:rPr>
              <w:t xml:space="preserve">SEGUNDO. La Justicia de la Unión ampara y protege a </w:t>
            </w:r>
            <w:r w:rsidR="00C1718A">
              <w:rPr>
                <w:rFonts w:eastAsia="Calibri" w:cs="Arial"/>
                <w:bCs/>
                <w:sz w:val="24"/>
                <w:szCs w:val="24"/>
                <w:lang w:val="es-MX" w:eastAsia="es-ES"/>
              </w:rPr>
              <w:t>**********</w:t>
            </w:r>
            <w:r w:rsidRPr="0010476B">
              <w:rPr>
                <w:rFonts w:eastAsia="Calibri" w:cs="Arial"/>
                <w:bCs/>
                <w:sz w:val="24"/>
                <w:szCs w:val="24"/>
                <w:lang w:val="es-MX" w:eastAsia="es-ES"/>
              </w:rPr>
              <w:t xml:space="preserve">, contra el acto que </w:t>
            </w:r>
            <w:r w:rsidRPr="0010476B">
              <w:rPr>
                <w:rFonts w:eastAsia="Calibri" w:cs="Arial"/>
                <w:bCs/>
                <w:sz w:val="24"/>
                <w:szCs w:val="24"/>
                <w:lang w:val="es-MX" w:eastAsia="es-ES"/>
              </w:rPr>
              <w:lastRenderedPageBreak/>
              <w:t xml:space="preserve">reclamó del Juez Séptimo Civil del distrito judicial del Centro del Estado de Oaxaca, consistente en la resolución de veintiocho de abril de dos mil diecisiete, dentro del juicio ejecutivo mercantil </w:t>
            </w:r>
            <w:r w:rsidR="00C1718A">
              <w:rPr>
                <w:rFonts w:eastAsia="Calibri" w:cs="Arial"/>
                <w:bCs/>
                <w:sz w:val="24"/>
                <w:szCs w:val="24"/>
                <w:lang w:val="es-MX" w:eastAsia="es-ES"/>
              </w:rPr>
              <w:t>**********</w:t>
            </w:r>
            <w:r w:rsidRPr="0010476B">
              <w:rPr>
                <w:rFonts w:eastAsia="Calibri" w:cs="Arial"/>
                <w:bCs/>
                <w:sz w:val="24"/>
                <w:szCs w:val="24"/>
                <w:lang w:val="es-MX" w:eastAsia="es-ES"/>
              </w:rPr>
              <w:t>.</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4A08D5D" w14:textId="77777777" w:rsidR="002D1AF0" w:rsidRPr="00DA593D" w:rsidRDefault="002D1AF0" w:rsidP="00974B87">
            <w:pPr>
              <w:tabs>
                <w:tab w:val="left" w:pos="426"/>
              </w:tabs>
              <w:rPr>
                <w:rFonts w:eastAsia="Calibri" w:cs="Arial"/>
                <w:bCs/>
                <w:sz w:val="24"/>
                <w:szCs w:val="24"/>
                <w:lang w:val="es-MX" w:eastAsia="es-ES"/>
              </w:rPr>
            </w:pPr>
            <w:r w:rsidRPr="00DA593D">
              <w:rPr>
                <w:rFonts w:eastAsia="Calibri" w:cs="Arial"/>
                <w:bCs/>
                <w:sz w:val="24"/>
                <w:szCs w:val="24"/>
                <w:lang w:val="es-MX" w:eastAsia="es-ES"/>
              </w:rPr>
              <w:lastRenderedPageBreak/>
              <w:t>30 y 31</w:t>
            </w:r>
          </w:p>
        </w:tc>
      </w:tr>
    </w:tbl>
    <w:p w14:paraId="66515A2C" w14:textId="77777777" w:rsidR="002D1AF0" w:rsidRDefault="002D1AF0" w:rsidP="002D1AF0"/>
    <w:p w14:paraId="4852EB26" w14:textId="77777777" w:rsidR="00C948B9" w:rsidRDefault="00C948B9" w:rsidP="00FB58B3">
      <w:pPr>
        <w:tabs>
          <w:tab w:val="left" w:pos="709"/>
          <w:tab w:val="left" w:pos="8647"/>
        </w:tabs>
        <w:ind w:left="3686" w:right="-93"/>
        <w:rPr>
          <w:rFonts w:cs="Arial"/>
          <w:b/>
          <w:szCs w:val="26"/>
        </w:rPr>
        <w:sectPr w:rsidR="00C948B9" w:rsidSect="00C1718A">
          <w:headerReference w:type="even" r:id="rId11"/>
          <w:headerReference w:type="default" r:id="rId12"/>
          <w:footerReference w:type="even" r:id="rId13"/>
          <w:footerReference w:type="default" r:id="rId14"/>
          <w:footerReference w:type="first" r:id="rId15"/>
          <w:pgSz w:w="12240" w:h="20160" w:code="5"/>
          <w:pgMar w:top="2410" w:right="1752" w:bottom="1843" w:left="1701" w:header="1276" w:footer="1469" w:gutter="0"/>
          <w:pgNumType w:fmt="upperRoman" w:start="1"/>
          <w:cols w:space="720"/>
          <w:titlePg/>
          <w:docGrid w:linePitch="360"/>
        </w:sectPr>
      </w:pPr>
    </w:p>
    <w:p w14:paraId="725D7361" w14:textId="4078B6A5" w:rsidR="008B2E5F" w:rsidRPr="00FF4ACC" w:rsidRDefault="008B2E5F" w:rsidP="00FB58B3">
      <w:pPr>
        <w:tabs>
          <w:tab w:val="left" w:pos="709"/>
          <w:tab w:val="left" w:pos="8647"/>
        </w:tabs>
        <w:ind w:left="3686" w:right="-93"/>
        <w:rPr>
          <w:rFonts w:cs="Arial"/>
          <w:b/>
          <w:szCs w:val="26"/>
        </w:rPr>
      </w:pPr>
      <w:r w:rsidRPr="00FF4ACC">
        <w:rPr>
          <w:rFonts w:cs="Arial"/>
          <w:b/>
          <w:szCs w:val="26"/>
        </w:rPr>
        <w:lastRenderedPageBreak/>
        <w:t xml:space="preserve">AMPARO EN REVISIÓN </w:t>
      </w:r>
      <w:r w:rsidR="006D61C0" w:rsidRPr="00FF4ACC">
        <w:rPr>
          <w:rFonts w:cs="Arial"/>
          <w:b/>
          <w:szCs w:val="26"/>
        </w:rPr>
        <w:t>97</w:t>
      </w:r>
      <w:r w:rsidRPr="00FF4ACC">
        <w:rPr>
          <w:rFonts w:cs="Arial"/>
          <w:b/>
          <w:szCs w:val="26"/>
        </w:rPr>
        <w:t>/202</w:t>
      </w:r>
      <w:r w:rsidR="006D61C0" w:rsidRPr="00FF4ACC">
        <w:rPr>
          <w:rFonts w:cs="Arial"/>
          <w:b/>
          <w:szCs w:val="26"/>
        </w:rPr>
        <w:t>2</w:t>
      </w:r>
    </w:p>
    <w:p w14:paraId="7130B927" w14:textId="6549E3BA" w:rsidR="00FD123D" w:rsidRPr="00FF4ACC" w:rsidRDefault="007517C3" w:rsidP="00FB58B3">
      <w:pPr>
        <w:pStyle w:val="corte1datos"/>
        <w:tabs>
          <w:tab w:val="left" w:pos="709"/>
          <w:tab w:val="left" w:pos="8647"/>
        </w:tabs>
        <w:ind w:left="3686"/>
        <w:rPr>
          <w:rFonts w:cs="Arial"/>
          <w:sz w:val="26"/>
          <w:szCs w:val="26"/>
        </w:rPr>
      </w:pPr>
      <w:r w:rsidRPr="00FF4ACC">
        <w:rPr>
          <w:rFonts w:cs="Arial"/>
          <w:sz w:val="26"/>
          <w:szCs w:val="26"/>
        </w:rPr>
        <w:t xml:space="preserve">RECURRENTE: </w:t>
      </w:r>
      <w:r w:rsidR="00591EB6">
        <w:rPr>
          <w:rFonts w:cs="Arial"/>
          <w:sz w:val="26"/>
          <w:szCs w:val="26"/>
        </w:rPr>
        <w:t>**********</w:t>
      </w:r>
      <w:r w:rsidRPr="00FF4ACC">
        <w:rPr>
          <w:rFonts w:cs="Arial"/>
          <w:sz w:val="26"/>
          <w:szCs w:val="26"/>
        </w:rPr>
        <w:t xml:space="preserve"> (TERCERO INTERESADO)</w:t>
      </w:r>
    </w:p>
    <w:p w14:paraId="2E88F5B9" w14:textId="652238D5" w:rsidR="00A20ED3" w:rsidRPr="00FF4ACC" w:rsidRDefault="00A20ED3" w:rsidP="00A20ED3">
      <w:pPr>
        <w:pStyle w:val="CORTE2PONENTE0"/>
        <w:rPr>
          <w:rFonts w:cs="Arial"/>
          <w:b w:val="0"/>
          <w:spacing w:val="-20"/>
          <w:sz w:val="26"/>
          <w:szCs w:val="26"/>
          <w:lang w:val="es-ES_tradnl"/>
        </w:rPr>
      </w:pPr>
    </w:p>
    <w:p w14:paraId="6CEB2070" w14:textId="77777777" w:rsidR="007517C3" w:rsidRPr="00FF4ACC" w:rsidRDefault="007517C3" w:rsidP="00A20ED3">
      <w:pPr>
        <w:pStyle w:val="CORTE2PONENTE0"/>
        <w:rPr>
          <w:rFonts w:cs="Arial"/>
          <w:b w:val="0"/>
          <w:spacing w:val="-20"/>
          <w:sz w:val="26"/>
          <w:szCs w:val="26"/>
          <w:lang w:val="es-ES_tradnl"/>
        </w:rPr>
      </w:pPr>
    </w:p>
    <w:p w14:paraId="5747971E" w14:textId="77777777" w:rsidR="00A20ED3" w:rsidRPr="00FF4ACC" w:rsidRDefault="00A20ED3" w:rsidP="00A20ED3">
      <w:pPr>
        <w:pStyle w:val="CORTE2PONENTE0"/>
        <w:rPr>
          <w:rFonts w:cs="Arial"/>
          <w:b w:val="0"/>
          <w:spacing w:val="-20"/>
          <w:sz w:val="16"/>
          <w:szCs w:val="16"/>
          <w:lang w:val="es-ES_tradnl"/>
        </w:rPr>
      </w:pPr>
      <w:r w:rsidRPr="00FF4ACC">
        <w:rPr>
          <w:rFonts w:cs="Arial"/>
          <w:b w:val="0"/>
          <w:spacing w:val="-20"/>
          <w:sz w:val="16"/>
          <w:szCs w:val="16"/>
          <w:lang w:val="es-ES_tradnl"/>
        </w:rPr>
        <w:t>VISTO BUENO</w:t>
      </w:r>
    </w:p>
    <w:p w14:paraId="707D3CBA" w14:textId="77777777" w:rsidR="00A20ED3" w:rsidRPr="00FF4ACC" w:rsidRDefault="00A20ED3" w:rsidP="00A20ED3">
      <w:pPr>
        <w:pStyle w:val="CORTE2PONENTE0"/>
        <w:rPr>
          <w:rFonts w:cs="Arial"/>
          <w:b w:val="0"/>
          <w:sz w:val="16"/>
          <w:szCs w:val="16"/>
          <w:lang w:val="es-ES_tradnl"/>
        </w:rPr>
      </w:pPr>
      <w:r w:rsidRPr="00FF4ACC">
        <w:rPr>
          <w:rFonts w:cs="Arial"/>
          <w:b w:val="0"/>
          <w:sz w:val="16"/>
          <w:szCs w:val="16"/>
          <w:lang w:val="es-ES_tradnl"/>
        </w:rPr>
        <w:t>MINISTRO</w:t>
      </w:r>
    </w:p>
    <w:p w14:paraId="0F8F9BD1" w14:textId="77777777" w:rsidR="00A20ED3" w:rsidRPr="00FF4ACC" w:rsidRDefault="00A20ED3" w:rsidP="00A20ED3">
      <w:pPr>
        <w:pStyle w:val="corte2ponente"/>
        <w:rPr>
          <w:rFonts w:cs="Arial"/>
          <w:sz w:val="26"/>
          <w:szCs w:val="26"/>
        </w:rPr>
      </w:pPr>
      <w:r w:rsidRPr="00FF4ACC">
        <w:rPr>
          <w:rFonts w:cs="Arial"/>
          <w:sz w:val="26"/>
          <w:szCs w:val="26"/>
        </w:rPr>
        <w:t>PONENTE: MINISTRO alfredo gutiérrez ortiz mena</w:t>
      </w:r>
    </w:p>
    <w:p w14:paraId="1359584D" w14:textId="77777777" w:rsidR="00A20ED3" w:rsidRPr="00FF4ACC" w:rsidRDefault="00A20ED3" w:rsidP="00A20ED3">
      <w:pPr>
        <w:pStyle w:val="corte2ponente"/>
        <w:rPr>
          <w:rFonts w:cs="Arial"/>
          <w:b w:val="0"/>
          <w:sz w:val="16"/>
          <w:szCs w:val="16"/>
        </w:rPr>
      </w:pPr>
      <w:r w:rsidRPr="00FF4ACC">
        <w:rPr>
          <w:rFonts w:cs="Arial"/>
          <w:b w:val="0"/>
          <w:sz w:val="26"/>
          <w:szCs w:val="26"/>
        </w:rPr>
        <w:br/>
      </w:r>
      <w:r w:rsidRPr="00FF4ACC">
        <w:rPr>
          <w:rFonts w:cs="Arial"/>
          <w:b w:val="0"/>
          <w:sz w:val="16"/>
          <w:szCs w:val="16"/>
        </w:rPr>
        <w:t>cotejÓ</w:t>
      </w:r>
    </w:p>
    <w:p w14:paraId="659D3E5D" w14:textId="6D7A2BDD" w:rsidR="00A20ED3" w:rsidRPr="00FF4ACC" w:rsidRDefault="00A20ED3" w:rsidP="00A20ED3">
      <w:pPr>
        <w:pStyle w:val="corte2ponente"/>
        <w:rPr>
          <w:rFonts w:cs="Arial"/>
          <w:sz w:val="26"/>
          <w:szCs w:val="26"/>
        </w:rPr>
      </w:pPr>
      <w:r w:rsidRPr="00FF4ACC">
        <w:rPr>
          <w:rFonts w:cs="Arial"/>
          <w:sz w:val="26"/>
          <w:szCs w:val="26"/>
        </w:rPr>
        <w:t xml:space="preserve">SECRETARIo: </w:t>
      </w:r>
      <w:r w:rsidR="00004DED" w:rsidRPr="00FF4ACC">
        <w:rPr>
          <w:rFonts w:cs="Arial"/>
          <w:sz w:val="26"/>
          <w:szCs w:val="26"/>
        </w:rPr>
        <w:t>JESÚS ROJAS IBÁÑEZ</w:t>
      </w:r>
    </w:p>
    <w:p w14:paraId="1141A429" w14:textId="63776BFD" w:rsidR="00A20ED3" w:rsidRPr="00FF4ACC" w:rsidRDefault="00004DED" w:rsidP="00E43A4D">
      <w:pPr>
        <w:pStyle w:val="corte2ponente"/>
        <w:rPr>
          <w:rFonts w:cs="Arial"/>
          <w:sz w:val="26"/>
          <w:szCs w:val="26"/>
        </w:rPr>
      </w:pPr>
      <w:r w:rsidRPr="00FF4ACC">
        <w:rPr>
          <w:rFonts w:cs="Arial"/>
          <w:sz w:val="26"/>
          <w:szCs w:val="26"/>
        </w:rPr>
        <w:t>SECRETARIA AUXILIAR</w:t>
      </w:r>
      <w:r w:rsidR="00A20ED3" w:rsidRPr="00FF4ACC">
        <w:rPr>
          <w:rFonts w:cs="Arial"/>
          <w:sz w:val="26"/>
          <w:szCs w:val="26"/>
        </w:rPr>
        <w:t xml:space="preserve">: </w:t>
      </w:r>
      <w:r w:rsidRPr="00FF4ACC">
        <w:rPr>
          <w:rFonts w:cs="Arial"/>
          <w:sz w:val="26"/>
          <w:szCs w:val="26"/>
        </w:rPr>
        <w:t xml:space="preserve">GABRIELA PONCE BÁEZ </w:t>
      </w:r>
    </w:p>
    <w:p w14:paraId="1E4366FA" w14:textId="77777777" w:rsidR="00A20ED3" w:rsidRPr="00FF4ACC" w:rsidRDefault="00A20ED3" w:rsidP="00A20ED3">
      <w:pPr>
        <w:pStyle w:val="corte4fondo"/>
        <w:ind w:firstLine="0"/>
        <w:rPr>
          <w:rFonts w:cs="Arial"/>
          <w:szCs w:val="26"/>
        </w:rPr>
      </w:pPr>
    </w:p>
    <w:p w14:paraId="1AD2537F" w14:textId="20CDAEC6" w:rsidR="00A20ED3" w:rsidRPr="00FF4ACC" w:rsidRDefault="00A20ED3" w:rsidP="00A20ED3">
      <w:pPr>
        <w:pStyle w:val="corte4fondo"/>
        <w:ind w:firstLine="0"/>
        <w:rPr>
          <w:rFonts w:cs="Arial"/>
          <w:szCs w:val="26"/>
        </w:rPr>
      </w:pPr>
      <w:r w:rsidRPr="00FF4ACC">
        <w:rPr>
          <w:rFonts w:cs="Arial"/>
          <w:szCs w:val="26"/>
        </w:rPr>
        <w:t>Ciudad de México. La Primera Sala de la Suprema Corte de Justicia de la Nación, en sesión</w:t>
      </w:r>
      <w:r w:rsidR="00AD14E4" w:rsidRPr="00FF4ACC">
        <w:rPr>
          <w:rFonts w:cs="Arial"/>
          <w:szCs w:val="26"/>
        </w:rPr>
        <w:t xml:space="preserve"> </w:t>
      </w:r>
      <w:r w:rsidRPr="00FF4ACC">
        <w:rPr>
          <w:rFonts w:cs="Arial"/>
          <w:szCs w:val="26"/>
        </w:rPr>
        <w:t>correspondiente al</w:t>
      </w:r>
      <w:r w:rsidR="00004DED" w:rsidRPr="00FF4ACC">
        <w:rPr>
          <w:rFonts w:cs="Arial"/>
          <w:szCs w:val="26"/>
        </w:rPr>
        <w:t xml:space="preserve"> </w:t>
      </w:r>
      <w:r w:rsidR="007A185C" w:rsidRPr="007A185C">
        <w:rPr>
          <w:rFonts w:cs="Arial"/>
          <w:b/>
          <w:bCs/>
          <w:szCs w:val="26"/>
        </w:rPr>
        <w:t>veintiuno de junio de dos mil veintitrés</w:t>
      </w:r>
      <w:r w:rsidRPr="00FF4ACC">
        <w:rPr>
          <w:rFonts w:cs="Arial"/>
          <w:szCs w:val="26"/>
        </w:rPr>
        <w:t xml:space="preserve">, emite la siguiente: </w:t>
      </w:r>
    </w:p>
    <w:p w14:paraId="11D9FE57" w14:textId="3A0E720D" w:rsidR="00A20ED3" w:rsidRPr="00FF4ACC" w:rsidRDefault="00A20ED3" w:rsidP="008B2E5F">
      <w:pPr>
        <w:pStyle w:val="corte4fondo"/>
        <w:ind w:firstLine="0"/>
        <w:rPr>
          <w:rFonts w:cs="Arial"/>
          <w:bCs/>
          <w:szCs w:val="26"/>
        </w:rPr>
      </w:pPr>
    </w:p>
    <w:p w14:paraId="72FF02DB" w14:textId="77777777" w:rsidR="00A20ED3" w:rsidRPr="00FF4ACC" w:rsidRDefault="00A20ED3" w:rsidP="00A20ED3">
      <w:pPr>
        <w:pStyle w:val="corte4fondo"/>
        <w:ind w:firstLine="0"/>
        <w:jc w:val="center"/>
        <w:rPr>
          <w:rFonts w:cs="Arial"/>
          <w:b/>
          <w:szCs w:val="26"/>
        </w:rPr>
      </w:pPr>
      <w:r w:rsidRPr="00FF4ACC">
        <w:rPr>
          <w:rFonts w:cs="Arial"/>
          <w:b/>
          <w:szCs w:val="26"/>
        </w:rPr>
        <w:t>S E N T E N C I A</w:t>
      </w:r>
    </w:p>
    <w:p w14:paraId="3C1D6EB0" w14:textId="77777777" w:rsidR="00A20ED3" w:rsidRPr="00FF4ACC" w:rsidRDefault="00A20ED3" w:rsidP="00A20ED3">
      <w:pPr>
        <w:pStyle w:val="corte4fondo"/>
        <w:ind w:firstLine="0"/>
        <w:rPr>
          <w:rFonts w:cs="Arial"/>
          <w:bCs/>
          <w:szCs w:val="26"/>
        </w:rPr>
      </w:pPr>
    </w:p>
    <w:p w14:paraId="0087FCFB" w14:textId="4EA22234" w:rsidR="00D3226E" w:rsidRPr="00FF4ACC" w:rsidRDefault="00A20ED3" w:rsidP="00A20ED3">
      <w:pPr>
        <w:pStyle w:val="corte4fondo"/>
        <w:ind w:firstLine="0"/>
        <w:rPr>
          <w:rFonts w:cs="Arial"/>
          <w:szCs w:val="26"/>
        </w:rPr>
      </w:pPr>
      <w:r w:rsidRPr="00FF4ACC">
        <w:rPr>
          <w:rFonts w:cs="Arial"/>
          <w:szCs w:val="26"/>
        </w:rPr>
        <w:t>Mediante la cual se resuelve el</w:t>
      </w:r>
      <w:r w:rsidRPr="00FF4ACC">
        <w:rPr>
          <w:rFonts w:cs="Arial"/>
          <w:b/>
          <w:szCs w:val="26"/>
        </w:rPr>
        <w:t xml:space="preserve"> </w:t>
      </w:r>
      <w:r w:rsidR="00CC5D43" w:rsidRPr="00FF4ACC">
        <w:rPr>
          <w:rFonts w:cs="Arial"/>
          <w:szCs w:val="26"/>
        </w:rPr>
        <w:t>A</w:t>
      </w:r>
      <w:r w:rsidRPr="00FF4ACC">
        <w:rPr>
          <w:rFonts w:cs="Arial"/>
          <w:szCs w:val="26"/>
        </w:rPr>
        <w:t xml:space="preserve">mparo en </w:t>
      </w:r>
      <w:r w:rsidR="00CC5D43" w:rsidRPr="00FF4ACC">
        <w:rPr>
          <w:rFonts w:cs="Arial"/>
          <w:szCs w:val="26"/>
        </w:rPr>
        <w:t>R</w:t>
      </w:r>
      <w:r w:rsidRPr="00FF4ACC">
        <w:rPr>
          <w:rFonts w:cs="Arial"/>
          <w:szCs w:val="26"/>
        </w:rPr>
        <w:t xml:space="preserve">evisión </w:t>
      </w:r>
      <w:r w:rsidR="00BE6A86" w:rsidRPr="00FF4ACC">
        <w:rPr>
          <w:rFonts w:cs="Arial"/>
          <w:szCs w:val="26"/>
        </w:rPr>
        <w:t>97</w:t>
      </w:r>
      <w:r w:rsidRPr="00FF4ACC">
        <w:rPr>
          <w:rFonts w:cs="Arial"/>
          <w:szCs w:val="26"/>
        </w:rPr>
        <w:t>/</w:t>
      </w:r>
      <w:r w:rsidR="00E43A4D" w:rsidRPr="00FF4ACC">
        <w:rPr>
          <w:rFonts w:cs="Arial"/>
          <w:szCs w:val="26"/>
        </w:rPr>
        <w:t>202</w:t>
      </w:r>
      <w:r w:rsidR="000842A9">
        <w:rPr>
          <w:rFonts w:cs="Arial"/>
          <w:szCs w:val="26"/>
        </w:rPr>
        <w:t>2</w:t>
      </w:r>
      <w:r w:rsidRPr="00FF4ACC">
        <w:rPr>
          <w:rFonts w:cs="Arial"/>
          <w:spacing w:val="-20"/>
          <w:szCs w:val="26"/>
        </w:rPr>
        <w:t>,</w:t>
      </w:r>
      <w:r w:rsidRPr="00FF4ACC">
        <w:rPr>
          <w:rFonts w:cs="Arial"/>
          <w:szCs w:val="26"/>
        </w:rPr>
        <w:t xml:space="preserve"> </w:t>
      </w:r>
      <w:r w:rsidR="006B20B7" w:rsidRPr="00FF4ACC">
        <w:rPr>
          <w:rFonts w:cs="Arial"/>
          <w:szCs w:val="26"/>
        </w:rPr>
        <w:t>promovido</w:t>
      </w:r>
      <w:r w:rsidRPr="00FF4ACC">
        <w:rPr>
          <w:rFonts w:cs="Arial"/>
          <w:szCs w:val="26"/>
        </w:rPr>
        <w:t xml:space="preserve"> en contra de la sentencia dictada el </w:t>
      </w:r>
      <w:r w:rsidR="00035616" w:rsidRPr="00FF4ACC">
        <w:rPr>
          <w:rFonts w:cs="Arial"/>
          <w:szCs w:val="26"/>
        </w:rPr>
        <w:t>veint</w:t>
      </w:r>
      <w:r w:rsidR="00185FA8">
        <w:rPr>
          <w:rFonts w:cs="Arial"/>
          <w:szCs w:val="26"/>
        </w:rPr>
        <w:t>isiete</w:t>
      </w:r>
      <w:r w:rsidRPr="00FF4ACC">
        <w:rPr>
          <w:rFonts w:cs="Arial"/>
          <w:szCs w:val="26"/>
        </w:rPr>
        <w:t xml:space="preserve"> de </w:t>
      </w:r>
      <w:r w:rsidR="00910D4E" w:rsidRPr="00FF4ACC">
        <w:rPr>
          <w:rFonts w:cs="Arial"/>
          <w:szCs w:val="26"/>
        </w:rPr>
        <w:t>octubre</w:t>
      </w:r>
      <w:r w:rsidR="00D3226E" w:rsidRPr="00FF4ACC">
        <w:rPr>
          <w:rFonts w:cs="Arial"/>
          <w:szCs w:val="26"/>
        </w:rPr>
        <w:t xml:space="preserve"> </w:t>
      </w:r>
      <w:r w:rsidRPr="00FF4ACC">
        <w:rPr>
          <w:rFonts w:cs="Arial"/>
          <w:szCs w:val="26"/>
        </w:rPr>
        <w:t xml:space="preserve">de dos mil </w:t>
      </w:r>
      <w:r w:rsidR="00235F4A" w:rsidRPr="00FF4ACC">
        <w:rPr>
          <w:rFonts w:cs="Arial"/>
          <w:szCs w:val="26"/>
        </w:rPr>
        <w:t>veinte</w:t>
      </w:r>
      <w:r w:rsidR="00D3226E" w:rsidRPr="00FF4ACC">
        <w:rPr>
          <w:rFonts w:cs="Arial"/>
          <w:szCs w:val="26"/>
        </w:rPr>
        <w:t xml:space="preserve"> </w:t>
      </w:r>
      <w:r w:rsidRPr="00FF4ACC">
        <w:rPr>
          <w:rFonts w:cs="Arial"/>
          <w:szCs w:val="26"/>
        </w:rPr>
        <w:t xml:space="preserve">por el </w:t>
      </w:r>
      <w:r w:rsidR="00910D4E" w:rsidRPr="00FF4ACC">
        <w:rPr>
          <w:rFonts w:cs="Arial"/>
          <w:szCs w:val="26"/>
        </w:rPr>
        <w:t xml:space="preserve">Juez </w:t>
      </w:r>
      <w:r w:rsidR="00235F4A" w:rsidRPr="00FF4ACC">
        <w:rPr>
          <w:rFonts w:cs="Arial"/>
          <w:szCs w:val="26"/>
        </w:rPr>
        <w:t>Quint</w:t>
      </w:r>
      <w:r w:rsidR="00910D4E" w:rsidRPr="00FF4ACC">
        <w:rPr>
          <w:rFonts w:cs="Arial"/>
          <w:szCs w:val="26"/>
        </w:rPr>
        <w:t xml:space="preserve">o de Distrito en el Estado de </w:t>
      </w:r>
      <w:r w:rsidR="00235F4A" w:rsidRPr="00FF4ACC">
        <w:rPr>
          <w:rFonts w:cs="Arial"/>
          <w:szCs w:val="26"/>
        </w:rPr>
        <w:t>Oaxaca</w:t>
      </w:r>
      <w:r w:rsidR="00D3226E" w:rsidRPr="00FF4ACC">
        <w:rPr>
          <w:rFonts w:cs="Arial"/>
          <w:szCs w:val="26"/>
        </w:rPr>
        <w:t xml:space="preserve"> en los autos del juicio de amparo indirecto </w:t>
      </w:r>
      <w:r w:rsidR="00591EB6">
        <w:rPr>
          <w:rFonts w:cs="Arial"/>
          <w:szCs w:val="26"/>
        </w:rPr>
        <w:t>**********</w:t>
      </w:r>
      <w:r w:rsidR="00D3226E" w:rsidRPr="00FF4ACC">
        <w:rPr>
          <w:rFonts w:cs="Arial"/>
          <w:szCs w:val="26"/>
        </w:rPr>
        <w:t>.</w:t>
      </w:r>
    </w:p>
    <w:p w14:paraId="4BFDA246" w14:textId="77777777" w:rsidR="00A20ED3" w:rsidRPr="00FF4ACC" w:rsidRDefault="00A20ED3" w:rsidP="00D3226E">
      <w:pPr>
        <w:pStyle w:val="corte4fondo"/>
        <w:ind w:firstLine="0"/>
        <w:rPr>
          <w:rFonts w:cs="Arial"/>
          <w:szCs w:val="26"/>
        </w:rPr>
      </w:pPr>
    </w:p>
    <w:p w14:paraId="6B9CDFB5" w14:textId="7C445864" w:rsidR="00134A5A" w:rsidRPr="00456587" w:rsidRDefault="00A20ED3" w:rsidP="00134A5A">
      <w:pPr>
        <w:pStyle w:val="corte4fondo"/>
        <w:ind w:firstLine="0"/>
        <w:rPr>
          <w:rFonts w:cs="Arial"/>
          <w:szCs w:val="26"/>
        </w:rPr>
      </w:pPr>
      <w:proofErr w:type="gramStart"/>
      <w:r w:rsidRPr="00FF4ACC">
        <w:rPr>
          <w:rFonts w:cs="Arial"/>
          <w:szCs w:val="26"/>
        </w:rPr>
        <w:t>El problema jurídico a resolver</w:t>
      </w:r>
      <w:proofErr w:type="gramEnd"/>
      <w:r w:rsidRPr="00FF4ACC">
        <w:rPr>
          <w:rFonts w:cs="Arial"/>
          <w:szCs w:val="26"/>
        </w:rPr>
        <w:t xml:space="preserve"> por esta Primera Sala de la Suprema Corte de Justicia de la Nación</w:t>
      </w:r>
      <w:r w:rsidR="002846FD" w:rsidRPr="00FF4ACC">
        <w:rPr>
          <w:rFonts w:cs="Arial"/>
          <w:szCs w:val="26"/>
        </w:rPr>
        <w:t xml:space="preserve"> </w:t>
      </w:r>
      <w:r w:rsidR="007118D6" w:rsidRPr="00FF4ACC">
        <w:rPr>
          <w:rFonts w:cs="Arial"/>
          <w:szCs w:val="26"/>
        </w:rPr>
        <w:t>consiste en analizar</w:t>
      </w:r>
      <w:r w:rsidR="00D3226E" w:rsidRPr="00FF4ACC">
        <w:rPr>
          <w:rFonts w:cs="Arial"/>
          <w:szCs w:val="26"/>
        </w:rPr>
        <w:t xml:space="preserve"> </w:t>
      </w:r>
      <w:r w:rsidR="00182459">
        <w:rPr>
          <w:rFonts w:cs="Arial"/>
          <w:szCs w:val="26"/>
        </w:rPr>
        <w:t>si para la determinación del plazo para interponer el incidente de nulidad de actuaciones</w:t>
      </w:r>
      <w:r w:rsidR="004E4DB5">
        <w:rPr>
          <w:rFonts w:cs="Arial"/>
          <w:szCs w:val="26"/>
        </w:rPr>
        <w:t xml:space="preserve">, se </w:t>
      </w:r>
      <w:r w:rsidR="004E4DB5" w:rsidRPr="00456587">
        <w:rPr>
          <w:rFonts w:cs="Arial"/>
          <w:szCs w:val="26"/>
        </w:rPr>
        <w:t xml:space="preserve">debe </w:t>
      </w:r>
      <w:r w:rsidR="00C07A9A" w:rsidRPr="00456587">
        <w:rPr>
          <w:rFonts w:cs="Arial"/>
          <w:szCs w:val="26"/>
        </w:rPr>
        <w:t xml:space="preserve">atender a lo establecido en el artículo </w:t>
      </w:r>
      <w:r w:rsidR="00134A5A" w:rsidRPr="00456587">
        <w:rPr>
          <w:rFonts w:cs="Arial"/>
          <w:szCs w:val="26"/>
        </w:rPr>
        <w:t>74 el Código de Procedimientos Civiles para el Estado de Oaxaca, o en su defecto, debe aplicarse lo que señala el artículo</w:t>
      </w:r>
    </w:p>
    <w:p w14:paraId="450B54D5" w14:textId="084611FF" w:rsidR="00910D4E" w:rsidRPr="00FF4ACC" w:rsidRDefault="00C07A9A" w:rsidP="004E4DB5">
      <w:pPr>
        <w:pStyle w:val="corte4fondo"/>
        <w:ind w:firstLine="0"/>
        <w:rPr>
          <w:rFonts w:cs="Arial"/>
          <w:szCs w:val="26"/>
        </w:rPr>
      </w:pPr>
      <w:r w:rsidRPr="00456587">
        <w:rPr>
          <w:rFonts w:cs="Arial"/>
          <w:szCs w:val="26"/>
        </w:rPr>
        <w:t>1079 del Código de Comercio</w:t>
      </w:r>
      <w:r w:rsidR="00D055F4" w:rsidRPr="00456587">
        <w:rPr>
          <w:rFonts w:cs="Arial"/>
          <w:szCs w:val="26"/>
        </w:rPr>
        <w:t>.</w:t>
      </w:r>
    </w:p>
    <w:p w14:paraId="3114C2EE" w14:textId="77777777" w:rsidR="00A20ED3" w:rsidRPr="00FF4ACC" w:rsidRDefault="00A20ED3" w:rsidP="00E11216">
      <w:pPr>
        <w:spacing w:line="360" w:lineRule="auto"/>
        <w:rPr>
          <w:rFonts w:cs="Arial"/>
          <w:b/>
          <w:szCs w:val="26"/>
        </w:rPr>
      </w:pPr>
    </w:p>
    <w:p w14:paraId="0486FC35" w14:textId="1BD68BA7" w:rsidR="00A20ED3" w:rsidRPr="00FF4ACC" w:rsidRDefault="00A20ED3" w:rsidP="00E11216">
      <w:pPr>
        <w:pStyle w:val="corte4fondo"/>
        <w:numPr>
          <w:ilvl w:val="0"/>
          <w:numId w:val="1"/>
        </w:numPr>
        <w:tabs>
          <w:tab w:val="left" w:pos="426"/>
        </w:tabs>
        <w:ind w:left="0" w:firstLine="0"/>
        <w:jc w:val="center"/>
        <w:rPr>
          <w:rFonts w:cs="Arial"/>
          <w:b/>
          <w:szCs w:val="26"/>
        </w:rPr>
      </w:pPr>
      <w:r w:rsidRPr="00FF4ACC">
        <w:rPr>
          <w:rFonts w:cs="Arial"/>
          <w:b/>
          <w:szCs w:val="26"/>
        </w:rPr>
        <w:t xml:space="preserve">ANTECEDENTES </w:t>
      </w:r>
      <w:r w:rsidR="00C77F6E" w:rsidRPr="00FF4ACC">
        <w:rPr>
          <w:rFonts w:cs="Arial"/>
          <w:b/>
          <w:szCs w:val="26"/>
        </w:rPr>
        <w:t>Y TRÁMITE DEL JUICIO DE AMPARO</w:t>
      </w:r>
    </w:p>
    <w:p w14:paraId="49862544" w14:textId="77777777" w:rsidR="00A20ED3" w:rsidRPr="00FF4ACC" w:rsidRDefault="00A20ED3" w:rsidP="00E11216">
      <w:pPr>
        <w:tabs>
          <w:tab w:val="left" w:pos="851"/>
        </w:tabs>
        <w:spacing w:line="360" w:lineRule="auto"/>
        <w:rPr>
          <w:rFonts w:cs="Arial"/>
          <w:szCs w:val="26"/>
        </w:rPr>
      </w:pPr>
    </w:p>
    <w:p w14:paraId="7AA49B33" w14:textId="650817F6" w:rsidR="002477AB" w:rsidRPr="00F03CB3" w:rsidRDefault="00761323" w:rsidP="00F03CB3">
      <w:pPr>
        <w:pStyle w:val="Prrafodelista"/>
        <w:numPr>
          <w:ilvl w:val="0"/>
          <w:numId w:val="2"/>
        </w:numPr>
        <w:spacing w:line="360" w:lineRule="auto"/>
        <w:ind w:left="0" w:hanging="284"/>
        <w:rPr>
          <w:rFonts w:cs="Arial"/>
          <w:szCs w:val="26"/>
        </w:rPr>
      </w:pPr>
      <w:r w:rsidRPr="00FF4ACC">
        <w:rPr>
          <w:rFonts w:cs="Arial"/>
          <w:b/>
          <w:bCs/>
          <w:szCs w:val="26"/>
        </w:rPr>
        <w:t>Juicio ejecutivo mercantil.</w:t>
      </w:r>
      <w:r w:rsidRPr="00FF4ACC">
        <w:rPr>
          <w:rFonts w:cs="Arial"/>
          <w:szCs w:val="26"/>
        </w:rPr>
        <w:t xml:space="preserve"> Mediante escrito de treinta y uno de mayo de dos mil cinco, </w:t>
      </w:r>
      <w:r w:rsidR="00591EB6">
        <w:rPr>
          <w:rFonts w:cs="Arial"/>
          <w:szCs w:val="26"/>
        </w:rPr>
        <w:t>**********</w:t>
      </w:r>
      <w:r w:rsidRPr="00FF4ACC">
        <w:rPr>
          <w:rFonts w:cs="Arial"/>
          <w:szCs w:val="26"/>
        </w:rPr>
        <w:t xml:space="preserve">, con el carácter de endosatario en procuración de </w:t>
      </w:r>
      <w:r w:rsidR="00591EB6">
        <w:rPr>
          <w:rFonts w:cs="Arial"/>
          <w:szCs w:val="26"/>
        </w:rPr>
        <w:t>**********</w:t>
      </w:r>
      <w:r w:rsidRPr="00FF4ACC">
        <w:rPr>
          <w:rFonts w:cs="Arial"/>
          <w:szCs w:val="26"/>
        </w:rPr>
        <w:t xml:space="preserve">, demandó en la vía ejecutiva mercantil y en ejercicio de la acción cambiaria directa a </w:t>
      </w:r>
      <w:r w:rsidR="00591EB6">
        <w:rPr>
          <w:rFonts w:cs="Arial"/>
          <w:szCs w:val="26"/>
        </w:rPr>
        <w:t>**********</w:t>
      </w:r>
      <w:r w:rsidRPr="00FF4ACC">
        <w:rPr>
          <w:rFonts w:cs="Arial"/>
          <w:szCs w:val="26"/>
        </w:rPr>
        <w:t xml:space="preserve">, </w:t>
      </w:r>
      <w:r w:rsidR="00591EB6">
        <w:rPr>
          <w:rFonts w:cs="Arial"/>
          <w:szCs w:val="26"/>
        </w:rPr>
        <w:t>**********</w:t>
      </w:r>
      <w:r w:rsidRPr="00FF4ACC">
        <w:rPr>
          <w:rFonts w:cs="Arial"/>
          <w:szCs w:val="26"/>
        </w:rPr>
        <w:t xml:space="preserve"> y </w:t>
      </w:r>
      <w:r w:rsidR="00591EB6">
        <w:rPr>
          <w:rFonts w:cs="Arial"/>
          <w:szCs w:val="26"/>
        </w:rPr>
        <w:t>**********</w:t>
      </w:r>
      <w:r w:rsidR="00281E62">
        <w:rPr>
          <w:rFonts w:cs="Arial"/>
          <w:szCs w:val="26"/>
        </w:rPr>
        <w:t>, el pago de una cantidad de dinero</w:t>
      </w:r>
      <w:r w:rsidRPr="00FF4ACC">
        <w:rPr>
          <w:rFonts w:cs="Arial"/>
          <w:szCs w:val="26"/>
        </w:rPr>
        <w:t>.</w:t>
      </w:r>
      <w:r w:rsidR="00F03CB3">
        <w:rPr>
          <w:rFonts w:cs="Arial"/>
          <w:szCs w:val="26"/>
        </w:rPr>
        <w:t xml:space="preserve"> </w:t>
      </w:r>
      <w:r w:rsidRPr="00F03CB3">
        <w:rPr>
          <w:rFonts w:cs="Arial"/>
          <w:szCs w:val="26"/>
        </w:rPr>
        <w:t xml:space="preserve">Durante la tramitación de dicho juicio se embargó </w:t>
      </w:r>
      <w:r w:rsidR="00CF7535" w:rsidRPr="00F03CB3">
        <w:rPr>
          <w:rFonts w:cs="Arial"/>
          <w:szCs w:val="26"/>
        </w:rPr>
        <w:t>un</w:t>
      </w:r>
      <w:r w:rsidRPr="00F03CB3">
        <w:rPr>
          <w:rFonts w:cs="Arial"/>
          <w:szCs w:val="26"/>
        </w:rPr>
        <w:t xml:space="preserve"> inmueble </w:t>
      </w:r>
      <w:r w:rsidR="004958CB">
        <w:rPr>
          <w:rFonts w:cs="Arial"/>
          <w:szCs w:val="26"/>
        </w:rPr>
        <w:t>ubicado</w:t>
      </w:r>
      <w:r w:rsidRPr="00F03CB3">
        <w:rPr>
          <w:rFonts w:cs="Arial"/>
          <w:szCs w:val="26"/>
        </w:rPr>
        <w:t xml:space="preserve"> en Santa María Zaachila, Oaxaca.</w:t>
      </w:r>
    </w:p>
    <w:p w14:paraId="3C297358" w14:textId="77777777" w:rsidR="002477AB" w:rsidRDefault="002477AB" w:rsidP="002477AB">
      <w:pPr>
        <w:pStyle w:val="Prrafodelista"/>
        <w:spacing w:line="360" w:lineRule="auto"/>
        <w:ind w:left="0"/>
        <w:rPr>
          <w:rFonts w:cs="Arial"/>
          <w:szCs w:val="26"/>
        </w:rPr>
      </w:pPr>
    </w:p>
    <w:p w14:paraId="2EB1F1EB" w14:textId="30686FFC" w:rsidR="00890D3F" w:rsidRDefault="00761323" w:rsidP="00890D3F">
      <w:pPr>
        <w:pStyle w:val="Prrafodelista"/>
        <w:numPr>
          <w:ilvl w:val="0"/>
          <w:numId w:val="2"/>
        </w:numPr>
        <w:spacing w:line="360" w:lineRule="auto"/>
        <w:ind w:left="0" w:hanging="284"/>
        <w:rPr>
          <w:rFonts w:cs="Arial"/>
          <w:szCs w:val="26"/>
        </w:rPr>
      </w:pPr>
      <w:r w:rsidRPr="002477AB">
        <w:rPr>
          <w:rFonts w:cs="Arial"/>
          <w:szCs w:val="26"/>
        </w:rPr>
        <w:lastRenderedPageBreak/>
        <w:t xml:space="preserve">En auto de diez de marzo de dos mil ocho, el </w:t>
      </w:r>
      <w:r w:rsidR="0016107D">
        <w:rPr>
          <w:rFonts w:cs="Arial"/>
          <w:szCs w:val="26"/>
        </w:rPr>
        <w:t>J</w:t>
      </w:r>
      <w:r w:rsidRPr="002477AB">
        <w:rPr>
          <w:rFonts w:cs="Arial"/>
          <w:szCs w:val="26"/>
        </w:rPr>
        <w:t xml:space="preserve">uez responsable advirtió el derecho que ostenta </w:t>
      </w:r>
      <w:r w:rsidR="00591EB6">
        <w:rPr>
          <w:rFonts w:cs="Arial"/>
          <w:szCs w:val="26"/>
        </w:rPr>
        <w:t xml:space="preserve">********** </w:t>
      </w:r>
      <w:r w:rsidRPr="002477AB">
        <w:rPr>
          <w:rFonts w:cs="Arial"/>
          <w:szCs w:val="26"/>
        </w:rPr>
        <w:t xml:space="preserve">sobre </w:t>
      </w:r>
      <w:r w:rsidR="004958CB">
        <w:rPr>
          <w:rFonts w:cs="Arial"/>
          <w:szCs w:val="26"/>
        </w:rPr>
        <w:t>el</w:t>
      </w:r>
      <w:r w:rsidRPr="002477AB">
        <w:rPr>
          <w:rFonts w:cs="Arial"/>
          <w:szCs w:val="26"/>
        </w:rPr>
        <w:t xml:space="preserve"> inmueble </w:t>
      </w:r>
      <w:r w:rsidR="004958CB">
        <w:rPr>
          <w:rFonts w:cs="Arial"/>
          <w:szCs w:val="26"/>
        </w:rPr>
        <w:t xml:space="preserve">embargado </w:t>
      </w:r>
      <w:r w:rsidRPr="002477AB">
        <w:rPr>
          <w:rFonts w:cs="Arial"/>
          <w:szCs w:val="26"/>
        </w:rPr>
        <w:t xml:space="preserve">y ordenó requerirlo para que dentro del plazo de tres días compareciera a defender sus intereses. </w:t>
      </w:r>
    </w:p>
    <w:p w14:paraId="6C768133" w14:textId="77777777" w:rsidR="00890D3F" w:rsidRDefault="00890D3F" w:rsidP="00890D3F">
      <w:pPr>
        <w:pStyle w:val="Prrafodelista"/>
        <w:spacing w:line="360" w:lineRule="auto"/>
        <w:ind w:left="0"/>
        <w:rPr>
          <w:rFonts w:cs="Arial"/>
          <w:szCs w:val="26"/>
        </w:rPr>
      </w:pPr>
    </w:p>
    <w:p w14:paraId="1B6E76ED" w14:textId="69E28BCE" w:rsidR="002329BB" w:rsidRDefault="00761323" w:rsidP="002329BB">
      <w:pPr>
        <w:pStyle w:val="Prrafodelista"/>
        <w:numPr>
          <w:ilvl w:val="0"/>
          <w:numId w:val="2"/>
        </w:numPr>
        <w:spacing w:line="360" w:lineRule="auto"/>
        <w:ind w:left="0" w:hanging="284"/>
        <w:rPr>
          <w:rFonts w:cs="Arial"/>
          <w:szCs w:val="26"/>
        </w:rPr>
      </w:pPr>
      <w:r w:rsidRPr="00890D3F">
        <w:rPr>
          <w:rFonts w:cs="Arial"/>
          <w:szCs w:val="26"/>
        </w:rPr>
        <w:t xml:space="preserve">Mediante acuerdo de veintisiete de mayo de dos mil ocho, se tuvo a </w:t>
      </w:r>
      <w:r w:rsidR="00591EB6">
        <w:rPr>
          <w:rFonts w:cs="Arial"/>
          <w:szCs w:val="26"/>
        </w:rPr>
        <w:t>**********</w:t>
      </w:r>
      <w:r w:rsidRPr="00890D3F">
        <w:rPr>
          <w:rFonts w:cs="Arial"/>
          <w:szCs w:val="26"/>
        </w:rPr>
        <w:t xml:space="preserve">, contestando la vista otorgada y manifestando que no tenía el carácter de causahabiente sino de tercero extraño con motivo de la compraventa que celebró con </w:t>
      </w:r>
      <w:r w:rsidR="00331802">
        <w:rPr>
          <w:rFonts w:cs="Arial"/>
          <w:szCs w:val="26"/>
        </w:rPr>
        <w:t xml:space="preserve">********** </w:t>
      </w:r>
      <w:r w:rsidRPr="00890D3F">
        <w:rPr>
          <w:rFonts w:cs="Arial"/>
          <w:szCs w:val="26"/>
        </w:rPr>
        <w:t xml:space="preserve">el veinticinco de septiembre de dos mil tres, ante la fe del Notario Público Número 53 del Estado de Oaxaca, en relación con el inmueble objeto del juicio mercantil. </w:t>
      </w:r>
    </w:p>
    <w:p w14:paraId="1F71E12C" w14:textId="77777777" w:rsidR="00836475" w:rsidRDefault="00836475" w:rsidP="00836475">
      <w:pPr>
        <w:pStyle w:val="Prrafodelista"/>
        <w:spacing w:line="360" w:lineRule="auto"/>
        <w:ind w:left="0"/>
        <w:rPr>
          <w:rFonts w:cs="Arial"/>
          <w:szCs w:val="26"/>
        </w:rPr>
      </w:pPr>
    </w:p>
    <w:p w14:paraId="2173FBB3" w14:textId="0E506331" w:rsidR="00761323" w:rsidRDefault="00761323" w:rsidP="002329BB">
      <w:pPr>
        <w:pStyle w:val="Prrafodelista"/>
        <w:numPr>
          <w:ilvl w:val="0"/>
          <w:numId w:val="2"/>
        </w:numPr>
        <w:spacing w:line="360" w:lineRule="auto"/>
        <w:ind w:left="0" w:hanging="284"/>
        <w:rPr>
          <w:rFonts w:cs="Arial"/>
          <w:szCs w:val="26"/>
        </w:rPr>
      </w:pPr>
      <w:r w:rsidRPr="002329BB">
        <w:rPr>
          <w:rFonts w:cs="Arial"/>
          <w:szCs w:val="26"/>
        </w:rPr>
        <w:t xml:space="preserve">Posteriormente, el tres de diciembre de dos mil quince se notificó a </w:t>
      </w:r>
      <w:r w:rsidR="00331802">
        <w:rPr>
          <w:rFonts w:cs="Arial"/>
          <w:szCs w:val="26"/>
        </w:rPr>
        <w:t xml:space="preserve">********** </w:t>
      </w:r>
      <w:r w:rsidRPr="002329BB">
        <w:rPr>
          <w:rFonts w:cs="Arial"/>
          <w:szCs w:val="26"/>
        </w:rPr>
        <w:t xml:space="preserve">el acuerdo de dieciocho de noviembre de dos mil quince, en que se señaló fecha y hora para el remate del bien embargado. </w:t>
      </w:r>
    </w:p>
    <w:p w14:paraId="6515E989" w14:textId="77777777" w:rsidR="001A240D" w:rsidRDefault="001A240D" w:rsidP="001A240D">
      <w:pPr>
        <w:pStyle w:val="Prrafodelista"/>
        <w:spacing w:line="360" w:lineRule="auto"/>
        <w:ind w:left="0"/>
        <w:rPr>
          <w:rFonts w:cs="Arial"/>
          <w:szCs w:val="26"/>
        </w:rPr>
      </w:pPr>
    </w:p>
    <w:p w14:paraId="0436F411" w14:textId="4458B8CA" w:rsidR="00761323" w:rsidRDefault="00761323" w:rsidP="005D7B29">
      <w:pPr>
        <w:pStyle w:val="Prrafodelista"/>
        <w:numPr>
          <w:ilvl w:val="0"/>
          <w:numId w:val="2"/>
        </w:numPr>
        <w:spacing w:line="360" w:lineRule="auto"/>
        <w:ind w:left="0" w:hanging="284"/>
        <w:rPr>
          <w:rFonts w:cs="Arial"/>
          <w:szCs w:val="26"/>
        </w:rPr>
      </w:pPr>
      <w:r w:rsidRPr="005D7B29">
        <w:rPr>
          <w:rFonts w:cs="Arial"/>
          <w:szCs w:val="26"/>
        </w:rPr>
        <w:t xml:space="preserve">Al conocer lo anterior, </w:t>
      </w:r>
      <w:r w:rsidR="00331802">
        <w:rPr>
          <w:rFonts w:cs="Arial"/>
          <w:szCs w:val="26"/>
        </w:rPr>
        <w:t>**********</w:t>
      </w:r>
      <w:r w:rsidRPr="005D7B29">
        <w:rPr>
          <w:rFonts w:cs="Arial"/>
          <w:szCs w:val="26"/>
        </w:rPr>
        <w:t>, promovió incidente de nulidad de actuaciones mediante escrito presentado el catorce de diciembre de dos mil quince, ante la falta de notificación de todos y cada uno de los acuerdos y actuaciones judiciales dictados en el juicio</w:t>
      </w:r>
      <w:r w:rsidR="0084298C">
        <w:rPr>
          <w:rFonts w:cs="Arial"/>
          <w:szCs w:val="26"/>
        </w:rPr>
        <w:t xml:space="preserve"> ejecutivo</w:t>
      </w:r>
      <w:r w:rsidRPr="005D7B29">
        <w:rPr>
          <w:rFonts w:cs="Arial"/>
          <w:szCs w:val="26"/>
        </w:rPr>
        <w:t xml:space="preserve"> mercantil </w:t>
      </w:r>
      <w:r w:rsidR="00331802">
        <w:rPr>
          <w:rFonts w:cs="Arial"/>
          <w:szCs w:val="26"/>
        </w:rPr>
        <w:t>**********</w:t>
      </w:r>
      <w:r w:rsidRPr="005D7B29">
        <w:rPr>
          <w:rFonts w:cs="Arial"/>
          <w:szCs w:val="26"/>
        </w:rPr>
        <w:t xml:space="preserve">, </w:t>
      </w:r>
      <w:r w:rsidR="00393703" w:rsidRPr="00393703">
        <w:rPr>
          <w:rFonts w:cs="Arial"/>
          <w:szCs w:val="26"/>
        </w:rPr>
        <w:t>del índice del Juzgado Séptimo Civil del distrito judicial del Centro del Estado de Oaxaca</w:t>
      </w:r>
      <w:r w:rsidR="00EB453E">
        <w:rPr>
          <w:rFonts w:cs="Arial"/>
          <w:szCs w:val="26"/>
        </w:rPr>
        <w:t>,</w:t>
      </w:r>
      <w:r w:rsidR="00393703" w:rsidRPr="00393703">
        <w:rPr>
          <w:rFonts w:cs="Arial"/>
          <w:szCs w:val="26"/>
        </w:rPr>
        <w:t xml:space="preserve"> </w:t>
      </w:r>
      <w:r w:rsidRPr="005D7B29">
        <w:rPr>
          <w:rFonts w:cs="Arial"/>
          <w:szCs w:val="26"/>
        </w:rPr>
        <w:t xml:space="preserve">a partir de la notificación que se le practicó el dos de julio de dos mil ocho, en que se le notificó la vista de veintisiete de mayo del mismo año. </w:t>
      </w:r>
    </w:p>
    <w:p w14:paraId="654747A8" w14:textId="77777777" w:rsidR="003D1BFE" w:rsidRDefault="003D1BFE" w:rsidP="003D1BFE">
      <w:pPr>
        <w:pStyle w:val="Prrafodelista"/>
        <w:spacing w:line="360" w:lineRule="auto"/>
        <w:ind w:left="0"/>
        <w:rPr>
          <w:rFonts w:cs="Arial"/>
          <w:szCs w:val="26"/>
        </w:rPr>
      </w:pPr>
    </w:p>
    <w:p w14:paraId="4ACD198F" w14:textId="2B8461D9" w:rsidR="00A76DC4" w:rsidRDefault="00C07BFF" w:rsidP="00A75419">
      <w:pPr>
        <w:pStyle w:val="Prrafodelista"/>
        <w:numPr>
          <w:ilvl w:val="0"/>
          <w:numId w:val="2"/>
        </w:numPr>
        <w:spacing w:line="360" w:lineRule="auto"/>
        <w:ind w:left="0" w:hanging="284"/>
        <w:rPr>
          <w:rFonts w:cs="Arial"/>
          <w:szCs w:val="26"/>
        </w:rPr>
      </w:pPr>
      <w:r w:rsidRPr="00A75419">
        <w:rPr>
          <w:rFonts w:cs="Arial"/>
          <w:szCs w:val="26"/>
        </w:rPr>
        <w:t>M</w:t>
      </w:r>
      <w:r w:rsidR="00761323" w:rsidRPr="00A75419">
        <w:rPr>
          <w:rFonts w:cs="Arial"/>
          <w:szCs w:val="26"/>
        </w:rPr>
        <w:t xml:space="preserve">ediante acuerdo de trece de enero de dos mil dieciséis, se ordenó el trámite del incidente de nulidad; sin embargo, tal determinación fue recurrida por </w:t>
      </w:r>
      <w:r w:rsidR="00331802">
        <w:rPr>
          <w:rFonts w:cs="Arial"/>
          <w:szCs w:val="26"/>
        </w:rPr>
        <w:t>**********</w:t>
      </w:r>
      <w:r w:rsidR="00761323" w:rsidRPr="00A75419">
        <w:rPr>
          <w:rFonts w:cs="Arial"/>
          <w:szCs w:val="26"/>
        </w:rPr>
        <w:t xml:space="preserve"> (parte actora en el juicio), a través de la interposición del recurso de revocación, el cual resultó fundado mediante interlocutoria dictada </w:t>
      </w:r>
      <w:r w:rsidR="009B22FD">
        <w:rPr>
          <w:rFonts w:cs="Arial"/>
          <w:szCs w:val="26"/>
        </w:rPr>
        <w:t>el</w:t>
      </w:r>
      <w:r w:rsidR="00761323" w:rsidRPr="00A75419">
        <w:rPr>
          <w:rFonts w:cs="Arial"/>
          <w:szCs w:val="26"/>
        </w:rPr>
        <w:t xml:space="preserve"> veintiocho de abril del dos mil diecisiete, al considerar que la presentación del incidente de nulidad se había realizado de forma extemporánea; de ahí que lo procedente fuera su </w:t>
      </w:r>
      <w:proofErr w:type="spellStart"/>
      <w:r w:rsidR="00761323" w:rsidRPr="00A75419">
        <w:rPr>
          <w:rFonts w:cs="Arial"/>
          <w:szCs w:val="26"/>
        </w:rPr>
        <w:t>desechamiento</w:t>
      </w:r>
      <w:proofErr w:type="spellEnd"/>
      <w:r w:rsidR="00761323" w:rsidRPr="00A75419">
        <w:rPr>
          <w:rFonts w:cs="Arial"/>
          <w:szCs w:val="26"/>
        </w:rPr>
        <w:t>.</w:t>
      </w:r>
    </w:p>
    <w:p w14:paraId="6EFF1E89" w14:textId="77777777" w:rsidR="00AD7664" w:rsidRPr="00A75419" w:rsidRDefault="00AD7664" w:rsidP="00AD7664">
      <w:pPr>
        <w:pStyle w:val="Prrafodelista"/>
        <w:spacing w:line="360" w:lineRule="auto"/>
        <w:ind w:left="0"/>
        <w:rPr>
          <w:rFonts w:cs="Arial"/>
          <w:szCs w:val="26"/>
        </w:rPr>
      </w:pPr>
    </w:p>
    <w:p w14:paraId="6039C861" w14:textId="6625273B" w:rsidR="00BC636F" w:rsidRDefault="00ED5154" w:rsidP="0075622E">
      <w:pPr>
        <w:pStyle w:val="Prrafodelista"/>
        <w:numPr>
          <w:ilvl w:val="0"/>
          <w:numId w:val="2"/>
        </w:numPr>
        <w:spacing w:line="360" w:lineRule="auto"/>
        <w:ind w:left="0" w:hanging="284"/>
        <w:rPr>
          <w:rFonts w:cs="Arial"/>
          <w:szCs w:val="26"/>
        </w:rPr>
      </w:pPr>
      <w:r w:rsidRPr="002D7043">
        <w:rPr>
          <w:rFonts w:cs="Arial"/>
          <w:b/>
          <w:bCs/>
          <w:szCs w:val="26"/>
        </w:rPr>
        <w:t xml:space="preserve">Juicio de amparo indirecto. </w:t>
      </w:r>
      <w:r w:rsidR="0075622E" w:rsidRPr="0075622E">
        <w:rPr>
          <w:rFonts w:cs="Arial"/>
          <w:szCs w:val="26"/>
        </w:rPr>
        <w:t xml:space="preserve">En contra de la </w:t>
      </w:r>
      <w:r w:rsidR="00B96C1E">
        <w:rPr>
          <w:rFonts w:cs="Arial"/>
          <w:szCs w:val="26"/>
        </w:rPr>
        <w:t xml:space="preserve">anterior </w:t>
      </w:r>
      <w:r w:rsidR="0075622E" w:rsidRPr="0075622E">
        <w:rPr>
          <w:rFonts w:cs="Arial"/>
          <w:szCs w:val="26"/>
        </w:rPr>
        <w:t>resolución</w:t>
      </w:r>
      <w:r w:rsidR="00B96C1E">
        <w:rPr>
          <w:rFonts w:cs="Arial"/>
          <w:szCs w:val="26"/>
        </w:rPr>
        <w:t>,</w:t>
      </w:r>
      <w:r w:rsidR="0075622E" w:rsidRPr="0075622E">
        <w:rPr>
          <w:rFonts w:cs="Arial"/>
          <w:szCs w:val="26"/>
        </w:rPr>
        <w:t xml:space="preserve"> </w:t>
      </w:r>
      <w:r w:rsidR="00331802">
        <w:rPr>
          <w:rFonts w:cs="Arial"/>
          <w:szCs w:val="26"/>
        </w:rPr>
        <w:t>**********</w:t>
      </w:r>
      <w:r w:rsidR="0075622E" w:rsidRPr="0075622E">
        <w:rPr>
          <w:rFonts w:cs="Arial"/>
          <w:szCs w:val="26"/>
        </w:rPr>
        <w:t xml:space="preserve">, por su propio derecho, promovió juicio de amparo indirecto. De la demanda </w:t>
      </w:r>
      <w:r w:rsidR="0075622E" w:rsidRPr="0075622E">
        <w:rPr>
          <w:rFonts w:cs="Arial"/>
          <w:szCs w:val="26"/>
        </w:rPr>
        <w:lastRenderedPageBreak/>
        <w:t xml:space="preserve">correspondió conocer al Juez Quinto de Distrito en el Estado de Oaxaca, bajo el número </w:t>
      </w:r>
      <w:r w:rsidR="00331802">
        <w:rPr>
          <w:rFonts w:cs="Arial"/>
          <w:szCs w:val="26"/>
        </w:rPr>
        <w:t>**********</w:t>
      </w:r>
      <w:r w:rsidR="0075622E" w:rsidRPr="0075622E">
        <w:rPr>
          <w:rFonts w:cs="Arial"/>
          <w:szCs w:val="26"/>
        </w:rPr>
        <w:t xml:space="preserve">, mismo que, </w:t>
      </w:r>
      <w:r w:rsidR="000C3A3E">
        <w:rPr>
          <w:rFonts w:cs="Arial"/>
          <w:szCs w:val="26"/>
        </w:rPr>
        <w:t xml:space="preserve">bajo acuerdo de veintitrés de junio de dos mil diecisiete, la desechó. </w:t>
      </w:r>
    </w:p>
    <w:p w14:paraId="59B7876B" w14:textId="77777777" w:rsidR="005E300C" w:rsidRDefault="005E300C" w:rsidP="005E300C">
      <w:pPr>
        <w:pStyle w:val="Prrafodelista"/>
        <w:spacing w:line="360" w:lineRule="auto"/>
        <w:ind w:left="0"/>
        <w:rPr>
          <w:rFonts w:cs="Arial"/>
          <w:szCs w:val="26"/>
        </w:rPr>
      </w:pPr>
    </w:p>
    <w:p w14:paraId="456078A7" w14:textId="7A5EBD9B" w:rsidR="00F21959" w:rsidRDefault="005E300C" w:rsidP="0074045C">
      <w:pPr>
        <w:pStyle w:val="Prrafodelista"/>
        <w:numPr>
          <w:ilvl w:val="0"/>
          <w:numId w:val="2"/>
        </w:numPr>
        <w:spacing w:line="360" w:lineRule="auto"/>
        <w:ind w:left="0" w:hanging="284"/>
        <w:rPr>
          <w:rFonts w:cs="Arial"/>
          <w:szCs w:val="26"/>
        </w:rPr>
      </w:pPr>
      <w:r w:rsidRPr="005E300C">
        <w:rPr>
          <w:rFonts w:cs="Arial"/>
          <w:b/>
          <w:bCs/>
          <w:szCs w:val="26"/>
        </w:rPr>
        <w:t xml:space="preserve">Recurso de queja </w:t>
      </w:r>
      <w:r w:rsidR="00331802">
        <w:rPr>
          <w:rFonts w:cs="Arial"/>
          <w:szCs w:val="26"/>
        </w:rPr>
        <w:t>**********</w:t>
      </w:r>
      <w:r w:rsidRPr="005E300C">
        <w:rPr>
          <w:rFonts w:cs="Arial"/>
          <w:b/>
          <w:bCs/>
          <w:szCs w:val="26"/>
        </w:rPr>
        <w:t>.</w:t>
      </w:r>
      <w:r w:rsidRPr="005E300C">
        <w:rPr>
          <w:rFonts w:cs="Arial"/>
          <w:szCs w:val="26"/>
        </w:rPr>
        <w:t xml:space="preserve"> En contra de la determinación anterior, la parte quejosa interpuso recurso de queja, el cual fue conocido por el entonces Tribunal Colegiado en Materias Civil y Administrativa del Décimo Tercer Circuito (ahora Primer Tribunal Colegiado en Materias Civil y Administrativa del Décimo Tercer Circuito). </w:t>
      </w:r>
    </w:p>
    <w:p w14:paraId="21018373" w14:textId="77777777" w:rsidR="00F21959" w:rsidRPr="00F21959" w:rsidRDefault="00F21959" w:rsidP="00F21959">
      <w:pPr>
        <w:pStyle w:val="Prrafodelista"/>
        <w:rPr>
          <w:rFonts w:cs="Arial"/>
          <w:szCs w:val="26"/>
        </w:rPr>
      </w:pPr>
    </w:p>
    <w:p w14:paraId="585AB645" w14:textId="63002660" w:rsidR="0074045C" w:rsidRPr="0074045C" w:rsidRDefault="005E300C" w:rsidP="0074045C">
      <w:pPr>
        <w:pStyle w:val="Prrafodelista"/>
        <w:numPr>
          <w:ilvl w:val="0"/>
          <w:numId w:val="2"/>
        </w:numPr>
        <w:spacing w:line="360" w:lineRule="auto"/>
        <w:ind w:left="0" w:hanging="284"/>
        <w:rPr>
          <w:rFonts w:cs="Arial"/>
          <w:szCs w:val="26"/>
        </w:rPr>
      </w:pPr>
      <w:r w:rsidRPr="005E300C">
        <w:rPr>
          <w:rFonts w:cs="Arial"/>
          <w:szCs w:val="26"/>
        </w:rPr>
        <w:t xml:space="preserve">En sesión de veintisiete de octubre de dos mil diecisiete, el </w:t>
      </w:r>
      <w:r w:rsidR="00281D7F">
        <w:rPr>
          <w:rFonts w:cs="Arial"/>
          <w:szCs w:val="26"/>
        </w:rPr>
        <w:t>T</w:t>
      </w:r>
      <w:r w:rsidRPr="005E300C">
        <w:rPr>
          <w:rFonts w:cs="Arial"/>
          <w:szCs w:val="26"/>
        </w:rPr>
        <w:t xml:space="preserve">ribunal </w:t>
      </w:r>
      <w:r w:rsidR="005F1815">
        <w:rPr>
          <w:rFonts w:cs="Arial"/>
          <w:szCs w:val="26"/>
        </w:rPr>
        <w:t xml:space="preserve">emitió resolución y </w:t>
      </w:r>
      <w:r w:rsidRPr="005E300C">
        <w:rPr>
          <w:rFonts w:cs="Arial"/>
          <w:szCs w:val="26"/>
        </w:rPr>
        <w:t xml:space="preserve">revocó el acuerdo de </w:t>
      </w:r>
      <w:proofErr w:type="spellStart"/>
      <w:r w:rsidRPr="005E300C">
        <w:rPr>
          <w:rFonts w:cs="Arial"/>
          <w:szCs w:val="26"/>
        </w:rPr>
        <w:t>desechamiento</w:t>
      </w:r>
      <w:proofErr w:type="spellEnd"/>
      <w:r w:rsidRPr="005E300C">
        <w:rPr>
          <w:rFonts w:cs="Arial"/>
          <w:szCs w:val="26"/>
        </w:rPr>
        <w:t xml:space="preserve"> impugnado</w:t>
      </w:r>
      <w:r w:rsidR="00436C62">
        <w:rPr>
          <w:rFonts w:cs="Arial"/>
          <w:szCs w:val="26"/>
        </w:rPr>
        <w:t xml:space="preserve">, </w:t>
      </w:r>
      <w:r w:rsidR="0074045C">
        <w:rPr>
          <w:rFonts w:cs="Arial"/>
          <w:szCs w:val="26"/>
        </w:rPr>
        <w:t xml:space="preserve">por lo que ordenó al Juez de Distrito, proveer lo </w:t>
      </w:r>
      <w:r w:rsidR="0074045C" w:rsidRPr="0074045C">
        <w:rPr>
          <w:rFonts w:cs="Arial"/>
          <w:szCs w:val="26"/>
        </w:rPr>
        <w:t xml:space="preserve">conducente en relación con la demanda de amparo presentada por </w:t>
      </w:r>
      <w:r w:rsidR="00DE03EC" w:rsidRPr="0074045C">
        <w:rPr>
          <w:rFonts w:cs="Arial"/>
          <w:szCs w:val="26"/>
        </w:rPr>
        <w:t>el quejoso</w:t>
      </w:r>
      <w:r w:rsidR="0074045C" w:rsidRPr="0074045C">
        <w:rPr>
          <w:rFonts w:cs="Arial"/>
          <w:szCs w:val="26"/>
        </w:rPr>
        <w:t>, en términos de lo dispuesto por los artículos 112 a 115 de la Ley de Amparo.</w:t>
      </w:r>
    </w:p>
    <w:p w14:paraId="66EAA872" w14:textId="77777777" w:rsidR="004F2AA1" w:rsidRPr="005E300C" w:rsidRDefault="004F2AA1" w:rsidP="004F2AA1">
      <w:pPr>
        <w:pStyle w:val="Prrafodelista"/>
        <w:spacing w:line="360" w:lineRule="auto"/>
        <w:ind w:left="0"/>
        <w:rPr>
          <w:rFonts w:cs="Arial"/>
          <w:szCs w:val="26"/>
        </w:rPr>
      </w:pPr>
    </w:p>
    <w:p w14:paraId="6810C0C9" w14:textId="647AB188" w:rsidR="003A5CE8" w:rsidRPr="00FC0085" w:rsidRDefault="004F2AA1" w:rsidP="00FC0085">
      <w:pPr>
        <w:pStyle w:val="Prrafodelista"/>
        <w:numPr>
          <w:ilvl w:val="0"/>
          <w:numId w:val="2"/>
        </w:numPr>
        <w:spacing w:line="360" w:lineRule="auto"/>
        <w:ind w:left="0" w:hanging="426"/>
        <w:rPr>
          <w:rFonts w:cs="Arial"/>
          <w:szCs w:val="26"/>
        </w:rPr>
      </w:pPr>
      <w:r w:rsidRPr="00FC0085">
        <w:rPr>
          <w:rFonts w:cs="Arial"/>
          <w:b/>
          <w:bCs/>
          <w:szCs w:val="26"/>
        </w:rPr>
        <w:t>Admisión de la demanda de amparo.</w:t>
      </w:r>
      <w:r>
        <w:rPr>
          <w:rFonts w:cs="Arial"/>
          <w:szCs w:val="26"/>
        </w:rPr>
        <w:t xml:space="preserve"> </w:t>
      </w:r>
      <w:r w:rsidR="00300F1F">
        <w:rPr>
          <w:rFonts w:cs="Arial"/>
          <w:szCs w:val="26"/>
        </w:rPr>
        <w:t>Derivado de</w:t>
      </w:r>
      <w:r>
        <w:rPr>
          <w:rFonts w:cs="Arial"/>
          <w:szCs w:val="26"/>
        </w:rPr>
        <w:t xml:space="preserve"> lo anterior, </w:t>
      </w:r>
      <w:r w:rsidR="00FC0085">
        <w:rPr>
          <w:rFonts w:cs="Arial"/>
          <w:szCs w:val="26"/>
        </w:rPr>
        <w:t xml:space="preserve">el Juez de Distrito admitió la demanda y </w:t>
      </w:r>
      <w:r w:rsidR="0075622E" w:rsidRPr="00FC0085">
        <w:rPr>
          <w:rFonts w:cs="Arial"/>
          <w:szCs w:val="26"/>
        </w:rPr>
        <w:t>una vez substanciado el juicio, dictó sentencia el veintisiete de octubre de dos mil veinte, en el sentido de conceder el amparo</w:t>
      </w:r>
      <w:r w:rsidR="00A6433B" w:rsidRPr="00FC0085">
        <w:rPr>
          <w:rFonts w:cs="Arial"/>
          <w:szCs w:val="26"/>
        </w:rPr>
        <w:t xml:space="preserve">, para los efectos siguientes: </w:t>
      </w:r>
    </w:p>
    <w:p w14:paraId="6E1E9B8F" w14:textId="2742B01E" w:rsidR="00A6433B" w:rsidRDefault="00A6433B" w:rsidP="00A6433B">
      <w:pPr>
        <w:pStyle w:val="Prrafodelista"/>
        <w:spacing w:line="360" w:lineRule="auto"/>
        <w:ind w:left="0"/>
        <w:rPr>
          <w:rFonts w:cs="Arial"/>
          <w:b/>
          <w:bCs/>
          <w:szCs w:val="26"/>
        </w:rPr>
      </w:pPr>
    </w:p>
    <w:p w14:paraId="671DFAC3" w14:textId="2D50488A" w:rsidR="00A6433B" w:rsidRDefault="00A6433B" w:rsidP="00F7512F">
      <w:pPr>
        <w:pStyle w:val="Prrafodelista"/>
        <w:numPr>
          <w:ilvl w:val="0"/>
          <w:numId w:val="21"/>
        </w:numPr>
        <w:spacing w:line="360" w:lineRule="auto"/>
        <w:rPr>
          <w:rFonts w:cs="Arial"/>
          <w:szCs w:val="26"/>
        </w:rPr>
      </w:pPr>
      <w:r w:rsidRPr="00F7512F">
        <w:rPr>
          <w:rFonts w:cs="Arial"/>
          <w:szCs w:val="26"/>
        </w:rPr>
        <w:t>Dej</w:t>
      </w:r>
      <w:r w:rsidR="00052DA4" w:rsidRPr="00F7512F">
        <w:rPr>
          <w:rFonts w:cs="Arial"/>
          <w:szCs w:val="26"/>
        </w:rPr>
        <w:t>ar</w:t>
      </w:r>
      <w:r w:rsidRPr="00F7512F">
        <w:rPr>
          <w:rFonts w:cs="Arial"/>
          <w:szCs w:val="26"/>
        </w:rPr>
        <w:t xml:space="preserve"> sin efectos la interlocutoria de veintiocho de abril de dos mil diecisiete.</w:t>
      </w:r>
    </w:p>
    <w:p w14:paraId="065E5C47" w14:textId="2470E150" w:rsidR="002D7043" w:rsidRPr="00F7512F" w:rsidRDefault="00A6433B" w:rsidP="00F7512F">
      <w:pPr>
        <w:pStyle w:val="Prrafodelista"/>
        <w:numPr>
          <w:ilvl w:val="0"/>
          <w:numId w:val="21"/>
        </w:numPr>
        <w:spacing w:line="360" w:lineRule="auto"/>
        <w:rPr>
          <w:rFonts w:cs="Arial"/>
          <w:szCs w:val="26"/>
        </w:rPr>
      </w:pPr>
      <w:r w:rsidRPr="00F7512F">
        <w:rPr>
          <w:rFonts w:cs="Arial"/>
          <w:szCs w:val="26"/>
        </w:rPr>
        <w:t>Emit</w:t>
      </w:r>
      <w:r w:rsidR="00052DA4" w:rsidRPr="00F7512F">
        <w:rPr>
          <w:rFonts w:cs="Arial"/>
          <w:szCs w:val="26"/>
        </w:rPr>
        <w:t>ir una</w:t>
      </w:r>
      <w:r w:rsidRPr="00F7512F">
        <w:rPr>
          <w:rFonts w:cs="Arial"/>
          <w:szCs w:val="26"/>
        </w:rPr>
        <w:t xml:space="preserve"> nueva determinación en donde resuelva el fondo del asunto con plenitud de jurisdicción, partiendo de la base de que el incidente de nulidad de actuaciones debe tramitarse conforme a lo que al efecto dispone el artículo 74 del Código de Procedimientos Civiles para el Estado de Oaxaca, que contempla su promoción en la actuación subsecuente en la que intervenga la parte que lo promueve.</w:t>
      </w:r>
      <w:r w:rsidRPr="00F7512F">
        <w:rPr>
          <w:rFonts w:cs="Arial"/>
          <w:szCs w:val="26"/>
        </w:rPr>
        <w:cr/>
      </w:r>
    </w:p>
    <w:p w14:paraId="14E5C555" w14:textId="6513D3F1" w:rsidR="0064526F" w:rsidRDefault="004114DA" w:rsidP="00FC0085">
      <w:pPr>
        <w:pStyle w:val="Prrafodelista"/>
        <w:numPr>
          <w:ilvl w:val="0"/>
          <w:numId w:val="2"/>
        </w:numPr>
        <w:spacing w:line="360" w:lineRule="auto"/>
        <w:ind w:left="0" w:hanging="426"/>
        <w:rPr>
          <w:rFonts w:cs="Arial"/>
          <w:szCs w:val="26"/>
        </w:rPr>
      </w:pPr>
      <w:r w:rsidRPr="0064526F">
        <w:rPr>
          <w:rFonts w:cs="Arial"/>
          <w:b/>
          <w:bCs/>
          <w:szCs w:val="26"/>
        </w:rPr>
        <w:t>Recurso de revisión</w:t>
      </w:r>
      <w:r w:rsidR="001B6DFA">
        <w:rPr>
          <w:rFonts w:cs="Arial"/>
          <w:b/>
          <w:bCs/>
          <w:szCs w:val="26"/>
        </w:rPr>
        <w:t xml:space="preserve"> y solicitud de ejercicio de la facultad de atracción</w:t>
      </w:r>
      <w:r w:rsidRPr="0064526F">
        <w:rPr>
          <w:rFonts w:cs="Arial"/>
          <w:b/>
          <w:bCs/>
          <w:szCs w:val="26"/>
        </w:rPr>
        <w:t>.</w:t>
      </w:r>
      <w:r>
        <w:rPr>
          <w:rFonts w:cs="Arial"/>
          <w:szCs w:val="26"/>
        </w:rPr>
        <w:t xml:space="preserve"> </w:t>
      </w:r>
      <w:r w:rsidR="0064526F" w:rsidRPr="0064526F">
        <w:rPr>
          <w:rFonts w:cs="Arial"/>
          <w:szCs w:val="26"/>
        </w:rPr>
        <w:t xml:space="preserve">Inconforme con la concesión de amparo, </w:t>
      </w:r>
      <w:r w:rsidR="006A1B15">
        <w:rPr>
          <w:rFonts w:cs="Arial"/>
          <w:szCs w:val="26"/>
        </w:rPr>
        <w:t>**********</w:t>
      </w:r>
      <w:r w:rsidR="0064526F" w:rsidRPr="0064526F">
        <w:rPr>
          <w:rFonts w:cs="Arial"/>
          <w:szCs w:val="26"/>
        </w:rPr>
        <w:t xml:space="preserve">, parte </w:t>
      </w:r>
      <w:proofErr w:type="gramStart"/>
      <w:r w:rsidR="0064526F" w:rsidRPr="0064526F">
        <w:rPr>
          <w:rFonts w:cs="Arial"/>
          <w:szCs w:val="26"/>
        </w:rPr>
        <w:t>tercero interesada</w:t>
      </w:r>
      <w:proofErr w:type="gramEnd"/>
      <w:r w:rsidR="00216958">
        <w:rPr>
          <w:rFonts w:cs="Arial"/>
          <w:szCs w:val="26"/>
        </w:rPr>
        <w:t xml:space="preserve"> en el juicio</w:t>
      </w:r>
      <w:r w:rsidR="0064526F" w:rsidRPr="0064526F">
        <w:rPr>
          <w:rFonts w:cs="Arial"/>
          <w:szCs w:val="26"/>
        </w:rPr>
        <w:t>, interpuso recurso de revisión</w:t>
      </w:r>
      <w:r w:rsidR="009D2C47">
        <w:rPr>
          <w:rFonts w:cs="Arial"/>
          <w:szCs w:val="26"/>
        </w:rPr>
        <w:t>,</w:t>
      </w:r>
      <w:r w:rsidR="0064526F" w:rsidRPr="0064526F">
        <w:rPr>
          <w:rFonts w:cs="Arial"/>
          <w:szCs w:val="26"/>
        </w:rPr>
        <w:t xml:space="preserve"> del cual, por razón de turno, correspondió conocer al Primer Tribunal Colegiado en Materias Civil y </w:t>
      </w:r>
      <w:r w:rsidR="0064526F" w:rsidRPr="0064526F">
        <w:rPr>
          <w:rFonts w:cs="Arial"/>
          <w:szCs w:val="26"/>
        </w:rPr>
        <w:lastRenderedPageBreak/>
        <w:t xml:space="preserve">Administrativa del Décimo Tercer Circuito, cuyo Presidente lo admitió a trámite y radicó con el número de expediente </w:t>
      </w:r>
      <w:r w:rsidR="006A1B15">
        <w:rPr>
          <w:rFonts w:cs="Arial"/>
          <w:szCs w:val="26"/>
        </w:rPr>
        <w:t>**********</w:t>
      </w:r>
      <w:r w:rsidR="0064526F" w:rsidRPr="0064526F">
        <w:rPr>
          <w:rFonts w:cs="Arial"/>
          <w:szCs w:val="26"/>
        </w:rPr>
        <w:t xml:space="preserve">. </w:t>
      </w:r>
    </w:p>
    <w:p w14:paraId="3FAEE730" w14:textId="77777777" w:rsidR="002B0F71" w:rsidRPr="0064526F" w:rsidRDefault="002B0F71" w:rsidP="002B0F71">
      <w:pPr>
        <w:pStyle w:val="Prrafodelista"/>
        <w:spacing w:line="360" w:lineRule="auto"/>
        <w:ind w:left="0"/>
        <w:rPr>
          <w:rFonts w:cs="Arial"/>
          <w:szCs w:val="26"/>
        </w:rPr>
      </w:pPr>
    </w:p>
    <w:p w14:paraId="06D6083F" w14:textId="52F89CD0" w:rsidR="008F63C0" w:rsidRPr="00CA3744" w:rsidRDefault="008D5EEB" w:rsidP="00CA3744">
      <w:pPr>
        <w:pStyle w:val="Prrafodelista"/>
        <w:numPr>
          <w:ilvl w:val="0"/>
          <w:numId w:val="2"/>
        </w:numPr>
        <w:spacing w:line="360" w:lineRule="auto"/>
        <w:ind w:left="0" w:hanging="426"/>
        <w:rPr>
          <w:rFonts w:cs="Arial"/>
          <w:szCs w:val="26"/>
        </w:rPr>
      </w:pPr>
      <w:r>
        <w:rPr>
          <w:rFonts w:cs="Arial"/>
          <w:szCs w:val="26"/>
        </w:rPr>
        <w:t>E</w:t>
      </w:r>
      <w:r w:rsidR="00986152">
        <w:rPr>
          <w:rFonts w:cs="Arial"/>
          <w:szCs w:val="26"/>
        </w:rPr>
        <w:t>n el mismo escrito, e</w:t>
      </w:r>
      <w:r w:rsidR="00216958">
        <w:rPr>
          <w:rFonts w:cs="Arial"/>
          <w:szCs w:val="26"/>
        </w:rPr>
        <w:t>l</w:t>
      </w:r>
      <w:r w:rsidR="00986152">
        <w:rPr>
          <w:rFonts w:cs="Arial"/>
          <w:szCs w:val="26"/>
        </w:rPr>
        <w:t xml:space="preserve"> recurrente </w:t>
      </w:r>
      <w:r w:rsidR="00026FFE">
        <w:rPr>
          <w:rFonts w:cs="Arial"/>
          <w:szCs w:val="26"/>
        </w:rPr>
        <w:t xml:space="preserve">solicitó </w:t>
      </w:r>
      <w:r w:rsidR="00A84386">
        <w:rPr>
          <w:rFonts w:cs="Arial"/>
          <w:szCs w:val="26"/>
        </w:rPr>
        <w:t>que esta Suprema Corte de Justicia de la Nación ejerciera la facultad de atracción</w:t>
      </w:r>
      <w:r w:rsidR="00DF4AB1">
        <w:rPr>
          <w:rFonts w:cs="Arial"/>
          <w:szCs w:val="26"/>
        </w:rPr>
        <w:t>, al considerar que el caso re</w:t>
      </w:r>
      <w:r w:rsidR="00644D4A">
        <w:rPr>
          <w:rFonts w:cs="Arial"/>
          <w:szCs w:val="26"/>
        </w:rPr>
        <w:t>úne</w:t>
      </w:r>
      <w:r w:rsidR="00DF4AB1">
        <w:rPr>
          <w:rFonts w:cs="Arial"/>
          <w:szCs w:val="26"/>
        </w:rPr>
        <w:t xml:space="preserve"> ciertos requisitos como la relevancia, novedad y complejidad para tales efectos y emitió sus argumentos en ese sentido. </w:t>
      </w:r>
      <w:r w:rsidR="008F63C0" w:rsidRPr="00CA3744">
        <w:rPr>
          <w:rFonts w:cs="Arial"/>
          <w:szCs w:val="26"/>
        </w:rPr>
        <w:t xml:space="preserve">Por tal motivo, el Tribunal Colegiado ordenó </w:t>
      </w:r>
      <w:r w:rsidR="00CA3744" w:rsidRPr="00CA3744">
        <w:rPr>
          <w:rFonts w:cs="Arial"/>
          <w:szCs w:val="26"/>
        </w:rPr>
        <w:t xml:space="preserve">la remisión del asunto a este Alto Tribunal. </w:t>
      </w:r>
    </w:p>
    <w:p w14:paraId="20319F00" w14:textId="77777777" w:rsidR="00F06618" w:rsidRDefault="00F06618" w:rsidP="00F06618">
      <w:pPr>
        <w:pStyle w:val="Prrafodelista"/>
        <w:spacing w:line="360" w:lineRule="auto"/>
        <w:ind w:left="0"/>
        <w:rPr>
          <w:rFonts w:cs="Arial"/>
          <w:szCs w:val="26"/>
        </w:rPr>
      </w:pPr>
    </w:p>
    <w:p w14:paraId="504651C7" w14:textId="5A77E389" w:rsidR="00873F19" w:rsidRDefault="00896C4E" w:rsidP="00873F19">
      <w:pPr>
        <w:pStyle w:val="Prrafodelista"/>
        <w:numPr>
          <w:ilvl w:val="0"/>
          <w:numId w:val="2"/>
        </w:numPr>
        <w:spacing w:line="360" w:lineRule="auto"/>
        <w:ind w:left="0" w:hanging="426"/>
        <w:rPr>
          <w:rFonts w:cs="Arial"/>
          <w:szCs w:val="26"/>
        </w:rPr>
      </w:pPr>
      <w:r w:rsidRPr="006C6AE7">
        <w:rPr>
          <w:rFonts w:cs="Arial"/>
          <w:b/>
          <w:bCs/>
          <w:szCs w:val="26"/>
        </w:rPr>
        <w:t>Trámite ante este Alto Tribunal</w:t>
      </w:r>
      <w:r w:rsidR="007F6068">
        <w:rPr>
          <w:rFonts w:cs="Arial"/>
          <w:b/>
          <w:bCs/>
          <w:szCs w:val="26"/>
        </w:rPr>
        <w:t xml:space="preserve"> de la Solicitud de Ejercicio de la Facultad de Atracción 239/2021</w:t>
      </w:r>
      <w:r w:rsidRPr="006C6AE7">
        <w:rPr>
          <w:rFonts w:cs="Arial"/>
          <w:b/>
          <w:bCs/>
          <w:szCs w:val="26"/>
        </w:rPr>
        <w:t>.</w:t>
      </w:r>
      <w:r>
        <w:rPr>
          <w:rFonts w:cs="Arial"/>
          <w:szCs w:val="26"/>
        </w:rPr>
        <w:t xml:space="preserve"> </w:t>
      </w:r>
      <w:r w:rsidR="005861F8" w:rsidRPr="00FF3EB3">
        <w:rPr>
          <w:rFonts w:cs="Arial"/>
          <w:szCs w:val="26"/>
        </w:rPr>
        <w:t xml:space="preserve">Mediante acuerdo de diecisiete de junio de dos mil veintiuno, la </w:t>
      </w:r>
      <w:r w:rsidR="00210C68">
        <w:rPr>
          <w:rFonts w:cs="Arial"/>
          <w:szCs w:val="26"/>
        </w:rPr>
        <w:t xml:space="preserve">entonces </w:t>
      </w:r>
      <w:proofErr w:type="gramStart"/>
      <w:r w:rsidR="005861F8" w:rsidRPr="00FF3EB3">
        <w:rPr>
          <w:rFonts w:cs="Arial"/>
          <w:szCs w:val="26"/>
        </w:rPr>
        <w:t>Ministra Presidenta</w:t>
      </w:r>
      <w:proofErr w:type="gramEnd"/>
      <w:r w:rsidR="005861F8" w:rsidRPr="00FF3EB3">
        <w:rPr>
          <w:rFonts w:cs="Arial"/>
          <w:szCs w:val="26"/>
        </w:rPr>
        <w:t xml:space="preserve"> de la Primera Sala de este Máximo Tribunal</w:t>
      </w:r>
      <w:r w:rsidR="002A73B3">
        <w:rPr>
          <w:rFonts w:cs="Arial"/>
          <w:szCs w:val="26"/>
        </w:rPr>
        <w:t>,</w:t>
      </w:r>
      <w:r w:rsidR="005861F8" w:rsidRPr="00FF3EB3">
        <w:rPr>
          <w:rFonts w:cs="Arial"/>
          <w:szCs w:val="26"/>
        </w:rPr>
        <w:t xml:space="preserve"> recibió las constancias y</w:t>
      </w:r>
      <w:r w:rsidR="00E227BC">
        <w:rPr>
          <w:rFonts w:cs="Arial"/>
          <w:szCs w:val="26"/>
        </w:rPr>
        <w:t xml:space="preserve"> registró el expediente con el número </w:t>
      </w:r>
      <w:r w:rsidR="00857CE9">
        <w:rPr>
          <w:rFonts w:cs="Arial"/>
          <w:szCs w:val="26"/>
        </w:rPr>
        <w:t>239/2021</w:t>
      </w:r>
      <w:r w:rsidR="00007479">
        <w:rPr>
          <w:rFonts w:cs="Arial"/>
          <w:szCs w:val="26"/>
        </w:rPr>
        <w:t>.</w:t>
      </w:r>
      <w:r w:rsidR="005861F8" w:rsidRPr="00FF3EB3">
        <w:rPr>
          <w:rFonts w:cs="Arial"/>
          <w:szCs w:val="26"/>
        </w:rPr>
        <w:t xml:space="preserve"> </w:t>
      </w:r>
      <w:r w:rsidR="00F74319">
        <w:rPr>
          <w:rFonts w:cs="Arial"/>
          <w:szCs w:val="26"/>
        </w:rPr>
        <w:t>A</w:t>
      </w:r>
      <w:r w:rsidR="005861F8" w:rsidRPr="00FF3EB3">
        <w:rPr>
          <w:rFonts w:cs="Arial"/>
          <w:szCs w:val="26"/>
        </w:rPr>
        <w:t xml:space="preserve">nte la falta de legitimación del promovente para solicitar el ejercicio de la facultad de atracción, sometió a consideración de los </w:t>
      </w:r>
      <w:proofErr w:type="gramStart"/>
      <w:r w:rsidR="005861F8" w:rsidRPr="00FF3EB3">
        <w:rPr>
          <w:rFonts w:cs="Arial"/>
          <w:szCs w:val="26"/>
        </w:rPr>
        <w:t>Ministros</w:t>
      </w:r>
      <w:proofErr w:type="gramEnd"/>
      <w:r w:rsidR="005861F8" w:rsidRPr="00FF3EB3">
        <w:rPr>
          <w:rFonts w:cs="Arial"/>
          <w:szCs w:val="26"/>
        </w:rPr>
        <w:t xml:space="preserve"> integrantes de esta Primera Sala la petición formulada, con el fin de hacerla suya.</w:t>
      </w:r>
    </w:p>
    <w:p w14:paraId="2F481D16" w14:textId="77777777" w:rsidR="00873F19" w:rsidRDefault="00873F19" w:rsidP="00873F19">
      <w:pPr>
        <w:pStyle w:val="Prrafodelista"/>
        <w:spacing w:line="360" w:lineRule="auto"/>
        <w:ind w:left="0"/>
        <w:rPr>
          <w:rFonts w:cs="Arial"/>
          <w:szCs w:val="26"/>
        </w:rPr>
      </w:pPr>
    </w:p>
    <w:p w14:paraId="34C0DBA4" w14:textId="1F3A437A" w:rsidR="005861F8" w:rsidRDefault="005861F8" w:rsidP="00F74319">
      <w:pPr>
        <w:pStyle w:val="Prrafodelista"/>
        <w:numPr>
          <w:ilvl w:val="0"/>
          <w:numId w:val="2"/>
        </w:numPr>
        <w:spacing w:line="360" w:lineRule="auto"/>
        <w:ind w:left="0" w:hanging="426"/>
        <w:rPr>
          <w:rFonts w:cs="Arial"/>
          <w:szCs w:val="26"/>
        </w:rPr>
      </w:pPr>
      <w:r w:rsidRPr="00873F19">
        <w:rPr>
          <w:rFonts w:cs="Arial"/>
          <w:szCs w:val="26"/>
        </w:rPr>
        <w:t xml:space="preserve">El </w:t>
      </w:r>
      <w:proofErr w:type="gramStart"/>
      <w:r w:rsidRPr="00873F19">
        <w:rPr>
          <w:rFonts w:cs="Arial"/>
          <w:szCs w:val="26"/>
        </w:rPr>
        <w:t>Ministro</w:t>
      </w:r>
      <w:proofErr w:type="gramEnd"/>
      <w:r w:rsidRPr="00873F19">
        <w:rPr>
          <w:rFonts w:cs="Arial"/>
          <w:szCs w:val="26"/>
        </w:rPr>
        <w:t xml:space="preserve"> Jorge Mario Pardo Rebolledo determinó hacer propia la solicitud en cuestión en sesión privada de la Primera Sala de catorce de julio de dos mil veintiuno.</w:t>
      </w:r>
      <w:r w:rsidR="00F74319">
        <w:rPr>
          <w:rFonts w:cs="Arial"/>
          <w:szCs w:val="26"/>
        </w:rPr>
        <w:t xml:space="preserve"> </w:t>
      </w:r>
      <w:r w:rsidRPr="00F74319">
        <w:rPr>
          <w:rFonts w:cs="Arial"/>
          <w:szCs w:val="26"/>
        </w:rPr>
        <w:t xml:space="preserve">Consecuentemente, por acuerdo de veintisiete de agosto </w:t>
      </w:r>
      <w:r w:rsidR="0058386E">
        <w:rPr>
          <w:rFonts w:cs="Arial"/>
          <w:szCs w:val="26"/>
        </w:rPr>
        <w:t>del mismo año</w:t>
      </w:r>
      <w:r w:rsidRPr="00F74319">
        <w:rPr>
          <w:rFonts w:cs="Arial"/>
          <w:szCs w:val="26"/>
        </w:rPr>
        <w:t xml:space="preserve">, la </w:t>
      </w:r>
      <w:r w:rsidR="002C6021">
        <w:rPr>
          <w:rFonts w:cs="Arial"/>
          <w:szCs w:val="26"/>
        </w:rPr>
        <w:t xml:space="preserve">entonces </w:t>
      </w:r>
      <w:proofErr w:type="gramStart"/>
      <w:r w:rsidRPr="00F74319">
        <w:rPr>
          <w:rFonts w:cs="Arial"/>
          <w:szCs w:val="26"/>
        </w:rPr>
        <w:t>Presidenta</w:t>
      </w:r>
      <w:proofErr w:type="gramEnd"/>
      <w:r w:rsidRPr="00F74319">
        <w:rPr>
          <w:rFonts w:cs="Arial"/>
          <w:szCs w:val="26"/>
        </w:rPr>
        <w:t xml:space="preserve"> de esta </w:t>
      </w:r>
      <w:r w:rsidR="00291E18">
        <w:rPr>
          <w:rFonts w:cs="Arial"/>
          <w:szCs w:val="26"/>
        </w:rPr>
        <w:t xml:space="preserve">Primera </w:t>
      </w:r>
      <w:r w:rsidRPr="00F74319">
        <w:rPr>
          <w:rFonts w:cs="Arial"/>
          <w:szCs w:val="26"/>
        </w:rPr>
        <w:t>Sala admitió a trámite el asunto e instruyó turnar los autos a la ponencia del Ministro Jorge Mario Pardo Rebolledo, a fin de elaborar el proyecto de resolución correspondiente</w:t>
      </w:r>
      <w:r w:rsidR="00A03DEC" w:rsidRPr="00F74319">
        <w:rPr>
          <w:rFonts w:cs="Arial"/>
          <w:szCs w:val="26"/>
        </w:rPr>
        <w:t>.</w:t>
      </w:r>
    </w:p>
    <w:p w14:paraId="688154FA" w14:textId="77777777" w:rsidR="00055259" w:rsidRDefault="00055259" w:rsidP="00055259">
      <w:pPr>
        <w:pStyle w:val="Prrafodelista"/>
        <w:spacing w:line="360" w:lineRule="auto"/>
        <w:ind w:left="0"/>
        <w:rPr>
          <w:rFonts w:cs="Arial"/>
          <w:szCs w:val="26"/>
        </w:rPr>
      </w:pPr>
    </w:p>
    <w:p w14:paraId="03C0E10E" w14:textId="25210422" w:rsidR="00F64BAC" w:rsidRDefault="00055259" w:rsidP="00F64BAC">
      <w:pPr>
        <w:pStyle w:val="Prrafodelista"/>
        <w:numPr>
          <w:ilvl w:val="0"/>
          <w:numId w:val="2"/>
        </w:numPr>
        <w:tabs>
          <w:tab w:val="left" w:pos="851"/>
        </w:tabs>
        <w:spacing w:line="360" w:lineRule="auto"/>
        <w:ind w:left="0" w:hanging="426"/>
        <w:rPr>
          <w:rFonts w:cs="Arial"/>
          <w:szCs w:val="26"/>
        </w:rPr>
      </w:pPr>
      <w:r w:rsidRPr="00093016">
        <w:rPr>
          <w:rFonts w:cs="Arial"/>
          <w:szCs w:val="26"/>
        </w:rPr>
        <w:t xml:space="preserve">En sesión </w:t>
      </w:r>
      <w:r w:rsidR="004E2ED3">
        <w:rPr>
          <w:rFonts w:cs="Arial"/>
          <w:szCs w:val="26"/>
        </w:rPr>
        <w:t xml:space="preserve">celebrada el </w:t>
      </w:r>
      <w:r w:rsidR="00296CC0" w:rsidRPr="00093016">
        <w:rPr>
          <w:rFonts w:cs="Arial"/>
          <w:szCs w:val="26"/>
        </w:rPr>
        <w:t>seis de octubre de dos mil veintiuno, esta Primera Sala resolvió</w:t>
      </w:r>
      <w:r w:rsidR="00F64BAC">
        <w:rPr>
          <w:rFonts w:cs="Arial"/>
          <w:szCs w:val="26"/>
        </w:rPr>
        <w:t xml:space="preserve"> </w:t>
      </w:r>
      <w:r w:rsidR="00F64BAC" w:rsidRPr="00F64BAC">
        <w:rPr>
          <w:rFonts w:cs="Arial"/>
          <w:szCs w:val="26"/>
        </w:rPr>
        <w:t>ejerce</w:t>
      </w:r>
      <w:r w:rsidR="00F64BAC">
        <w:rPr>
          <w:rFonts w:cs="Arial"/>
          <w:szCs w:val="26"/>
        </w:rPr>
        <w:t>r</w:t>
      </w:r>
      <w:r w:rsidR="00F64BAC" w:rsidRPr="00F64BAC">
        <w:rPr>
          <w:rFonts w:cs="Arial"/>
          <w:szCs w:val="26"/>
        </w:rPr>
        <w:t xml:space="preserve"> la facultad de atracción para conocer y resolver del amparo en revisión </w:t>
      </w:r>
      <w:r w:rsidR="00D97B2A">
        <w:rPr>
          <w:rFonts w:cs="Arial"/>
          <w:szCs w:val="26"/>
        </w:rPr>
        <w:t>**********</w:t>
      </w:r>
      <w:r w:rsidR="00F64BAC" w:rsidRPr="00F64BAC">
        <w:rPr>
          <w:rFonts w:cs="Arial"/>
          <w:szCs w:val="26"/>
        </w:rPr>
        <w:t xml:space="preserve"> del índice del Primer Tribunal Colegiado en Materias Civil y Administrativa del Décimo Tercer Circuito</w:t>
      </w:r>
      <w:r w:rsidR="00F64BAC">
        <w:rPr>
          <w:rFonts w:cs="Arial"/>
          <w:szCs w:val="26"/>
        </w:rPr>
        <w:t>, por lo que se ordenó remitir los autos a la Presidencia para los efectos conducentes</w:t>
      </w:r>
      <w:r w:rsidR="00E97887">
        <w:rPr>
          <w:rStyle w:val="Refdenotaalpie"/>
          <w:rFonts w:cs="Arial"/>
          <w:szCs w:val="26"/>
        </w:rPr>
        <w:footnoteReference w:id="1"/>
      </w:r>
      <w:r w:rsidR="00F64BAC">
        <w:rPr>
          <w:rFonts w:cs="Arial"/>
          <w:szCs w:val="26"/>
        </w:rPr>
        <w:t xml:space="preserve">. </w:t>
      </w:r>
    </w:p>
    <w:p w14:paraId="3AB51BD2" w14:textId="77777777" w:rsidR="00F64BAC" w:rsidRPr="00F64BAC" w:rsidRDefault="00F64BAC" w:rsidP="00F64BAC">
      <w:pPr>
        <w:pStyle w:val="Prrafodelista"/>
        <w:tabs>
          <w:tab w:val="left" w:pos="851"/>
        </w:tabs>
        <w:spacing w:line="360" w:lineRule="auto"/>
        <w:ind w:left="0"/>
        <w:rPr>
          <w:rFonts w:cs="Arial"/>
          <w:szCs w:val="26"/>
        </w:rPr>
      </w:pPr>
    </w:p>
    <w:p w14:paraId="39286477" w14:textId="60DA7606" w:rsidR="00093016" w:rsidRDefault="008A5055" w:rsidP="00A46DFC">
      <w:pPr>
        <w:pStyle w:val="Prrafodelista"/>
        <w:numPr>
          <w:ilvl w:val="0"/>
          <w:numId w:val="2"/>
        </w:numPr>
        <w:tabs>
          <w:tab w:val="left" w:pos="851"/>
        </w:tabs>
        <w:spacing w:line="360" w:lineRule="auto"/>
        <w:ind w:left="0" w:hanging="426"/>
        <w:rPr>
          <w:rFonts w:cs="Arial"/>
          <w:szCs w:val="26"/>
        </w:rPr>
      </w:pPr>
      <w:r w:rsidRPr="008A5055">
        <w:rPr>
          <w:rFonts w:cs="Arial"/>
          <w:szCs w:val="26"/>
        </w:rPr>
        <w:lastRenderedPageBreak/>
        <w:t xml:space="preserve">Derivado de lo anterior, </w:t>
      </w:r>
      <w:r>
        <w:rPr>
          <w:rFonts w:cs="Arial"/>
          <w:szCs w:val="26"/>
        </w:rPr>
        <w:t>m</w:t>
      </w:r>
      <w:r w:rsidR="00093518">
        <w:rPr>
          <w:rFonts w:cs="Arial"/>
          <w:szCs w:val="26"/>
        </w:rPr>
        <w:t xml:space="preserve">ediante acuerdo de diez de marzo de dos mil veintidós, </w:t>
      </w:r>
      <w:r>
        <w:rPr>
          <w:rFonts w:cs="Arial"/>
          <w:szCs w:val="26"/>
        </w:rPr>
        <w:t>el</w:t>
      </w:r>
      <w:r w:rsidR="003E5058">
        <w:rPr>
          <w:rFonts w:cs="Arial"/>
          <w:szCs w:val="26"/>
        </w:rPr>
        <w:t xml:space="preserve"> entonces</w:t>
      </w:r>
      <w:r>
        <w:rPr>
          <w:rFonts w:cs="Arial"/>
          <w:szCs w:val="26"/>
        </w:rPr>
        <w:t xml:space="preserve"> </w:t>
      </w:r>
      <w:proofErr w:type="gramStart"/>
      <w:r>
        <w:rPr>
          <w:rFonts w:cs="Arial"/>
          <w:szCs w:val="26"/>
        </w:rPr>
        <w:t>Presidente</w:t>
      </w:r>
      <w:proofErr w:type="gramEnd"/>
      <w:r>
        <w:rPr>
          <w:rFonts w:cs="Arial"/>
          <w:szCs w:val="26"/>
        </w:rPr>
        <w:t xml:space="preserve"> de esta Suprema Corte de Justicia de la Nación</w:t>
      </w:r>
      <w:r w:rsidR="00E1187F">
        <w:rPr>
          <w:rFonts w:cs="Arial"/>
          <w:szCs w:val="26"/>
        </w:rPr>
        <w:t xml:space="preserve"> </w:t>
      </w:r>
      <w:r w:rsidR="00A76892">
        <w:rPr>
          <w:rFonts w:cs="Arial"/>
          <w:szCs w:val="26"/>
        </w:rPr>
        <w:t>disp</w:t>
      </w:r>
      <w:r w:rsidR="00E1187F">
        <w:rPr>
          <w:rFonts w:cs="Arial"/>
          <w:szCs w:val="26"/>
        </w:rPr>
        <w:t xml:space="preserve">uso </w:t>
      </w:r>
      <w:r w:rsidR="00713341">
        <w:rPr>
          <w:rFonts w:cs="Arial"/>
          <w:szCs w:val="26"/>
        </w:rPr>
        <w:t xml:space="preserve">el avocamiento del amparo en revisión </w:t>
      </w:r>
      <w:r w:rsidR="006A64E0">
        <w:rPr>
          <w:rFonts w:cs="Arial"/>
          <w:szCs w:val="26"/>
        </w:rPr>
        <w:t xml:space="preserve">e instruyó </w:t>
      </w:r>
      <w:r w:rsidR="00C66C91">
        <w:rPr>
          <w:rFonts w:cs="Arial"/>
          <w:szCs w:val="26"/>
        </w:rPr>
        <w:t xml:space="preserve">turnar el asunto </w:t>
      </w:r>
      <w:r w:rsidR="006A64E0">
        <w:rPr>
          <w:rFonts w:cs="Arial"/>
          <w:szCs w:val="26"/>
        </w:rPr>
        <w:t xml:space="preserve">al Ministro Alfredo Gutiérrez Ortiz Mena </w:t>
      </w:r>
      <w:r w:rsidR="00C66C91">
        <w:rPr>
          <w:rFonts w:cs="Arial"/>
          <w:szCs w:val="26"/>
        </w:rPr>
        <w:t xml:space="preserve">para la elaboración del proyecto de resolución. </w:t>
      </w:r>
    </w:p>
    <w:p w14:paraId="0201CF6B" w14:textId="77777777" w:rsidR="003642A1" w:rsidRDefault="003642A1" w:rsidP="003642A1">
      <w:pPr>
        <w:pStyle w:val="Prrafodelista"/>
        <w:tabs>
          <w:tab w:val="left" w:pos="851"/>
        </w:tabs>
        <w:spacing w:line="360" w:lineRule="auto"/>
        <w:ind w:left="0"/>
        <w:rPr>
          <w:rFonts w:cs="Arial"/>
          <w:szCs w:val="26"/>
        </w:rPr>
      </w:pPr>
    </w:p>
    <w:p w14:paraId="3404F85C" w14:textId="3379B56A" w:rsidR="009E2904" w:rsidRPr="00517A39" w:rsidRDefault="00BD3CB7" w:rsidP="00F97808">
      <w:pPr>
        <w:pStyle w:val="Prrafodelista"/>
        <w:numPr>
          <w:ilvl w:val="0"/>
          <w:numId w:val="2"/>
        </w:numPr>
        <w:tabs>
          <w:tab w:val="left" w:pos="851"/>
        </w:tabs>
        <w:spacing w:line="360" w:lineRule="auto"/>
        <w:ind w:left="0" w:hanging="426"/>
        <w:rPr>
          <w:rFonts w:cs="Arial"/>
          <w:szCs w:val="26"/>
        </w:rPr>
      </w:pPr>
      <w:r w:rsidRPr="00517A39">
        <w:rPr>
          <w:rFonts w:cs="Arial"/>
          <w:szCs w:val="26"/>
        </w:rPr>
        <w:t>En proveído de veintiséis de abril de dos mil veintidós, la</w:t>
      </w:r>
      <w:r w:rsidR="0064313E">
        <w:rPr>
          <w:rFonts w:cs="Arial"/>
          <w:szCs w:val="26"/>
        </w:rPr>
        <w:t xml:space="preserve"> entonces</w:t>
      </w:r>
      <w:r w:rsidRPr="00517A39">
        <w:rPr>
          <w:rFonts w:cs="Arial"/>
          <w:szCs w:val="26"/>
        </w:rPr>
        <w:t xml:space="preserve"> </w:t>
      </w:r>
      <w:proofErr w:type="gramStart"/>
      <w:r w:rsidRPr="00517A39">
        <w:rPr>
          <w:rFonts w:cs="Arial"/>
          <w:szCs w:val="26"/>
        </w:rPr>
        <w:t>Presidenta</w:t>
      </w:r>
      <w:proofErr w:type="gramEnd"/>
      <w:r w:rsidRPr="00517A39">
        <w:rPr>
          <w:rFonts w:cs="Arial"/>
          <w:szCs w:val="26"/>
        </w:rPr>
        <w:t xml:space="preserve"> de esta Primera Sala ordenó </w:t>
      </w:r>
      <w:r w:rsidR="00F6730A" w:rsidRPr="00517A39">
        <w:rPr>
          <w:rFonts w:cs="Arial"/>
          <w:szCs w:val="26"/>
        </w:rPr>
        <w:t>el avocamiento del asunto</w:t>
      </w:r>
      <w:r w:rsidR="004A7B7A" w:rsidRPr="00517A39">
        <w:rPr>
          <w:rFonts w:cs="Arial"/>
          <w:szCs w:val="26"/>
        </w:rPr>
        <w:t xml:space="preserve"> así como el</w:t>
      </w:r>
      <w:r w:rsidR="00F6730A" w:rsidRPr="00517A39">
        <w:rPr>
          <w:rFonts w:cs="Arial"/>
          <w:szCs w:val="26"/>
        </w:rPr>
        <w:t xml:space="preserve"> envío </w:t>
      </w:r>
      <w:r w:rsidR="004A7B7A" w:rsidRPr="00517A39">
        <w:rPr>
          <w:rFonts w:cs="Arial"/>
          <w:szCs w:val="26"/>
        </w:rPr>
        <w:t xml:space="preserve">de </w:t>
      </w:r>
      <w:r w:rsidR="00F6730A" w:rsidRPr="00517A39">
        <w:rPr>
          <w:rFonts w:cs="Arial"/>
          <w:szCs w:val="26"/>
        </w:rPr>
        <w:t>los autos a</w:t>
      </w:r>
      <w:r w:rsidR="00314F43">
        <w:rPr>
          <w:rFonts w:cs="Arial"/>
          <w:szCs w:val="26"/>
        </w:rPr>
        <w:t xml:space="preserve"> </w:t>
      </w:r>
      <w:r w:rsidR="00F6730A" w:rsidRPr="00517A39">
        <w:rPr>
          <w:rFonts w:cs="Arial"/>
          <w:szCs w:val="26"/>
        </w:rPr>
        <w:t>l</w:t>
      </w:r>
      <w:r w:rsidR="00314F43">
        <w:rPr>
          <w:rFonts w:cs="Arial"/>
          <w:szCs w:val="26"/>
        </w:rPr>
        <w:t>a Ponencia correspondiente</w:t>
      </w:r>
      <w:r w:rsidR="00517A39" w:rsidRPr="00517A39">
        <w:rPr>
          <w:rFonts w:cs="Arial"/>
          <w:szCs w:val="26"/>
        </w:rPr>
        <w:t xml:space="preserve">. </w:t>
      </w:r>
    </w:p>
    <w:p w14:paraId="4422FFC8" w14:textId="77777777" w:rsidR="00093016" w:rsidRPr="00093016" w:rsidRDefault="00093016" w:rsidP="00093016">
      <w:pPr>
        <w:pStyle w:val="Prrafodelista"/>
        <w:tabs>
          <w:tab w:val="left" w:pos="851"/>
        </w:tabs>
        <w:spacing w:line="360" w:lineRule="auto"/>
        <w:ind w:left="0"/>
        <w:rPr>
          <w:rFonts w:cs="Arial"/>
          <w:szCs w:val="26"/>
        </w:rPr>
      </w:pPr>
    </w:p>
    <w:p w14:paraId="1594EF3E" w14:textId="77777777" w:rsidR="00A20ED3" w:rsidRPr="003F2DD3" w:rsidRDefault="00A20ED3" w:rsidP="00FF0F9A">
      <w:pPr>
        <w:pStyle w:val="corte4fondo"/>
        <w:numPr>
          <w:ilvl w:val="0"/>
          <w:numId w:val="1"/>
        </w:numPr>
        <w:tabs>
          <w:tab w:val="left" w:pos="426"/>
        </w:tabs>
        <w:ind w:left="0" w:firstLine="0"/>
        <w:jc w:val="center"/>
        <w:rPr>
          <w:rFonts w:cs="Arial"/>
          <w:b/>
          <w:szCs w:val="26"/>
        </w:rPr>
      </w:pPr>
      <w:bookmarkStart w:id="0" w:name="_Toc167168060"/>
      <w:r w:rsidRPr="003F2DD3">
        <w:rPr>
          <w:rFonts w:cs="Arial"/>
          <w:b/>
          <w:szCs w:val="26"/>
        </w:rPr>
        <w:t>COMPETENCIA</w:t>
      </w:r>
      <w:bookmarkEnd w:id="0"/>
    </w:p>
    <w:p w14:paraId="2EC9D5D3" w14:textId="77777777" w:rsidR="00B55B67" w:rsidRPr="00FF4ACC" w:rsidRDefault="00B55B67" w:rsidP="00B55B67">
      <w:pPr>
        <w:tabs>
          <w:tab w:val="left" w:pos="0"/>
        </w:tabs>
        <w:spacing w:line="360" w:lineRule="auto"/>
        <w:ind w:right="-170"/>
        <w:rPr>
          <w:rFonts w:cs="Arial"/>
          <w:szCs w:val="26"/>
          <w:lang w:eastAsia="es-ES"/>
        </w:rPr>
      </w:pPr>
      <w:bookmarkStart w:id="1" w:name="Competencia"/>
      <w:bookmarkEnd w:id="1"/>
    </w:p>
    <w:p w14:paraId="0E9FA111" w14:textId="5564C55B" w:rsidR="00F217C0" w:rsidRPr="00F57AC6" w:rsidRDefault="00B55B67" w:rsidP="004B1ACC">
      <w:pPr>
        <w:pStyle w:val="Prrafodelista"/>
        <w:numPr>
          <w:ilvl w:val="0"/>
          <w:numId w:val="2"/>
        </w:numPr>
        <w:tabs>
          <w:tab w:val="left" w:pos="851"/>
        </w:tabs>
        <w:spacing w:line="360" w:lineRule="auto"/>
        <w:ind w:left="0" w:right="-170" w:hanging="426"/>
        <w:rPr>
          <w:rFonts w:cs="Arial"/>
          <w:bCs/>
          <w:szCs w:val="26"/>
        </w:rPr>
      </w:pPr>
      <w:r w:rsidRPr="00FF4ACC">
        <w:rPr>
          <w:rFonts w:cs="Arial"/>
          <w:szCs w:val="26"/>
          <w:lang w:eastAsia="es-ES"/>
        </w:rPr>
        <w:t xml:space="preserve">Esta Primera Sala de la Suprema Corte de Justicia de la Nación es competente para conocer del presente </w:t>
      </w:r>
      <w:r w:rsidR="00AF0A79">
        <w:rPr>
          <w:rFonts w:cs="Arial"/>
          <w:szCs w:val="26"/>
          <w:lang w:eastAsia="es-ES"/>
        </w:rPr>
        <w:t>amparo en</w:t>
      </w:r>
      <w:r w:rsidRPr="00FF4ACC">
        <w:rPr>
          <w:rFonts w:cs="Arial"/>
          <w:szCs w:val="26"/>
          <w:lang w:eastAsia="es-ES"/>
        </w:rPr>
        <w:t xml:space="preserve"> revisión, en términos de lo dispuesto en los artículos 107, fracción VIII, </w:t>
      </w:r>
      <w:r w:rsidR="00485D3D" w:rsidRPr="00FF4ACC">
        <w:rPr>
          <w:rFonts w:cs="Arial"/>
          <w:szCs w:val="26"/>
          <w:lang w:eastAsia="es-ES"/>
        </w:rPr>
        <w:t>penúltimo párrafo</w:t>
      </w:r>
      <w:r w:rsidRPr="00FF4ACC">
        <w:rPr>
          <w:rFonts w:cs="Arial"/>
          <w:szCs w:val="26"/>
          <w:lang w:eastAsia="es-ES"/>
        </w:rPr>
        <w:t xml:space="preserve">, de la Constitución Federal; </w:t>
      </w:r>
      <w:r w:rsidR="00EE52B9" w:rsidRPr="00EE52B9">
        <w:rPr>
          <w:rFonts w:cs="Arial"/>
          <w:szCs w:val="26"/>
          <w:lang w:eastAsia="es-ES"/>
        </w:rPr>
        <w:t>81, fracción I y 83</w:t>
      </w:r>
      <w:r w:rsidRPr="00F57AC6">
        <w:rPr>
          <w:rFonts w:cs="Arial"/>
          <w:szCs w:val="26"/>
          <w:lang w:eastAsia="es-ES"/>
        </w:rPr>
        <w:t xml:space="preserve"> de la Ley de Amparo; 21, fracción II, inciso </w:t>
      </w:r>
      <w:r w:rsidR="00485D3D" w:rsidRPr="00F57AC6">
        <w:rPr>
          <w:rFonts w:cs="Arial"/>
          <w:szCs w:val="26"/>
          <w:lang w:eastAsia="es-ES"/>
        </w:rPr>
        <w:t>b</w:t>
      </w:r>
      <w:r w:rsidRPr="00F57AC6">
        <w:rPr>
          <w:rFonts w:cs="Arial"/>
          <w:szCs w:val="26"/>
          <w:lang w:eastAsia="es-ES"/>
        </w:rPr>
        <w:t xml:space="preserve">), de la Ley Orgánica del Poder Judicial de la Federación, así como los puntos Segundo, y Tercero del Acuerdo General Plenario </w:t>
      </w:r>
      <w:r w:rsidR="005D78A0">
        <w:rPr>
          <w:rFonts w:cs="Arial"/>
          <w:szCs w:val="26"/>
          <w:lang w:eastAsia="es-ES"/>
        </w:rPr>
        <w:t>1</w:t>
      </w:r>
      <w:r w:rsidRPr="00F57AC6">
        <w:rPr>
          <w:rFonts w:cs="Arial"/>
          <w:szCs w:val="26"/>
          <w:lang w:eastAsia="es-ES"/>
        </w:rPr>
        <w:t>/20</w:t>
      </w:r>
      <w:r w:rsidR="005D78A0">
        <w:rPr>
          <w:rFonts w:cs="Arial"/>
          <w:szCs w:val="26"/>
          <w:lang w:eastAsia="es-ES"/>
        </w:rPr>
        <w:t>2</w:t>
      </w:r>
      <w:r w:rsidRPr="00F57AC6">
        <w:rPr>
          <w:rFonts w:cs="Arial"/>
          <w:szCs w:val="26"/>
          <w:lang w:eastAsia="es-ES"/>
        </w:rPr>
        <w:t xml:space="preserve">3, </w:t>
      </w:r>
      <w:r w:rsidR="00701D56" w:rsidRPr="00701D56">
        <w:rPr>
          <w:rFonts w:cs="Arial"/>
          <w:szCs w:val="26"/>
          <w:lang w:eastAsia="es-ES"/>
        </w:rPr>
        <w:t>de veintiséis de enero de dos mil veintitrés, del Tribunal Pleno de la Suprema Corte de Justicia de la Nación</w:t>
      </w:r>
      <w:r w:rsidRPr="00F57AC6">
        <w:rPr>
          <w:rFonts w:cs="Arial"/>
          <w:szCs w:val="26"/>
          <w:lang w:eastAsia="es-ES"/>
        </w:rPr>
        <w:t xml:space="preserve">, en virtud de que el recurso de revisión se interpuso en contra de una sentencia dictada por un Juzgado de Distrito, respecto del cual </w:t>
      </w:r>
      <w:r w:rsidR="00485D3D" w:rsidRPr="00F57AC6">
        <w:rPr>
          <w:rFonts w:cs="Arial"/>
          <w:szCs w:val="26"/>
          <w:lang w:eastAsia="es-ES"/>
        </w:rPr>
        <w:t>esta Primera Sala ejerció su facultad de atracción.</w:t>
      </w:r>
    </w:p>
    <w:p w14:paraId="116D2ABE" w14:textId="77777777" w:rsidR="00F217C0" w:rsidRPr="00FF4ACC" w:rsidRDefault="00F217C0" w:rsidP="00917C34">
      <w:pPr>
        <w:tabs>
          <w:tab w:val="left" w:pos="851"/>
        </w:tabs>
        <w:spacing w:line="360" w:lineRule="auto"/>
        <w:rPr>
          <w:rFonts w:cs="Arial"/>
          <w:bCs/>
          <w:szCs w:val="26"/>
        </w:rPr>
      </w:pPr>
    </w:p>
    <w:p w14:paraId="1D46BD40" w14:textId="77777777" w:rsidR="00A20ED3" w:rsidRPr="00FF4ACC" w:rsidRDefault="00A20ED3" w:rsidP="00FF0F9A">
      <w:pPr>
        <w:pStyle w:val="Prrafodelista"/>
        <w:numPr>
          <w:ilvl w:val="0"/>
          <w:numId w:val="1"/>
        </w:numPr>
        <w:tabs>
          <w:tab w:val="left" w:pos="426"/>
        </w:tabs>
        <w:spacing w:line="360" w:lineRule="auto"/>
        <w:ind w:left="0" w:firstLine="0"/>
        <w:jc w:val="center"/>
        <w:rPr>
          <w:rFonts w:cs="Arial"/>
          <w:b/>
          <w:szCs w:val="26"/>
        </w:rPr>
      </w:pPr>
      <w:r w:rsidRPr="00FF4ACC">
        <w:rPr>
          <w:rFonts w:cs="Arial"/>
          <w:b/>
          <w:szCs w:val="26"/>
        </w:rPr>
        <w:t>OPORTUNIDAD</w:t>
      </w:r>
    </w:p>
    <w:p w14:paraId="3DD6F872" w14:textId="77777777" w:rsidR="00A20ED3" w:rsidRPr="00FF4ACC" w:rsidRDefault="00A20ED3" w:rsidP="00A20ED3">
      <w:pPr>
        <w:pStyle w:val="Prrafodelista"/>
        <w:tabs>
          <w:tab w:val="left" w:pos="851"/>
        </w:tabs>
        <w:spacing w:line="360" w:lineRule="auto"/>
        <w:ind w:left="0"/>
        <w:rPr>
          <w:rFonts w:cs="Arial"/>
          <w:bCs/>
          <w:szCs w:val="26"/>
        </w:rPr>
      </w:pPr>
    </w:p>
    <w:p w14:paraId="00DF07B9" w14:textId="32F23E86" w:rsidR="003F5A36" w:rsidRPr="00FF4ACC" w:rsidRDefault="00A20ED3" w:rsidP="00F27A4A">
      <w:pPr>
        <w:pStyle w:val="corte4fondoCarCarCarCarCar"/>
        <w:numPr>
          <w:ilvl w:val="0"/>
          <w:numId w:val="2"/>
        </w:numPr>
        <w:ind w:left="0" w:hanging="426"/>
        <w:rPr>
          <w:rFonts w:cs="Arial"/>
          <w:sz w:val="26"/>
          <w:szCs w:val="26"/>
        </w:rPr>
      </w:pPr>
      <w:r w:rsidRPr="00FF4ACC">
        <w:rPr>
          <w:rFonts w:cs="Arial"/>
          <w:sz w:val="26"/>
          <w:szCs w:val="26"/>
        </w:rPr>
        <w:t xml:space="preserve">El recurso de revisión fue interpuesto </w:t>
      </w:r>
      <w:r w:rsidR="00D611DA">
        <w:rPr>
          <w:rFonts w:cs="Arial"/>
          <w:sz w:val="26"/>
          <w:szCs w:val="26"/>
        </w:rPr>
        <w:t>por el tercero interesado</w:t>
      </w:r>
      <w:r w:rsidR="00EE6A1F">
        <w:rPr>
          <w:rFonts w:cs="Arial"/>
          <w:sz w:val="26"/>
          <w:szCs w:val="26"/>
        </w:rPr>
        <w:t xml:space="preserve"> </w:t>
      </w:r>
      <w:r w:rsidRPr="00FF4ACC">
        <w:rPr>
          <w:rFonts w:cs="Arial"/>
          <w:sz w:val="26"/>
          <w:szCs w:val="26"/>
        </w:rPr>
        <w:t>en tiempo y forma</w:t>
      </w:r>
      <w:r w:rsidR="00582DF7">
        <w:rPr>
          <w:rFonts w:cs="Arial"/>
          <w:sz w:val="26"/>
          <w:szCs w:val="26"/>
        </w:rPr>
        <w:t>,</w:t>
      </w:r>
      <w:r w:rsidRPr="00FF4ACC">
        <w:rPr>
          <w:rFonts w:cs="Arial"/>
          <w:sz w:val="26"/>
          <w:szCs w:val="26"/>
        </w:rPr>
        <w:t xml:space="preserve"> de conformidad con el artículo 86 de la Ley de Amparo. De las constancias de autos se advierte que la sentencia </w:t>
      </w:r>
      <w:r w:rsidR="00AB30F1" w:rsidRPr="00FF4ACC">
        <w:rPr>
          <w:rFonts w:cs="Arial"/>
          <w:sz w:val="26"/>
          <w:szCs w:val="26"/>
        </w:rPr>
        <w:t>impugnada</w:t>
      </w:r>
      <w:r w:rsidRPr="00FF4ACC">
        <w:rPr>
          <w:rFonts w:cs="Arial"/>
          <w:sz w:val="26"/>
          <w:szCs w:val="26"/>
        </w:rPr>
        <w:t xml:space="preserve"> le fue notificada </w:t>
      </w:r>
      <w:r w:rsidR="004B6EAB" w:rsidRPr="00FF4ACC">
        <w:rPr>
          <w:rFonts w:cs="Arial"/>
          <w:sz w:val="26"/>
          <w:szCs w:val="26"/>
        </w:rPr>
        <w:t xml:space="preserve">el </w:t>
      </w:r>
      <w:r w:rsidR="00FA60A3">
        <w:rPr>
          <w:rFonts w:cs="Arial"/>
          <w:sz w:val="26"/>
          <w:szCs w:val="26"/>
        </w:rPr>
        <w:t>tres de noviembre de dos mil veinte</w:t>
      </w:r>
      <w:r w:rsidR="003F5A36" w:rsidRPr="00FF4ACC">
        <w:rPr>
          <w:rFonts w:cs="Arial"/>
          <w:sz w:val="26"/>
          <w:szCs w:val="26"/>
        </w:rPr>
        <w:t>;</w:t>
      </w:r>
      <w:r w:rsidR="00AB30F1" w:rsidRPr="00FF4ACC">
        <w:rPr>
          <w:rFonts w:cs="Arial"/>
          <w:sz w:val="26"/>
          <w:szCs w:val="26"/>
        </w:rPr>
        <w:t xml:space="preserve"> por lo que en términos del </w:t>
      </w:r>
      <w:r w:rsidR="004B6EAB" w:rsidRPr="00FF4ACC">
        <w:rPr>
          <w:rFonts w:cs="Arial"/>
          <w:sz w:val="26"/>
          <w:szCs w:val="26"/>
        </w:rPr>
        <w:t>artículo 31, fracción I</w:t>
      </w:r>
      <w:r w:rsidR="00D6534D" w:rsidRPr="00FF4ACC">
        <w:rPr>
          <w:rFonts w:cs="Arial"/>
          <w:sz w:val="26"/>
          <w:szCs w:val="26"/>
        </w:rPr>
        <w:t>I</w:t>
      </w:r>
      <w:r w:rsidR="004B6EAB" w:rsidRPr="00FF4ACC">
        <w:rPr>
          <w:rFonts w:cs="Arial"/>
          <w:sz w:val="26"/>
          <w:szCs w:val="26"/>
        </w:rPr>
        <w:t xml:space="preserve">, de la Ley de Amparo, </w:t>
      </w:r>
      <w:r w:rsidR="00AB30F1" w:rsidRPr="00FF4ACC">
        <w:rPr>
          <w:rFonts w:cs="Arial"/>
          <w:sz w:val="26"/>
          <w:szCs w:val="26"/>
        </w:rPr>
        <w:t>dicha</w:t>
      </w:r>
      <w:r w:rsidR="00D6534D" w:rsidRPr="00FF4ACC">
        <w:rPr>
          <w:rFonts w:cs="Arial"/>
          <w:sz w:val="26"/>
          <w:szCs w:val="26"/>
        </w:rPr>
        <w:t xml:space="preserve"> notificación</w:t>
      </w:r>
      <w:r w:rsidR="004B6EAB" w:rsidRPr="00FF4ACC">
        <w:rPr>
          <w:rFonts w:cs="Arial"/>
          <w:sz w:val="26"/>
          <w:szCs w:val="26"/>
        </w:rPr>
        <w:t xml:space="preserve"> </w:t>
      </w:r>
      <w:r w:rsidR="00D6534D" w:rsidRPr="00FF4ACC">
        <w:rPr>
          <w:rFonts w:cs="Arial"/>
          <w:sz w:val="26"/>
          <w:szCs w:val="26"/>
        </w:rPr>
        <w:t>surtió</w:t>
      </w:r>
      <w:r w:rsidR="004B6EAB" w:rsidRPr="00FF4ACC">
        <w:rPr>
          <w:rFonts w:cs="Arial"/>
          <w:sz w:val="26"/>
          <w:szCs w:val="26"/>
        </w:rPr>
        <w:t xml:space="preserve"> sus efectos </w:t>
      </w:r>
      <w:r w:rsidR="00D6534D" w:rsidRPr="00FF4ACC">
        <w:rPr>
          <w:rFonts w:cs="Arial"/>
          <w:sz w:val="26"/>
          <w:szCs w:val="26"/>
        </w:rPr>
        <w:t>al día siguiente</w:t>
      </w:r>
      <w:r w:rsidR="00FA60A3">
        <w:rPr>
          <w:rFonts w:cs="Arial"/>
          <w:sz w:val="26"/>
          <w:szCs w:val="26"/>
        </w:rPr>
        <w:t>, es decir, el cuatro</w:t>
      </w:r>
      <w:r w:rsidR="00E27C1C">
        <w:rPr>
          <w:rFonts w:cs="Arial"/>
          <w:sz w:val="26"/>
          <w:szCs w:val="26"/>
        </w:rPr>
        <w:t xml:space="preserve"> de noviembre</w:t>
      </w:r>
      <w:r w:rsidR="00AB30F1" w:rsidRPr="00FF4ACC">
        <w:rPr>
          <w:rFonts w:cs="Arial"/>
          <w:sz w:val="26"/>
          <w:szCs w:val="26"/>
        </w:rPr>
        <w:t>.</w:t>
      </w:r>
      <w:r w:rsidR="00D6534D" w:rsidRPr="00FF4ACC">
        <w:rPr>
          <w:rFonts w:cs="Arial"/>
          <w:sz w:val="26"/>
          <w:szCs w:val="26"/>
        </w:rPr>
        <w:t xml:space="preserve"> </w:t>
      </w:r>
    </w:p>
    <w:p w14:paraId="0A453951" w14:textId="77777777" w:rsidR="003F5A36" w:rsidRPr="00FF4ACC" w:rsidRDefault="003F5A36" w:rsidP="003F5A36">
      <w:pPr>
        <w:pStyle w:val="corte4fondoCarCarCarCarCar"/>
        <w:ind w:firstLine="0"/>
        <w:rPr>
          <w:rFonts w:cs="Arial"/>
          <w:sz w:val="26"/>
          <w:szCs w:val="26"/>
        </w:rPr>
      </w:pPr>
    </w:p>
    <w:p w14:paraId="5D686AD8" w14:textId="6F2D79F3" w:rsidR="00FC04B1" w:rsidRDefault="00AB30F1" w:rsidP="00FC04B1">
      <w:pPr>
        <w:pStyle w:val="corte4fondoCarCarCarCarCar"/>
        <w:numPr>
          <w:ilvl w:val="0"/>
          <w:numId w:val="2"/>
        </w:numPr>
        <w:ind w:left="0" w:hanging="426"/>
        <w:rPr>
          <w:rFonts w:cs="Arial"/>
          <w:sz w:val="26"/>
          <w:szCs w:val="26"/>
        </w:rPr>
      </w:pPr>
      <w:r w:rsidRPr="00FF4ACC">
        <w:rPr>
          <w:rFonts w:cs="Arial"/>
          <w:sz w:val="26"/>
          <w:szCs w:val="26"/>
        </w:rPr>
        <w:t xml:space="preserve">Así, </w:t>
      </w:r>
      <w:r w:rsidR="004B6EAB" w:rsidRPr="00FF4ACC">
        <w:rPr>
          <w:rFonts w:cs="Arial"/>
          <w:sz w:val="26"/>
          <w:szCs w:val="26"/>
        </w:rPr>
        <w:t xml:space="preserve">el plazo de diez días para la interposición del recurso corrió del </w:t>
      </w:r>
      <w:r w:rsidR="00420A43">
        <w:rPr>
          <w:rFonts w:cs="Arial"/>
          <w:sz w:val="26"/>
          <w:szCs w:val="26"/>
        </w:rPr>
        <w:t>cinco al diecinueve de noviembre</w:t>
      </w:r>
      <w:r w:rsidR="00FC04B1">
        <w:rPr>
          <w:rFonts w:cs="Arial"/>
          <w:sz w:val="26"/>
          <w:szCs w:val="26"/>
        </w:rPr>
        <w:t xml:space="preserve">, descontándose de dicho </w:t>
      </w:r>
      <w:r w:rsidR="00AF323F">
        <w:rPr>
          <w:rFonts w:cs="Arial"/>
          <w:sz w:val="26"/>
          <w:szCs w:val="26"/>
        </w:rPr>
        <w:t>cómputo</w:t>
      </w:r>
      <w:r w:rsidR="00FC04B1">
        <w:rPr>
          <w:rFonts w:cs="Arial"/>
          <w:sz w:val="26"/>
          <w:szCs w:val="26"/>
        </w:rPr>
        <w:t xml:space="preserve"> los días siete, </w:t>
      </w:r>
      <w:r w:rsidR="00FC04B1">
        <w:rPr>
          <w:rFonts w:cs="Arial"/>
          <w:sz w:val="26"/>
          <w:szCs w:val="26"/>
        </w:rPr>
        <w:lastRenderedPageBreak/>
        <w:t xml:space="preserve">ocho, catorce, quince y dieciséis de ese mes, por </w:t>
      </w:r>
      <w:r w:rsidR="00AF323F">
        <w:rPr>
          <w:rFonts w:cs="Arial"/>
          <w:sz w:val="26"/>
          <w:szCs w:val="26"/>
        </w:rPr>
        <w:t>haber sido</w:t>
      </w:r>
      <w:r w:rsidR="00FC04B1">
        <w:rPr>
          <w:rFonts w:cs="Arial"/>
          <w:sz w:val="26"/>
          <w:szCs w:val="26"/>
        </w:rPr>
        <w:t xml:space="preserve"> sábados, domingos e inhábiles, de conformidad con lo establecido </w:t>
      </w:r>
      <w:r w:rsidR="00FC04B1" w:rsidRPr="00FC04B1">
        <w:rPr>
          <w:rFonts w:cs="Arial"/>
          <w:sz w:val="26"/>
          <w:szCs w:val="26"/>
        </w:rPr>
        <w:t>por los artículos 19 de la Ley de Amparo y 163 de la Ley Orgánica del Poder Judicial de la Federación</w:t>
      </w:r>
      <w:r w:rsidR="00AF323F">
        <w:rPr>
          <w:rFonts w:cs="Arial"/>
          <w:sz w:val="26"/>
          <w:szCs w:val="26"/>
        </w:rPr>
        <w:t>.</w:t>
      </w:r>
    </w:p>
    <w:p w14:paraId="3DF9A745" w14:textId="77777777" w:rsidR="00AF323F" w:rsidRPr="00FC04B1" w:rsidRDefault="00AF323F" w:rsidP="00AF323F">
      <w:pPr>
        <w:pStyle w:val="corte4fondoCarCarCarCarCar"/>
        <w:ind w:firstLine="0"/>
        <w:rPr>
          <w:rFonts w:cs="Arial"/>
          <w:sz w:val="26"/>
          <w:szCs w:val="26"/>
        </w:rPr>
      </w:pPr>
    </w:p>
    <w:p w14:paraId="2551C8A6" w14:textId="5008CDEB" w:rsidR="00BA14A2" w:rsidRPr="00FF4ACC" w:rsidRDefault="00A20ED3" w:rsidP="003F5A36">
      <w:pPr>
        <w:pStyle w:val="corte4fondoCarCarCarCarCar"/>
        <w:numPr>
          <w:ilvl w:val="0"/>
          <w:numId w:val="2"/>
        </w:numPr>
        <w:ind w:left="0" w:hanging="426"/>
        <w:rPr>
          <w:rFonts w:cs="Arial"/>
          <w:sz w:val="26"/>
          <w:szCs w:val="26"/>
        </w:rPr>
      </w:pPr>
      <w:r w:rsidRPr="00FF4ACC">
        <w:rPr>
          <w:rFonts w:cs="Arial"/>
          <w:sz w:val="26"/>
          <w:szCs w:val="26"/>
        </w:rPr>
        <w:t xml:space="preserve">En </w:t>
      </w:r>
      <w:r w:rsidR="00BA14A2" w:rsidRPr="00FF4ACC">
        <w:rPr>
          <w:rFonts w:cs="Arial"/>
          <w:sz w:val="26"/>
          <w:szCs w:val="26"/>
        </w:rPr>
        <w:t xml:space="preserve">estas </w:t>
      </w:r>
      <w:r w:rsidRPr="00FF4ACC">
        <w:rPr>
          <w:rFonts w:cs="Arial"/>
          <w:sz w:val="26"/>
          <w:szCs w:val="26"/>
        </w:rPr>
        <w:t xml:space="preserve">condiciones, dado que </w:t>
      </w:r>
      <w:r w:rsidR="00BA14A2" w:rsidRPr="00FF4ACC">
        <w:rPr>
          <w:rFonts w:cs="Arial"/>
          <w:sz w:val="26"/>
          <w:szCs w:val="26"/>
        </w:rPr>
        <w:t xml:space="preserve">el recurso de revisión fue presentado </w:t>
      </w:r>
      <w:r w:rsidR="007B776D">
        <w:rPr>
          <w:rFonts w:cs="Arial"/>
          <w:sz w:val="26"/>
          <w:szCs w:val="26"/>
        </w:rPr>
        <w:t>electrónicamente</w:t>
      </w:r>
      <w:r w:rsidR="00177E41">
        <w:rPr>
          <w:rFonts w:cs="Arial"/>
          <w:sz w:val="26"/>
          <w:szCs w:val="26"/>
        </w:rPr>
        <w:t xml:space="preserve"> </w:t>
      </w:r>
      <w:r w:rsidR="00BA14A2" w:rsidRPr="00FF4ACC">
        <w:rPr>
          <w:rFonts w:cs="Arial"/>
          <w:sz w:val="26"/>
          <w:szCs w:val="26"/>
        </w:rPr>
        <w:t xml:space="preserve">el </w:t>
      </w:r>
      <w:r w:rsidR="00177E41">
        <w:rPr>
          <w:rFonts w:cs="Arial"/>
          <w:sz w:val="26"/>
          <w:szCs w:val="26"/>
        </w:rPr>
        <w:t xml:space="preserve">seis de noviembre </w:t>
      </w:r>
      <w:r w:rsidR="007B776D">
        <w:rPr>
          <w:rFonts w:cs="Arial"/>
          <w:sz w:val="26"/>
          <w:szCs w:val="26"/>
        </w:rPr>
        <w:t>de dos mil veinte,</w:t>
      </w:r>
      <w:r w:rsidR="00BA14A2" w:rsidRPr="00FF4ACC">
        <w:rPr>
          <w:rFonts w:cs="Arial"/>
          <w:sz w:val="26"/>
          <w:szCs w:val="26"/>
        </w:rPr>
        <w:t xml:space="preserve"> es evidente que </w:t>
      </w:r>
      <w:r w:rsidR="00B014D8" w:rsidRPr="00FF4ACC">
        <w:rPr>
          <w:rFonts w:cs="Arial"/>
          <w:sz w:val="26"/>
          <w:szCs w:val="26"/>
        </w:rPr>
        <w:t>cumple con</w:t>
      </w:r>
      <w:r w:rsidR="00311B39" w:rsidRPr="00FF4ACC">
        <w:rPr>
          <w:rFonts w:cs="Arial"/>
          <w:sz w:val="26"/>
          <w:szCs w:val="26"/>
        </w:rPr>
        <w:t xml:space="preserve"> este requisito procesal</w:t>
      </w:r>
      <w:r w:rsidR="00BA14A2" w:rsidRPr="00FF4ACC">
        <w:rPr>
          <w:rFonts w:cs="Arial"/>
          <w:sz w:val="26"/>
          <w:szCs w:val="26"/>
        </w:rPr>
        <w:t xml:space="preserve">. </w:t>
      </w:r>
    </w:p>
    <w:p w14:paraId="7D953F36" w14:textId="77777777" w:rsidR="00A20ED3" w:rsidRPr="00FF4ACC" w:rsidRDefault="00A20ED3" w:rsidP="00A20ED3">
      <w:pPr>
        <w:pStyle w:val="corte4fondoCarCarCarCarCar"/>
        <w:ind w:firstLine="0"/>
        <w:rPr>
          <w:rFonts w:cs="Arial"/>
          <w:sz w:val="26"/>
          <w:szCs w:val="26"/>
        </w:rPr>
      </w:pPr>
    </w:p>
    <w:p w14:paraId="61A6FFB0" w14:textId="77777777" w:rsidR="00A20ED3" w:rsidRPr="00FF4ACC" w:rsidRDefault="00A20ED3" w:rsidP="00FF0F9A">
      <w:pPr>
        <w:pStyle w:val="Prrafodelista"/>
        <w:numPr>
          <w:ilvl w:val="0"/>
          <w:numId w:val="1"/>
        </w:numPr>
        <w:tabs>
          <w:tab w:val="left" w:pos="426"/>
        </w:tabs>
        <w:spacing w:line="360" w:lineRule="auto"/>
        <w:ind w:left="0" w:firstLine="0"/>
        <w:jc w:val="center"/>
        <w:rPr>
          <w:rFonts w:cs="Arial"/>
          <w:b/>
          <w:szCs w:val="26"/>
        </w:rPr>
      </w:pPr>
      <w:r w:rsidRPr="00FF4ACC">
        <w:rPr>
          <w:rFonts w:cs="Arial"/>
          <w:b/>
          <w:szCs w:val="26"/>
        </w:rPr>
        <w:t>LEGITIMACIÓN</w:t>
      </w:r>
    </w:p>
    <w:p w14:paraId="5EABF38E" w14:textId="77777777" w:rsidR="00A20ED3" w:rsidRPr="00FF4ACC" w:rsidRDefault="00A20ED3" w:rsidP="00A20ED3">
      <w:pPr>
        <w:tabs>
          <w:tab w:val="left" w:pos="0"/>
        </w:tabs>
        <w:spacing w:line="360" w:lineRule="auto"/>
        <w:rPr>
          <w:rFonts w:cs="Arial"/>
          <w:bCs/>
          <w:szCs w:val="26"/>
        </w:rPr>
      </w:pPr>
    </w:p>
    <w:p w14:paraId="12F0C57F" w14:textId="348FF33A" w:rsidR="00430292" w:rsidRPr="00EE6A1F" w:rsidRDefault="00430292" w:rsidP="00EE6A1F">
      <w:pPr>
        <w:numPr>
          <w:ilvl w:val="0"/>
          <w:numId w:val="2"/>
        </w:numPr>
        <w:tabs>
          <w:tab w:val="left" w:pos="851"/>
        </w:tabs>
        <w:spacing w:line="360" w:lineRule="auto"/>
        <w:ind w:left="0" w:hanging="426"/>
        <w:rPr>
          <w:rFonts w:cs="Arial"/>
          <w:szCs w:val="26"/>
        </w:rPr>
      </w:pPr>
      <w:r w:rsidRPr="00FF4ACC">
        <w:rPr>
          <w:rFonts w:cs="Arial"/>
          <w:szCs w:val="26"/>
        </w:rPr>
        <w:t xml:space="preserve">El recurso de revisión fue interpuesto por </w:t>
      </w:r>
      <w:r w:rsidR="006A1B15">
        <w:rPr>
          <w:rFonts w:cs="Arial"/>
          <w:szCs w:val="26"/>
        </w:rPr>
        <w:t>**********</w:t>
      </w:r>
      <w:r w:rsidR="00EE6A1F">
        <w:rPr>
          <w:rFonts w:cs="Arial"/>
          <w:szCs w:val="26"/>
        </w:rPr>
        <w:t xml:space="preserve">, a quien se </w:t>
      </w:r>
      <w:r w:rsidRPr="00EE6A1F">
        <w:rPr>
          <w:rFonts w:cs="Arial"/>
          <w:szCs w:val="26"/>
        </w:rPr>
        <w:t xml:space="preserve">le reconoció su calidad de </w:t>
      </w:r>
      <w:r w:rsidR="00EE6A1F">
        <w:rPr>
          <w:rFonts w:cs="Arial"/>
          <w:szCs w:val="26"/>
        </w:rPr>
        <w:t>tercero interesado en</w:t>
      </w:r>
      <w:r w:rsidRPr="00EE6A1F">
        <w:rPr>
          <w:rFonts w:cs="Arial"/>
          <w:szCs w:val="26"/>
        </w:rPr>
        <w:t xml:space="preserve"> el juicio de amparo </w:t>
      </w:r>
      <w:r w:rsidR="006A1B15">
        <w:rPr>
          <w:rFonts w:cs="Arial"/>
          <w:szCs w:val="26"/>
        </w:rPr>
        <w:t xml:space="preserve">********** </w:t>
      </w:r>
      <w:r w:rsidRPr="00EE6A1F">
        <w:rPr>
          <w:rFonts w:cs="Arial"/>
          <w:szCs w:val="26"/>
        </w:rPr>
        <w:t>del índice del Juz</w:t>
      </w:r>
      <w:r w:rsidR="00FB7B11">
        <w:rPr>
          <w:rFonts w:cs="Arial"/>
          <w:szCs w:val="26"/>
        </w:rPr>
        <w:t>gado</w:t>
      </w:r>
      <w:r w:rsidRPr="00EE6A1F">
        <w:rPr>
          <w:rFonts w:cs="Arial"/>
          <w:szCs w:val="26"/>
        </w:rPr>
        <w:t xml:space="preserve"> </w:t>
      </w:r>
      <w:r w:rsidR="0063186A">
        <w:rPr>
          <w:rFonts w:cs="Arial"/>
          <w:szCs w:val="26"/>
        </w:rPr>
        <w:t>Quint</w:t>
      </w:r>
      <w:r w:rsidRPr="00EE6A1F">
        <w:rPr>
          <w:rFonts w:cs="Arial"/>
          <w:szCs w:val="26"/>
        </w:rPr>
        <w:t xml:space="preserve">o de Distrito en el Estado de </w:t>
      </w:r>
      <w:r w:rsidR="0063186A">
        <w:rPr>
          <w:rFonts w:cs="Arial"/>
          <w:szCs w:val="26"/>
        </w:rPr>
        <w:t>Oaxaca</w:t>
      </w:r>
      <w:r w:rsidRPr="00EE6A1F">
        <w:rPr>
          <w:rFonts w:cs="Arial"/>
          <w:szCs w:val="26"/>
        </w:rPr>
        <w:t xml:space="preserve"> y cuya personalidad se encuentra reconocida en autos. En estos términos, se tiene por satisfecho el presupuesto procesal de legitimación.</w:t>
      </w:r>
    </w:p>
    <w:p w14:paraId="373916F0" w14:textId="77777777" w:rsidR="00B62553" w:rsidRPr="00FF4ACC" w:rsidRDefault="00B62553" w:rsidP="00B62553">
      <w:pPr>
        <w:tabs>
          <w:tab w:val="left" w:pos="851"/>
        </w:tabs>
        <w:spacing w:line="360" w:lineRule="auto"/>
        <w:rPr>
          <w:rFonts w:cs="Arial"/>
          <w:szCs w:val="26"/>
        </w:rPr>
      </w:pPr>
    </w:p>
    <w:p w14:paraId="2AA84121" w14:textId="4B5E282B" w:rsidR="00A20ED3" w:rsidRPr="00FF4ACC" w:rsidRDefault="00A20ED3" w:rsidP="00FF0F9A">
      <w:pPr>
        <w:pStyle w:val="Prrafodelista"/>
        <w:numPr>
          <w:ilvl w:val="0"/>
          <w:numId w:val="1"/>
        </w:numPr>
        <w:tabs>
          <w:tab w:val="left" w:pos="426"/>
        </w:tabs>
        <w:spacing w:line="360" w:lineRule="auto"/>
        <w:ind w:left="0" w:firstLine="0"/>
        <w:jc w:val="center"/>
        <w:rPr>
          <w:rFonts w:cs="Arial"/>
          <w:b/>
          <w:szCs w:val="26"/>
        </w:rPr>
      </w:pPr>
      <w:r w:rsidRPr="00FF4ACC">
        <w:rPr>
          <w:rFonts w:cs="Arial"/>
          <w:b/>
          <w:szCs w:val="26"/>
        </w:rPr>
        <w:t xml:space="preserve">ELEMENTOS </w:t>
      </w:r>
      <w:r w:rsidR="00760A20" w:rsidRPr="00FF4ACC">
        <w:rPr>
          <w:rFonts w:cs="Arial"/>
          <w:b/>
          <w:szCs w:val="26"/>
        </w:rPr>
        <w:t>NECESARIOS PARA RESOLVER</w:t>
      </w:r>
    </w:p>
    <w:p w14:paraId="13D75E57" w14:textId="77777777" w:rsidR="00A20ED3" w:rsidRPr="00FF4ACC" w:rsidRDefault="00A20ED3" w:rsidP="00A20ED3">
      <w:pPr>
        <w:tabs>
          <w:tab w:val="left" w:pos="851"/>
        </w:tabs>
        <w:spacing w:line="360" w:lineRule="auto"/>
        <w:rPr>
          <w:rFonts w:cs="Arial"/>
          <w:szCs w:val="26"/>
        </w:rPr>
      </w:pPr>
    </w:p>
    <w:p w14:paraId="524012E9" w14:textId="54C9F621" w:rsidR="00F50BA1" w:rsidRPr="00F914E2" w:rsidRDefault="009A6C4B" w:rsidP="00F914E2">
      <w:pPr>
        <w:pStyle w:val="corte4fondo"/>
        <w:numPr>
          <w:ilvl w:val="0"/>
          <w:numId w:val="2"/>
        </w:numPr>
        <w:ind w:left="0" w:hanging="426"/>
        <w:rPr>
          <w:rFonts w:cs="Arial"/>
          <w:bCs/>
          <w:szCs w:val="26"/>
        </w:rPr>
      </w:pPr>
      <w:r w:rsidRPr="004E135B">
        <w:rPr>
          <w:rFonts w:cs="Arial"/>
          <w:bCs/>
          <w:szCs w:val="26"/>
        </w:rPr>
        <w:t xml:space="preserve">Antes de </w:t>
      </w:r>
      <w:r w:rsidR="007F6DD8" w:rsidRPr="004E135B">
        <w:rPr>
          <w:rFonts w:cs="Arial"/>
          <w:bCs/>
          <w:szCs w:val="26"/>
        </w:rPr>
        <w:t xml:space="preserve">estudiar </w:t>
      </w:r>
      <w:r w:rsidR="001C4710" w:rsidRPr="004E135B">
        <w:rPr>
          <w:rFonts w:cs="Arial"/>
          <w:bCs/>
          <w:szCs w:val="26"/>
        </w:rPr>
        <w:t>el recurso de revisión hecho</w:t>
      </w:r>
      <w:r w:rsidR="007F6DD8" w:rsidRPr="004E135B">
        <w:rPr>
          <w:rFonts w:cs="Arial"/>
          <w:bCs/>
          <w:szCs w:val="26"/>
        </w:rPr>
        <w:t xml:space="preserve"> valer por </w:t>
      </w:r>
      <w:r w:rsidR="00401BC7" w:rsidRPr="004E135B">
        <w:rPr>
          <w:rFonts w:cs="Arial"/>
          <w:bCs/>
          <w:szCs w:val="26"/>
        </w:rPr>
        <w:t>el</w:t>
      </w:r>
      <w:r w:rsidR="007F6DD8" w:rsidRPr="004E135B">
        <w:rPr>
          <w:rFonts w:cs="Arial"/>
          <w:bCs/>
          <w:szCs w:val="26"/>
        </w:rPr>
        <w:t xml:space="preserve"> recurrente</w:t>
      </w:r>
      <w:r w:rsidR="004403ED" w:rsidRPr="004E135B">
        <w:rPr>
          <w:rFonts w:cs="Arial"/>
          <w:bCs/>
          <w:szCs w:val="26"/>
        </w:rPr>
        <w:t xml:space="preserve">, y considerando que éste fue </w:t>
      </w:r>
      <w:r w:rsidR="00E27C1C">
        <w:rPr>
          <w:rFonts w:cs="Arial"/>
          <w:bCs/>
          <w:szCs w:val="26"/>
        </w:rPr>
        <w:t xml:space="preserve">interpuesto por </w:t>
      </w:r>
      <w:r w:rsidR="004403ED" w:rsidRPr="004E135B">
        <w:rPr>
          <w:rFonts w:cs="Arial"/>
          <w:bCs/>
          <w:szCs w:val="26"/>
        </w:rPr>
        <w:t>el tercero interesado en el juicio de amparo</w:t>
      </w:r>
      <w:r w:rsidRPr="004E135B">
        <w:rPr>
          <w:rFonts w:cs="Arial"/>
          <w:bCs/>
          <w:szCs w:val="26"/>
        </w:rPr>
        <w:t>, es necesario tener presentes</w:t>
      </w:r>
      <w:r w:rsidR="00E64F1F" w:rsidRPr="004E135B">
        <w:rPr>
          <w:rFonts w:cs="Arial"/>
          <w:bCs/>
          <w:szCs w:val="26"/>
        </w:rPr>
        <w:t>:</w:t>
      </w:r>
      <w:r w:rsidRPr="004E135B">
        <w:rPr>
          <w:rFonts w:cs="Arial"/>
          <w:bCs/>
          <w:szCs w:val="26"/>
        </w:rPr>
        <w:t xml:space="preserve"> </w:t>
      </w:r>
      <w:r w:rsidR="008272A0" w:rsidRPr="004E135B">
        <w:rPr>
          <w:rFonts w:cs="Arial"/>
          <w:bCs/>
          <w:szCs w:val="26"/>
        </w:rPr>
        <w:t xml:space="preserve">a) </w:t>
      </w:r>
      <w:r w:rsidR="005F6A16">
        <w:rPr>
          <w:rFonts w:cs="Arial"/>
          <w:bCs/>
          <w:szCs w:val="26"/>
        </w:rPr>
        <w:t xml:space="preserve">los conceptos de violación esgrimidos en la demanda de amparo, </w:t>
      </w:r>
      <w:r w:rsidR="00F914E2">
        <w:rPr>
          <w:rFonts w:cs="Arial"/>
          <w:bCs/>
          <w:szCs w:val="26"/>
        </w:rPr>
        <w:t xml:space="preserve">b) </w:t>
      </w:r>
      <w:r w:rsidRPr="00F914E2">
        <w:rPr>
          <w:rFonts w:cs="Arial"/>
          <w:bCs/>
          <w:szCs w:val="26"/>
        </w:rPr>
        <w:t xml:space="preserve">las consideraciones del </w:t>
      </w:r>
      <w:r w:rsidR="007F6DD8" w:rsidRPr="00F914E2">
        <w:rPr>
          <w:rFonts w:cs="Arial"/>
          <w:bCs/>
          <w:szCs w:val="26"/>
        </w:rPr>
        <w:t>Juzgado</w:t>
      </w:r>
      <w:r w:rsidRPr="00F914E2">
        <w:rPr>
          <w:rFonts w:cs="Arial"/>
          <w:bCs/>
          <w:szCs w:val="26"/>
        </w:rPr>
        <w:t xml:space="preserve"> de Distrito</w:t>
      </w:r>
      <w:r w:rsidR="004403ED" w:rsidRPr="00F914E2">
        <w:rPr>
          <w:rFonts w:cs="Arial"/>
          <w:bCs/>
          <w:szCs w:val="26"/>
        </w:rPr>
        <w:t xml:space="preserve"> para conceder la protección constitucional solicitada por el quejoso</w:t>
      </w:r>
      <w:r w:rsidR="00E64F1F" w:rsidRPr="00F914E2">
        <w:rPr>
          <w:rFonts w:cs="Arial"/>
          <w:bCs/>
          <w:szCs w:val="26"/>
        </w:rPr>
        <w:t>,</w:t>
      </w:r>
      <w:r w:rsidRPr="00F914E2">
        <w:rPr>
          <w:rFonts w:cs="Arial"/>
          <w:bCs/>
          <w:szCs w:val="26"/>
        </w:rPr>
        <w:t xml:space="preserve"> y</w:t>
      </w:r>
      <w:r w:rsidR="00F50BA1" w:rsidRPr="00F914E2">
        <w:rPr>
          <w:rFonts w:cs="Arial"/>
          <w:bCs/>
          <w:szCs w:val="26"/>
        </w:rPr>
        <w:t xml:space="preserve"> </w:t>
      </w:r>
      <w:r w:rsidR="00F914E2">
        <w:rPr>
          <w:rFonts w:cs="Arial"/>
          <w:bCs/>
          <w:szCs w:val="26"/>
        </w:rPr>
        <w:t>c</w:t>
      </w:r>
      <w:r w:rsidR="008272A0" w:rsidRPr="00F914E2">
        <w:rPr>
          <w:rFonts w:cs="Arial"/>
          <w:bCs/>
          <w:szCs w:val="26"/>
        </w:rPr>
        <w:t xml:space="preserve">) </w:t>
      </w:r>
      <w:r w:rsidRPr="00F914E2">
        <w:rPr>
          <w:rFonts w:cs="Arial"/>
          <w:bCs/>
          <w:szCs w:val="26"/>
        </w:rPr>
        <w:t>lo</w:t>
      </w:r>
      <w:r w:rsidR="00F50BA1" w:rsidRPr="00F914E2">
        <w:rPr>
          <w:rFonts w:cs="Arial"/>
          <w:bCs/>
          <w:szCs w:val="26"/>
        </w:rPr>
        <w:t>s</w:t>
      </w:r>
      <w:r w:rsidRPr="00F914E2">
        <w:rPr>
          <w:rFonts w:cs="Arial"/>
          <w:bCs/>
          <w:szCs w:val="26"/>
        </w:rPr>
        <w:t xml:space="preserve"> agravios </w:t>
      </w:r>
      <w:r w:rsidR="00DD6937" w:rsidRPr="00F914E2">
        <w:rPr>
          <w:rFonts w:cs="Arial"/>
          <w:bCs/>
          <w:szCs w:val="26"/>
        </w:rPr>
        <w:t>con los que se combate la sentencia recurrida</w:t>
      </w:r>
      <w:r w:rsidRPr="00F914E2">
        <w:rPr>
          <w:rFonts w:cs="Arial"/>
          <w:bCs/>
          <w:szCs w:val="26"/>
        </w:rPr>
        <w:t xml:space="preserve">. </w:t>
      </w:r>
    </w:p>
    <w:p w14:paraId="7294F0F9" w14:textId="77777777" w:rsidR="004E135B" w:rsidRPr="004E135B" w:rsidRDefault="004E135B" w:rsidP="004E135B">
      <w:pPr>
        <w:pStyle w:val="corte4fondo"/>
        <w:ind w:firstLine="0"/>
        <w:rPr>
          <w:rFonts w:cs="Arial"/>
          <w:bCs/>
          <w:szCs w:val="26"/>
        </w:rPr>
      </w:pPr>
    </w:p>
    <w:p w14:paraId="4995FE88" w14:textId="38FE131E" w:rsidR="00C60CEE" w:rsidRDefault="00C60CEE" w:rsidP="00F27A4A">
      <w:pPr>
        <w:pStyle w:val="corte4fondo"/>
        <w:numPr>
          <w:ilvl w:val="0"/>
          <w:numId w:val="2"/>
        </w:numPr>
        <w:ind w:left="0" w:hanging="426"/>
        <w:rPr>
          <w:rFonts w:cs="Arial"/>
          <w:bCs/>
          <w:szCs w:val="26"/>
        </w:rPr>
      </w:pPr>
      <w:r>
        <w:rPr>
          <w:rFonts w:cs="Arial"/>
          <w:bCs/>
          <w:szCs w:val="26"/>
        </w:rPr>
        <w:t xml:space="preserve">Demanda de amparo. La parte quejosa hizo valer en esencia, los siguientes conceptos de violación: </w:t>
      </w:r>
    </w:p>
    <w:p w14:paraId="03DEE947" w14:textId="77777777" w:rsidR="00C60CEE" w:rsidRDefault="00C60CEE" w:rsidP="00C60CEE">
      <w:pPr>
        <w:pStyle w:val="Prrafodelista"/>
        <w:rPr>
          <w:rFonts w:cs="Arial"/>
          <w:bCs/>
          <w:szCs w:val="26"/>
        </w:rPr>
      </w:pPr>
    </w:p>
    <w:p w14:paraId="64301F85" w14:textId="270BCF9A" w:rsidR="000823D4" w:rsidRDefault="00B848FF" w:rsidP="00275FE9">
      <w:pPr>
        <w:pStyle w:val="corte4fondo"/>
        <w:numPr>
          <w:ilvl w:val="0"/>
          <w:numId w:val="27"/>
        </w:numPr>
        <w:ind w:left="426"/>
        <w:rPr>
          <w:rFonts w:cs="Arial"/>
          <w:bCs/>
          <w:szCs w:val="26"/>
        </w:rPr>
      </w:pPr>
      <w:r>
        <w:rPr>
          <w:rFonts w:cs="Arial"/>
          <w:bCs/>
          <w:szCs w:val="26"/>
        </w:rPr>
        <w:t xml:space="preserve">Que se vulneran en su perjuicio </w:t>
      </w:r>
      <w:r w:rsidR="0025155B">
        <w:rPr>
          <w:rFonts w:cs="Arial"/>
          <w:bCs/>
          <w:szCs w:val="26"/>
        </w:rPr>
        <w:t xml:space="preserve">los derechos consagrados en los artículos 14 y 16 constitucionales, de </w:t>
      </w:r>
      <w:r w:rsidRPr="0025155B">
        <w:rPr>
          <w:rFonts w:cs="Arial"/>
          <w:bCs/>
          <w:szCs w:val="26"/>
        </w:rPr>
        <w:t xml:space="preserve">legalidad y seguridad jurídicas, ya que </w:t>
      </w:r>
      <w:r w:rsidR="0032098A">
        <w:rPr>
          <w:rFonts w:cs="Arial"/>
          <w:bCs/>
          <w:szCs w:val="26"/>
        </w:rPr>
        <w:t>al declarar procedente el recurso de revocación que interpuso el tercero perjudicado</w:t>
      </w:r>
      <w:r w:rsidR="00A548A3">
        <w:rPr>
          <w:rFonts w:cs="Arial"/>
          <w:bCs/>
          <w:szCs w:val="26"/>
        </w:rPr>
        <w:t xml:space="preserve"> en contra del acuerdo de trece de enero de dos mil dieciséis, mediante el cual se dio entrada y se aceptó a trámite el incidente de nulidad de actuación que promovió en el juicio natural</w:t>
      </w:r>
      <w:r w:rsidR="00D42E7D">
        <w:rPr>
          <w:rFonts w:cs="Arial"/>
          <w:bCs/>
          <w:szCs w:val="26"/>
        </w:rPr>
        <w:t xml:space="preserve">, ya </w:t>
      </w:r>
      <w:r w:rsidR="00D42E7D">
        <w:rPr>
          <w:rFonts w:cs="Arial"/>
          <w:bCs/>
          <w:szCs w:val="26"/>
        </w:rPr>
        <w:lastRenderedPageBreak/>
        <w:t xml:space="preserve">que se dejó de considerar que conforme al artículo 1356 del Código de Comercio, se establece que serán apelables las resoluciones que se dicten en los incidentes. </w:t>
      </w:r>
    </w:p>
    <w:p w14:paraId="27575C86" w14:textId="77777777" w:rsidR="00A243D6" w:rsidRDefault="00A243D6" w:rsidP="00275FE9">
      <w:pPr>
        <w:pStyle w:val="corte4fondo"/>
        <w:ind w:left="426" w:hanging="360"/>
        <w:rPr>
          <w:rFonts w:cs="Arial"/>
          <w:bCs/>
          <w:szCs w:val="26"/>
        </w:rPr>
      </w:pPr>
    </w:p>
    <w:p w14:paraId="2A0E18E3" w14:textId="6685C64F" w:rsidR="000823D4" w:rsidRDefault="00B643F9" w:rsidP="00275FE9">
      <w:pPr>
        <w:pStyle w:val="corte4fondo"/>
        <w:numPr>
          <w:ilvl w:val="0"/>
          <w:numId w:val="27"/>
        </w:numPr>
        <w:ind w:left="426"/>
        <w:rPr>
          <w:rFonts w:cs="Arial"/>
          <w:bCs/>
          <w:szCs w:val="26"/>
        </w:rPr>
      </w:pPr>
      <w:r>
        <w:rPr>
          <w:rFonts w:cs="Arial"/>
          <w:bCs/>
          <w:szCs w:val="26"/>
        </w:rPr>
        <w:t xml:space="preserve">El acuerdo </w:t>
      </w:r>
      <w:r w:rsidR="00E245E2">
        <w:rPr>
          <w:rFonts w:cs="Arial"/>
          <w:bCs/>
          <w:szCs w:val="26"/>
        </w:rPr>
        <w:t>antes mencionado</w:t>
      </w:r>
      <w:r>
        <w:rPr>
          <w:rFonts w:cs="Arial"/>
          <w:bCs/>
          <w:szCs w:val="26"/>
        </w:rPr>
        <w:t xml:space="preserve"> es apelable, ya que se admitió a trámite el incidente de nulidad de actuaciones </w:t>
      </w:r>
      <w:proofErr w:type="gramStart"/>
      <w:r>
        <w:rPr>
          <w:rFonts w:cs="Arial"/>
          <w:bCs/>
          <w:szCs w:val="26"/>
        </w:rPr>
        <w:t>y</w:t>
      </w:r>
      <w:proofErr w:type="gramEnd"/>
      <w:r>
        <w:rPr>
          <w:rFonts w:cs="Arial"/>
          <w:bCs/>
          <w:szCs w:val="26"/>
        </w:rPr>
        <w:t xml:space="preserve"> por ende, ese acuerdo no es revocable</w:t>
      </w:r>
      <w:r w:rsidR="00BB2C76">
        <w:rPr>
          <w:rFonts w:cs="Arial"/>
          <w:bCs/>
          <w:szCs w:val="26"/>
        </w:rPr>
        <w:t xml:space="preserve">, y al haberse declarado procedente el recurso de revocación, se vulneraron las formalidades esenciales del procedimiento. </w:t>
      </w:r>
    </w:p>
    <w:p w14:paraId="719C80AC" w14:textId="77777777" w:rsidR="00763C76" w:rsidRDefault="00763C76" w:rsidP="00275FE9">
      <w:pPr>
        <w:pStyle w:val="Prrafodelista"/>
        <w:ind w:left="426" w:hanging="360"/>
        <w:rPr>
          <w:rFonts w:cs="Arial"/>
          <w:bCs/>
          <w:szCs w:val="26"/>
        </w:rPr>
      </w:pPr>
    </w:p>
    <w:p w14:paraId="4ABA5EE1" w14:textId="2BD5A5B0" w:rsidR="00C60CEE" w:rsidRDefault="00763C76" w:rsidP="00275FE9">
      <w:pPr>
        <w:pStyle w:val="corte4fondo"/>
        <w:numPr>
          <w:ilvl w:val="0"/>
          <w:numId w:val="27"/>
        </w:numPr>
        <w:ind w:left="426"/>
        <w:rPr>
          <w:rFonts w:cs="Arial"/>
          <w:bCs/>
          <w:szCs w:val="26"/>
        </w:rPr>
      </w:pPr>
      <w:r>
        <w:rPr>
          <w:rFonts w:cs="Arial"/>
          <w:bCs/>
          <w:szCs w:val="26"/>
        </w:rPr>
        <w:t>Se vulnera</w:t>
      </w:r>
      <w:r w:rsidR="00E94EC8">
        <w:rPr>
          <w:rFonts w:cs="Arial"/>
          <w:bCs/>
          <w:szCs w:val="26"/>
        </w:rPr>
        <w:t>n en su perjuicio los derechos consagrados en los artículos 14 y 16 constitucionales, al considerar en la resolución de</w:t>
      </w:r>
      <w:r w:rsidR="00137A94">
        <w:rPr>
          <w:rFonts w:cs="Arial"/>
          <w:bCs/>
          <w:szCs w:val="26"/>
        </w:rPr>
        <w:t xml:space="preserve">l incidente de nulidad de actuaciones, que es procedente el recurso de revocación interpuesto por el tercero perjudicado contra el acuerdo que dio entrada al incidente </w:t>
      </w:r>
      <w:r w:rsidR="00DC09B9">
        <w:rPr>
          <w:rFonts w:cs="Arial"/>
          <w:bCs/>
          <w:szCs w:val="26"/>
        </w:rPr>
        <w:t xml:space="preserve">de nulidad, </w:t>
      </w:r>
      <w:r w:rsidRPr="00DC09B9">
        <w:rPr>
          <w:rFonts w:cs="Arial"/>
          <w:bCs/>
          <w:szCs w:val="26"/>
        </w:rPr>
        <w:t>ya que conforme a los artículos 1054, 1079 fracción VI y 1414 del Código de Comercio, en relación con el 297 fracción II del Código Federal de Procedimientos Civiles, el incidente de nulidad de actuaciones debe promoverse dentro del plazo de</w:t>
      </w:r>
      <w:r w:rsidR="006672E5">
        <w:rPr>
          <w:rFonts w:cs="Arial"/>
          <w:bCs/>
          <w:szCs w:val="26"/>
        </w:rPr>
        <w:t xml:space="preserve"> tres días </w:t>
      </w:r>
      <w:r w:rsidRPr="00DC09B9">
        <w:rPr>
          <w:rFonts w:cs="Arial"/>
          <w:bCs/>
          <w:szCs w:val="26"/>
        </w:rPr>
        <w:t xml:space="preserve">y que el </w:t>
      </w:r>
      <w:r w:rsidR="006672E5">
        <w:rPr>
          <w:rFonts w:cs="Arial"/>
          <w:bCs/>
          <w:szCs w:val="26"/>
        </w:rPr>
        <w:t>quejoso lo realizó</w:t>
      </w:r>
      <w:r w:rsidRPr="00DC09B9">
        <w:rPr>
          <w:rFonts w:cs="Arial"/>
          <w:bCs/>
          <w:szCs w:val="26"/>
        </w:rPr>
        <w:t xml:space="preserve"> fuera de ese plazo.</w:t>
      </w:r>
    </w:p>
    <w:p w14:paraId="3ED3310E" w14:textId="77777777" w:rsidR="00DC09B9" w:rsidRDefault="00DC09B9" w:rsidP="00275FE9">
      <w:pPr>
        <w:pStyle w:val="Prrafodelista"/>
        <w:ind w:left="426" w:hanging="360"/>
        <w:rPr>
          <w:rFonts w:cs="Arial"/>
          <w:bCs/>
          <w:szCs w:val="26"/>
        </w:rPr>
      </w:pPr>
    </w:p>
    <w:p w14:paraId="4D7DD5B5" w14:textId="7174A50C" w:rsidR="00C60CEE" w:rsidRDefault="00B8302B" w:rsidP="00275FE9">
      <w:pPr>
        <w:pStyle w:val="corte4fondo"/>
        <w:numPr>
          <w:ilvl w:val="0"/>
          <w:numId w:val="27"/>
        </w:numPr>
        <w:ind w:left="426"/>
        <w:rPr>
          <w:rFonts w:cs="Arial"/>
          <w:bCs/>
          <w:szCs w:val="26"/>
        </w:rPr>
      </w:pPr>
      <w:r>
        <w:rPr>
          <w:rFonts w:cs="Arial"/>
          <w:bCs/>
          <w:szCs w:val="26"/>
        </w:rPr>
        <w:t xml:space="preserve">Con lo anterior, se dejó de considerar que conforme al </w:t>
      </w:r>
      <w:r w:rsidRPr="00B8302B">
        <w:rPr>
          <w:rFonts w:cs="Arial"/>
          <w:bCs/>
          <w:szCs w:val="26"/>
        </w:rPr>
        <w:t>artículo 1054 del Código de Comercio, cuando no exista una supletoriedad expresa, los juicios mercantiles se regirán por las disposiciones del libro quinto de dicho Código y en su defecto</w:t>
      </w:r>
      <w:r w:rsidR="00BA5E33">
        <w:rPr>
          <w:rFonts w:cs="Arial"/>
          <w:bCs/>
          <w:szCs w:val="26"/>
        </w:rPr>
        <w:t>,</w:t>
      </w:r>
      <w:r w:rsidRPr="00B8302B">
        <w:rPr>
          <w:rFonts w:cs="Arial"/>
          <w:bCs/>
          <w:szCs w:val="26"/>
        </w:rPr>
        <w:t xml:space="preserve"> se aplicará supletoriamente el Código Federal de Procedimientos Civiles y en caso de que éste no regule suficientemente la </w:t>
      </w:r>
      <w:r w:rsidR="00BA5E33">
        <w:rPr>
          <w:rFonts w:cs="Arial"/>
          <w:bCs/>
          <w:szCs w:val="26"/>
        </w:rPr>
        <w:t>i</w:t>
      </w:r>
      <w:r w:rsidRPr="00B8302B">
        <w:rPr>
          <w:rFonts w:cs="Arial"/>
          <w:bCs/>
          <w:szCs w:val="26"/>
        </w:rPr>
        <w:t>nstitución cuya supletoriedad se requiera, se aplicara la ley de procedimientos local respectiva.</w:t>
      </w:r>
    </w:p>
    <w:p w14:paraId="6DE39E0F" w14:textId="77777777" w:rsidR="00BA5E33" w:rsidRDefault="00BA5E33" w:rsidP="00275FE9">
      <w:pPr>
        <w:pStyle w:val="Prrafodelista"/>
        <w:ind w:left="426" w:hanging="360"/>
        <w:rPr>
          <w:rFonts w:cs="Arial"/>
          <w:bCs/>
          <w:szCs w:val="26"/>
        </w:rPr>
      </w:pPr>
    </w:p>
    <w:p w14:paraId="13752AD2" w14:textId="6A63B4C8" w:rsidR="00C60CEE" w:rsidRDefault="002F39D5" w:rsidP="00275FE9">
      <w:pPr>
        <w:pStyle w:val="corte4fondo"/>
        <w:numPr>
          <w:ilvl w:val="0"/>
          <w:numId w:val="27"/>
        </w:numPr>
        <w:ind w:left="426"/>
        <w:rPr>
          <w:rFonts w:cs="Arial"/>
          <w:bCs/>
          <w:szCs w:val="26"/>
        </w:rPr>
      </w:pPr>
      <w:r>
        <w:rPr>
          <w:rFonts w:cs="Arial"/>
          <w:bCs/>
          <w:szCs w:val="26"/>
        </w:rPr>
        <w:t>E</w:t>
      </w:r>
      <w:r w:rsidRPr="002F39D5">
        <w:rPr>
          <w:rFonts w:cs="Arial"/>
          <w:bCs/>
          <w:szCs w:val="26"/>
        </w:rPr>
        <w:t>n cuanto a los incidentes de nulidad, ni el Código de Comercio, ni el Código Federal de Procedimientos Civiles establecen el plazo en el cual</w:t>
      </w:r>
      <w:r w:rsidR="00785217">
        <w:rPr>
          <w:rFonts w:cs="Arial"/>
          <w:bCs/>
          <w:szCs w:val="26"/>
        </w:rPr>
        <w:t xml:space="preserve"> </w:t>
      </w:r>
      <w:r w:rsidRPr="00785217">
        <w:rPr>
          <w:rFonts w:cs="Arial"/>
          <w:bCs/>
          <w:szCs w:val="26"/>
        </w:rPr>
        <w:t xml:space="preserve">se deben interponer, sin embargo, el artículo 74 del Código de Procedimientos Civiles </w:t>
      </w:r>
      <w:r w:rsidR="008144CA">
        <w:rPr>
          <w:rFonts w:cs="Arial"/>
          <w:bCs/>
          <w:szCs w:val="26"/>
        </w:rPr>
        <w:t xml:space="preserve">para </w:t>
      </w:r>
      <w:r w:rsidRPr="00785217">
        <w:rPr>
          <w:rFonts w:cs="Arial"/>
          <w:bCs/>
          <w:szCs w:val="26"/>
        </w:rPr>
        <w:t>el Estado</w:t>
      </w:r>
      <w:r w:rsidR="008144CA">
        <w:rPr>
          <w:rFonts w:cs="Arial"/>
          <w:bCs/>
          <w:szCs w:val="26"/>
        </w:rPr>
        <w:t xml:space="preserve"> de Oaxaca</w:t>
      </w:r>
      <w:r w:rsidRPr="00785217">
        <w:rPr>
          <w:rFonts w:cs="Arial"/>
          <w:bCs/>
          <w:szCs w:val="26"/>
        </w:rPr>
        <w:t>, establece que la nulidad de una actuación debe reclamarse en la actuación</w:t>
      </w:r>
      <w:r w:rsidR="00785217">
        <w:rPr>
          <w:rFonts w:cs="Arial"/>
          <w:bCs/>
          <w:szCs w:val="26"/>
        </w:rPr>
        <w:t xml:space="preserve"> </w:t>
      </w:r>
      <w:r w:rsidRPr="00785217">
        <w:rPr>
          <w:rFonts w:cs="Arial"/>
          <w:bCs/>
          <w:szCs w:val="26"/>
        </w:rPr>
        <w:t xml:space="preserve">subsecuente, por lo tanto, en cuanto al caso concreto, es </w:t>
      </w:r>
      <w:r w:rsidR="008144CA">
        <w:rPr>
          <w:rFonts w:cs="Arial"/>
          <w:bCs/>
          <w:szCs w:val="26"/>
        </w:rPr>
        <w:t>e</w:t>
      </w:r>
      <w:r w:rsidRPr="00785217">
        <w:rPr>
          <w:rFonts w:cs="Arial"/>
          <w:bCs/>
          <w:szCs w:val="26"/>
        </w:rPr>
        <w:t xml:space="preserve">ste artículo </w:t>
      </w:r>
      <w:r w:rsidR="00785217">
        <w:rPr>
          <w:rFonts w:cs="Arial"/>
          <w:bCs/>
          <w:szCs w:val="26"/>
        </w:rPr>
        <w:t>el</w:t>
      </w:r>
      <w:r w:rsidRPr="00785217">
        <w:rPr>
          <w:rFonts w:cs="Arial"/>
          <w:bCs/>
          <w:szCs w:val="26"/>
        </w:rPr>
        <w:t xml:space="preserve"> que se debe aplicar y no el Código Federal de Procedimientos Civiles como equivocadamente lo considera el Juez Responsable.</w:t>
      </w:r>
    </w:p>
    <w:p w14:paraId="407CF8C8" w14:textId="77777777" w:rsidR="00A35934" w:rsidRDefault="00A35934" w:rsidP="00275FE9">
      <w:pPr>
        <w:pStyle w:val="Prrafodelista"/>
        <w:ind w:left="426" w:hanging="360"/>
        <w:rPr>
          <w:rFonts w:cs="Arial"/>
          <w:bCs/>
          <w:szCs w:val="26"/>
        </w:rPr>
      </w:pPr>
    </w:p>
    <w:p w14:paraId="7235DF0C" w14:textId="51CFDD18" w:rsidR="00DC09B9" w:rsidRDefault="003B17C3" w:rsidP="00275FE9">
      <w:pPr>
        <w:pStyle w:val="corte4fondo"/>
        <w:numPr>
          <w:ilvl w:val="0"/>
          <w:numId w:val="27"/>
        </w:numPr>
        <w:ind w:left="426"/>
        <w:rPr>
          <w:rFonts w:cs="Arial"/>
          <w:bCs/>
          <w:szCs w:val="26"/>
        </w:rPr>
      </w:pPr>
      <w:r>
        <w:rPr>
          <w:rFonts w:cs="Arial"/>
          <w:bCs/>
          <w:szCs w:val="26"/>
        </w:rPr>
        <w:t xml:space="preserve">Así, el </w:t>
      </w:r>
      <w:r w:rsidRPr="003B17C3">
        <w:rPr>
          <w:rFonts w:cs="Arial"/>
          <w:bCs/>
          <w:szCs w:val="26"/>
        </w:rPr>
        <w:t xml:space="preserve">incidente de nulidad de actuaciones </w:t>
      </w:r>
      <w:r w:rsidR="009B2CAF">
        <w:rPr>
          <w:rFonts w:cs="Arial"/>
          <w:bCs/>
          <w:szCs w:val="26"/>
        </w:rPr>
        <w:t>se promovió</w:t>
      </w:r>
      <w:r w:rsidRPr="003B17C3">
        <w:rPr>
          <w:rFonts w:cs="Arial"/>
          <w:bCs/>
          <w:szCs w:val="26"/>
        </w:rPr>
        <w:t xml:space="preserve"> en los términos previstos por el artículo 74 del Código de Procedimientos Civiles </w:t>
      </w:r>
      <w:r w:rsidR="00F3719C">
        <w:rPr>
          <w:rFonts w:cs="Arial"/>
          <w:bCs/>
          <w:szCs w:val="26"/>
        </w:rPr>
        <w:t>para el</w:t>
      </w:r>
      <w:r w:rsidRPr="003B17C3">
        <w:rPr>
          <w:rFonts w:cs="Arial"/>
          <w:bCs/>
          <w:szCs w:val="26"/>
        </w:rPr>
        <w:t xml:space="preserve"> Estado de</w:t>
      </w:r>
      <w:r w:rsidR="00F3719C">
        <w:rPr>
          <w:rFonts w:cs="Arial"/>
          <w:bCs/>
          <w:szCs w:val="26"/>
        </w:rPr>
        <w:t xml:space="preserve"> Oaxaca de</w:t>
      </w:r>
      <w:r w:rsidRPr="003B17C3">
        <w:rPr>
          <w:rFonts w:cs="Arial"/>
          <w:bCs/>
          <w:szCs w:val="26"/>
        </w:rPr>
        <w:t xml:space="preserve"> aplicación supletoria a la materia, tal como como lo establece el artículo 1054 de Código de Comercio, esto es, </w:t>
      </w:r>
      <w:r w:rsidR="009B2CAF">
        <w:rPr>
          <w:rFonts w:cs="Arial"/>
          <w:bCs/>
          <w:szCs w:val="26"/>
        </w:rPr>
        <w:t>en la actuación subsecuente</w:t>
      </w:r>
      <w:r w:rsidRPr="003B17C3">
        <w:rPr>
          <w:rFonts w:cs="Arial"/>
          <w:bCs/>
          <w:szCs w:val="26"/>
        </w:rPr>
        <w:t xml:space="preserve">, ya que si el día </w:t>
      </w:r>
      <w:r w:rsidR="00762F00">
        <w:rPr>
          <w:rFonts w:cs="Arial"/>
          <w:bCs/>
          <w:szCs w:val="26"/>
        </w:rPr>
        <w:t>tres</w:t>
      </w:r>
      <w:r w:rsidRPr="003B17C3">
        <w:rPr>
          <w:rFonts w:cs="Arial"/>
          <w:bCs/>
          <w:szCs w:val="26"/>
        </w:rPr>
        <w:t xml:space="preserve"> de diciembre de </w:t>
      </w:r>
      <w:r w:rsidR="00762F00">
        <w:rPr>
          <w:rFonts w:cs="Arial"/>
          <w:bCs/>
          <w:szCs w:val="26"/>
        </w:rPr>
        <w:t>dos mil quince</w:t>
      </w:r>
      <w:r w:rsidRPr="003B17C3">
        <w:rPr>
          <w:rFonts w:cs="Arial"/>
          <w:bCs/>
          <w:szCs w:val="26"/>
        </w:rPr>
        <w:t xml:space="preserve">, al momento en que se </w:t>
      </w:r>
      <w:r w:rsidR="002C0702">
        <w:rPr>
          <w:rFonts w:cs="Arial"/>
          <w:bCs/>
          <w:szCs w:val="26"/>
        </w:rPr>
        <w:t>l</w:t>
      </w:r>
      <w:r w:rsidRPr="003B17C3">
        <w:rPr>
          <w:rFonts w:cs="Arial"/>
          <w:bCs/>
          <w:szCs w:val="26"/>
        </w:rPr>
        <w:t>e notific</w:t>
      </w:r>
      <w:r w:rsidR="002C0702">
        <w:rPr>
          <w:rFonts w:cs="Arial"/>
          <w:bCs/>
          <w:szCs w:val="26"/>
        </w:rPr>
        <w:t>ó</w:t>
      </w:r>
      <w:r w:rsidRPr="003B17C3">
        <w:rPr>
          <w:rFonts w:cs="Arial"/>
          <w:bCs/>
          <w:szCs w:val="26"/>
        </w:rPr>
        <w:t xml:space="preserve"> el acuerdo de fecha </w:t>
      </w:r>
      <w:r w:rsidR="002C0702">
        <w:rPr>
          <w:rFonts w:cs="Arial"/>
          <w:bCs/>
          <w:szCs w:val="26"/>
        </w:rPr>
        <w:t>dieciocho</w:t>
      </w:r>
      <w:r w:rsidRPr="003B17C3">
        <w:rPr>
          <w:rFonts w:cs="Arial"/>
          <w:bCs/>
          <w:szCs w:val="26"/>
        </w:rPr>
        <w:t xml:space="preserve"> de noviembre de </w:t>
      </w:r>
      <w:r w:rsidR="002C0702">
        <w:rPr>
          <w:rFonts w:cs="Arial"/>
          <w:bCs/>
          <w:szCs w:val="26"/>
        </w:rPr>
        <w:t>dos mil quince</w:t>
      </w:r>
      <w:r w:rsidRPr="003B17C3">
        <w:rPr>
          <w:rFonts w:cs="Arial"/>
          <w:bCs/>
          <w:szCs w:val="26"/>
        </w:rPr>
        <w:t xml:space="preserve">, </w:t>
      </w:r>
      <w:r w:rsidR="002C0702">
        <w:rPr>
          <w:rFonts w:cs="Arial"/>
          <w:bCs/>
          <w:szCs w:val="26"/>
        </w:rPr>
        <w:t>s</w:t>
      </w:r>
      <w:r w:rsidRPr="003B17C3">
        <w:rPr>
          <w:rFonts w:cs="Arial"/>
          <w:bCs/>
          <w:szCs w:val="26"/>
        </w:rPr>
        <w:t>e enter</w:t>
      </w:r>
      <w:r w:rsidR="002C0702">
        <w:rPr>
          <w:rFonts w:cs="Arial"/>
          <w:bCs/>
          <w:szCs w:val="26"/>
        </w:rPr>
        <w:t>ó</w:t>
      </w:r>
      <w:r w:rsidRPr="003B17C3">
        <w:rPr>
          <w:rFonts w:cs="Arial"/>
          <w:bCs/>
          <w:szCs w:val="26"/>
        </w:rPr>
        <w:t xml:space="preserve"> de los hechos que fundan dicho incidente, y al promoverlo con fecha </w:t>
      </w:r>
      <w:r w:rsidR="003C0A8C">
        <w:rPr>
          <w:rFonts w:cs="Arial"/>
          <w:bCs/>
          <w:szCs w:val="26"/>
        </w:rPr>
        <w:t>catorce</w:t>
      </w:r>
      <w:r w:rsidRPr="003B17C3">
        <w:rPr>
          <w:rFonts w:cs="Arial"/>
          <w:bCs/>
          <w:szCs w:val="26"/>
        </w:rPr>
        <w:t xml:space="preserve"> de diciembre de </w:t>
      </w:r>
      <w:r w:rsidR="003C0A8C">
        <w:rPr>
          <w:rFonts w:cs="Arial"/>
          <w:bCs/>
          <w:szCs w:val="26"/>
        </w:rPr>
        <w:t>dos mil dieciséis</w:t>
      </w:r>
      <w:r w:rsidRPr="003B17C3">
        <w:rPr>
          <w:rFonts w:cs="Arial"/>
          <w:bCs/>
          <w:szCs w:val="26"/>
        </w:rPr>
        <w:t>, cuando entre ésta promoción y la última notificación no mediaba actuación alguna, es claro que precisamente la promoción del referido incidente de nulidad, es la promoción subsecuente.</w:t>
      </w:r>
    </w:p>
    <w:p w14:paraId="1627BD00" w14:textId="77777777" w:rsidR="00DC09B9" w:rsidRPr="009E73A8" w:rsidRDefault="00DC09B9" w:rsidP="009E73A8">
      <w:pPr>
        <w:pStyle w:val="corte4fondo"/>
        <w:ind w:firstLine="0"/>
        <w:rPr>
          <w:rFonts w:cs="Arial"/>
          <w:bCs/>
          <w:szCs w:val="26"/>
        </w:rPr>
      </w:pPr>
    </w:p>
    <w:p w14:paraId="648AA92A" w14:textId="2CF034D6" w:rsidR="004403ED" w:rsidRDefault="00F50BA1" w:rsidP="00F27A4A">
      <w:pPr>
        <w:pStyle w:val="corte4fondo"/>
        <w:numPr>
          <w:ilvl w:val="0"/>
          <w:numId w:val="2"/>
        </w:numPr>
        <w:ind w:left="0" w:hanging="426"/>
        <w:rPr>
          <w:rFonts w:cs="Arial"/>
          <w:bCs/>
          <w:szCs w:val="26"/>
        </w:rPr>
      </w:pPr>
      <w:r w:rsidRPr="00FF4ACC">
        <w:rPr>
          <w:rFonts w:cs="Arial"/>
          <w:b/>
          <w:szCs w:val="26"/>
        </w:rPr>
        <w:t>Sentencia de amparo.</w:t>
      </w:r>
      <w:r w:rsidR="001004A8" w:rsidRPr="00FF4ACC">
        <w:rPr>
          <w:rFonts w:cs="Arial"/>
          <w:bCs/>
          <w:szCs w:val="26"/>
        </w:rPr>
        <w:t xml:space="preserve"> </w:t>
      </w:r>
      <w:r w:rsidR="00254403" w:rsidRPr="00FF4ACC">
        <w:rPr>
          <w:rFonts w:cs="Arial"/>
          <w:bCs/>
          <w:szCs w:val="26"/>
        </w:rPr>
        <w:t xml:space="preserve">En su sentencia, el </w:t>
      </w:r>
      <w:r w:rsidR="004403ED">
        <w:rPr>
          <w:rFonts w:cs="Arial"/>
          <w:bCs/>
          <w:szCs w:val="26"/>
        </w:rPr>
        <w:t xml:space="preserve">Juez de Distrito concedió el amparo al quejoso, bajo las siguientes consideraciones: </w:t>
      </w:r>
    </w:p>
    <w:p w14:paraId="1BD40B04" w14:textId="77777777" w:rsidR="004403ED" w:rsidRDefault="004403ED" w:rsidP="004403ED">
      <w:pPr>
        <w:pStyle w:val="corte4fondo"/>
        <w:ind w:firstLine="0"/>
        <w:rPr>
          <w:rFonts w:cs="Arial"/>
          <w:bCs/>
          <w:szCs w:val="26"/>
        </w:rPr>
      </w:pPr>
    </w:p>
    <w:p w14:paraId="4DBF7C28" w14:textId="77777777" w:rsidR="00732C8C" w:rsidRDefault="00B80FB1" w:rsidP="00B80FB1">
      <w:pPr>
        <w:pStyle w:val="Prrafodelista"/>
        <w:numPr>
          <w:ilvl w:val="0"/>
          <w:numId w:val="22"/>
        </w:numPr>
        <w:spacing w:line="360" w:lineRule="auto"/>
        <w:ind w:left="426" w:hanging="426"/>
        <w:rPr>
          <w:rFonts w:cs="Arial"/>
          <w:bCs/>
          <w:szCs w:val="26"/>
        </w:rPr>
      </w:pPr>
      <w:r w:rsidRPr="00B80FB1">
        <w:rPr>
          <w:rFonts w:cs="Arial"/>
          <w:bCs/>
          <w:szCs w:val="26"/>
        </w:rPr>
        <w:t>Consideró que, como lo argumentaba la parte quejosa, el plazo para poder combatir la nulidad de notificaciones en materia mercantil, es la actuación subsecuente en la que intervenga el afectado, mas no en el plazo general de tres días que se contempla en el artículo 1079, fracción VI, del Código de Comercio.</w:t>
      </w:r>
    </w:p>
    <w:p w14:paraId="2CB3CD7E" w14:textId="77777777" w:rsidR="00732C8C" w:rsidRDefault="00732C8C" w:rsidP="00732C8C">
      <w:pPr>
        <w:pStyle w:val="Prrafodelista"/>
        <w:spacing w:line="360" w:lineRule="auto"/>
        <w:ind w:left="426"/>
        <w:rPr>
          <w:rFonts w:cs="Arial"/>
          <w:bCs/>
          <w:szCs w:val="26"/>
        </w:rPr>
      </w:pPr>
    </w:p>
    <w:p w14:paraId="5E37BC5E" w14:textId="77777777" w:rsidR="0039087A" w:rsidRDefault="00B80FB1" w:rsidP="00B80FB1">
      <w:pPr>
        <w:pStyle w:val="Prrafodelista"/>
        <w:numPr>
          <w:ilvl w:val="0"/>
          <w:numId w:val="22"/>
        </w:numPr>
        <w:spacing w:line="360" w:lineRule="auto"/>
        <w:ind w:left="426" w:hanging="426"/>
        <w:rPr>
          <w:rFonts w:cs="Arial"/>
          <w:bCs/>
          <w:szCs w:val="26"/>
        </w:rPr>
      </w:pPr>
      <w:r w:rsidRPr="00732C8C">
        <w:rPr>
          <w:rFonts w:cs="Arial"/>
          <w:bCs/>
          <w:szCs w:val="26"/>
        </w:rPr>
        <w:t>En ese sentido, estimó incorrecto que la autoridad responsable considerara que debía aplicarse el artículo 1079, fracción VI, del Código de Comercio, que prevé la regla general de tres días, contados a partir de que surta efectos la notificación que se reclama como nula para los casos no previstos.</w:t>
      </w:r>
    </w:p>
    <w:p w14:paraId="5B3A1A15" w14:textId="77777777" w:rsidR="0039087A" w:rsidRDefault="0039087A" w:rsidP="0039087A">
      <w:pPr>
        <w:pStyle w:val="Prrafodelista"/>
        <w:spacing w:line="360" w:lineRule="auto"/>
        <w:ind w:left="426"/>
        <w:rPr>
          <w:rFonts w:cs="Arial"/>
          <w:bCs/>
          <w:szCs w:val="26"/>
        </w:rPr>
      </w:pPr>
    </w:p>
    <w:p w14:paraId="582BDE17" w14:textId="77777777" w:rsidR="005E59F1" w:rsidRDefault="00B80FB1" w:rsidP="00B80FB1">
      <w:pPr>
        <w:pStyle w:val="Prrafodelista"/>
        <w:numPr>
          <w:ilvl w:val="0"/>
          <w:numId w:val="22"/>
        </w:numPr>
        <w:spacing w:line="360" w:lineRule="auto"/>
        <w:ind w:left="426" w:hanging="426"/>
        <w:rPr>
          <w:rFonts w:cs="Arial"/>
          <w:bCs/>
          <w:szCs w:val="26"/>
        </w:rPr>
      </w:pPr>
      <w:r w:rsidRPr="0039087A">
        <w:rPr>
          <w:rFonts w:cs="Arial"/>
          <w:bCs/>
          <w:szCs w:val="26"/>
        </w:rPr>
        <w:t xml:space="preserve">De tal forma que estimó incorrecto el </w:t>
      </w:r>
      <w:proofErr w:type="spellStart"/>
      <w:r w:rsidRPr="0039087A">
        <w:rPr>
          <w:rFonts w:cs="Arial"/>
          <w:bCs/>
          <w:szCs w:val="26"/>
        </w:rPr>
        <w:t>desechamiento</w:t>
      </w:r>
      <w:proofErr w:type="spellEnd"/>
      <w:r w:rsidRPr="0039087A">
        <w:rPr>
          <w:rFonts w:cs="Arial"/>
          <w:bCs/>
          <w:szCs w:val="26"/>
        </w:rPr>
        <w:t xml:space="preserve"> por extemporáneo del recurso, en tanto consideró que debía atenderse a lo dispuesto en el artículo 1054 del Código de Comercio, y el Código Federal de Procedimientos Civiles. Siendo que cuando ello resultare insuficiente, sería supletoria la legislación adjetiva civil de la entidad. </w:t>
      </w:r>
    </w:p>
    <w:p w14:paraId="1B151489" w14:textId="77777777" w:rsidR="005E59F1" w:rsidRDefault="005E59F1" w:rsidP="005E59F1">
      <w:pPr>
        <w:pStyle w:val="Prrafodelista"/>
        <w:spacing w:line="360" w:lineRule="auto"/>
        <w:ind w:left="426"/>
        <w:rPr>
          <w:rFonts w:cs="Arial"/>
          <w:bCs/>
          <w:szCs w:val="26"/>
        </w:rPr>
      </w:pPr>
    </w:p>
    <w:p w14:paraId="00AA85D1" w14:textId="77777777" w:rsidR="00B64630" w:rsidRDefault="00B80FB1" w:rsidP="00B80FB1">
      <w:pPr>
        <w:pStyle w:val="Prrafodelista"/>
        <w:numPr>
          <w:ilvl w:val="0"/>
          <w:numId w:val="22"/>
        </w:numPr>
        <w:spacing w:line="360" w:lineRule="auto"/>
        <w:ind w:left="426" w:hanging="426"/>
        <w:rPr>
          <w:rFonts w:cs="Arial"/>
          <w:bCs/>
          <w:szCs w:val="26"/>
        </w:rPr>
      </w:pPr>
      <w:r w:rsidRPr="005E59F1">
        <w:rPr>
          <w:rFonts w:cs="Arial"/>
          <w:bCs/>
          <w:szCs w:val="26"/>
        </w:rPr>
        <w:lastRenderedPageBreak/>
        <w:t>Lo anterior, en tanto que, tratándose de nulidad de actuaciones, el artículo 74 del Código de Procedimientos Civiles para el Estado de Oaxaca establece que el incidente de nulidad de notificaciones debe promoverse en la actuación subsecuente en la que intervenga el afectado.</w:t>
      </w:r>
    </w:p>
    <w:p w14:paraId="25C0B80E" w14:textId="77777777" w:rsidR="00B64630" w:rsidRDefault="00B64630" w:rsidP="00B64630">
      <w:pPr>
        <w:pStyle w:val="Prrafodelista"/>
        <w:spacing w:line="360" w:lineRule="auto"/>
        <w:ind w:left="426"/>
        <w:rPr>
          <w:rFonts w:cs="Arial"/>
          <w:bCs/>
          <w:szCs w:val="26"/>
        </w:rPr>
      </w:pPr>
    </w:p>
    <w:p w14:paraId="352C05A4" w14:textId="07A60DFD" w:rsidR="00CB26EF" w:rsidRPr="009E5085" w:rsidRDefault="00B80FB1" w:rsidP="009E5085">
      <w:pPr>
        <w:pStyle w:val="Prrafodelista"/>
        <w:numPr>
          <w:ilvl w:val="0"/>
          <w:numId w:val="22"/>
        </w:numPr>
        <w:spacing w:line="360" w:lineRule="auto"/>
        <w:ind w:left="426" w:hanging="426"/>
        <w:rPr>
          <w:rFonts w:cs="Arial"/>
          <w:bCs/>
          <w:szCs w:val="26"/>
        </w:rPr>
      </w:pPr>
      <w:r w:rsidRPr="00B64630">
        <w:rPr>
          <w:rFonts w:cs="Arial"/>
          <w:bCs/>
          <w:szCs w:val="26"/>
        </w:rPr>
        <w:t xml:space="preserve">Fundó lo anterior, en la Jurisprudencia 3a./J. 1/95, </w:t>
      </w:r>
      <w:r w:rsidRPr="009E5085">
        <w:rPr>
          <w:rFonts w:cs="Arial"/>
          <w:bCs/>
          <w:szCs w:val="26"/>
        </w:rPr>
        <w:t>emitida en la Octava Época del Semanario Judicial de la Federación, de rubro: “NULIDAD DE ACTUACIONES EN PROCEDIMIENTOS MERCANTILES. DEBE INTERPONERSE EN LA ACTUACIÓN SUBSECUENTE EN QUE INTERVENGA EL INCONFORME (APLICACIÓN SUPLETORIA DE LA LEGISLACIÓN DEL ESTADO DE JALISCO Y CODIFICACIONES SIMILARES)”.</w:t>
      </w:r>
    </w:p>
    <w:p w14:paraId="7F6988F2" w14:textId="77777777" w:rsidR="00CB26EF" w:rsidRDefault="00CB26EF" w:rsidP="00CB26EF">
      <w:pPr>
        <w:pStyle w:val="Prrafodelista"/>
        <w:spacing w:line="360" w:lineRule="auto"/>
        <w:ind w:left="426"/>
        <w:rPr>
          <w:rFonts w:cs="Arial"/>
          <w:bCs/>
          <w:szCs w:val="26"/>
        </w:rPr>
      </w:pPr>
    </w:p>
    <w:p w14:paraId="36E8F733" w14:textId="77777777" w:rsidR="0038717A" w:rsidRDefault="00B80FB1" w:rsidP="00B80FB1">
      <w:pPr>
        <w:pStyle w:val="Prrafodelista"/>
        <w:numPr>
          <w:ilvl w:val="0"/>
          <w:numId w:val="22"/>
        </w:numPr>
        <w:spacing w:line="360" w:lineRule="auto"/>
        <w:ind w:left="426" w:hanging="426"/>
        <w:rPr>
          <w:rFonts w:cs="Arial"/>
          <w:bCs/>
          <w:szCs w:val="26"/>
        </w:rPr>
      </w:pPr>
      <w:r w:rsidRPr="00CB26EF">
        <w:rPr>
          <w:rFonts w:cs="Arial"/>
          <w:bCs/>
          <w:szCs w:val="26"/>
        </w:rPr>
        <w:t xml:space="preserve">Precedente del cual advirtió que se sustentan la inaplicabilidad del precepto 1079, fracción VIII, del Código de Comercio en su vigencia anterior al año </w:t>
      </w:r>
      <w:r w:rsidR="003E0A36">
        <w:rPr>
          <w:rFonts w:cs="Arial"/>
          <w:bCs/>
          <w:szCs w:val="26"/>
        </w:rPr>
        <w:t>dos mil tres</w:t>
      </w:r>
      <w:r w:rsidRPr="00CB26EF">
        <w:rPr>
          <w:rFonts w:cs="Arial"/>
          <w:bCs/>
          <w:szCs w:val="26"/>
        </w:rPr>
        <w:t xml:space="preserve"> (donde se tenía al código adjetivo civil local como supletorio del código mercantil y cuyo contenido de la fracción es idéntico al que ahora se contempla en la fracción VI del actual artículo 1079 del Código de Comercio), tratándose de nulidad de notificaciones para el proceso mercantil, y que debían por tanto, aplicarse lo que al efecto disponen las legislaciones locales que contemplan su promoción en la actuación subsecuente en la que intervenga la parte que lo promueve. Al respecto, estimó relevante y aplicable del criterio, la inaplicabilidad del plazo general previsto en el Código de Comercio y el que deba considerarse lo que al efecto dispone la legislación local que es supletoria. </w:t>
      </w:r>
    </w:p>
    <w:p w14:paraId="5D6680C5" w14:textId="77777777" w:rsidR="0038717A" w:rsidRDefault="0038717A" w:rsidP="0038717A">
      <w:pPr>
        <w:pStyle w:val="Prrafodelista"/>
        <w:spacing w:line="360" w:lineRule="auto"/>
        <w:ind w:left="426"/>
        <w:rPr>
          <w:rFonts w:cs="Arial"/>
          <w:bCs/>
          <w:szCs w:val="26"/>
        </w:rPr>
      </w:pPr>
    </w:p>
    <w:p w14:paraId="498FBE8A" w14:textId="77777777" w:rsidR="00D37A01" w:rsidRDefault="00B80FB1" w:rsidP="00B80FB1">
      <w:pPr>
        <w:pStyle w:val="Prrafodelista"/>
        <w:numPr>
          <w:ilvl w:val="0"/>
          <w:numId w:val="22"/>
        </w:numPr>
        <w:spacing w:line="360" w:lineRule="auto"/>
        <w:ind w:left="426" w:hanging="426"/>
        <w:rPr>
          <w:rFonts w:cs="Arial"/>
          <w:bCs/>
          <w:szCs w:val="26"/>
        </w:rPr>
      </w:pPr>
      <w:r w:rsidRPr="0038717A">
        <w:rPr>
          <w:rFonts w:cs="Arial"/>
          <w:bCs/>
          <w:szCs w:val="26"/>
        </w:rPr>
        <w:t xml:space="preserve">De esta forma, concluyó que si en el caso, el Código Federal de Procedimientos Civiles no contempla el plazo para plantear el incidente de nulidad de actuaciones, debía estarse a la legislación que le sigue en supletoriedad en los términos del referido artículo 1054 del código mercantil y que es el Código de Procedimientos Civiles para el Estado de Oaxaca, donde sí se contempla dicho plazo y lo concreta a la actuación </w:t>
      </w:r>
      <w:r w:rsidRPr="0038717A">
        <w:rPr>
          <w:rFonts w:cs="Arial"/>
          <w:bCs/>
          <w:szCs w:val="26"/>
        </w:rPr>
        <w:lastRenderedPageBreak/>
        <w:t>subsecuente en la que participe la parte que promueve el incidente de nulidad de actuaciones.</w:t>
      </w:r>
    </w:p>
    <w:p w14:paraId="131C402D" w14:textId="77777777" w:rsidR="00D37A01" w:rsidRDefault="00D37A01" w:rsidP="00D37A01">
      <w:pPr>
        <w:pStyle w:val="Prrafodelista"/>
        <w:spacing w:line="360" w:lineRule="auto"/>
        <w:ind w:left="426"/>
        <w:rPr>
          <w:rFonts w:cs="Arial"/>
          <w:bCs/>
          <w:szCs w:val="26"/>
        </w:rPr>
      </w:pPr>
    </w:p>
    <w:p w14:paraId="1FF43309" w14:textId="74E88683" w:rsidR="00015049" w:rsidRDefault="00B80FB1" w:rsidP="00B80FB1">
      <w:pPr>
        <w:pStyle w:val="Prrafodelista"/>
        <w:numPr>
          <w:ilvl w:val="0"/>
          <w:numId w:val="22"/>
        </w:numPr>
        <w:spacing w:line="360" w:lineRule="auto"/>
        <w:ind w:left="426" w:hanging="426"/>
        <w:rPr>
          <w:rFonts w:cs="Arial"/>
          <w:bCs/>
          <w:szCs w:val="26"/>
        </w:rPr>
      </w:pPr>
      <w:r w:rsidRPr="00D37A01">
        <w:rPr>
          <w:rFonts w:cs="Arial"/>
          <w:bCs/>
          <w:szCs w:val="26"/>
        </w:rPr>
        <w:t xml:space="preserve">En el caso concreto, estimó que si el quejoso planteó su incidente de nulidad de actuaciones ante la falta de notificación de todos y cada uno de los acuerdos y actuaciones judiciales dictados a partir del dos de julio de dos mil ocho, en los autos del juicio ejecutivo mercantil </w:t>
      </w:r>
      <w:r w:rsidR="00EC73E7">
        <w:rPr>
          <w:rFonts w:cs="Arial"/>
          <w:szCs w:val="26"/>
        </w:rPr>
        <w:t>**********</w:t>
      </w:r>
      <w:r w:rsidRPr="00D37A01">
        <w:rPr>
          <w:rFonts w:cs="Arial"/>
          <w:bCs/>
          <w:szCs w:val="26"/>
        </w:rPr>
        <w:t xml:space="preserve">, donde afirma que tiene el carácter de tercero extraño; y afirmó plantearlo en la siguiente intervención que tuvo en el proceso, resulta por tanto que tal cuestión debió dilucidarse por la autoridad en los términos indicados y al no haberlo considerado así el juez responsable, incurrió en contravención a lo dispuesto en los artículos 14 y 16 constitucionales, y por ende, consideró que lo procedente era conceder el amparo y protección de la Justicia Federal </w:t>
      </w:r>
      <w:r w:rsidR="002B14D6">
        <w:rPr>
          <w:rFonts w:cs="Arial"/>
          <w:bCs/>
          <w:szCs w:val="26"/>
        </w:rPr>
        <w:t>al quejoso</w:t>
      </w:r>
      <w:r w:rsidRPr="00D37A01">
        <w:rPr>
          <w:rFonts w:cs="Arial"/>
          <w:bCs/>
          <w:szCs w:val="26"/>
        </w:rPr>
        <w:t>.</w:t>
      </w:r>
    </w:p>
    <w:p w14:paraId="74858000" w14:textId="77777777" w:rsidR="00015049" w:rsidRDefault="00015049" w:rsidP="00015049">
      <w:pPr>
        <w:pStyle w:val="Prrafodelista"/>
        <w:spacing w:line="360" w:lineRule="auto"/>
        <w:ind w:left="426"/>
        <w:rPr>
          <w:rFonts w:cs="Arial"/>
          <w:bCs/>
          <w:szCs w:val="26"/>
        </w:rPr>
      </w:pPr>
    </w:p>
    <w:p w14:paraId="781AA900" w14:textId="7656A1AE" w:rsidR="00AC1CA0" w:rsidRPr="00015049" w:rsidRDefault="00B80FB1" w:rsidP="00B80FB1">
      <w:pPr>
        <w:pStyle w:val="Prrafodelista"/>
        <w:numPr>
          <w:ilvl w:val="0"/>
          <w:numId w:val="22"/>
        </w:numPr>
        <w:spacing w:line="360" w:lineRule="auto"/>
        <w:ind w:left="426" w:hanging="426"/>
        <w:rPr>
          <w:rFonts w:cs="Arial"/>
          <w:bCs/>
          <w:szCs w:val="26"/>
        </w:rPr>
      </w:pPr>
      <w:r w:rsidRPr="00015049">
        <w:rPr>
          <w:rFonts w:cs="Arial"/>
          <w:bCs/>
          <w:szCs w:val="26"/>
        </w:rPr>
        <w:t>A partir de tal conclusión, estimó innecesario el estudio de los restantes conceptos de violación esgrimidos por la parte quejosa, al quedar insubsistente la determinación contra la que dirige sus inconformidades y concedió la protección constitucional para el efecto de que se emitiera una nueva determinación en donde resolviere el fondo del asunto con plenitud de jurisdicción, partiendo de la base de que el incidente de nulidad de actuaciones debe tramitarse conforme a lo que al efecto dispone el artículo 74 del Código de Procedimientos Civiles para el Estado de Oaxaca, que contempla su promoción en la actuación subsecuente en la que intervenga la parte que lo promueve.</w:t>
      </w:r>
    </w:p>
    <w:p w14:paraId="4E6E74D6" w14:textId="77777777" w:rsidR="004403ED" w:rsidRPr="00FF4ACC" w:rsidRDefault="004403ED" w:rsidP="00525C22">
      <w:pPr>
        <w:spacing w:line="360" w:lineRule="auto"/>
        <w:rPr>
          <w:rFonts w:cs="Arial"/>
          <w:bCs/>
          <w:szCs w:val="26"/>
        </w:rPr>
      </w:pPr>
    </w:p>
    <w:p w14:paraId="3C756E4E" w14:textId="396B4D83" w:rsidR="00F8772E" w:rsidRPr="00FF4ACC" w:rsidRDefault="00F50BA1" w:rsidP="00F8772E">
      <w:pPr>
        <w:pStyle w:val="Prrafodelista"/>
        <w:numPr>
          <w:ilvl w:val="0"/>
          <w:numId w:val="2"/>
        </w:numPr>
        <w:spacing w:line="360" w:lineRule="auto"/>
        <w:ind w:left="0" w:hanging="426"/>
        <w:rPr>
          <w:rFonts w:cs="Arial"/>
          <w:szCs w:val="26"/>
        </w:rPr>
      </w:pPr>
      <w:r w:rsidRPr="00FF4ACC">
        <w:rPr>
          <w:rFonts w:cs="Arial"/>
          <w:b/>
          <w:szCs w:val="26"/>
        </w:rPr>
        <w:t>Agravios</w:t>
      </w:r>
      <w:r w:rsidR="00D04B3F" w:rsidRPr="00FF4ACC">
        <w:rPr>
          <w:rFonts w:cs="Arial"/>
          <w:b/>
          <w:szCs w:val="26"/>
        </w:rPr>
        <w:t>.</w:t>
      </w:r>
      <w:r w:rsidR="009B3765" w:rsidRPr="00FF4ACC">
        <w:rPr>
          <w:rFonts w:cs="Arial"/>
          <w:bCs/>
          <w:szCs w:val="26"/>
        </w:rPr>
        <w:t xml:space="preserve"> </w:t>
      </w:r>
      <w:r w:rsidR="00F8772E" w:rsidRPr="00FF4ACC">
        <w:rPr>
          <w:rFonts w:cs="Arial"/>
          <w:szCs w:val="26"/>
        </w:rPr>
        <w:t xml:space="preserve">En su recurso de revisión, </w:t>
      </w:r>
      <w:r w:rsidR="00C14AF6">
        <w:rPr>
          <w:rFonts w:cs="Arial"/>
          <w:szCs w:val="26"/>
        </w:rPr>
        <w:t>el recurrente</w:t>
      </w:r>
      <w:r w:rsidR="005B224C" w:rsidRPr="00FF4ACC">
        <w:rPr>
          <w:rFonts w:cs="Arial"/>
          <w:szCs w:val="26"/>
        </w:rPr>
        <w:t xml:space="preserve"> plante</w:t>
      </w:r>
      <w:r w:rsidR="000E4C00">
        <w:rPr>
          <w:rFonts w:cs="Arial"/>
          <w:szCs w:val="26"/>
        </w:rPr>
        <w:t>ó</w:t>
      </w:r>
      <w:r w:rsidR="005B224C" w:rsidRPr="00FF4ACC">
        <w:rPr>
          <w:rFonts w:cs="Arial"/>
          <w:szCs w:val="26"/>
        </w:rPr>
        <w:t xml:space="preserve"> la</w:t>
      </w:r>
      <w:r w:rsidR="005559ED" w:rsidRPr="00FF4ACC">
        <w:rPr>
          <w:rFonts w:cs="Arial"/>
          <w:szCs w:val="26"/>
        </w:rPr>
        <w:t>s</w:t>
      </w:r>
      <w:r w:rsidR="005B224C" w:rsidRPr="00FF4ACC">
        <w:rPr>
          <w:rFonts w:cs="Arial"/>
          <w:szCs w:val="26"/>
        </w:rPr>
        <w:t xml:space="preserve"> siguiente</w:t>
      </w:r>
      <w:r w:rsidR="005559ED" w:rsidRPr="00FF4ACC">
        <w:rPr>
          <w:rFonts w:cs="Arial"/>
          <w:szCs w:val="26"/>
        </w:rPr>
        <w:t>s</w:t>
      </w:r>
      <w:r w:rsidR="005B224C" w:rsidRPr="00FF4ACC">
        <w:rPr>
          <w:rFonts w:cs="Arial"/>
          <w:szCs w:val="26"/>
        </w:rPr>
        <w:t xml:space="preserve"> línea</w:t>
      </w:r>
      <w:r w:rsidR="005559ED" w:rsidRPr="00FF4ACC">
        <w:rPr>
          <w:rFonts w:cs="Arial"/>
          <w:szCs w:val="26"/>
        </w:rPr>
        <w:t>s</w:t>
      </w:r>
      <w:r w:rsidR="005B224C" w:rsidRPr="00FF4ACC">
        <w:rPr>
          <w:rFonts w:cs="Arial"/>
          <w:szCs w:val="26"/>
        </w:rPr>
        <w:t xml:space="preserve"> argumentativa</w:t>
      </w:r>
      <w:r w:rsidR="005559ED" w:rsidRPr="00FF4ACC">
        <w:rPr>
          <w:rFonts w:cs="Arial"/>
          <w:szCs w:val="26"/>
        </w:rPr>
        <w:t>s</w:t>
      </w:r>
      <w:r w:rsidR="005B224C" w:rsidRPr="00FF4ACC">
        <w:rPr>
          <w:rFonts w:cs="Arial"/>
          <w:szCs w:val="26"/>
        </w:rPr>
        <w:t>:</w:t>
      </w:r>
    </w:p>
    <w:p w14:paraId="779B6667" w14:textId="1FB463FF" w:rsidR="005B224C" w:rsidRPr="00FF4ACC" w:rsidRDefault="005B224C" w:rsidP="005B224C">
      <w:pPr>
        <w:pStyle w:val="Prrafodelista"/>
        <w:spacing w:line="360" w:lineRule="auto"/>
        <w:ind w:left="0"/>
        <w:rPr>
          <w:rFonts w:cs="Arial"/>
          <w:bCs/>
          <w:szCs w:val="26"/>
        </w:rPr>
      </w:pPr>
    </w:p>
    <w:p w14:paraId="7573A48B" w14:textId="77777777" w:rsidR="009A24CF" w:rsidRDefault="00220143" w:rsidP="009A24CF">
      <w:pPr>
        <w:pStyle w:val="Prrafodelista"/>
        <w:numPr>
          <w:ilvl w:val="0"/>
          <w:numId w:val="23"/>
        </w:numPr>
        <w:spacing w:line="360" w:lineRule="auto"/>
        <w:ind w:left="426" w:hanging="426"/>
        <w:rPr>
          <w:rFonts w:cs="Arial"/>
          <w:szCs w:val="26"/>
        </w:rPr>
      </w:pPr>
      <w:r w:rsidRPr="00220143">
        <w:rPr>
          <w:rFonts w:cs="Arial"/>
          <w:szCs w:val="26"/>
        </w:rPr>
        <w:t xml:space="preserve">Señaló que coincidía con el Juez de Distrito en el sentido de que el incidente de nulidad de notificaciones se debe plantear en la actuación subsecuente a la que tenga conocimiento el </w:t>
      </w:r>
      <w:proofErr w:type="spellStart"/>
      <w:r w:rsidRPr="00220143">
        <w:rPr>
          <w:rFonts w:cs="Arial"/>
          <w:szCs w:val="26"/>
        </w:rPr>
        <w:t>incidentista</w:t>
      </w:r>
      <w:proofErr w:type="spellEnd"/>
      <w:r w:rsidRPr="00220143">
        <w:rPr>
          <w:rFonts w:cs="Arial"/>
          <w:szCs w:val="26"/>
        </w:rPr>
        <w:t xml:space="preserve"> del acto tildado de ilegal o nulo, sin embargo, estimó que ello por sí mismo no constituía el plazo para recurrirlo. </w:t>
      </w:r>
    </w:p>
    <w:p w14:paraId="6FACAE11" w14:textId="77777777" w:rsidR="009A24CF" w:rsidRDefault="009A24CF" w:rsidP="009A24CF">
      <w:pPr>
        <w:pStyle w:val="Prrafodelista"/>
        <w:spacing w:line="360" w:lineRule="auto"/>
        <w:ind w:left="426"/>
        <w:rPr>
          <w:rFonts w:cs="Arial"/>
          <w:szCs w:val="26"/>
        </w:rPr>
      </w:pPr>
    </w:p>
    <w:p w14:paraId="519523EC" w14:textId="0D2DD83E" w:rsidR="00AB2BA4" w:rsidRDefault="00220143" w:rsidP="00AB2BA4">
      <w:pPr>
        <w:pStyle w:val="Prrafodelista"/>
        <w:numPr>
          <w:ilvl w:val="0"/>
          <w:numId w:val="23"/>
        </w:numPr>
        <w:spacing w:line="360" w:lineRule="auto"/>
        <w:ind w:left="426" w:hanging="426"/>
        <w:rPr>
          <w:rFonts w:cs="Arial"/>
          <w:szCs w:val="26"/>
        </w:rPr>
      </w:pPr>
      <w:r w:rsidRPr="009A24CF">
        <w:rPr>
          <w:rFonts w:cs="Arial"/>
          <w:szCs w:val="26"/>
        </w:rPr>
        <w:t xml:space="preserve">Refirió que de estimar que ello fuera el plazo, se estaría dejando al arbitrio y voluntad del </w:t>
      </w:r>
      <w:proofErr w:type="spellStart"/>
      <w:r w:rsidRPr="009A24CF">
        <w:rPr>
          <w:rFonts w:cs="Arial"/>
          <w:szCs w:val="26"/>
        </w:rPr>
        <w:t>incidentista</w:t>
      </w:r>
      <w:proofErr w:type="spellEnd"/>
      <w:r w:rsidRPr="009A24CF">
        <w:rPr>
          <w:rFonts w:cs="Arial"/>
          <w:szCs w:val="26"/>
        </w:rPr>
        <w:t xml:space="preserve"> el plazo para recurrir la ilegalidad de una notificación. Así, afirmó que “la subsecuente actuación” no es entonces el plazo, sino el momento a partir del cual se debe comenzar a contar el plazo de presentación. Aspecto para el cual </w:t>
      </w:r>
      <w:proofErr w:type="gramStart"/>
      <w:r w:rsidRPr="009A24CF">
        <w:rPr>
          <w:rFonts w:cs="Arial"/>
          <w:szCs w:val="26"/>
        </w:rPr>
        <w:t>estima necesario</w:t>
      </w:r>
      <w:proofErr w:type="gramEnd"/>
      <w:r w:rsidRPr="009A24CF">
        <w:rPr>
          <w:rFonts w:cs="Arial"/>
          <w:szCs w:val="26"/>
        </w:rPr>
        <w:t xml:space="preserve"> acudir a lo dispuesto en la fracción VI, del artículo 1079 del Código de Comercio, además del artículo 297, fracción II, del Código Federal de Procedimientos Civiles, aplicado supletoriamente o, en su defecto, el artículo 127 del Código de Procedimientos Civiles </w:t>
      </w:r>
      <w:r w:rsidR="00C54352">
        <w:rPr>
          <w:rFonts w:cs="Arial"/>
          <w:szCs w:val="26"/>
        </w:rPr>
        <w:t xml:space="preserve">para </w:t>
      </w:r>
      <w:r w:rsidRPr="009A24CF">
        <w:rPr>
          <w:rFonts w:cs="Arial"/>
          <w:szCs w:val="26"/>
        </w:rPr>
        <w:t>el Estado de Oaxaca, con el fin de que ésta no quede al arbitrio de una de las partes.</w:t>
      </w:r>
    </w:p>
    <w:p w14:paraId="6BBE8827" w14:textId="77777777" w:rsidR="00AB2BA4" w:rsidRDefault="00AB2BA4" w:rsidP="00AB2BA4">
      <w:pPr>
        <w:pStyle w:val="Prrafodelista"/>
        <w:spacing w:line="360" w:lineRule="auto"/>
        <w:ind w:left="426"/>
        <w:rPr>
          <w:rFonts w:cs="Arial"/>
          <w:szCs w:val="26"/>
        </w:rPr>
      </w:pPr>
    </w:p>
    <w:p w14:paraId="6F84621B" w14:textId="77777777" w:rsidR="00AB2BA4" w:rsidRDefault="00220143" w:rsidP="00AB2BA4">
      <w:pPr>
        <w:pStyle w:val="Prrafodelista"/>
        <w:numPr>
          <w:ilvl w:val="0"/>
          <w:numId w:val="23"/>
        </w:numPr>
        <w:spacing w:line="360" w:lineRule="auto"/>
        <w:ind w:left="426" w:hanging="426"/>
        <w:rPr>
          <w:rFonts w:cs="Arial"/>
          <w:szCs w:val="26"/>
        </w:rPr>
      </w:pPr>
      <w:r w:rsidRPr="00AB2BA4">
        <w:rPr>
          <w:rFonts w:cs="Arial"/>
          <w:szCs w:val="26"/>
        </w:rPr>
        <w:t xml:space="preserve">De esta manera, considera que de permitirse que la presentación del incidente nulidad dependa de la siguiente actuación del interesado, tendría como efecto extender el momento de presentación de manera indefinida, lo cual es contrario al principio de seguridad jurídica y de justicia pronta. </w:t>
      </w:r>
    </w:p>
    <w:p w14:paraId="622C0902" w14:textId="77777777" w:rsidR="00AB2BA4" w:rsidRDefault="00AB2BA4" w:rsidP="00AB2BA4">
      <w:pPr>
        <w:pStyle w:val="Prrafodelista"/>
        <w:spacing w:line="360" w:lineRule="auto"/>
        <w:ind w:left="426"/>
        <w:rPr>
          <w:rFonts w:cs="Arial"/>
          <w:szCs w:val="26"/>
        </w:rPr>
      </w:pPr>
    </w:p>
    <w:p w14:paraId="4EE93F22" w14:textId="77777777" w:rsidR="0053593B" w:rsidRDefault="00220143" w:rsidP="0053593B">
      <w:pPr>
        <w:pStyle w:val="Prrafodelista"/>
        <w:numPr>
          <w:ilvl w:val="0"/>
          <w:numId w:val="23"/>
        </w:numPr>
        <w:spacing w:line="360" w:lineRule="auto"/>
        <w:ind w:left="426" w:hanging="426"/>
        <w:rPr>
          <w:rFonts w:cs="Arial"/>
          <w:szCs w:val="26"/>
        </w:rPr>
      </w:pPr>
      <w:r w:rsidRPr="00AB2BA4">
        <w:rPr>
          <w:rFonts w:cs="Arial"/>
          <w:szCs w:val="26"/>
        </w:rPr>
        <w:t xml:space="preserve">Así, luego de referirse al contenido del derecho fundamental previsto en el artículo 17 constitucional, destaca el elemento relativo a la objetividad, mismo que establece la necesidad de que el ejercicio de los derechos y obligaciones procedimentales no quede al arbitrio de las partes. </w:t>
      </w:r>
    </w:p>
    <w:p w14:paraId="47D6802F" w14:textId="77777777" w:rsidR="0053593B" w:rsidRDefault="0053593B" w:rsidP="0053593B">
      <w:pPr>
        <w:pStyle w:val="Prrafodelista"/>
        <w:spacing w:line="360" w:lineRule="auto"/>
        <w:ind w:left="426"/>
        <w:rPr>
          <w:rFonts w:cs="Arial"/>
          <w:szCs w:val="26"/>
        </w:rPr>
      </w:pPr>
    </w:p>
    <w:p w14:paraId="0DF64077" w14:textId="77777777" w:rsidR="00C260B1" w:rsidRDefault="00220143" w:rsidP="00C260B1">
      <w:pPr>
        <w:pStyle w:val="Prrafodelista"/>
        <w:numPr>
          <w:ilvl w:val="0"/>
          <w:numId w:val="23"/>
        </w:numPr>
        <w:spacing w:line="360" w:lineRule="auto"/>
        <w:ind w:left="426" w:hanging="426"/>
        <w:rPr>
          <w:rFonts w:cs="Arial"/>
          <w:szCs w:val="26"/>
        </w:rPr>
      </w:pPr>
      <w:r w:rsidRPr="0053593B">
        <w:rPr>
          <w:rFonts w:cs="Arial"/>
          <w:szCs w:val="26"/>
        </w:rPr>
        <w:t xml:space="preserve">A partir de lo anterior, insiste en que debe acudirse a lo dispuesto en el artículo 1079, fracción VI, del Código de Comercio y, supletoriamente el artículo 297, fracción II, del Código Federal de Procedimientos Civiles; de tal forma que el plazo de tres días al que éstos se refieren debe computarse a partir de que el recurrente tenga conocimiento de los actos tildados de ilegales. </w:t>
      </w:r>
    </w:p>
    <w:p w14:paraId="02CDC4FF" w14:textId="77777777" w:rsidR="00C260B1" w:rsidRDefault="00C260B1" w:rsidP="00C260B1">
      <w:pPr>
        <w:pStyle w:val="Prrafodelista"/>
        <w:spacing w:line="360" w:lineRule="auto"/>
        <w:ind w:left="426"/>
        <w:rPr>
          <w:rFonts w:cs="Arial"/>
          <w:szCs w:val="26"/>
        </w:rPr>
      </w:pPr>
    </w:p>
    <w:p w14:paraId="2371186E" w14:textId="77777777" w:rsidR="00C260B1" w:rsidRDefault="00220143" w:rsidP="00C260B1">
      <w:pPr>
        <w:pStyle w:val="Prrafodelista"/>
        <w:numPr>
          <w:ilvl w:val="0"/>
          <w:numId w:val="23"/>
        </w:numPr>
        <w:spacing w:line="360" w:lineRule="auto"/>
        <w:ind w:left="426" w:hanging="426"/>
        <w:rPr>
          <w:rFonts w:cs="Arial"/>
          <w:szCs w:val="26"/>
        </w:rPr>
      </w:pPr>
      <w:r w:rsidRPr="00C260B1">
        <w:rPr>
          <w:rFonts w:cs="Arial"/>
          <w:szCs w:val="26"/>
        </w:rPr>
        <w:t xml:space="preserve">Relata que este aspecto fue invocado en el recurso de revocación que dio lugar al acto reclamado, concretamente, el que el propio </w:t>
      </w:r>
      <w:proofErr w:type="spellStart"/>
      <w:r w:rsidRPr="00C260B1">
        <w:rPr>
          <w:rFonts w:cs="Arial"/>
          <w:szCs w:val="26"/>
        </w:rPr>
        <w:t>incidentista</w:t>
      </w:r>
      <w:proofErr w:type="spellEnd"/>
      <w:r w:rsidRPr="00C260B1">
        <w:rPr>
          <w:rFonts w:cs="Arial"/>
          <w:szCs w:val="26"/>
        </w:rPr>
        <w:t xml:space="preserve"> y quejoso manifestó que tuvo conocimiento de las notificaciones realizadas el tres de diciembre de dos mil quince, sin que hubiera </w:t>
      </w:r>
      <w:r w:rsidRPr="00C260B1">
        <w:rPr>
          <w:rFonts w:cs="Arial"/>
          <w:szCs w:val="26"/>
        </w:rPr>
        <w:lastRenderedPageBreak/>
        <w:t>promovido el incidente de nulidad de notificaciones en los tres días siguientes, sino hasta el catorce de diciembre de dos mil quince.</w:t>
      </w:r>
    </w:p>
    <w:p w14:paraId="0779FFBB" w14:textId="77777777" w:rsidR="00C260B1" w:rsidRDefault="00C260B1" w:rsidP="00C260B1">
      <w:pPr>
        <w:pStyle w:val="Prrafodelista"/>
        <w:spacing w:line="360" w:lineRule="auto"/>
        <w:ind w:left="426"/>
        <w:rPr>
          <w:rFonts w:cs="Arial"/>
          <w:szCs w:val="26"/>
        </w:rPr>
      </w:pPr>
    </w:p>
    <w:p w14:paraId="4400A7BB" w14:textId="77777777" w:rsidR="00677B8F" w:rsidRDefault="00220143" w:rsidP="00677B8F">
      <w:pPr>
        <w:pStyle w:val="Prrafodelista"/>
        <w:numPr>
          <w:ilvl w:val="0"/>
          <w:numId w:val="23"/>
        </w:numPr>
        <w:spacing w:line="360" w:lineRule="auto"/>
        <w:ind w:left="426" w:hanging="426"/>
        <w:rPr>
          <w:rFonts w:cs="Arial"/>
          <w:szCs w:val="26"/>
        </w:rPr>
      </w:pPr>
      <w:r w:rsidRPr="00C260B1">
        <w:rPr>
          <w:rFonts w:cs="Arial"/>
          <w:szCs w:val="26"/>
        </w:rPr>
        <w:t xml:space="preserve">Al respecto, insiste que el incidente de nulidad de notificaciones debe presentarse dentro del plazo de los tres días siguientes a que el </w:t>
      </w:r>
      <w:proofErr w:type="spellStart"/>
      <w:r w:rsidRPr="00C260B1">
        <w:rPr>
          <w:rFonts w:cs="Arial"/>
          <w:szCs w:val="26"/>
        </w:rPr>
        <w:t>incidentista</w:t>
      </w:r>
      <w:proofErr w:type="spellEnd"/>
      <w:r w:rsidRPr="00C260B1">
        <w:rPr>
          <w:rFonts w:cs="Arial"/>
          <w:szCs w:val="26"/>
        </w:rPr>
        <w:t xml:space="preserve"> tenga conocimiento de la notificación o acto tildado de nulo, atendiendo a que los plazos deben ser razonables y objetivos.</w:t>
      </w:r>
    </w:p>
    <w:p w14:paraId="0205A9F4" w14:textId="77777777" w:rsidR="00677B8F" w:rsidRDefault="00677B8F" w:rsidP="00677B8F">
      <w:pPr>
        <w:pStyle w:val="Prrafodelista"/>
        <w:spacing w:line="360" w:lineRule="auto"/>
        <w:ind w:left="426"/>
        <w:rPr>
          <w:rFonts w:cs="Arial"/>
          <w:szCs w:val="26"/>
        </w:rPr>
      </w:pPr>
    </w:p>
    <w:p w14:paraId="04090F65" w14:textId="77777777" w:rsidR="009669BA" w:rsidRDefault="00220143" w:rsidP="009669BA">
      <w:pPr>
        <w:pStyle w:val="Prrafodelista"/>
        <w:numPr>
          <w:ilvl w:val="0"/>
          <w:numId w:val="23"/>
        </w:numPr>
        <w:spacing w:line="360" w:lineRule="auto"/>
        <w:ind w:left="426" w:hanging="426"/>
        <w:rPr>
          <w:rFonts w:cs="Arial"/>
          <w:szCs w:val="26"/>
        </w:rPr>
      </w:pPr>
      <w:r w:rsidRPr="00677B8F">
        <w:rPr>
          <w:rFonts w:cs="Arial"/>
          <w:szCs w:val="26"/>
        </w:rPr>
        <w:t>Para apoyar la interpretación propuesta cita la Jurisprudencia del Pleno de la Suprema Corte de Justicia de la Nación P./J. 23/2016 (10a.), de rubro: “NULIDAD DE NOTIFICACIONES EN EL JUICIO DE AMPARO. LA SIGUIENTE ACTUACIÓN EN QUE SE COMPAREZCA A PRESENTAR EL INCIDENTE RESPECTIVO, DEBE LLEVARLA A CABO EL INTERESADO DENTRO DEL TÉRMINO DE 3 DÍAS PREVISTO EN EL ARTÍCULO 297, FRACCIÓN II, DEL CÓDIGO FEDERAL DE PROCEDIMIENTOS CIVILES, CONTADO A PARTIR DEL DÍA SIGUIENTE AL EN QUE TUVO CONOCIMIENTO O SE OSTENTÓ SABEDOR DE LA ACTUACIÓN QUE TILDA DE IRREGULAR”</w:t>
      </w:r>
      <w:r w:rsidR="009669BA">
        <w:rPr>
          <w:rFonts w:cs="Arial"/>
          <w:szCs w:val="26"/>
        </w:rPr>
        <w:t>.</w:t>
      </w:r>
    </w:p>
    <w:p w14:paraId="1F3E29A9" w14:textId="77777777" w:rsidR="009669BA" w:rsidRDefault="009669BA" w:rsidP="009669BA">
      <w:pPr>
        <w:pStyle w:val="Prrafodelista"/>
        <w:spacing w:line="360" w:lineRule="auto"/>
        <w:ind w:left="426"/>
        <w:rPr>
          <w:rFonts w:cs="Arial"/>
          <w:szCs w:val="26"/>
        </w:rPr>
      </w:pPr>
    </w:p>
    <w:p w14:paraId="53BC1E9C" w14:textId="32AB8643" w:rsidR="009669BA" w:rsidRDefault="00220143" w:rsidP="009669BA">
      <w:pPr>
        <w:pStyle w:val="Prrafodelista"/>
        <w:numPr>
          <w:ilvl w:val="0"/>
          <w:numId w:val="23"/>
        </w:numPr>
        <w:spacing w:line="360" w:lineRule="auto"/>
        <w:ind w:left="426" w:hanging="426"/>
        <w:rPr>
          <w:rFonts w:cs="Arial"/>
          <w:szCs w:val="26"/>
        </w:rPr>
      </w:pPr>
      <w:r w:rsidRPr="009669BA">
        <w:rPr>
          <w:rFonts w:cs="Arial"/>
          <w:szCs w:val="26"/>
        </w:rPr>
        <w:t xml:space="preserve">Criterio que, estima, deriva de la resolución del mismo punto jurídico al que se presenta en la actual controversia, siendo que tanto el artículo 68 de la Ley de Amparo, como el 74 del Código de Procedimientos Civiles </w:t>
      </w:r>
      <w:r w:rsidR="00B8129B">
        <w:rPr>
          <w:rFonts w:cs="Arial"/>
          <w:szCs w:val="26"/>
        </w:rPr>
        <w:t xml:space="preserve">para </w:t>
      </w:r>
      <w:r w:rsidRPr="009669BA">
        <w:rPr>
          <w:rFonts w:cs="Arial"/>
          <w:szCs w:val="26"/>
        </w:rPr>
        <w:t xml:space="preserve">el Estado de Oaxaca se refieren a la siguiente actuación en que comparezca el interesado. </w:t>
      </w:r>
    </w:p>
    <w:p w14:paraId="59FB9C0E" w14:textId="77777777" w:rsidR="009669BA" w:rsidRDefault="009669BA" w:rsidP="009669BA">
      <w:pPr>
        <w:pStyle w:val="Prrafodelista"/>
        <w:spacing w:line="360" w:lineRule="auto"/>
        <w:ind w:left="426"/>
        <w:rPr>
          <w:rFonts w:cs="Arial"/>
          <w:szCs w:val="26"/>
        </w:rPr>
      </w:pPr>
    </w:p>
    <w:p w14:paraId="5DAF75BF" w14:textId="0F6218CC" w:rsidR="00D83770" w:rsidRDefault="00220143" w:rsidP="00D83770">
      <w:pPr>
        <w:pStyle w:val="Prrafodelista"/>
        <w:numPr>
          <w:ilvl w:val="0"/>
          <w:numId w:val="23"/>
        </w:numPr>
        <w:spacing w:line="360" w:lineRule="auto"/>
        <w:ind w:left="426" w:hanging="426"/>
        <w:rPr>
          <w:rFonts w:cs="Arial"/>
          <w:szCs w:val="26"/>
        </w:rPr>
      </w:pPr>
      <w:r w:rsidRPr="009669BA">
        <w:rPr>
          <w:rFonts w:cs="Arial"/>
          <w:szCs w:val="26"/>
        </w:rPr>
        <w:t xml:space="preserve">De este modo, afirma que al haber aplicado el artículo 74 del Código de Procedimientos Civiles </w:t>
      </w:r>
      <w:r w:rsidR="00E53F27">
        <w:rPr>
          <w:rFonts w:cs="Arial"/>
          <w:szCs w:val="26"/>
        </w:rPr>
        <w:t xml:space="preserve">para </w:t>
      </w:r>
      <w:r w:rsidRPr="009669BA">
        <w:rPr>
          <w:rFonts w:cs="Arial"/>
          <w:szCs w:val="26"/>
        </w:rPr>
        <w:t xml:space="preserve">el Estado de Oaxaca, el Juez de Distrito debía llegar a la misma conclusión, esto es, que “en la subsecuente actuación” no se refiere propiamente a un plazo, por no cumplir la exigencia de razonabilidad y objetividad, de ahí que se justifica la necesidad de acudir a la norma supletoria con el fin de que dicha facultad no quede indefinida ni al arbitrio de las partes. </w:t>
      </w:r>
    </w:p>
    <w:p w14:paraId="08A7220D" w14:textId="77777777" w:rsidR="00D83770" w:rsidRDefault="00D83770" w:rsidP="00D83770">
      <w:pPr>
        <w:pStyle w:val="Prrafodelista"/>
        <w:spacing w:line="360" w:lineRule="auto"/>
        <w:ind w:left="426"/>
        <w:rPr>
          <w:rFonts w:cs="Arial"/>
          <w:szCs w:val="26"/>
        </w:rPr>
      </w:pPr>
    </w:p>
    <w:p w14:paraId="1A9D4EC6" w14:textId="72EF4B66" w:rsidR="009642E5" w:rsidRDefault="00220143" w:rsidP="009642E5">
      <w:pPr>
        <w:pStyle w:val="Prrafodelista"/>
        <w:numPr>
          <w:ilvl w:val="0"/>
          <w:numId w:val="23"/>
        </w:numPr>
        <w:spacing w:line="360" w:lineRule="auto"/>
        <w:ind w:left="426" w:hanging="426"/>
        <w:rPr>
          <w:rFonts w:cs="Arial"/>
          <w:szCs w:val="26"/>
        </w:rPr>
      </w:pPr>
      <w:r w:rsidRPr="00D83770">
        <w:rPr>
          <w:rFonts w:cs="Arial"/>
          <w:szCs w:val="26"/>
        </w:rPr>
        <w:lastRenderedPageBreak/>
        <w:t xml:space="preserve">En ese contexto, sostiene que los artículos 127 del Código de Procedimientos Civiles </w:t>
      </w:r>
      <w:r w:rsidR="0076674B">
        <w:rPr>
          <w:rFonts w:cs="Arial"/>
          <w:szCs w:val="26"/>
        </w:rPr>
        <w:t xml:space="preserve">para </w:t>
      </w:r>
      <w:r w:rsidRPr="00D83770">
        <w:rPr>
          <w:rFonts w:cs="Arial"/>
          <w:szCs w:val="26"/>
        </w:rPr>
        <w:t xml:space="preserve">el Estado de Oaxaca, 1079, fracción VI, del Código de Comercio y el 297, fracción II, del Código Federal de Procedimientos Civiles son coincidentes al indicar que cuando la ley no señale un término para la práctica de algún acto judicial o para el ejercicio de un derecho, se tomará el plazo de tres días. </w:t>
      </w:r>
    </w:p>
    <w:p w14:paraId="7F4E35F5" w14:textId="77777777" w:rsidR="009642E5" w:rsidRDefault="009642E5" w:rsidP="009642E5">
      <w:pPr>
        <w:pStyle w:val="Prrafodelista"/>
        <w:spacing w:line="360" w:lineRule="auto"/>
        <w:ind w:left="426"/>
        <w:rPr>
          <w:rFonts w:cs="Arial"/>
          <w:szCs w:val="26"/>
        </w:rPr>
      </w:pPr>
    </w:p>
    <w:p w14:paraId="50298229" w14:textId="77777777" w:rsidR="009642E5" w:rsidRDefault="00220143" w:rsidP="009642E5">
      <w:pPr>
        <w:pStyle w:val="Prrafodelista"/>
        <w:numPr>
          <w:ilvl w:val="0"/>
          <w:numId w:val="23"/>
        </w:numPr>
        <w:spacing w:line="360" w:lineRule="auto"/>
        <w:ind w:left="426" w:hanging="426"/>
        <w:rPr>
          <w:rFonts w:cs="Arial"/>
          <w:szCs w:val="26"/>
        </w:rPr>
      </w:pPr>
      <w:r w:rsidRPr="009642E5">
        <w:rPr>
          <w:rFonts w:cs="Arial"/>
          <w:szCs w:val="26"/>
        </w:rPr>
        <w:t>A partir de lo anterior, argumenta que, contrario a lo determinado por el Juez Federal, la autoridad responsable estuvo en lo correcto al establecer que el incidente de nulidad planteado por el quejoso fue extemporáneo.</w:t>
      </w:r>
    </w:p>
    <w:p w14:paraId="59B2AF2B" w14:textId="77777777" w:rsidR="009642E5" w:rsidRDefault="009642E5" w:rsidP="009642E5">
      <w:pPr>
        <w:pStyle w:val="Prrafodelista"/>
        <w:spacing w:line="360" w:lineRule="auto"/>
        <w:ind w:left="426"/>
        <w:rPr>
          <w:rFonts w:cs="Arial"/>
          <w:szCs w:val="26"/>
        </w:rPr>
      </w:pPr>
    </w:p>
    <w:p w14:paraId="1BD359FB" w14:textId="77777777" w:rsidR="002A51AA" w:rsidRDefault="00220143" w:rsidP="004B7BF0">
      <w:pPr>
        <w:pStyle w:val="Prrafodelista"/>
        <w:numPr>
          <w:ilvl w:val="0"/>
          <w:numId w:val="23"/>
        </w:numPr>
        <w:spacing w:line="360" w:lineRule="auto"/>
        <w:ind w:left="426" w:hanging="426"/>
        <w:rPr>
          <w:rFonts w:cs="Arial"/>
          <w:szCs w:val="26"/>
        </w:rPr>
      </w:pPr>
      <w:r w:rsidRPr="009642E5">
        <w:rPr>
          <w:rFonts w:cs="Arial"/>
          <w:szCs w:val="26"/>
        </w:rPr>
        <w:t>Estima que no es obstáculo a lo anterior, la cita de la tesis 3a./J. 1/95, de rubro: “NULIDAD DE ACTUACIONES EN PROCEDIMIENTOS MERCANTILES. DEBE INTERPONERSE EN LA ACTUACIÓN SUBSECUENTE EN QUE INTERVENGA EL INCONFORME (APLICACION SUPLETORIA DE LA LEGISLACION DEL ESTADO DE JALISCO Y CODIFICACIONES SIMILARES)”.</w:t>
      </w:r>
    </w:p>
    <w:p w14:paraId="3D68F0C4" w14:textId="77777777" w:rsidR="002A51AA" w:rsidRDefault="002A51AA" w:rsidP="002A51AA">
      <w:pPr>
        <w:pStyle w:val="Prrafodelista"/>
        <w:spacing w:line="360" w:lineRule="auto"/>
        <w:ind w:left="426"/>
        <w:rPr>
          <w:rFonts w:cs="Arial"/>
          <w:szCs w:val="26"/>
        </w:rPr>
      </w:pPr>
    </w:p>
    <w:p w14:paraId="4935A607" w14:textId="61D7A27A" w:rsidR="00220143" w:rsidRPr="004B7BF0" w:rsidRDefault="00220143" w:rsidP="004B7BF0">
      <w:pPr>
        <w:pStyle w:val="Prrafodelista"/>
        <w:numPr>
          <w:ilvl w:val="0"/>
          <w:numId w:val="23"/>
        </w:numPr>
        <w:spacing w:line="360" w:lineRule="auto"/>
        <w:ind w:left="426" w:hanging="426"/>
        <w:rPr>
          <w:rFonts w:cs="Arial"/>
          <w:szCs w:val="26"/>
        </w:rPr>
      </w:pPr>
      <w:r w:rsidRPr="004B7BF0">
        <w:rPr>
          <w:rFonts w:cs="Arial"/>
          <w:szCs w:val="26"/>
        </w:rPr>
        <w:t xml:space="preserve">Lo anterior, en tanto considera que este criterio quedó superado por lo sostenido por el Pleno de la Suprema Corte de Justicia de la Nación al emitir la Jurisprudencia P./J. 23/2016 (10a.), a la que hizo referencia y que derivó de la resolución de la contradicción de tesis 133/2015. Asunto en el cual, el Alto Tribunal definió el alcance de la acepción “la actuación subsecuente” y refirió que ésta no podía tomarse como un plazo, por no cumplir ello con la exigencia de razonabilidad y objetividad. </w:t>
      </w:r>
    </w:p>
    <w:p w14:paraId="60DA64A3" w14:textId="77777777" w:rsidR="00722AB9" w:rsidRPr="00FF4ACC" w:rsidRDefault="00722AB9" w:rsidP="00441E8C">
      <w:pPr>
        <w:pStyle w:val="corte4fondo"/>
        <w:tabs>
          <w:tab w:val="left" w:pos="567"/>
        </w:tabs>
        <w:ind w:firstLine="0"/>
        <w:rPr>
          <w:rFonts w:cs="Arial"/>
          <w:bCs/>
          <w:szCs w:val="26"/>
        </w:rPr>
      </w:pPr>
    </w:p>
    <w:p w14:paraId="23EEB4FF" w14:textId="4CB631F6" w:rsidR="00022A2F" w:rsidRPr="00FF4ACC" w:rsidRDefault="00363C08" w:rsidP="00FF0F9A">
      <w:pPr>
        <w:pStyle w:val="Prrafodelista"/>
        <w:numPr>
          <w:ilvl w:val="0"/>
          <w:numId w:val="1"/>
        </w:numPr>
        <w:tabs>
          <w:tab w:val="left" w:pos="426"/>
        </w:tabs>
        <w:spacing w:line="360" w:lineRule="auto"/>
        <w:ind w:left="0" w:firstLine="0"/>
        <w:jc w:val="center"/>
        <w:rPr>
          <w:rFonts w:cs="Arial"/>
          <w:b/>
          <w:bCs/>
          <w:szCs w:val="26"/>
        </w:rPr>
      </w:pPr>
      <w:r w:rsidRPr="00FF4ACC">
        <w:rPr>
          <w:rFonts w:cs="Arial"/>
          <w:b/>
          <w:bCs/>
          <w:szCs w:val="26"/>
        </w:rPr>
        <w:t xml:space="preserve">ESTUDIO </w:t>
      </w:r>
      <w:r w:rsidR="00E01B30">
        <w:rPr>
          <w:rFonts w:cs="Arial"/>
          <w:b/>
          <w:bCs/>
          <w:szCs w:val="26"/>
        </w:rPr>
        <w:t>DE FONDO</w:t>
      </w:r>
    </w:p>
    <w:p w14:paraId="22C2BD8E" w14:textId="17A26E42" w:rsidR="00022A2F" w:rsidRPr="00FF4ACC" w:rsidRDefault="00022A2F" w:rsidP="00022A2F">
      <w:pPr>
        <w:pStyle w:val="corte4fondo"/>
        <w:tabs>
          <w:tab w:val="left" w:pos="567"/>
        </w:tabs>
        <w:ind w:firstLine="0"/>
        <w:rPr>
          <w:rFonts w:cs="Arial"/>
          <w:szCs w:val="26"/>
        </w:rPr>
      </w:pPr>
    </w:p>
    <w:p w14:paraId="7D5EA69F" w14:textId="5C400585" w:rsidR="00EC4D57" w:rsidRDefault="00834516" w:rsidP="00A97A88">
      <w:pPr>
        <w:pStyle w:val="corte4fondo"/>
        <w:numPr>
          <w:ilvl w:val="0"/>
          <w:numId w:val="2"/>
        </w:numPr>
        <w:ind w:left="0" w:hanging="426"/>
        <w:rPr>
          <w:rFonts w:cs="Arial"/>
          <w:szCs w:val="26"/>
        </w:rPr>
      </w:pPr>
      <w:r w:rsidRPr="00814F96">
        <w:rPr>
          <w:rFonts w:cs="Arial"/>
          <w:szCs w:val="26"/>
        </w:rPr>
        <w:t xml:space="preserve">Esta Primera Sala, </w:t>
      </w:r>
      <w:r w:rsidR="0001005B">
        <w:rPr>
          <w:rFonts w:cs="Arial"/>
          <w:szCs w:val="26"/>
        </w:rPr>
        <w:t>considera que</w:t>
      </w:r>
      <w:r w:rsidR="004D241D">
        <w:rPr>
          <w:rFonts w:cs="Arial"/>
          <w:szCs w:val="26"/>
        </w:rPr>
        <w:t xml:space="preserve"> la totalidad de</w:t>
      </w:r>
      <w:r w:rsidR="0001005B">
        <w:rPr>
          <w:rFonts w:cs="Arial"/>
          <w:szCs w:val="26"/>
        </w:rPr>
        <w:t xml:space="preserve"> los agravios esgrimidos por </w:t>
      </w:r>
      <w:r w:rsidR="00C50B21">
        <w:rPr>
          <w:rFonts w:cs="Arial"/>
          <w:szCs w:val="26"/>
        </w:rPr>
        <w:t xml:space="preserve">la parte recurrente en su recurso de revisión, son </w:t>
      </w:r>
      <w:r w:rsidR="00C322F5">
        <w:rPr>
          <w:rFonts w:cs="Arial"/>
          <w:szCs w:val="26"/>
        </w:rPr>
        <w:t>in</w:t>
      </w:r>
      <w:r w:rsidR="00C50B21">
        <w:rPr>
          <w:rFonts w:cs="Arial"/>
          <w:szCs w:val="26"/>
        </w:rPr>
        <w:t>fundados</w:t>
      </w:r>
      <w:r w:rsidR="004D241D" w:rsidRPr="001E5C7F">
        <w:rPr>
          <w:rFonts w:cs="Arial"/>
          <w:szCs w:val="26"/>
        </w:rPr>
        <w:t>; sin embargo, previ</w:t>
      </w:r>
      <w:r w:rsidR="002A2AFD">
        <w:rPr>
          <w:rFonts w:cs="Arial"/>
          <w:szCs w:val="26"/>
        </w:rPr>
        <w:t>o</w:t>
      </w:r>
      <w:r w:rsidR="004364A5" w:rsidRPr="001E5C7F">
        <w:rPr>
          <w:rFonts w:cs="Arial"/>
          <w:szCs w:val="26"/>
        </w:rPr>
        <w:t xml:space="preserve"> </w:t>
      </w:r>
      <w:r w:rsidR="001E5C7F">
        <w:rPr>
          <w:rFonts w:cs="Arial"/>
          <w:szCs w:val="26"/>
        </w:rPr>
        <w:t xml:space="preserve">a </w:t>
      </w:r>
      <w:r w:rsidR="002A2AFD">
        <w:rPr>
          <w:rFonts w:cs="Arial"/>
          <w:szCs w:val="26"/>
        </w:rPr>
        <w:t>explic</w:t>
      </w:r>
      <w:r w:rsidR="001E5C7F">
        <w:rPr>
          <w:rFonts w:cs="Arial"/>
          <w:szCs w:val="26"/>
        </w:rPr>
        <w:t>ar lo anterior</w:t>
      </w:r>
      <w:r w:rsidR="004556A2">
        <w:rPr>
          <w:rFonts w:cs="Arial"/>
          <w:szCs w:val="26"/>
        </w:rPr>
        <w:t>,</w:t>
      </w:r>
      <w:r w:rsidR="001E5C7F" w:rsidRPr="00A97A88">
        <w:rPr>
          <w:rFonts w:cs="Arial"/>
          <w:szCs w:val="26"/>
        </w:rPr>
        <w:t xml:space="preserve"> </w:t>
      </w:r>
      <w:r w:rsidR="004364A5" w:rsidRPr="00A97A88">
        <w:rPr>
          <w:rFonts w:cs="Arial"/>
          <w:szCs w:val="26"/>
        </w:rPr>
        <w:t>resulta</w:t>
      </w:r>
      <w:r w:rsidR="00EC4D57">
        <w:rPr>
          <w:rFonts w:cs="Arial"/>
          <w:szCs w:val="26"/>
        </w:rPr>
        <w:t xml:space="preserve"> pertinente mencionar </w:t>
      </w:r>
      <w:r w:rsidR="000868B3">
        <w:rPr>
          <w:rFonts w:cs="Arial"/>
          <w:szCs w:val="26"/>
        </w:rPr>
        <w:t>que el presente asunto proviene de una solicitud de ejercicio de la facultad de atracción</w:t>
      </w:r>
      <w:r w:rsidR="00250A1D">
        <w:rPr>
          <w:rStyle w:val="Refdenotaalpie"/>
          <w:rFonts w:cs="Arial"/>
          <w:szCs w:val="26"/>
        </w:rPr>
        <w:footnoteReference w:id="2"/>
      </w:r>
      <w:r w:rsidR="000868B3">
        <w:rPr>
          <w:rFonts w:cs="Arial"/>
          <w:szCs w:val="26"/>
        </w:rPr>
        <w:t xml:space="preserve">, en </w:t>
      </w:r>
      <w:r w:rsidR="000868B3">
        <w:rPr>
          <w:rFonts w:cs="Arial"/>
          <w:szCs w:val="26"/>
        </w:rPr>
        <w:lastRenderedPageBreak/>
        <w:t xml:space="preserve">la que esta Sala consideró que al existir una duplicidad </w:t>
      </w:r>
      <w:r w:rsidR="00082B2C">
        <w:rPr>
          <w:rFonts w:cs="Arial"/>
          <w:szCs w:val="26"/>
        </w:rPr>
        <w:t>de criterios en torno al plazo en el que debe interponerse el incidente de nulidad de actuaciones en un juicio ejecutivo mercantil, se provoca inseguridad jurídica</w:t>
      </w:r>
      <w:r w:rsidR="00701844">
        <w:rPr>
          <w:rFonts w:cs="Arial"/>
          <w:szCs w:val="26"/>
        </w:rPr>
        <w:t xml:space="preserve">, por lo que es tarea de esta Suprema Corte de Justicia de la Nación, generar certidumbre. </w:t>
      </w:r>
    </w:p>
    <w:p w14:paraId="7C4EC476" w14:textId="77777777" w:rsidR="00701844" w:rsidRDefault="00701844" w:rsidP="00701844">
      <w:pPr>
        <w:pStyle w:val="corte4fondo"/>
        <w:ind w:firstLine="0"/>
        <w:rPr>
          <w:rFonts w:cs="Arial"/>
          <w:szCs w:val="26"/>
        </w:rPr>
      </w:pPr>
    </w:p>
    <w:p w14:paraId="07197560" w14:textId="2F43F5AA" w:rsidR="00E01B30" w:rsidRPr="00846D00" w:rsidRDefault="00846D00" w:rsidP="00846D00">
      <w:pPr>
        <w:pStyle w:val="corte4fondo"/>
        <w:numPr>
          <w:ilvl w:val="0"/>
          <w:numId w:val="2"/>
        </w:numPr>
        <w:ind w:left="0" w:hanging="426"/>
        <w:rPr>
          <w:rFonts w:cs="Arial"/>
          <w:szCs w:val="26"/>
        </w:rPr>
      </w:pPr>
      <w:r>
        <w:rPr>
          <w:rFonts w:cs="Arial"/>
          <w:szCs w:val="26"/>
        </w:rPr>
        <w:t xml:space="preserve">Se dijo que la </w:t>
      </w:r>
      <w:r w:rsidR="00F83885" w:rsidRPr="00846D00">
        <w:rPr>
          <w:rFonts w:cs="Arial"/>
          <w:szCs w:val="26"/>
        </w:rPr>
        <w:t xml:space="preserve">duplicidad de criterios se da porque por un lado, se promueve el incidente </w:t>
      </w:r>
      <w:r w:rsidR="00CC6522" w:rsidRPr="00846D00">
        <w:rPr>
          <w:rFonts w:cs="Arial"/>
          <w:szCs w:val="26"/>
        </w:rPr>
        <w:t>en términos de lo que dispone el artículo 74 del Código de Procedimientos Civiles para el Estado de Oaxaca</w:t>
      </w:r>
      <w:r w:rsidR="00DD39E6" w:rsidRPr="00846D00">
        <w:rPr>
          <w:rFonts w:cs="Arial"/>
          <w:szCs w:val="26"/>
        </w:rPr>
        <w:t>, aplicable de manera supletoria</w:t>
      </w:r>
      <w:r w:rsidR="00A902E0" w:rsidRPr="00846D00">
        <w:rPr>
          <w:rFonts w:cs="Arial"/>
          <w:szCs w:val="26"/>
        </w:rPr>
        <w:t xml:space="preserve"> a la legislación mercantil</w:t>
      </w:r>
      <w:r w:rsidR="00165000" w:rsidRPr="00846D00">
        <w:rPr>
          <w:rFonts w:cs="Arial"/>
          <w:szCs w:val="26"/>
        </w:rPr>
        <w:t>, y que señal</w:t>
      </w:r>
      <w:r w:rsidR="00270FD2" w:rsidRPr="00846D00">
        <w:rPr>
          <w:rFonts w:cs="Arial"/>
          <w:szCs w:val="26"/>
        </w:rPr>
        <w:t>a que</w:t>
      </w:r>
      <w:r w:rsidR="00165000" w:rsidRPr="00846D00">
        <w:rPr>
          <w:rFonts w:cs="Arial"/>
          <w:szCs w:val="26"/>
        </w:rPr>
        <w:t xml:space="preserve"> </w:t>
      </w:r>
      <w:r w:rsidR="00841AF1" w:rsidRPr="00846D00">
        <w:rPr>
          <w:rFonts w:cs="Arial"/>
          <w:szCs w:val="26"/>
        </w:rPr>
        <w:t>la nulidad</w:t>
      </w:r>
      <w:r w:rsidR="00165000" w:rsidRPr="00846D00">
        <w:rPr>
          <w:rFonts w:cs="Arial"/>
          <w:szCs w:val="26"/>
        </w:rPr>
        <w:t xml:space="preserve"> deberá promoverse en la “actuación subsecuente”</w:t>
      </w:r>
      <w:r w:rsidR="00673391" w:rsidRPr="00846D00">
        <w:rPr>
          <w:rFonts w:cs="Arial"/>
          <w:szCs w:val="26"/>
        </w:rPr>
        <w:t>; mientras que por otro lado, también se promueve considerando lo que señala el artículo 1079</w:t>
      </w:r>
      <w:r w:rsidR="0087774E" w:rsidRPr="00846D00">
        <w:rPr>
          <w:rFonts w:cs="Arial"/>
          <w:szCs w:val="26"/>
        </w:rPr>
        <w:t>, fracción VI,</w:t>
      </w:r>
      <w:r w:rsidR="00673391" w:rsidRPr="00846D00">
        <w:rPr>
          <w:rFonts w:cs="Arial"/>
          <w:szCs w:val="26"/>
        </w:rPr>
        <w:t xml:space="preserve"> del Código de Comercio</w:t>
      </w:r>
      <w:r w:rsidR="00FF4AC7" w:rsidRPr="00846D00">
        <w:rPr>
          <w:rFonts w:cs="Arial"/>
          <w:szCs w:val="26"/>
        </w:rPr>
        <w:t xml:space="preserve">, que se refiere a los plazos en general </w:t>
      </w:r>
      <w:r w:rsidR="0087774E" w:rsidRPr="00846D00">
        <w:rPr>
          <w:rFonts w:cs="Arial"/>
          <w:szCs w:val="26"/>
        </w:rPr>
        <w:t xml:space="preserve">y que contempla un plazo de tres días </w:t>
      </w:r>
      <w:r w:rsidR="00500A83" w:rsidRPr="00846D00">
        <w:rPr>
          <w:rFonts w:cs="Arial"/>
          <w:szCs w:val="26"/>
        </w:rPr>
        <w:t xml:space="preserve">para promover el incidente de nulidad a partir del conocimiento de las actuaciones que se busca invalidar. </w:t>
      </w:r>
    </w:p>
    <w:p w14:paraId="0CACBCE9" w14:textId="77777777" w:rsidR="001B28D7" w:rsidRPr="00FF4ACC" w:rsidRDefault="001B28D7" w:rsidP="001B28D7">
      <w:pPr>
        <w:pStyle w:val="corte4fondo"/>
        <w:ind w:firstLine="0"/>
        <w:rPr>
          <w:rFonts w:cs="Arial"/>
          <w:bCs/>
          <w:szCs w:val="26"/>
        </w:rPr>
      </w:pPr>
    </w:p>
    <w:p w14:paraId="28885E67" w14:textId="1F014EAC" w:rsidR="00DD0740" w:rsidRDefault="004C033E" w:rsidP="0015480C">
      <w:pPr>
        <w:pStyle w:val="corte4fondo"/>
        <w:numPr>
          <w:ilvl w:val="0"/>
          <w:numId w:val="2"/>
        </w:numPr>
        <w:ind w:left="0" w:hanging="567"/>
        <w:rPr>
          <w:rFonts w:cs="Arial"/>
          <w:bCs/>
          <w:szCs w:val="26"/>
        </w:rPr>
      </w:pPr>
      <w:r>
        <w:rPr>
          <w:rFonts w:cs="Arial"/>
          <w:bCs/>
          <w:szCs w:val="26"/>
        </w:rPr>
        <w:t>S</w:t>
      </w:r>
      <w:r w:rsidR="00DD0740">
        <w:rPr>
          <w:rFonts w:cs="Arial"/>
          <w:bCs/>
          <w:szCs w:val="26"/>
        </w:rPr>
        <w:t xml:space="preserve">e apreció </w:t>
      </w:r>
      <w:r>
        <w:rPr>
          <w:rFonts w:cs="Arial"/>
          <w:bCs/>
          <w:szCs w:val="26"/>
        </w:rPr>
        <w:t xml:space="preserve">que era </w:t>
      </w:r>
      <w:r w:rsidR="00DD0740">
        <w:rPr>
          <w:rFonts w:cs="Arial"/>
          <w:bCs/>
          <w:szCs w:val="26"/>
        </w:rPr>
        <w:t xml:space="preserve">conveniente </w:t>
      </w:r>
      <w:r w:rsidR="00ED1130">
        <w:rPr>
          <w:rFonts w:cs="Arial"/>
          <w:bCs/>
          <w:szCs w:val="26"/>
        </w:rPr>
        <w:t>que la duplicidad de criterios se resolviera retomando lo resuelto en la contradicción de tesis 133/2015</w:t>
      </w:r>
      <w:r w:rsidR="00E309E3">
        <w:rPr>
          <w:rStyle w:val="Refdenotaalpie"/>
          <w:rFonts w:cs="Arial"/>
          <w:bCs/>
          <w:szCs w:val="26"/>
        </w:rPr>
        <w:footnoteReference w:id="3"/>
      </w:r>
      <w:r w:rsidR="00BC41A1">
        <w:rPr>
          <w:rFonts w:cs="Arial"/>
          <w:bCs/>
          <w:szCs w:val="26"/>
        </w:rPr>
        <w:t xml:space="preserve">, en la </w:t>
      </w:r>
      <w:r w:rsidR="001F1812">
        <w:rPr>
          <w:rFonts w:cs="Arial"/>
          <w:bCs/>
          <w:szCs w:val="26"/>
        </w:rPr>
        <w:t>que,</w:t>
      </w:r>
      <w:r w:rsidR="00BC41A1">
        <w:rPr>
          <w:rFonts w:cs="Arial"/>
          <w:bCs/>
          <w:szCs w:val="26"/>
        </w:rPr>
        <w:t xml:space="preserve"> si bien el análisis se centró en el artículo </w:t>
      </w:r>
      <w:r w:rsidR="000C3DEC">
        <w:rPr>
          <w:rFonts w:cs="Arial"/>
          <w:bCs/>
          <w:szCs w:val="26"/>
        </w:rPr>
        <w:t>68 de la Ley de Amparo, este guarda similitud con lo que establece e</w:t>
      </w:r>
      <w:r w:rsidR="00CA7E2E">
        <w:rPr>
          <w:rFonts w:cs="Arial"/>
          <w:bCs/>
          <w:szCs w:val="26"/>
        </w:rPr>
        <w:t xml:space="preserve">l artículo 74 del Código de Procedimientos Civiles </w:t>
      </w:r>
      <w:r w:rsidR="00383680">
        <w:rPr>
          <w:rFonts w:cs="Arial"/>
          <w:bCs/>
          <w:szCs w:val="26"/>
        </w:rPr>
        <w:t xml:space="preserve">para </w:t>
      </w:r>
      <w:r w:rsidR="00CA7E2E">
        <w:rPr>
          <w:rFonts w:cs="Arial"/>
          <w:bCs/>
          <w:szCs w:val="26"/>
        </w:rPr>
        <w:t xml:space="preserve">el Estado de Oaxaca, por lo que </w:t>
      </w:r>
      <w:r w:rsidR="000C742E">
        <w:rPr>
          <w:rFonts w:cs="Arial"/>
          <w:bCs/>
          <w:szCs w:val="26"/>
        </w:rPr>
        <w:t xml:space="preserve">se dijo </w:t>
      </w:r>
      <w:r w:rsidR="00CA7E2E">
        <w:rPr>
          <w:rFonts w:cs="Arial"/>
          <w:bCs/>
          <w:szCs w:val="26"/>
        </w:rPr>
        <w:t>no exist</w:t>
      </w:r>
      <w:r w:rsidR="00AB5CE6">
        <w:rPr>
          <w:rFonts w:cs="Arial"/>
          <w:bCs/>
          <w:szCs w:val="26"/>
        </w:rPr>
        <w:t>ía</w:t>
      </w:r>
      <w:r w:rsidR="00CA7E2E">
        <w:rPr>
          <w:rFonts w:cs="Arial"/>
          <w:bCs/>
          <w:szCs w:val="26"/>
        </w:rPr>
        <w:t xml:space="preserve"> conflicto alguno para su aplicación al presente caso</w:t>
      </w:r>
      <w:r w:rsidR="00F50270">
        <w:rPr>
          <w:rFonts w:cs="Arial"/>
          <w:bCs/>
          <w:szCs w:val="26"/>
        </w:rPr>
        <w:t>.</w:t>
      </w:r>
    </w:p>
    <w:p w14:paraId="1F667128" w14:textId="77777777" w:rsidR="009469D2" w:rsidRDefault="009469D2" w:rsidP="00AC70EF">
      <w:pPr>
        <w:pStyle w:val="corte4fondo"/>
        <w:ind w:firstLine="0"/>
        <w:rPr>
          <w:rFonts w:cs="Arial"/>
          <w:bCs/>
          <w:szCs w:val="26"/>
        </w:rPr>
      </w:pPr>
    </w:p>
    <w:p w14:paraId="3AAD5C35" w14:textId="2DC783B2" w:rsidR="00D97D6D" w:rsidRDefault="00FA1845" w:rsidP="008140FF">
      <w:pPr>
        <w:pStyle w:val="corte4fondo"/>
        <w:numPr>
          <w:ilvl w:val="0"/>
          <w:numId w:val="2"/>
        </w:numPr>
        <w:ind w:left="0" w:hanging="567"/>
        <w:rPr>
          <w:rFonts w:cs="Arial"/>
          <w:szCs w:val="26"/>
        </w:rPr>
      </w:pPr>
      <w:r>
        <w:rPr>
          <w:rFonts w:cs="Arial"/>
          <w:bCs/>
          <w:szCs w:val="26"/>
        </w:rPr>
        <w:t xml:space="preserve">Tomando en cuenta lo anterior, </w:t>
      </w:r>
      <w:r w:rsidR="00CF3CCF">
        <w:rPr>
          <w:rFonts w:cs="Arial"/>
          <w:bCs/>
          <w:szCs w:val="26"/>
        </w:rPr>
        <w:t xml:space="preserve">debe recordarse </w:t>
      </w:r>
      <w:r w:rsidR="00AB4B7B">
        <w:rPr>
          <w:rFonts w:cs="Arial"/>
          <w:bCs/>
          <w:szCs w:val="26"/>
        </w:rPr>
        <w:t>que,</w:t>
      </w:r>
      <w:r w:rsidR="00CF3CCF">
        <w:rPr>
          <w:rFonts w:cs="Arial"/>
          <w:bCs/>
          <w:szCs w:val="26"/>
        </w:rPr>
        <w:t xml:space="preserve"> e</w:t>
      </w:r>
      <w:r w:rsidR="008140FF">
        <w:rPr>
          <w:rFonts w:cs="Arial"/>
          <w:bCs/>
          <w:szCs w:val="26"/>
        </w:rPr>
        <w:t xml:space="preserve">n su demanda de amparo, el quejoso señaló como acto reclamado </w:t>
      </w:r>
      <w:r w:rsidR="000653AA" w:rsidRPr="008140FF">
        <w:rPr>
          <w:rFonts w:cs="Arial"/>
          <w:szCs w:val="26"/>
        </w:rPr>
        <w:t xml:space="preserve">la sentencia </w:t>
      </w:r>
      <w:r w:rsidR="00D97D6D" w:rsidRPr="008140FF">
        <w:rPr>
          <w:rFonts w:cs="Arial"/>
          <w:szCs w:val="26"/>
        </w:rPr>
        <w:t xml:space="preserve">de veintiocho de abril de dos mil diecisiete en el juicio ejecutivo mercantil </w:t>
      </w:r>
      <w:r w:rsidR="00CB5B89">
        <w:rPr>
          <w:rFonts w:cs="Arial"/>
          <w:szCs w:val="26"/>
        </w:rPr>
        <w:t>**********</w:t>
      </w:r>
      <w:r w:rsidR="00D97D6D" w:rsidRPr="008140FF">
        <w:rPr>
          <w:rFonts w:cs="Arial"/>
          <w:szCs w:val="26"/>
        </w:rPr>
        <w:t xml:space="preserve">, mediante la que se resolvió el </w:t>
      </w:r>
      <w:r w:rsidR="004D0D0F" w:rsidRPr="008140FF">
        <w:rPr>
          <w:rFonts w:cs="Arial"/>
          <w:szCs w:val="26"/>
        </w:rPr>
        <w:t>recurso</w:t>
      </w:r>
      <w:r w:rsidR="00D97D6D" w:rsidRPr="008140FF">
        <w:rPr>
          <w:rFonts w:cs="Arial"/>
          <w:szCs w:val="26"/>
        </w:rPr>
        <w:t xml:space="preserve"> de revocación </w:t>
      </w:r>
      <w:r w:rsidR="000653AA" w:rsidRPr="008140FF">
        <w:rPr>
          <w:rFonts w:cs="Arial"/>
          <w:szCs w:val="26"/>
        </w:rPr>
        <w:t xml:space="preserve">por el que se </w:t>
      </w:r>
      <w:r w:rsidR="00D97D6D" w:rsidRPr="008140FF">
        <w:rPr>
          <w:rFonts w:cs="Arial"/>
          <w:szCs w:val="26"/>
        </w:rPr>
        <w:t>declaró improcedente el incidente de nulidad de actuaciones que promovió el quejoso</w:t>
      </w:r>
      <w:r w:rsidR="007638C3">
        <w:rPr>
          <w:rFonts w:cs="Arial"/>
          <w:szCs w:val="26"/>
        </w:rPr>
        <w:t xml:space="preserve">; por lo que como conceptos de violación manifestó, en esencia, los siguientes: </w:t>
      </w:r>
    </w:p>
    <w:p w14:paraId="61636EB9" w14:textId="77777777" w:rsidR="007638C3" w:rsidRDefault="007638C3" w:rsidP="007638C3">
      <w:pPr>
        <w:pStyle w:val="Prrafodelista"/>
        <w:rPr>
          <w:rFonts w:cs="Arial"/>
          <w:szCs w:val="26"/>
        </w:rPr>
      </w:pPr>
    </w:p>
    <w:p w14:paraId="0C959435" w14:textId="4043466A" w:rsidR="007638C3" w:rsidRDefault="00356F79" w:rsidP="0075161B">
      <w:pPr>
        <w:pStyle w:val="corte4fondo"/>
        <w:numPr>
          <w:ilvl w:val="0"/>
          <w:numId w:val="31"/>
        </w:numPr>
        <w:rPr>
          <w:rFonts w:cs="Arial"/>
          <w:szCs w:val="26"/>
        </w:rPr>
      </w:pPr>
      <w:r>
        <w:rPr>
          <w:rFonts w:cs="Arial"/>
          <w:szCs w:val="26"/>
        </w:rPr>
        <w:t>Al haberse admitido el recurso de revocación en contra del acuerdo que dio entrada al incidente de nulidad de notificaciones</w:t>
      </w:r>
      <w:r w:rsidR="00BC063D">
        <w:rPr>
          <w:rFonts w:cs="Arial"/>
          <w:szCs w:val="26"/>
        </w:rPr>
        <w:t xml:space="preserve">, se vulneró su </w:t>
      </w:r>
      <w:r w:rsidR="00BC063D">
        <w:rPr>
          <w:rFonts w:cs="Arial"/>
          <w:szCs w:val="26"/>
        </w:rPr>
        <w:lastRenderedPageBreak/>
        <w:t>derecho a la legalidad y a la seguridad jurídicas porque dicho acuerdo no era revocable</w:t>
      </w:r>
      <w:r w:rsidR="00236600">
        <w:rPr>
          <w:rFonts w:cs="Arial"/>
          <w:szCs w:val="26"/>
        </w:rPr>
        <w:t xml:space="preserve">. </w:t>
      </w:r>
    </w:p>
    <w:p w14:paraId="4C7D1848" w14:textId="77777777" w:rsidR="0075161B" w:rsidRDefault="0075161B" w:rsidP="0075161B">
      <w:pPr>
        <w:pStyle w:val="corte4fondo"/>
        <w:ind w:left="720" w:firstLine="0"/>
        <w:rPr>
          <w:rFonts w:cs="Arial"/>
          <w:szCs w:val="26"/>
        </w:rPr>
      </w:pPr>
    </w:p>
    <w:p w14:paraId="66E19E4E" w14:textId="39AF8AF2" w:rsidR="00236600" w:rsidRPr="008140FF" w:rsidRDefault="00236600" w:rsidP="0075161B">
      <w:pPr>
        <w:pStyle w:val="corte4fondo"/>
        <w:numPr>
          <w:ilvl w:val="0"/>
          <w:numId w:val="31"/>
        </w:numPr>
        <w:rPr>
          <w:rFonts w:cs="Arial"/>
          <w:szCs w:val="26"/>
        </w:rPr>
      </w:pPr>
      <w:r>
        <w:rPr>
          <w:rFonts w:cs="Arial"/>
          <w:szCs w:val="26"/>
        </w:rPr>
        <w:t xml:space="preserve">Se dolió de que se haya considerado el plazo de tres días para la interposición del incidente de nulidad sin haberse tomado en cuenta </w:t>
      </w:r>
      <w:r w:rsidR="00B62130">
        <w:rPr>
          <w:rFonts w:cs="Arial"/>
          <w:szCs w:val="26"/>
        </w:rPr>
        <w:t>que se debe aplicar supletoriamente el Código Federal de Procedimientos Civiles, o en su defecto</w:t>
      </w:r>
      <w:r w:rsidR="006401E0">
        <w:rPr>
          <w:rFonts w:cs="Arial"/>
          <w:szCs w:val="26"/>
        </w:rPr>
        <w:t>,</w:t>
      </w:r>
      <w:r w:rsidR="00B62130">
        <w:rPr>
          <w:rFonts w:cs="Arial"/>
          <w:szCs w:val="26"/>
        </w:rPr>
        <w:t xml:space="preserve"> la ley local respectiva</w:t>
      </w:r>
      <w:r w:rsidR="008614F1">
        <w:rPr>
          <w:rFonts w:cs="Arial"/>
          <w:szCs w:val="26"/>
        </w:rPr>
        <w:t xml:space="preserve">; y en el caso, el Código de Procedimientos Civiles </w:t>
      </w:r>
      <w:r w:rsidR="00AA197E">
        <w:rPr>
          <w:rFonts w:cs="Arial"/>
          <w:szCs w:val="26"/>
        </w:rPr>
        <w:t xml:space="preserve">para el Estado </w:t>
      </w:r>
      <w:r w:rsidR="00B86D48">
        <w:rPr>
          <w:rFonts w:cs="Arial"/>
          <w:szCs w:val="26"/>
        </w:rPr>
        <w:t xml:space="preserve">de Oaxaca, en su artículo </w:t>
      </w:r>
      <w:r w:rsidR="0075161B">
        <w:rPr>
          <w:rFonts w:cs="Arial"/>
          <w:szCs w:val="26"/>
        </w:rPr>
        <w:t xml:space="preserve">74, establece que deberá reclamarse el incidente de nulidad de actuaciones, en la actuación subsecuente. </w:t>
      </w:r>
    </w:p>
    <w:p w14:paraId="18A0A407" w14:textId="77777777" w:rsidR="005B0424" w:rsidRPr="005B0424" w:rsidRDefault="005B0424" w:rsidP="00B96A11">
      <w:pPr>
        <w:pStyle w:val="corte4fondo"/>
        <w:ind w:firstLine="0"/>
        <w:rPr>
          <w:rFonts w:cs="Arial"/>
          <w:bCs/>
          <w:szCs w:val="26"/>
        </w:rPr>
      </w:pPr>
    </w:p>
    <w:p w14:paraId="32FD19DA" w14:textId="106BD54A" w:rsidR="004762E0" w:rsidRDefault="00D97D6D" w:rsidP="004762E0">
      <w:pPr>
        <w:pStyle w:val="corte4fondo"/>
        <w:numPr>
          <w:ilvl w:val="0"/>
          <w:numId w:val="2"/>
        </w:numPr>
        <w:ind w:left="0" w:hanging="567"/>
        <w:rPr>
          <w:rFonts w:cs="Arial"/>
          <w:bCs/>
          <w:szCs w:val="26"/>
        </w:rPr>
      </w:pPr>
      <w:r w:rsidRPr="000D2B98">
        <w:rPr>
          <w:rFonts w:cs="Arial"/>
          <w:szCs w:val="26"/>
        </w:rPr>
        <w:t>Estos argumentos fueron declarados como fundados por el Juez de Distrito y se concedió la protección constitucional</w:t>
      </w:r>
      <w:r>
        <w:rPr>
          <w:rFonts w:cs="Arial"/>
          <w:szCs w:val="26"/>
        </w:rPr>
        <w:t>, al considerar</w:t>
      </w:r>
      <w:r w:rsidR="00E16034">
        <w:rPr>
          <w:rFonts w:cs="Arial"/>
          <w:szCs w:val="26"/>
        </w:rPr>
        <w:t>, en resumen,</w:t>
      </w:r>
      <w:r>
        <w:rPr>
          <w:rFonts w:cs="Arial"/>
          <w:szCs w:val="26"/>
        </w:rPr>
        <w:t xml:space="preserve"> que </w:t>
      </w:r>
      <w:r w:rsidRPr="000D2B98">
        <w:rPr>
          <w:rFonts w:cs="Arial"/>
          <w:bCs/>
          <w:szCs w:val="26"/>
        </w:rPr>
        <w:t>el plazo para poder combatir la nulidad de notificaciones en materia mercantil es la actuación subsecuente en la que intervenga el afectado, m</w:t>
      </w:r>
      <w:r>
        <w:rPr>
          <w:rFonts w:cs="Arial"/>
          <w:bCs/>
          <w:szCs w:val="26"/>
        </w:rPr>
        <w:t>á</w:t>
      </w:r>
      <w:r w:rsidRPr="000D2B98">
        <w:rPr>
          <w:rFonts w:cs="Arial"/>
          <w:bCs/>
          <w:szCs w:val="26"/>
        </w:rPr>
        <w:t>s no el plazo general de tres días que se contempla en el artículo 1079, fracción VI, del Código de Comercio</w:t>
      </w:r>
      <w:r w:rsidRPr="006D4514">
        <w:rPr>
          <w:rFonts w:cs="Arial"/>
          <w:bCs/>
          <w:szCs w:val="26"/>
        </w:rPr>
        <w:t>.</w:t>
      </w:r>
      <w:r w:rsidR="00D21D3F">
        <w:rPr>
          <w:rFonts w:cs="Arial"/>
          <w:bCs/>
          <w:szCs w:val="26"/>
        </w:rPr>
        <w:t xml:space="preserve"> </w:t>
      </w:r>
      <w:r w:rsidRPr="00D21D3F">
        <w:rPr>
          <w:rFonts w:cs="Arial"/>
          <w:bCs/>
          <w:szCs w:val="26"/>
        </w:rPr>
        <w:t>Por tal motivo</w:t>
      </w:r>
      <w:r w:rsidR="00DF3C66" w:rsidRPr="00D21D3F">
        <w:rPr>
          <w:rFonts w:cs="Arial"/>
          <w:bCs/>
          <w:szCs w:val="26"/>
        </w:rPr>
        <w:t>,</w:t>
      </w:r>
      <w:r w:rsidRPr="00D21D3F">
        <w:rPr>
          <w:rFonts w:cs="Arial"/>
          <w:bCs/>
          <w:szCs w:val="26"/>
        </w:rPr>
        <w:t xml:space="preserve"> </w:t>
      </w:r>
      <w:r w:rsidR="00E16034">
        <w:rPr>
          <w:rFonts w:cs="Arial"/>
          <w:bCs/>
          <w:szCs w:val="26"/>
        </w:rPr>
        <w:t>consider</w:t>
      </w:r>
      <w:r w:rsidRPr="00D21D3F">
        <w:rPr>
          <w:rFonts w:cs="Arial"/>
          <w:bCs/>
          <w:szCs w:val="26"/>
        </w:rPr>
        <w:t xml:space="preserve">ó incorrecto el </w:t>
      </w:r>
      <w:proofErr w:type="spellStart"/>
      <w:r w:rsidRPr="00D21D3F">
        <w:rPr>
          <w:rFonts w:cs="Arial"/>
          <w:bCs/>
          <w:szCs w:val="26"/>
        </w:rPr>
        <w:t>desechamiento</w:t>
      </w:r>
      <w:proofErr w:type="spellEnd"/>
      <w:r w:rsidRPr="00D21D3F">
        <w:rPr>
          <w:rFonts w:cs="Arial"/>
          <w:bCs/>
          <w:szCs w:val="26"/>
        </w:rPr>
        <w:t xml:space="preserve"> por extemporáneo del recurso</w:t>
      </w:r>
      <w:r w:rsidR="002449B0">
        <w:rPr>
          <w:rFonts w:cs="Arial"/>
          <w:bCs/>
          <w:szCs w:val="26"/>
        </w:rPr>
        <w:t xml:space="preserve"> que </w:t>
      </w:r>
      <w:r w:rsidR="007643A7">
        <w:rPr>
          <w:rFonts w:cs="Arial"/>
          <w:bCs/>
          <w:szCs w:val="26"/>
        </w:rPr>
        <w:t>declaró el Juez responsable</w:t>
      </w:r>
      <w:r w:rsidRPr="00D21D3F">
        <w:rPr>
          <w:rFonts w:cs="Arial"/>
          <w:bCs/>
          <w:szCs w:val="26"/>
        </w:rPr>
        <w:t>.</w:t>
      </w:r>
    </w:p>
    <w:p w14:paraId="44FC5A0A" w14:textId="77777777" w:rsidR="004762E0" w:rsidRDefault="004762E0" w:rsidP="004762E0">
      <w:pPr>
        <w:pStyle w:val="corte4fondo"/>
        <w:ind w:firstLine="0"/>
        <w:rPr>
          <w:rFonts w:cs="Arial"/>
          <w:bCs/>
          <w:szCs w:val="26"/>
        </w:rPr>
      </w:pPr>
    </w:p>
    <w:p w14:paraId="7B5B8466" w14:textId="1E8FBB72" w:rsidR="00D97D6D" w:rsidRPr="004762E0" w:rsidRDefault="004762E0" w:rsidP="004762E0">
      <w:pPr>
        <w:pStyle w:val="corte4fondo"/>
        <w:numPr>
          <w:ilvl w:val="0"/>
          <w:numId w:val="2"/>
        </w:numPr>
        <w:ind w:left="0" w:hanging="567"/>
        <w:rPr>
          <w:rFonts w:cs="Arial"/>
          <w:bCs/>
          <w:szCs w:val="26"/>
        </w:rPr>
      </w:pPr>
      <w:r>
        <w:rPr>
          <w:rFonts w:cs="Arial"/>
          <w:szCs w:val="26"/>
        </w:rPr>
        <w:t>E</w:t>
      </w:r>
      <w:r w:rsidR="00D97D6D" w:rsidRPr="004762E0">
        <w:rPr>
          <w:rFonts w:cs="Arial"/>
          <w:szCs w:val="26"/>
        </w:rPr>
        <w:t>n contra de esa</w:t>
      </w:r>
      <w:r>
        <w:rPr>
          <w:rFonts w:cs="Arial"/>
          <w:szCs w:val="26"/>
        </w:rPr>
        <w:t xml:space="preserve"> determinación es que </w:t>
      </w:r>
      <w:r w:rsidR="001A7F71">
        <w:rPr>
          <w:rFonts w:cs="Arial"/>
          <w:szCs w:val="26"/>
        </w:rPr>
        <w:t xml:space="preserve">la parte </w:t>
      </w:r>
      <w:proofErr w:type="gramStart"/>
      <w:r w:rsidR="003A3E58">
        <w:rPr>
          <w:rFonts w:cs="Arial"/>
          <w:szCs w:val="26"/>
        </w:rPr>
        <w:t>tercero interesada</w:t>
      </w:r>
      <w:proofErr w:type="gramEnd"/>
      <w:r w:rsidR="001A7F71">
        <w:rPr>
          <w:rFonts w:cs="Arial"/>
          <w:szCs w:val="26"/>
        </w:rPr>
        <w:t xml:space="preserve"> interpuso el recurso de revisión que se analiza, en el que señala como agravios,</w:t>
      </w:r>
      <w:r w:rsidR="00075E94">
        <w:rPr>
          <w:rFonts w:cs="Arial"/>
          <w:szCs w:val="26"/>
        </w:rPr>
        <w:t xml:space="preserve"> el</w:t>
      </w:r>
      <w:r w:rsidR="001A7F71">
        <w:rPr>
          <w:rFonts w:cs="Arial"/>
          <w:szCs w:val="26"/>
        </w:rPr>
        <w:t xml:space="preserve"> </w:t>
      </w:r>
      <w:r w:rsidR="00D97D6D" w:rsidRPr="004762E0">
        <w:rPr>
          <w:rFonts w:cs="Arial"/>
          <w:szCs w:val="26"/>
        </w:rPr>
        <w:t xml:space="preserve">que la sentencia vulnera su derecho de acceso a la justicia, dado que contrario a lo que afirmó el Juez de Distrito, </w:t>
      </w:r>
      <w:r w:rsidR="00BC1328" w:rsidRPr="004762E0">
        <w:rPr>
          <w:rFonts w:cs="Arial"/>
          <w:szCs w:val="26"/>
        </w:rPr>
        <w:t xml:space="preserve">la actuación subsecuente a la que tenga conocimiento el </w:t>
      </w:r>
      <w:proofErr w:type="spellStart"/>
      <w:r w:rsidR="00BC1328" w:rsidRPr="004762E0">
        <w:rPr>
          <w:rFonts w:cs="Arial"/>
          <w:szCs w:val="26"/>
        </w:rPr>
        <w:t>incidentista</w:t>
      </w:r>
      <w:proofErr w:type="spellEnd"/>
      <w:r w:rsidR="00BC1328" w:rsidRPr="004762E0">
        <w:rPr>
          <w:rFonts w:cs="Arial"/>
          <w:szCs w:val="26"/>
        </w:rPr>
        <w:t xml:space="preserve"> del acto tildado de ilegal o nulo no constitu</w:t>
      </w:r>
      <w:r w:rsidR="000A72C3">
        <w:rPr>
          <w:rFonts w:cs="Arial"/>
          <w:szCs w:val="26"/>
        </w:rPr>
        <w:t>ye</w:t>
      </w:r>
      <w:r w:rsidR="00BC1328" w:rsidRPr="004762E0">
        <w:rPr>
          <w:rFonts w:cs="Arial"/>
          <w:szCs w:val="26"/>
        </w:rPr>
        <w:t xml:space="preserve"> </w:t>
      </w:r>
      <w:r w:rsidR="000A72C3">
        <w:rPr>
          <w:rFonts w:cs="Arial"/>
          <w:szCs w:val="26"/>
        </w:rPr>
        <w:t>un</w:t>
      </w:r>
      <w:r w:rsidR="00BC1328" w:rsidRPr="004762E0">
        <w:rPr>
          <w:rFonts w:cs="Arial"/>
          <w:szCs w:val="26"/>
        </w:rPr>
        <w:t xml:space="preserve"> plazo </w:t>
      </w:r>
      <w:r w:rsidR="009673D2">
        <w:rPr>
          <w:rFonts w:cs="Arial"/>
          <w:szCs w:val="26"/>
        </w:rPr>
        <w:t xml:space="preserve">en sí mismo </w:t>
      </w:r>
      <w:r w:rsidR="00BC1328" w:rsidRPr="004762E0">
        <w:rPr>
          <w:rFonts w:cs="Arial"/>
          <w:szCs w:val="26"/>
        </w:rPr>
        <w:t xml:space="preserve">para recurrir </w:t>
      </w:r>
      <w:r w:rsidR="00D97D6D" w:rsidRPr="004762E0">
        <w:rPr>
          <w:rFonts w:cs="Arial"/>
          <w:szCs w:val="26"/>
        </w:rPr>
        <w:t xml:space="preserve">el incidente de nulidad de notificaciones. </w:t>
      </w:r>
    </w:p>
    <w:p w14:paraId="00F330F9" w14:textId="77777777" w:rsidR="00D97D6D" w:rsidRPr="00F13381" w:rsidRDefault="00D97D6D" w:rsidP="00D97D6D">
      <w:pPr>
        <w:pStyle w:val="Prrafodelista"/>
        <w:rPr>
          <w:rFonts w:cs="Arial"/>
          <w:szCs w:val="26"/>
        </w:rPr>
      </w:pPr>
    </w:p>
    <w:p w14:paraId="0CAA73F0" w14:textId="4E2FB58A" w:rsidR="00D97D6D" w:rsidRPr="00F13381" w:rsidRDefault="00D97D6D" w:rsidP="00D97D6D">
      <w:pPr>
        <w:pStyle w:val="Prrafodelista"/>
        <w:numPr>
          <w:ilvl w:val="0"/>
          <w:numId w:val="2"/>
        </w:numPr>
        <w:spacing w:line="360" w:lineRule="auto"/>
        <w:ind w:left="0" w:hanging="426"/>
        <w:rPr>
          <w:rFonts w:cs="Arial"/>
          <w:bCs/>
          <w:szCs w:val="26"/>
        </w:rPr>
      </w:pPr>
      <w:r w:rsidRPr="00F13381">
        <w:rPr>
          <w:rFonts w:cs="Arial"/>
          <w:szCs w:val="26"/>
        </w:rPr>
        <w:t xml:space="preserve">Lo anterior, porque se estaría dejando al arbitrio y voluntad del </w:t>
      </w:r>
      <w:proofErr w:type="spellStart"/>
      <w:r w:rsidRPr="00F13381">
        <w:rPr>
          <w:rFonts w:cs="Arial"/>
          <w:szCs w:val="26"/>
        </w:rPr>
        <w:t>incidentista</w:t>
      </w:r>
      <w:proofErr w:type="spellEnd"/>
      <w:r w:rsidRPr="00F13381">
        <w:rPr>
          <w:rFonts w:cs="Arial"/>
          <w:szCs w:val="26"/>
        </w:rPr>
        <w:t xml:space="preserve"> el plazo para recurrir la ilegalidad de una notificación. </w:t>
      </w:r>
      <w:r w:rsidR="00C01A82">
        <w:rPr>
          <w:rFonts w:cs="Arial"/>
          <w:szCs w:val="26"/>
        </w:rPr>
        <w:t>A</w:t>
      </w:r>
      <w:r w:rsidRPr="00F13381">
        <w:rPr>
          <w:rFonts w:cs="Arial"/>
          <w:szCs w:val="26"/>
        </w:rPr>
        <w:t xml:space="preserve">firmó que “la subsecuente actuación” </w:t>
      </w:r>
      <w:r w:rsidR="00DA6642">
        <w:rPr>
          <w:rFonts w:cs="Arial"/>
          <w:szCs w:val="26"/>
        </w:rPr>
        <w:t>es</w:t>
      </w:r>
      <w:r w:rsidRPr="00F13381">
        <w:rPr>
          <w:rFonts w:cs="Arial"/>
          <w:szCs w:val="26"/>
        </w:rPr>
        <w:t xml:space="preserve"> el momento a partir del cual se debe comenzar a contar el plazo de presentación. Aspecto para el cual estim</w:t>
      </w:r>
      <w:r>
        <w:rPr>
          <w:rFonts w:cs="Arial"/>
          <w:szCs w:val="26"/>
        </w:rPr>
        <w:t>ó</w:t>
      </w:r>
      <w:r w:rsidRPr="00F13381">
        <w:rPr>
          <w:rFonts w:cs="Arial"/>
          <w:szCs w:val="26"/>
        </w:rPr>
        <w:t xml:space="preserve"> necesario acudir a lo dispuesto en la fracción VI, del artículo 1079 del Código de Comercio, además del artículo 297, fracción II, del Código Federal de Procedimientos Civiles, aplicado supletoriamente o, en su defecto, </w:t>
      </w:r>
      <w:r w:rsidR="00DA6642">
        <w:rPr>
          <w:rFonts w:cs="Arial"/>
          <w:szCs w:val="26"/>
        </w:rPr>
        <w:t>a</w:t>
      </w:r>
      <w:r w:rsidRPr="00F13381">
        <w:rPr>
          <w:rFonts w:cs="Arial"/>
          <w:szCs w:val="26"/>
        </w:rPr>
        <w:t xml:space="preserve">l artículo 127 del Código de Procedimientos Civiles </w:t>
      </w:r>
      <w:r w:rsidR="00CF2DAD">
        <w:rPr>
          <w:rFonts w:cs="Arial"/>
          <w:szCs w:val="26"/>
        </w:rPr>
        <w:t xml:space="preserve">para </w:t>
      </w:r>
      <w:r w:rsidRPr="00F13381">
        <w:rPr>
          <w:rFonts w:cs="Arial"/>
          <w:szCs w:val="26"/>
        </w:rPr>
        <w:t xml:space="preserve">el Estado de Oaxaca, con el fin de que </w:t>
      </w:r>
      <w:r w:rsidR="007903D9">
        <w:rPr>
          <w:rFonts w:cs="Arial"/>
          <w:szCs w:val="26"/>
        </w:rPr>
        <w:t>la presentación del incidente</w:t>
      </w:r>
      <w:r w:rsidRPr="00F13381">
        <w:rPr>
          <w:rFonts w:cs="Arial"/>
          <w:szCs w:val="26"/>
        </w:rPr>
        <w:t xml:space="preserve"> no quede al arbitrio de </w:t>
      </w:r>
      <w:r w:rsidR="007308F3">
        <w:rPr>
          <w:rFonts w:cs="Arial"/>
          <w:szCs w:val="26"/>
        </w:rPr>
        <w:t>alg</w:t>
      </w:r>
      <w:r w:rsidRPr="00F13381">
        <w:rPr>
          <w:rFonts w:cs="Arial"/>
          <w:szCs w:val="26"/>
        </w:rPr>
        <w:t>una de las partes.</w:t>
      </w:r>
    </w:p>
    <w:p w14:paraId="022E6980" w14:textId="77777777" w:rsidR="00D97D6D" w:rsidRPr="00F13381" w:rsidRDefault="00D97D6D" w:rsidP="00D97D6D">
      <w:pPr>
        <w:pStyle w:val="Prrafodelista"/>
        <w:rPr>
          <w:rFonts w:cs="Arial"/>
          <w:szCs w:val="26"/>
        </w:rPr>
      </w:pPr>
    </w:p>
    <w:p w14:paraId="49921207" w14:textId="42385F8E" w:rsidR="00D97D6D" w:rsidRPr="00F13381" w:rsidRDefault="00D97D6D" w:rsidP="00D97D6D">
      <w:pPr>
        <w:pStyle w:val="Prrafodelista"/>
        <w:numPr>
          <w:ilvl w:val="0"/>
          <w:numId w:val="2"/>
        </w:numPr>
        <w:spacing w:line="360" w:lineRule="auto"/>
        <w:ind w:left="0" w:hanging="426"/>
        <w:rPr>
          <w:rFonts w:cs="Arial"/>
          <w:bCs/>
          <w:szCs w:val="26"/>
        </w:rPr>
      </w:pPr>
      <w:r w:rsidRPr="00F13381">
        <w:rPr>
          <w:rFonts w:cs="Arial"/>
          <w:szCs w:val="26"/>
        </w:rPr>
        <w:t xml:space="preserve">Considera también el recurrente, que permitir que la presentación del incidente de nulidad dependa de la siguiente actuación del interesado, tendría como efecto extender el momento de presentación de manera indefinida, lo cual es contrario al principio de seguridad jurídica y de justicia pronta.  </w:t>
      </w:r>
    </w:p>
    <w:p w14:paraId="03CA736C" w14:textId="77777777" w:rsidR="00D97D6D" w:rsidRDefault="00D97D6D" w:rsidP="00D97D6D">
      <w:pPr>
        <w:pStyle w:val="corte4fondo"/>
        <w:ind w:firstLine="0"/>
        <w:rPr>
          <w:rFonts w:cs="Arial"/>
          <w:szCs w:val="26"/>
        </w:rPr>
      </w:pPr>
    </w:p>
    <w:p w14:paraId="08BAB301" w14:textId="77777777" w:rsidR="00D97D6D" w:rsidRDefault="00D97D6D" w:rsidP="00D97D6D">
      <w:pPr>
        <w:pStyle w:val="Prrafodelista"/>
        <w:numPr>
          <w:ilvl w:val="0"/>
          <w:numId w:val="2"/>
        </w:numPr>
        <w:spacing w:line="360" w:lineRule="auto"/>
        <w:ind w:left="0" w:hanging="426"/>
        <w:rPr>
          <w:rFonts w:cs="Arial"/>
          <w:szCs w:val="26"/>
        </w:rPr>
      </w:pPr>
      <w:r>
        <w:rPr>
          <w:rFonts w:cs="Arial"/>
          <w:szCs w:val="26"/>
        </w:rPr>
        <w:t>Por lo tanto</w:t>
      </w:r>
      <w:r w:rsidRPr="00793154">
        <w:rPr>
          <w:rFonts w:cs="Arial"/>
          <w:szCs w:val="26"/>
        </w:rPr>
        <w:t xml:space="preserve">, </w:t>
      </w:r>
      <w:r>
        <w:rPr>
          <w:rFonts w:cs="Arial"/>
          <w:szCs w:val="26"/>
        </w:rPr>
        <w:t>señala</w:t>
      </w:r>
      <w:r w:rsidRPr="00793154">
        <w:rPr>
          <w:rFonts w:cs="Arial"/>
          <w:szCs w:val="26"/>
        </w:rPr>
        <w:t xml:space="preserve"> debe acudirse a lo dispuesto en el artículo 1079, fracción VI, del Código de Comercio y, supletoriamente </w:t>
      </w:r>
      <w:r>
        <w:rPr>
          <w:rFonts w:cs="Arial"/>
          <w:szCs w:val="26"/>
        </w:rPr>
        <w:t>a</w:t>
      </w:r>
      <w:r w:rsidRPr="00793154">
        <w:rPr>
          <w:rFonts w:cs="Arial"/>
          <w:szCs w:val="26"/>
        </w:rPr>
        <w:t xml:space="preserve">l artículo 297, fracción II, del Código Federal de Procedimientos Civiles; de tal forma que el plazo de tres días al que éstos se refieren debe computarse a partir de que el recurrente tenga conocimiento de los actos tildados de ilegales. </w:t>
      </w:r>
      <w:r>
        <w:rPr>
          <w:rFonts w:cs="Arial"/>
          <w:szCs w:val="26"/>
        </w:rPr>
        <w:t>E</w:t>
      </w:r>
      <w:r w:rsidRPr="00FC2E44">
        <w:rPr>
          <w:rFonts w:cs="Arial"/>
          <w:szCs w:val="26"/>
        </w:rPr>
        <w:t xml:space="preserve">ste aspecto fue invocado en el recurso de revocación que dio lugar al acto reclamado, concretamente, el que el propio </w:t>
      </w:r>
      <w:proofErr w:type="spellStart"/>
      <w:r w:rsidRPr="00FC2E44">
        <w:rPr>
          <w:rFonts w:cs="Arial"/>
          <w:szCs w:val="26"/>
        </w:rPr>
        <w:t>incidentista</w:t>
      </w:r>
      <w:proofErr w:type="spellEnd"/>
      <w:r w:rsidRPr="00FC2E44">
        <w:rPr>
          <w:rFonts w:cs="Arial"/>
          <w:szCs w:val="26"/>
        </w:rPr>
        <w:t xml:space="preserve"> y quejoso manifestó que tuvo conocimiento de las notificaciones realizadas el tres de diciembre de dos mil quince, sin que hubiera promovido el incidente de nulidad de notificaciones en los tres días siguientes, sino hasta el catorce de diciembre de dos mil quince.</w:t>
      </w:r>
    </w:p>
    <w:p w14:paraId="5861955F" w14:textId="77777777" w:rsidR="00D97D6D" w:rsidRDefault="00D97D6D" w:rsidP="00D97D6D">
      <w:pPr>
        <w:pStyle w:val="corte4fondo"/>
        <w:ind w:firstLine="0"/>
        <w:rPr>
          <w:rFonts w:cs="Arial"/>
          <w:szCs w:val="26"/>
        </w:rPr>
      </w:pPr>
    </w:p>
    <w:p w14:paraId="32AC47E9" w14:textId="5DF0C8E4" w:rsidR="00D97D6D" w:rsidRDefault="007643A7" w:rsidP="00D97D6D">
      <w:pPr>
        <w:pStyle w:val="Prrafodelista"/>
        <w:numPr>
          <w:ilvl w:val="0"/>
          <w:numId w:val="2"/>
        </w:numPr>
        <w:spacing w:line="360" w:lineRule="auto"/>
        <w:ind w:left="0" w:hanging="426"/>
        <w:rPr>
          <w:rFonts w:cs="Arial"/>
          <w:szCs w:val="26"/>
        </w:rPr>
      </w:pPr>
      <w:r>
        <w:rPr>
          <w:rFonts w:cs="Arial"/>
          <w:szCs w:val="26"/>
        </w:rPr>
        <w:t>Apunt</w:t>
      </w:r>
      <w:r w:rsidR="00A54F8E">
        <w:rPr>
          <w:rFonts w:cs="Arial"/>
          <w:szCs w:val="26"/>
        </w:rPr>
        <w:t>a que</w:t>
      </w:r>
      <w:r w:rsidR="00D97D6D" w:rsidRPr="00241DF4">
        <w:rPr>
          <w:rFonts w:cs="Arial"/>
          <w:szCs w:val="26"/>
        </w:rPr>
        <w:t xml:space="preserve"> tanto el artículo 68 de la Ley de Amparo, como el 74 del Código de Procedimientos Civiles </w:t>
      </w:r>
      <w:r w:rsidR="00DC0C44">
        <w:rPr>
          <w:rFonts w:cs="Arial"/>
          <w:szCs w:val="26"/>
        </w:rPr>
        <w:t xml:space="preserve">para </w:t>
      </w:r>
      <w:r w:rsidR="00D97D6D" w:rsidRPr="00241DF4">
        <w:rPr>
          <w:rFonts w:cs="Arial"/>
          <w:szCs w:val="26"/>
        </w:rPr>
        <w:t>el Estado de Oaxaca se refieren a la siguiente actuación en que comparezca el interesado</w:t>
      </w:r>
      <w:r w:rsidR="00C3422E">
        <w:rPr>
          <w:rFonts w:cs="Arial"/>
          <w:szCs w:val="26"/>
        </w:rPr>
        <w:t xml:space="preserve">; por </w:t>
      </w:r>
      <w:r w:rsidR="00D97D6D">
        <w:rPr>
          <w:rFonts w:cs="Arial"/>
          <w:szCs w:val="26"/>
        </w:rPr>
        <w:t xml:space="preserve">tanto, </w:t>
      </w:r>
      <w:r w:rsidR="00D97D6D" w:rsidRPr="00FE7FBB">
        <w:rPr>
          <w:rFonts w:cs="Arial"/>
          <w:szCs w:val="26"/>
        </w:rPr>
        <w:t xml:space="preserve">al haber aplicado el artículo 74 del Código de Procedimientos Civiles </w:t>
      </w:r>
      <w:r w:rsidR="00F63A75">
        <w:rPr>
          <w:rFonts w:cs="Arial"/>
          <w:szCs w:val="26"/>
        </w:rPr>
        <w:t xml:space="preserve">para </w:t>
      </w:r>
      <w:r w:rsidR="00D97D6D" w:rsidRPr="00FE7FBB">
        <w:rPr>
          <w:rFonts w:cs="Arial"/>
          <w:szCs w:val="26"/>
        </w:rPr>
        <w:t xml:space="preserve">el Estado de Oaxaca, el Juez de Distrito debía llegar a la misma conclusión, esto es, que “en la subsecuente actuación” no se refiere propiamente a un plazo, por no cumplir la exigencia de razonabilidad y objetividad, de ahí que se justifica la necesidad de acudir a la norma supletoria con el fin de que dicha facultad no quede indefinida ni al arbitrio de las partes. </w:t>
      </w:r>
    </w:p>
    <w:p w14:paraId="0ED7DD2C" w14:textId="77777777" w:rsidR="00D97D6D" w:rsidRPr="00D038ED" w:rsidRDefault="00D97D6D" w:rsidP="00D038ED">
      <w:pPr>
        <w:rPr>
          <w:rFonts w:cs="Arial"/>
          <w:szCs w:val="26"/>
        </w:rPr>
      </w:pPr>
    </w:p>
    <w:p w14:paraId="624D7EE0" w14:textId="04E996F4" w:rsidR="006D704F" w:rsidRDefault="00D97D6D" w:rsidP="00DD63B2">
      <w:pPr>
        <w:pStyle w:val="Prrafodelista"/>
        <w:numPr>
          <w:ilvl w:val="0"/>
          <w:numId w:val="2"/>
        </w:numPr>
        <w:spacing w:line="360" w:lineRule="auto"/>
        <w:ind w:left="0" w:hanging="426"/>
        <w:rPr>
          <w:rFonts w:cs="Arial"/>
          <w:szCs w:val="26"/>
        </w:rPr>
      </w:pPr>
      <w:r w:rsidRPr="002464FA">
        <w:rPr>
          <w:rFonts w:cs="Arial"/>
          <w:szCs w:val="26"/>
        </w:rPr>
        <w:t>Señaló que la tesis 3a./J. 1/95</w:t>
      </w:r>
      <w:r>
        <w:rPr>
          <w:rStyle w:val="Refdenotaalpie"/>
          <w:rFonts w:cs="Arial"/>
          <w:szCs w:val="26"/>
        </w:rPr>
        <w:footnoteReference w:id="4"/>
      </w:r>
      <w:r w:rsidRPr="002464FA">
        <w:rPr>
          <w:rFonts w:cs="Arial"/>
          <w:szCs w:val="26"/>
        </w:rPr>
        <w:t xml:space="preserve">, de rubro: “NULIDAD DE ACTUACIONES EN PROCEDIMIENTOS MERCANTILES. DEBE INTERPONERSE EN LA </w:t>
      </w:r>
      <w:r w:rsidRPr="002464FA">
        <w:rPr>
          <w:rFonts w:cs="Arial"/>
          <w:szCs w:val="26"/>
        </w:rPr>
        <w:lastRenderedPageBreak/>
        <w:t>ACTUACIÓN SUBSECUENTE EN QUE INTERVENGA EL INCONFORME (APLICACION SUPLETORIA DE LA LEGISLACION DEL ESTADO DE JALISCO Y CODIFICACIONES SIMILARES)”</w:t>
      </w:r>
      <w:r w:rsidR="00DD63B2">
        <w:rPr>
          <w:rFonts w:cs="Arial"/>
          <w:szCs w:val="26"/>
        </w:rPr>
        <w:t xml:space="preserve"> </w:t>
      </w:r>
      <w:r w:rsidRPr="00DD63B2">
        <w:rPr>
          <w:rFonts w:cs="Arial"/>
          <w:szCs w:val="26"/>
        </w:rPr>
        <w:t>quedó superad</w:t>
      </w:r>
      <w:r w:rsidR="00DD63B2">
        <w:rPr>
          <w:rFonts w:cs="Arial"/>
          <w:szCs w:val="26"/>
        </w:rPr>
        <w:t>a</w:t>
      </w:r>
      <w:r w:rsidRPr="00DD63B2">
        <w:rPr>
          <w:rFonts w:cs="Arial"/>
          <w:szCs w:val="26"/>
        </w:rPr>
        <w:t xml:space="preserve"> por lo sostenido por el Pleno de la Suprema Corte de Justicia de la Nación al emitir la Jurisprudencia P./J. 23/2016 (10a.)</w:t>
      </w:r>
      <w:r w:rsidR="00AF43F2">
        <w:rPr>
          <w:rFonts w:cs="Arial"/>
          <w:szCs w:val="26"/>
        </w:rPr>
        <w:t>,</w:t>
      </w:r>
      <w:r w:rsidR="00AD3FFA">
        <w:rPr>
          <w:rStyle w:val="Refdenotaalpie"/>
          <w:rFonts w:cs="Arial"/>
          <w:szCs w:val="26"/>
        </w:rPr>
        <w:footnoteReference w:id="5"/>
      </w:r>
      <w:r w:rsidR="00DD63B2">
        <w:rPr>
          <w:rFonts w:cs="Arial"/>
          <w:szCs w:val="26"/>
        </w:rPr>
        <w:t xml:space="preserve"> </w:t>
      </w:r>
      <w:r w:rsidRPr="00DD63B2">
        <w:rPr>
          <w:rFonts w:cs="Arial"/>
          <w:szCs w:val="26"/>
        </w:rPr>
        <w:t xml:space="preserve">que derivó de la resolución de la contradicción de tesis 133/2015. </w:t>
      </w:r>
    </w:p>
    <w:p w14:paraId="5209406C" w14:textId="77777777" w:rsidR="006D704F" w:rsidRPr="006D704F" w:rsidRDefault="006D704F" w:rsidP="006D704F">
      <w:pPr>
        <w:pStyle w:val="Prrafodelista"/>
        <w:rPr>
          <w:rFonts w:cs="Arial"/>
          <w:szCs w:val="26"/>
        </w:rPr>
      </w:pPr>
    </w:p>
    <w:p w14:paraId="4649722B" w14:textId="3A1F11C6" w:rsidR="00D97D6D" w:rsidRPr="00DD63B2" w:rsidRDefault="006D704F" w:rsidP="00DD63B2">
      <w:pPr>
        <w:pStyle w:val="Prrafodelista"/>
        <w:numPr>
          <w:ilvl w:val="0"/>
          <w:numId w:val="2"/>
        </w:numPr>
        <w:spacing w:line="360" w:lineRule="auto"/>
        <w:ind w:left="0" w:hanging="426"/>
        <w:rPr>
          <w:rFonts w:cs="Arial"/>
          <w:szCs w:val="26"/>
        </w:rPr>
      </w:pPr>
      <w:r>
        <w:rPr>
          <w:rFonts w:cs="Arial"/>
          <w:szCs w:val="26"/>
        </w:rPr>
        <w:t>Dice que, e</w:t>
      </w:r>
      <w:r w:rsidR="00E05E94">
        <w:rPr>
          <w:rFonts w:cs="Arial"/>
          <w:szCs w:val="26"/>
        </w:rPr>
        <w:t>n ese a</w:t>
      </w:r>
      <w:r w:rsidR="00D97D6D" w:rsidRPr="00DD63B2">
        <w:rPr>
          <w:rFonts w:cs="Arial"/>
          <w:szCs w:val="26"/>
        </w:rPr>
        <w:t>sunto, este Alto Tribunal definió el alcance de la acepción “la actuación subsecuente” y refirió que ésta no podía tomarse como un plazo, por no cumplir ello con la exigencia de razonabilidad y objetividad.</w:t>
      </w:r>
    </w:p>
    <w:p w14:paraId="0AADC5CC" w14:textId="77777777" w:rsidR="00D97D6D" w:rsidRPr="00B4621F" w:rsidRDefault="00D97D6D" w:rsidP="00D97D6D">
      <w:pPr>
        <w:pStyle w:val="Prrafodelista"/>
        <w:rPr>
          <w:rFonts w:cs="Arial"/>
          <w:szCs w:val="26"/>
        </w:rPr>
      </w:pPr>
    </w:p>
    <w:p w14:paraId="23085CDC" w14:textId="71899A85" w:rsidR="006B5018" w:rsidRDefault="006D704F" w:rsidP="00D97D6D">
      <w:pPr>
        <w:pStyle w:val="Prrafodelista"/>
        <w:numPr>
          <w:ilvl w:val="0"/>
          <w:numId w:val="2"/>
        </w:numPr>
        <w:spacing w:line="360" w:lineRule="auto"/>
        <w:ind w:left="0" w:hanging="426"/>
        <w:rPr>
          <w:rFonts w:cs="Arial"/>
          <w:szCs w:val="26"/>
        </w:rPr>
      </w:pPr>
      <w:r>
        <w:rPr>
          <w:rFonts w:cs="Arial"/>
          <w:szCs w:val="26"/>
        </w:rPr>
        <w:t>Como se adelantó</w:t>
      </w:r>
      <w:r w:rsidR="008F23A8">
        <w:rPr>
          <w:rFonts w:cs="Arial"/>
          <w:szCs w:val="26"/>
        </w:rPr>
        <w:t xml:space="preserve"> al inicio de este estudio</w:t>
      </w:r>
      <w:r w:rsidR="006B5018">
        <w:rPr>
          <w:rFonts w:cs="Arial"/>
          <w:szCs w:val="26"/>
        </w:rPr>
        <w:t xml:space="preserve">, esta Primera Sala </w:t>
      </w:r>
      <w:r w:rsidR="008F23A8">
        <w:rPr>
          <w:rFonts w:cs="Arial"/>
          <w:szCs w:val="26"/>
        </w:rPr>
        <w:t xml:space="preserve">considera </w:t>
      </w:r>
      <w:r w:rsidR="006B5018">
        <w:rPr>
          <w:rFonts w:cs="Arial"/>
          <w:szCs w:val="26"/>
        </w:rPr>
        <w:t xml:space="preserve">que </w:t>
      </w:r>
      <w:r w:rsidR="008F23A8">
        <w:rPr>
          <w:rFonts w:cs="Arial"/>
          <w:szCs w:val="26"/>
        </w:rPr>
        <w:t xml:space="preserve">estos agravios en su </w:t>
      </w:r>
      <w:r w:rsidR="003A305F">
        <w:rPr>
          <w:rFonts w:cs="Arial"/>
          <w:szCs w:val="26"/>
        </w:rPr>
        <w:t>conjunto</w:t>
      </w:r>
      <w:r w:rsidR="008F23A8">
        <w:rPr>
          <w:rFonts w:cs="Arial"/>
          <w:szCs w:val="26"/>
        </w:rPr>
        <w:t xml:space="preserve"> </w:t>
      </w:r>
      <w:r w:rsidR="006B5018">
        <w:rPr>
          <w:rFonts w:cs="Arial"/>
          <w:szCs w:val="26"/>
        </w:rPr>
        <w:t xml:space="preserve">deben declararse como infundados </w:t>
      </w:r>
      <w:r w:rsidR="00F23B69">
        <w:rPr>
          <w:rFonts w:cs="Arial"/>
          <w:szCs w:val="26"/>
        </w:rPr>
        <w:t>y</w:t>
      </w:r>
      <w:r w:rsidR="003B3C59">
        <w:rPr>
          <w:rFonts w:cs="Arial"/>
          <w:szCs w:val="26"/>
        </w:rPr>
        <w:t>,</w:t>
      </w:r>
      <w:r w:rsidR="00F23B69">
        <w:rPr>
          <w:rFonts w:cs="Arial"/>
          <w:szCs w:val="26"/>
        </w:rPr>
        <w:t xml:space="preserve"> por tanto, </w:t>
      </w:r>
      <w:r w:rsidR="007F709D">
        <w:rPr>
          <w:rFonts w:cs="Arial"/>
          <w:szCs w:val="26"/>
        </w:rPr>
        <w:t xml:space="preserve">lo procedente es </w:t>
      </w:r>
      <w:r w:rsidR="00F23B69">
        <w:rPr>
          <w:rFonts w:cs="Arial"/>
          <w:szCs w:val="26"/>
        </w:rPr>
        <w:t xml:space="preserve">confirmar la decisión adoptada por el Juez de Distrito </w:t>
      </w:r>
      <w:r w:rsidR="007F709D">
        <w:rPr>
          <w:rFonts w:cs="Arial"/>
          <w:szCs w:val="26"/>
        </w:rPr>
        <w:t>por las razones que se desarrollan</w:t>
      </w:r>
      <w:r w:rsidR="00F23B69">
        <w:rPr>
          <w:rFonts w:cs="Arial"/>
          <w:szCs w:val="26"/>
        </w:rPr>
        <w:t xml:space="preserve"> enseguida. </w:t>
      </w:r>
    </w:p>
    <w:p w14:paraId="63B010CF" w14:textId="323E2030" w:rsidR="000B022F" w:rsidRDefault="004D43F6" w:rsidP="00C338D8">
      <w:pPr>
        <w:pStyle w:val="corte4fondo"/>
        <w:ind w:firstLine="0"/>
        <w:rPr>
          <w:rFonts w:cs="Arial"/>
          <w:bCs/>
          <w:szCs w:val="26"/>
        </w:rPr>
      </w:pPr>
      <w:r>
        <w:rPr>
          <w:rFonts w:cs="Arial"/>
          <w:bCs/>
          <w:szCs w:val="26"/>
        </w:rPr>
        <w:t xml:space="preserve"> </w:t>
      </w:r>
    </w:p>
    <w:p w14:paraId="00563A35" w14:textId="21C1F27A" w:rsidR="006F0FD5" w:rsidRDefault="00AA5301" w:rsidP="004D7F83">
      <w:pPr>
        <w:pStyle w:val="corte4fondo"/>
        <w:numPr>
          <w:ilvl w:val="0"/>
          <w:numId w:val="2"/>
        </w:numPr>
        <w:ind w:left="0" w:hanging="567"/>
        <w:rPr>
          <w:rFonts w:cs="Arial"/>
          <w:bCs/>
          <w:szCs w:val="26"/>
        </w:rPr>
      </w:pPr>
      <w:r>
        <w:rPr>
          <w:rFonts w:cs="Arial"/>
          <w:bCs/>
          <w:szCs w:val="26"/>
        </w:rPr>
        <w:t xml:space="preserve">Primeramente, es pertinente mencionar </w:t>
      </w:r>
      <w:r w:rsidR="006E30AD">
        <w:rPr>
          <w:rFonts w:cs="Arial"/>
          <w:bCs/>
          <w:szCs w:val="26"/>
        </w:rPr>
        <w:t>que,</w:t>
      </w:r>
      <w:r>
        <w:rPr>
          <w:rFonts w:cs="Arial"/>
          <w:bCs/>
          <w:szCs w:val="26"/>
        </w:rPr>
        <w:t xml:space="preserve"> </w:t>
      </w:r>
      <w:r w:rsidR="00CA6013">
        <w:rPr>
          <w:rFonts w:cs="Arial"/>
          <w:bCs/>
          <w:szCs w:val="26"/>
        </w:rPr>
        <w:t xml:space="preserve">en torno a la comunicación de las actuaciones en </w:t>
      </w:r>
      <w:r w:rsidR="00A17988">
        <w:rPr>
          <w:rFonts w:cs="Arial"/>
          <w:bCs/>
          <w:szCs w:val="26"/>
        </w:rPr>
        <w:t xml:space="preserve">el </w:t>
      </w:r>
      <w:r w:rsidR="00CA6013">
        <w:rPr>
          <w:rFonts w:cs="Arial"/>
          <w:bCs/>
          <w:szCs w:val="26"/>
        </w:rPr>
        <w:t>procedimiento judicial y su posibilidad de anularlos</w:t>
      </w:r>
      <w:r w:rsidR="004D7F83">
        <w:rPr>
          <w:rFonts w:cs="Arial"/>
          <w:bCs/>
          <w:szCs w:val="26"/>
        </w:rPr>
        <w:t xml:space="preserve">, </w:t>
      </w:r>
      <w:r w:rsidRPr="004D7F83">
        <w:rPr>
          <w:rFonts w:cs="Arial"/>
          <w:bCs/>
          <w:szCs w:val="26"/>
        </w:rPr>
        <w:t>e</w:t>
      </w:r>
      <w:r w:rsidR="00A42BFF" w:rsidRPr="004D7F83">
        <w:rPr>
          <w:rFonts w:cs="Arial"/>
          <w:bCs/>
          <w:szCs w:val="26"/>
        </w:rPr>
        <w:t xml:space="preserve">sta Suprema Corte de Justicia de la Nación ha </w:t>
      </w:r>
      <w:r w:rsidR="006F0FD5">
        <w:rPr>
          <w:rFonts w:cs="Arial"/>
          <w:bCs/>
          <w:szCs w:val="26"/>
        </w:rPr>
        <w:t xml:space="preserve">desarrollado una doctrina </w:t>
      </w:r>
      <w:proofErr w:type="gramStart"/>
      <w:r w:rsidR="006F0FD5">
        <w:rPr>
          <w:rFonts w:cs="Arial"/>
          <w:bCs/>
          <w:szCs w:val="26"/>
        </w:rPr>
        <w:t>que</w:t>
      </w:r>
      <w:proofErr w:type="gramEnd"/>
      <w:r w:rsidR="006F0FD5">
        <w:rPr>
          <w:rFonts w:cs="Arial"/>
          <w:bCs/>
          <w:szCs w:val="26"/>
        </w:rPr>
        <w:t xml:space="preserve"> si bien</w:t>
      </w:r>
      <w:r w:rsidR="00913F69">
        <w:rPr>
          <w:rFonts w:cs="Arial"/>
          <w:bCs/>
          <w:szCs w:val="26"/>
        </w:rPr>
        <w:t xml:space="preserve"> pareciera</w:t>
      </w:r>
      <w:r w:rsidR="006F0FD5">
        <w:rPr>
          <w:rFonts w:cs="Arial"/>
          <w:bCs/>
          <w:szCs w:val="26"/>
        </w:rPr>
        <w:t xml:space="preserve"> no </w:t>
      </w:r>
      <w:r w:rsidR="00913F69">
        <w:rPr>
          <w:rFonts w:cs="Arial"/>
          <w:bCs/>
          <w:szCs w:val="26"/>
        </w:rPr>
        <w:t>ser</w:t>
      </w:r>
      <w:r w:rsidR="006F0FD5">
        <w:rPr>
          <w:rFonts w:cs="Arial"/>
          <w:bCs/>
          <w:szCs w:val="26"/>
        </w:rPr>
        <w:t xml:space="preserve"> tan extensa, es suficiente para resaltar </w:t>
      </w:r>
      <w:r w:rsidR="00BA2DC7">
        <w:rPr>
          <w:rFonts w:cs="Arial"/>
          <w:bCs/>
          <w:szCs w:val="26"/>
        </w:rPr>
        <w:t>la trascendencia que tiene el que las partes conozcan con exactitud, veracidad y oportunidad, todo lo actuado en los juicios de los que son parte</w:t>
      </w:r>
      <w:r w:rsidR="00347013">
        <w:rPr>
          <w:rFonts w:cs="Arial"/>
          <w:bCs/>
          <w:szCs w:val="26"/>
        </w:rPr>
        <w:t xml:space="preserve">. </w:t>
      </w:r>
    </w:p>
    <w:p w14:paraId="20BB1F51" w14:textId="77777777" w:rsidR="00347013" w:rsidRDefault="00347013" w:rsidP="00347013">
      <w:pPr>
        <w:pStyle w:val="Prrafodelista"/>
        <w:rPr>
          <w:rFonts w:cs="Arial"/>
          <w:bCs/>
          <w:szCs w:val="26"/>
        </w:rPr>
      </w:pPr>
    </w:p>
    <w:p w14:paraId="757EEC82" w14:textId="299CDD87" w:rsidR="005B0D58" w:rsidRPr="00347013" w:rsidRDefault="00347013" w:rsidP="00347013">
      <w:pPr>
        <w:pStyle w:val="corte4fondo"/>
        <w:numPr>
          <w:ilvl w:val="0"/>
          <w:numId w:val="2"/>
        </w:numPr>
        <w:ind w:left="0" w:hanging="567"/>
        <w:rPr>
          <w:rFonts w:cs="Arial"/>
          <w:bCs/>
          <w:szCs w:val="26"/>
        </w:rPr>
      </w:pPr>
      <w:r>
        <w:rPr>
          <w:rFonts w:cs="Arial"/>
          <w:bCs/>
          <w:szCs w:val="26"/>
        </w:rPr>
        <w:t xml:space="preserve">De ahí que se ha </w:t>
      </w:r>
      <w:r w:rsidR="007334F0">
        <w:rPr>
          <w:rFonts w:cs="Arial"/>
          <w:bCs/>
          <w:szCs w:val="26"/>
        </w:rPr>
        <w:t>destacado</w:t>
      </w:r>
      <w:r>
        <w:rPr>
          <w:rFonts w:cs="Arial"/>
          <w:bCs/>
          <w:szCs w:val="26"/>
        </w:rPr>
        <w:t xml:space="preserve"> </w:t>
      </w:r>
      <w:r w:rsidR="009C1A49" w:rsidRPr="00347013">
        <w:rPr>
          <w:rFonts w:cs="Arial"/>
          <w:bCs/>
          <w:szCs w:val="26"/>
        </w:rPr>
        <w:t xml:space="preserve">la importancia </w:t>
      </w:r>
      <w:r w:rsidR="00747FE8" w:rsidRPr="00347013">
        <w:rPr>
          <w:rFonts w:cs="Arial"/>
          <w:bCs/>
          <w:szCs w:val="26"/>
        </w:rPr>
        <w:t>que</w:t>
      </w:r>
      <w:r w:rsidR="009C1A49" w:rsidRPr="00347013">
        <w:rPr>
          <w:rFonts w:cs="Arial"/>
          <w:bCs/>
          <w:szCs w:val="26"/>
        </w:rPr>
        <w:t xml:space="preserve"> </w:t>
      </w:r>
      <w:r w:rsidR="007C1EEA" w:rsidRPr="00347013">
        <w:rPr>
          <w:rFonts w:cs="Arial"/>
          <w:bCs/>
          <w:szCs w:val="26"/>
        </w:rPr>
        <w:t>la comunicación de todas las actuaciones tiene en el procedimiento judicial</w:t>
      </w:r>
      <w:r w:rsidR="00E53B0F" w:rsidRPr="00347013">
        <w:rPr>
          <w:rFonts w:cs="Arial"/>
          <w:bCs/>
          <w:szCs w:val="26"/>
        </w:rPr>
        <w:t xml:space="preserve">, ya que </w:t>
      </w:r>
      <w:r w:rsidR="00402640" w:rsidRPr="00347013">
        <w:rPr>
          <w:rFonts w:cs="Arial"/>
          <w:bCs/>
          <w:szCs w:val="26"/>
        </w:rPr>
        <w:t>la comunicación a las partes o terceros de los actos procesales es lo que permite que haya continuidad en el proceso, en la medida en que esa comunicación constituye el requisito sin el cual los actos previos no surten efectos y, por ende, sus consecuencias jurídicas no pueden aplicarse válidamente</w:t>
      </w:r>
      <w:r w:rsidR="007334F0">
        <w:rPr>
          <w:rStyle w:val="Refdenotaalpie"/>
          <w:rFonts w:cs="Arial"/>
          <w:bCs/>
          <w:szCs w:val="26"/>
        </w:rPr>
        <w:footnoteReference w:id="6"/>
      </w:r>
      <w:r w:rsidR="00402640" w:rsidRPr="00347013">
        <w:rPr>
          <w:rFonts w:cs="Arial"/>
          <w:bCs/>
          <w:szCs w:val="26"/>
        </w:rPr>
        <w:t>.</w:t>
      </w:r>
    </w:p>
    <w:p w14:paraId="4EA793F6" w14:textId="77777777" w:rsidR="00714368" w:rsidRPr="00714368" w:rsidRDefault="00714368" w:rsidP="00714368">
      <w:pPr>
        <w:pStyle w:val="corte4fondo"/>
        <w:ind w:firstLine="0"/>
        <w:rPr>
          <w:rFonts w:cs="Arial"/>
          <w:bCs/>
          <w:szCs w:val="26"/>
        </w:rPr>
      </w:pPr>
    </w:p>
    <w:p w14:paraId="45D66D93" w14:textId="0F1F4304" w:rsidR="00470A90" w:rsidRPr="00714368" w:rsidRDefault="00277A3F" w:rsidP="00714368">
      <w:pPr>
        <w:pStyle w:val="corte4fondo"/>
        <w:numPr>
          <w:ilvl w:val="0"/>
          <w:numId w:val="2"/>
        </w:numPr>
        <w:ind w:left="0" w:hanging="567"/>
        <w:rPr>
          <w:rFonts w:cs="Arial"/>
          <w:bCs/>
          <w:szCs w:val="26"/>
        </w:rPr>
      </w:pPr>
      <w:r w:rsidRPr="00714368">
        <w:rPr>
          <w:rFonts w:cs="Arial"/>
          <w:bCs/>
          <w:szCs w:val="26"/>
        </w:rPr>
        <w:lastRenderedPageBreak/>
        <w:t>A</w:t>
      </w:r>
      <w:r w:rsidR="00470A90" w:rsidRPr="00714368">
        <w:rPr>
          <w:rFonts w:cs="Arial"/>
          <w:bCs/>
          <w:szCs w:val="26"/>
        </w:rPr>
        <w:t>demás</w:t>
      </w:r>
      <w:r w:rsidRPr="00714368">
        <w:rPr>
          <w:rFonts w:cs="Arial"/>
          <w:bCs/>
          <w:szCs w:val="26"/>
        </w:rPr>
        <w:t>,</w:t>
      </w:r>
      <w:r w:rsidR="000F2710" w:rsidRPr="00714368">
        <w:rPr>
          <w:rFonts w:cs="Arial"/>
          <w:bCs/>
          <w:szCs w:val="26"/>
        </w:rPr>
        <w:t xml:space="preserve"> </w:t>
      </w:r>
      <w:r w:rsidR="00594A95">
        <w:rPr>
          <w:rFonts w:cs="Arial"/>
          <w:bCs/>
          <w:szCs w:val="26"/>
        </w:rPr>
        <w:t xml:space="preserve">se ha expresado que </w:t>
      </w:r>
      <w:r w:rsidR="000F2710" w:rsidRPr="00714368">
        <w:rPr>
          <w:rFonts w:cs="Arial"/>
          <w:bCs/>
          <w:szCs w:val="26"/>
        </w:rPr>
        <w:t xml:space="preserve">la notificación </w:t>
      </w:r>
      <w:r w:rsidR="00714368">
        <w:rPr>
          <w:rFonts w:cs="Arial"/>
          <w:bCs/>
          <w:szCs w:val="26"/>
        </w:rPr>
        <w:t>es</w:t>
      </w:r>
      <w:r w:rsidR="000F2710" w:rsidRPr="00714368">
        <w:rPr>
          <w:rFonts w:cs="Arial"/>
          <w:bCs/>
          <w:szCs w:val="26"/>
        </w:rPr>
        <w:t xml:space="preserve"> </w:t>
      </w:r>
      <w:r w:rsidR="00945498" w:rsidRPr="00714368">
        <w:rPr>
          <w:rFonts w:cs="Arial"/>
          <w:bCs/>
          <w:szCs w:val="26"/>
        </w:rPr>
        <w:t>el acto procesal a través del cual se entera a las partes o terceros de las actuaciones realizadas en el proceso, a fin de que surtan sus efectos. Su importancia radica en que las partes deben tener conocimiento de las actuaciones realizadas en el juicio</w:t>
      </w:r>
      <w:r w:rsidR="004433DF">
        <w:rPr>
          <w:rFonts w:cs="Arial"/>
          <w:bCs/>
          <w:szCs w:val="26"/>
        </w:rPr>
        <w:t>,</w:t>
      </w:r>
      <w:r w:rsidR="00945498" w:rsidRPr="00714368">
        <w:rPr>
          <w:rFonts w:cs="Arial"/>
          <w:bCs/>
          <w:szCs w:val="26"/>
        </w:rPr>
        <w:t xml:space="preserve"> a efecto de que tengan preciso su contenido y las consecuencias inherentes y, en su caso, estén en aptitud de impugnarlas si las consideran lesivas a sus intereses.</w:t>
      </w:r>
    </w:p>
    <w:p w14:paraId="4E5C331C" w14:textId="77777777" w:rsidR="00F032CC" w:rsidRPr="00F032CC" w:rsidRDefault="00F032CC" w:rsidP="00F032CC">
      <w:pPr>
        <w:pStyle w:val="corte4fondo"/>
        <w:ind w:firstLine="0"/>
        <w:rPr>
          <w:rFonts w:cs="Arial"/>
          <w:bCs/>
          <w:szCs w:val="26"/>
        </w:rPr>
      </w:pPr>
    </w:p>
    <w:p w14:paraId="6C25D451" w14:textId="6AC0B4C3" w:rsidR="00D70F20" w:rsidRDefault="00F032CC" w:rsidP="00D70F20">
      <w:pPr>
        <w:pStyle w:val="corte4fondo"/>
        <w:numPr>
          <w:ilvl w:val="0"/>
          <w:numId w:val="2"/>
        </w:numPr>
        <w:ind w:left="0" w:hanging="567"/>
        <w:rPr>
          <w:rFonts w:cs="Arial"/>
          <w:bCs/>
          <w:szCs w:val="26"/>
        </w:rPr>
      </w:pPr>
      <w:r w:rsidRPr="00F032CC">
        <w:rPr>
          <w:rFonts w:cs="Arial"/>
          <w:bCs/>
          <w:szCs w:val="26"/>
        </w:rPr>
        <w:t>Por ende, cuando una</w:t>
      </w:r>
      <w:r>
        <w:rPr>
          <w:rFonts w:cs="Arial"/>
          <w:bCs/>
          <w:szCs w:val="26"/>
        </w:rPr>
        <w:t xml:space="preserve"> </w:t>
      </w:r>
      <w:r w:rsidR="00D70F20" w:rsidRPr="00D70F20">
        <w:rPr>
          <w:rFonts w:cs="Arial"/>
          <w:bCs/>
          <w:szCs w:val="26"/>
        </w:rPr>
        <w:t>notificación se realiza en forma incorrecta porque no se siguieron las reglas previstas en la ley para realizarlas, se debe considerar que el acto procesal materia de notificación no surte efecto y debe ordenarse que se realice correctamente. Para ello es indispensable que el órgano jurisdiccional así lo decida, o bien, se declare la nulidad de la notificación efectuada en forma incorrecta a través del incidente de nulidad.</w:t>
      </w:r>
    </w:p>
    <w:p w14:paraId="7DE39CBD" w14:textId="77777777" w:rsidR="001845D1" w:rsidRPr="00D70F20" w:rsidRDefault="001845D1" w:rsidP="001845D1">
      <w:pPr>
        <w:pStyle w:val="corte4fondo"/>
        <w:ind w:firstLine="0"/>
        <w:rPr>
          <w:rFonts w:cs="Arial"/>
          <w:bCs/>
          <w:szCs w:val="26"/>
        </w:rPr>
      </w:pPr>
    </w:p>
    <w:p w14:paraId="1A6D9C2D" w14:textId="13B2D3AF" w:rsidR="00EB4F24" w:rsidRDefault="00DF65B4" w:rsidP="00EB4F24">
      <w:pPr>
        <w:pStyle w:val="corte4fondo"/>
        <w:numPr>
          <w:ilvl w:val="0"/>
          <w:numId w:val="2"/>
        </w:numPr>
        <w:ind w:left="0" w:hanging="567"/>
        <w:rPr>
          <w:rFonts w:cs="Arial"/>
          <w:bCs/>
          <w:szCs w:val="26"/>
        </w:rPr>
      </w:pPr>
      <w:r>
        <w:rPr>
          <w:rFonts w:cs="Arial"/>
          <w:bCs/>
          <w:szCs w:val="26"/>
        </w:rPr>
        <w:t>Respecto al</w:t>
      </w:r>
      <w:r w:rsidR="007F36C8">
        <w:rPr>
          <w:rFonts w:cs="Arial"/>
          <w:bCs/>
          <w:szCs w:val="26"/>
        </w:rPr>
        <w:t xml:space="preserve"> incidente de nulidad, e</w:t>
      </w:r>
      <w:r w:rsidR="002045E2">
        <w:rPr>
          <w:rFonts w:cs="Arial"/>
          <w:bCs/>
          <w:szCs w:val="26"/>
        </w:rPr>
        <w:t>l Pleno de este</w:t>
      </w:r>
      <w:r w:rsidR="007F36C8">
        <w:rPr>
          <w:rFonts w:cs="Arial"/>
          <w:bCs/>
          <w:szCs w:val="26"/>
        </w:rPr>
        <w:t xml:space="preserve"> Alto Tribunal ha dicho que</w:t>
      </w:r>
      <w:r w:rsidR="008E29E1">
        <w:rPr>
          <w:rFonts w:cs="Arial"/>
          <w:bCs/>
          <w:szCs w:val="26"/>
        </w:rPr>
        <w:t xml:space="preserve">, el </w:t>
      </w:r>
      <w:r w:rsidR="008E29E1" w:rsidRPr="008E29E1">
        <w:rPr>
          <w:rFonts w:cs="Arial"/>
          <w:bCs/>
          <w:szCs w:val="26"/>
        </w:rPr>
        <w:t xml:space="preserve">incidente de nulidad de </w:t>
      </w:r>
      <w:r w:rsidRPr="008E29E1">
        <w:rPr>
          <w:rFonts w:cs="Arial"/>
          <w:bCs/>
          <w:szCs w:val="26"/>
        </w:rPr>
        <w:t>notificaciones</w:t>
      </w:r>
      <w:r w:rsidR="008E29E1" w:rsidRPr="008E29E1">
        <w:rPr>
          <w:rFonts w:cs="Arial"/>
          <w:bCs/>
          <w:szCs w:val="26"/>
        </w:rPr>
        <w:t xml:space="preserve"> se caracteriza por ser un procedimiento de carácter sumario que tiende a resolver una controversia de carácter adjetivo relacionado inmediata y directamente con el asunto principal</w:t>
      </w:r>
      <w:r>
        <w:rPr>
          <w:rStyle w:val="Refdenotaalpie"/>
          <w:rFonts w:cs="Arial"/>
          <w:bCs/>
          <w:szCs w:val="26"/>
        </w:rPr>
        <w:footnoteReference w:id="7"/>
      </w:r>
      <w:r w:rsidR="008E29E1" w:rsidRPr="008E29E1">
        <w:rPr>
          <w:rFonts w:cs="Arial"/>
          <w:bCs/>
          <w:szCs w:val="26"/>
        </w:rPr>
        <w:t>.</w:t>
      </w:r>
    </w:p>
    <w:p w14:paraId="7A0D26D0" w14:textId="77777777" w:rsidR="00EB4F24" w:rsidRDefault="00EB4F24" w:rsidP="00EB4F24">
      <w:pPr>
        <w:pStyle w:val="Prrafodelista"/>
        <w:rPr>
          <w:rFonts w:cs="Arial"/>
          <w:bCs/>
          <w:szCs w:val="26"/>
        </w:rPr>
      </w:pPr>
    </w:p>
    <w:p w14:paraId="446EE55F" w14:textId="2DA9FC7A" w:rsidR="00F62ECE" w:rsidRDefault="0061314B" w:rsidP="001B1461">
      <w:pPr>
        <w:pStyle w:val="corte4fondo"/>
        <w:numPr>
          <w:ilvl w:val="0"/>
          <w:numId w:val="2"/>
        </w:numPr>
        <w:ind w:left="0" w:hanging="567"/>
        <w:rPr>
          <w:rFonts w:cs="Arial"/>
          <w:bCs/>
          <w:szCs w:val="26"/>
        </w:rPr>
      </w:pPr>
      <w:r>
        <w:rPr>
          <w:rFonts w:cs="Arial"/>
          <w:bCs/>
          <w:szCs w:val="26"/>
        </w:rPr>
        <w:t>Que l</w:t>
      </w:r>
      <w:r w:rsidR="008E29E1" w:rsidRPr="00EB4F24">
        <w:rPr>
          <w:rFonts w:cs="Arial"/>
          <w:bCs/>
          <w:szCs w:val="26"/>
        </w:rPr>
        <w:t xml:space="preserve">a palabra incidente, viene del latín </w:t>
      </w:r>
      <w:proofErr w:type="spellStart"/>
      <w:r w:rsidR="008E29E1" w:rsidRPr="00EB4F24">
        <w:rPr>
          <w:rFonts w:cs="Arial"/>
          <w:bCs/>
          <w:szCs w:val="26"/>
        </w:rPr>
        <w:t>incidere</w:t>
      </w:r>
      <w:proofErr w:type="spellEnd"/>
      <w:r w:rsidR="008E29E1" w:rsidRPr="00EB4F24">
        <w:rPr>
          <w:rFonts w:cs="Arial"/>
          <w:bCs/>
          <w:szCs w:val="26"/>
        </w:rPr>
        <w:t xml:space="preserve"> que significa sobrevenir, interrumpir, producirse, de ahí que la doctrina haya señalado de manera coincidente que se trata de la cuestión accesoria que sobreviene o se forma durante el curso del negocio o procesamiento de la pretensión, y que origina el dictado de una resolución con independencia a la cuestión principal en que aparece.</w:t>
      </w:r>
      <w:r w:rsidR="001B1461">
        <w:rPr>
          <w:rFonts w:cs="Arial"/>
          <w:bCs/>
          <w:szCs w:val="26"/>
        </w:rPr>
        <w:t xml:space="preserve"> </w:t>
      </w:r>
      <w:r w:rsidR="00F21C10">
        <w:rPr>
          <w:rFonts w:cs="Arial"/>
          <w:bCs/>
          <w:szCs w:val="26"/>
        </w:rPr>
        <w:t>Mientras que e</w:t>
      </w:r>
      <w:r w:rsidR="001B1461" w:rsidRPr="001B1461">
        <w:rPr>
          <w:rFonts w:cs="Arial"/>
          <w:bCs/>
          <w:szCs w:val="26"/>
        </w:rPr>
        <w:t>l Diccionario de la Lengua Española de la Real Academia Española, señala que por incidente debe entenderse: "3. m. Der. En un proceso, cuestión distinta de la principal, pero relacionada con esta, que se resuelve a través de un trámite especial</w:t>
      </w:r>
      <w:r w:rsidR="00A04CEF">
        <w:rPr>
          <w:rStyle w:val="Refdenotaalpie"/>
          <w:rFonts w:cs="Arial"/>
          <w:bCs/>
          <w:szCs w:val="26"/>
        </w:rPr>
        <w:footnoteReference w:id="8"/>
      </w:r>
      <w:r w:rsidR="001B1461" w:rsidRPr="001B1461">
        <w:rPr>
          <w:rFonts w:cs="Arial"/>
          <w:bCs/>
          <w:szCs w:val="26"/>
        </w:rPr>
        <w:t>.</w:t>
      </w:r>
    </w:p>
    <w:p w14:paraId="691A5910" w14:textId="77777777" w:rsidR="00F21C10" w:rsidRPr="001B1461" w:rsidRDefault="00F21C10" w:rsidP="00F21C10">
      <w:pPr>
        <w:pStyle w:val="corte4fondo"/>
        <w:ind w:firstLine="0"/>
        <w:rPr>
          <w:rFonts w:cs="Arial"/>
          <w:bCs/>
          <w:szCs w:val="26"/>
        </w:rPr>
      </w:pPr>
    </w:p>
    <w:p w14:paraId="5AB6E874" w14:textId="30C2B824" w:rsidR="00924D7F" w:rsidRDefault="00A755CB" w:rsidP="006F5718">
      <w:pPr>
        <w:pStyle w:val="corte4fondo"/>
        <w:numPr>
          <w:ilvl w:val="0"/>
          <w:numId w:val="2"/>
        </w:numPr>
        <w:ind w:left="0" w:hanging="567"/>
        <w:rPr>
          <w:rFonts w:cs="Arial"/>
          <w:bCs/>
          <w:szCs w:val="26"/>
        </w:rPr>
      </w:pPr>
      <w:r w:rsidRPr="006F5718">
        <w:rPr>
          <w:rFonts w:cs="Arial"/>
          <w:bCs/>
          <w:szCs w:val="26"/>
        </w:rPr>
        <w:lastRenderedPageBreak/>
        <w:t xml:space="preserve">El objeto del referido medio </w:t>
      </w:r>
      <w:r w:rsidR="006F5718" w:rsidRPr="006F5718">
        <w:rPr>
          <w:rFonts w:cs="Arial"/>
          <w:bCs/>
          <w:szCs w:val="26"/>
        </w:rPr>
        <w:t>defensa</w:t>
      </w:r>
      <w:r w:rsidRPr="006F5718">
        <w:rPr>
          <w:rFonts w:cs="Arial"/>
          <w:bCs/>
          <w:szCs w:val="26"/>
        </w:rPr>
        <w:t xml:space="preserve"> se constriñe a la declaración de invalidez de una notificación practicada en </w:t>
      </w:r>
      <w:r w:rsidR="006F5718">
        <w:rPr>
          <w:rFonts w:cs="Arial"/>
          <w:bCs/>
          <w:szCs w:val="26"/>
        </w:rPr>
        <w:t>un</w:t>
      </w:r>
      <w:r w:rsidRPr="006F5718">
        <w:rPr>
          <w:rFonts w:cs="Arial"/>
          <w:bCs/>
          <w:szCs w:val="26"/>
        </w:rPr>
        <w:t xml:space="preserve"> juicio, cuando se hubiere realizado en contravención a las normas que la rigen, con la consecuencia de que habrá de reponerse el procedimiento a partir de ese momento procesal, con el propósito de integrar debidamente el proceso, lograr su validez formal y garantizar a las partes su derecho de defensa. De ahí que pueda afirmarse que este incidente es uno de los medios de impugnación conocidos por la doctrina como de "anulación", pues tal resolución sólo decide acerca de la validez o nulidad de una notificación, así como respecto de las consecuencias que derivan de la declaratoria de nulidad.</w:t>
      </w:r>
    </w:p>
    <w:p w14:paraId="0CB210EE" w14:textId="77777777" w:rsidR="0026055E" w:rsidRPr="002A7434" w:rsidRDefault="0026055E" w:rsidP="002A7434">
      <w:pPr>
        <w:pStyle w:val="corte4fondo"/>
        <w:ind w:firstLine="0"/>
        <w:rPr>
          <w:rFonts w:cs="Arial"/>
          <w:bCs/>
          <w:szCs w:val="26"/>
        </w:rPr>
      </w:pPr>
    </w:p>
    <w:p w14:paraId="0E0B80B8" w14:textId="25E7DA35" w:rsidR="00572889" w:rsidRDefault="002A7434" w:rsidP="00572889">
      <w:pPr>
        <w:pStyle w:val="corte4fondo"/>
        <w:numPr>
          <w:ilvl w:val="0"/>
          <w:numId w:val="2"/>
        </w:numPr>
        <w:ind w:left="0" w:hanging="567"/>
        <w:rPr>
          <w:rFonts w:cs="Arial"/>
          <w:bCs/>
          <w:szCs w:val="26"/>
        </w:rPr>
      </w:pPr>
      <w:r>
        <w:rPr>
          <w:rFonts w:cs="Arial"/>
          <w:bCs/>
          <w:szCs w:val="26"/>
        </w:rPr>
        <w:t>Los rasgos</w:t>
      </w:r>
      <w:r w:rsidR="008452B1" w:rsidRPr="008452B1">
        <w:rPr>
          <w:rFonts w:cs="Arial"/>
          <w:bCs/>
          <w:szCs w:val="26"/>
        </w:rPr>
        <w:t xml:space="preserve"> característic</w:t>
      </w:r>
      <w:r>
        <w:rPr>
          <w:rFonts w:cs="Arial"/>
          <w:bCs/>
          <w:szCs w:val="26"/>
        </w:rPr>
        <w:t>o</w:t>
      </w:r>
      <w:r w:rsidR="008452B1" w:rsidRPr="008452B1">
        <w:rPr>
          <w:rFonts w:cs="Arial"/>
          <w:bCs/>
          <w:szCs w:val="26"/>
        </w:rPr>
        <w:t>s</w:t>
      </w:r>
      <w:r w:rsidR="004412AC">
        <w:rPr>
          <w:rFonts w:cs="Arial"/>
          <w:bCs/>
          <w:szCs w:val="26"/>
        </w:rPr>
        <w:t xml:space="preserve"> del incidente de nulidad de notificaciones</w:t>
      </w:r>
      <w:r>
        <w:rPr>
          <w:rFonts w:cs="Arial"/>
          <w:bCs/>
          <w:szCs w:val="26"/>
        </w:rPr>
        <w:t xml:space="preserve"> que ha destacado esta Suprema Corte de Justicia de la </w:t>
      </w:r>
      <w:r w:rsidR="00CF2183">
        <w:rPr>
          <w:rFonts w:cs="Arial"/>
          <w:bCs/>
          <w:szCs w:val="26"/>
        </w:rPr>
        <w:t>Nación</w:t>
      </w:r>
      <w:r w:rsidR="00FC1CD6">
        <w:rPr>
          <w:rFonts w:cs="Arial"/>
          <w:bCs/>
          <w:szCs w:val="26"/>
        </w:rPr>
        <w:t xml:space="preserve"> y que se plasmaron en la contradicción de tesis 133/2015,</w:t>
      </w:r>
      <w:r>
        <w:rPr>
          <w:rFonts w:cs="Arial"/>
          <w:bCs/>
          <w:szCs w:val="26"/>
        </w:rPr>
        <w:t xml:space="preserve"> son los siguientes</w:t>
      </w:r>
      <w:r w:rsidR="001E2CB4">
        <w:rPr>
          <w:rStyle w:val="Refdenotaalpie"/>
          <w:rFonts w:cs="Arial"/>
          <w:bCs/>
          <w:szCs w:val="26"/>
        </w:rPr>
        <w:footnoteReference w:id="9"/>
      </w:r>
      <w:r w:rsidR="008452B1" w:rsidRPr="008452B1">
        <w:rPr>
          <w:rFonts w:cs="Arial"/>
          <w:bCs/>
          <w:szCs w:val="26"/>
        </w:rPr>
        <w:t>:</w:t>
      </w:r>
    </w:p>
    <w:p w14:paraId="5FC240AB" w14:textId="77777777" w:rsidR="000871FD" w:rsidRDefault="000871FD" w:rsidP="000871FD">
      <w:pPr>
        <w:pStyle w:val="corte4fondo"/>
        <w:ind w:firstLine="0"/>
        <w:rPr>
          <w:rFonts w:cs="Arial"/>
          <w:bCs/>
          <w:szCs w:val="26"/>
        </w:rPr>
      </w:pPr>
    </w:p>
    <w:p w14:paraId="54024E51" w14:textId="639D516E" w:rsidR="00BF01AD" w:rsidRDefault="00572889" w:rsidP="00BF01AD">
      <w:pPr>
        <w:pStyle w:val="corte4fondo"/>
        <w:ind w:firstLine="0"/>
        <w:rPr>
          <w:rFonts w:cs="Arial"/>
          <w:bCs/>
          <w:szCs w:val="26"/>
        </w:rPr>
      </w:pPr>
      <w:r>
        <w:rPr>
          <w:rFonts w:cs="Arial"/>
          <w:bCs/>
          <w:szCs w:val="26"/>
        </w:rPr>
        <w:t xml:space="preserve">1. </w:t>
      </w:r>
      <w:r w:rsidR="008452B1" w:rsidRPr="00572889">
        <w:rPr>
          <w:rFonts w:cs="Arial"/>
          <w:bCs/>
          <w:szCs w:val="26"/>
        </w:rPr>
        <w:t xml:space="preserve">Su objeto es examinar la legalidad de las notificaciones realizadas en </w:t>
      </w:r>
      <w:r w:rsidR="00296FAC">
        <w:rPr>
          <w:rFonts w:cs="Arial"/>
          <w:bCs/>
          <w:szCs w:val="26"/>
        </w:rPr>
        <w:t>los juicios</w:t>
      </w:r>
      <w:r w:rsidR="008452B1" w:rsidRPr="00572889">
        <w:rPr>
          <w:rFonts w:cs="Arial"/>
          <w:bCs/>
          <w:szCs w:val="26"/>
        </w:rPr>
        <w:t>.</w:t>
      </w:r>
    </w:p>
    <w:p w14:paraId="0789BCAC" w14:textId="77777777" w:rsidR="000871FD" w:rsidRDefault="000871FD" w:rsidP="00BF01AD">
      <w:pPr>
        <w:pStyle w:val="corte4fondo"/>
        <w:ind w:firstLine="0"/>
        <w:rPr>
          <w:rFonts w:cs="Arial"/>
          <w:bCs/>
          <w:szCs w:val="26"/>
        </w:rPr>
      </w:pPr>
    </w:p>
    <w:p w14:paraId="0FEB2DFF" w14:textId="39B7FA9C" w:rsidR="00BF01AD" w:rsidRDefault="00BF01AD" w:rsidP="00BF01AD">
      <w:pPr>
        <w:pStyle w:val="corte4fondo"/>
        <w:ind w:firstLine="0"/>
        <w:rPr>
          <w:rFonts w:cs="Arial"/>
          <w:bCs/>
          <w:szCs w:val="26"/>
        </w:rPr>
      </w:pPr>
      <w:r>
        <w:rPr>
          <w:rFonts w:cs="Arial"/>
          <w:bCs/>
          <w:szCs w:val="26"/>
        </w:rPr>
        <w:t xml:space="preserve">2. </w:t>
      </w:r>
      <w:r w:rsidR="009F248C">
        <w:rPr>
          <w:rFonts w:cs="Arial"/>
          <w:bCs/>
          <w:szCs w:val="26"/>
        </w:rPr>
        <w:t xml:space="preserve">A pesar de que la notificación </w:t>
      </w:r>
      <w:r w:rsidR="002510EF">
        <w:rPr>
          <w:rFonts w:cs="Arial"/>
          <w:bCs/>
          <w:szCs w:val="26"/>
        </w:rPr>
        <w:t>se haga de forma distinta a la establecida en la Ley, si la persona se hace sabedora de la providencia, la notificación surte efectos</w:t>
      </w:r>
      <w:r w:rsidR="008452B1" w:rsidRPr="008452B1">
        <w:rPr>
          <w:rFonts w:cs="Arial"/>
          <w:bCs/>
          <w:szCs w:val="26"/>
        </w:rPr>
        <w:t>.</w:t>
      </w:r>
    </w:p>
    <w:p w14:paraId="0C4BE8F7" w14:textId="77777777" w:rsidR="000871FD" w:rsidRDefault="000871FD" w:rsidP="00BF01AD">
      <w:pPr>
        <w:pStyle w:val="corte4fondo"/>
        <w:ind w:firstLine="0"/>
        <w:rPr>
          <w:rFonts w:cs="Arial"/>
          <w:bCs/>
          <w:szCs w:val="26"/>
        </w:rPr>
      </w:pPr>
    </w:p>
    <w:p w14:paraId="4758308D" w14:textId="14EAAFFA" w:rsidR="00BF01AD" w:rsidRDefault="00BF01AD" w:rsidP="00BF01AD">
      <w:pPr>
        <w:pStyle w:val="corte4fondo"/>
        <w:ind w:firstLine="0"/>
        <w:rPr>
          <w:rFonts w:cs="Arial"/>
          <w:bCs/>
          <w:szCs w:val="26"/>
        </w:rPr>
      </w:pPr>
      <w:r>
        <w:rPr>
          <w:rFonts w:cs="Arial"/>
          <w:bCs/>
          <w:szCs w:val="26"/>
        </w:rPr>
        <w:t xml:space="preserve">3. </w:t>
      </w:r>
      <w:r w:rsidR="00F16D3E">
        <w:rPr>
          <w:rFonts w:cs="Arial"/>
          <w:bCs/>
          <w:szCs w:val="26"/>
        </w:rPr>
        <w:t>Debe hacerse la nulidad en la actuación subsecuente.</w:t>
      </w:r>
    </w:p>
    <w:p w14:paraId="297CAB6A" w14:textId="77777777" w:rsidR="000871FD" w:rsidRDefault="000871FD" w:rsidP="00BF01AD">
      <w:pPr>
        <w:pStyle w:val="corte4fondo"/>
        <w:ind w:firstLine="0"/>
        <w:rPr>
          <w:rFonts w:cs="Arial"/>
          <w:bCs/>
          <w:szCs w:val="26"/>
        </w:rPr>
      </w:pPr>
    </w:p>
    <w:p w14:paraId="6B97F84C" w14:textId="4EE3ACB4" w:rsidR="00F05B78" w:rsidRDefault="00BF01AD" w:rsidP="00BF01AD">
      <w:pPr>
        <w:pStyle w:val="corte4fondo"/>
        <w:ind w:firstLine="0"/>
        <w:rPr>
          <w:rFonts w:cs="Arial"/>
          <w:bCs/>
          <w:szCs w:val="26"/>
        </w:rPr>
      </w:pPr>
      <w:r>
        <w:rPr>
          <w:rFonts w:cs="Arial"/>
          <w:bCs/>
          <w:szCs w:val="26"/>
        </w:rPr>
        <w:t xml:space="preserve">4. </w:t>
      </w:r>
      <w:r w:rsidR="000825F7">
        <w:rPr>
          <w:rFonts w:cs="Arial"/>
          <w:bCs/>
          <w:szCs w:val="26"/>
        </w:rPr>
        <w:t>Se tramitarán por cuerda separada</w:t>
      </w:r>
      <w:r w:rsidR="00176B08">
        <w:rPr>
          <w:rFonts w:cs="Arial"/>
          <w:bCs/>
          <w:szCs w:val="26"/>
        </w:rPr>
        <w:t xml:space="preserve">, sin suspensión del principal. </w:t>
      </w:r>
    </w:p>
    <w:p w14:paraId="415E0359" w14:textId="77777777" w:rsidR="00F05B78" w:rsidRDefault="00F05B78" w:rsidP="00BF01AD">
      <w:pPr>
        <w:pStyle w:val="corte4fondo"/>
        <w:ind w:firstLine="0"/>
        <w:rPr>
          <w:rFonts w:cs="Arial"/>
          <w:bCs/>
          <w:szCs w:val="26"/>
        </w:rPr>
      </w:pPr>
    </w:p>
    <w:p w14:paraId="15FA63AE" w14:textId="16B1ABA4" w:rsidR="00BF01AD" w:rsidRDefault="000825F7" w:rsidP="00BF01AD">
      <w:pPr>
        <w:pStyle w:val="corte4fondo"/>
        <w:ind w:firstLine="0"/>
        <w:rPr>
          <w:rFonts w:cs="Arial"/>
          <w:bCs/>
          <w:szCs w:val="26"/>
        </w:rPr>
      </w:pPr>
      <w:r>
        <w:rPr>
          <w:rFonts w:cs="Arial"/>
          <w:bCs/>
          <w:szCs w:val="26"/>
        </w:rPr>
        <w:t xml:space="preserve">5. </w:t>
      </w:r>
      <w:r w:rsidR="007479C8">
        <w:rPr>
          <w:rFonts w:cs="Arial"/>
          <w:bCs/>
          <w:szCs w:val="26"/>
        </w:rPr>
        <w:t>S</w:t>
      </w:r>
      <w:r w:rsidR="001A4F8E">
        <w:rPr>
          <w:rFonts w:cs="Arial"/>
          <w:bCs/>
          <w:szCs w:val="26"/>
        </w:rPr>
        <w:t>e debe resolver antes de pronunciarse sentencia definitiva.</w:t>
      </w:r>
    </w:p>
    <w:p w14:paraId="21AA11D6" w14:textId="77777777" w:rsidR="00BF01AD" w:rsidRPr="008452B1" w:rsidRDefault="00BF01AD" w:rsidP="00BF01AD">
      <w:pPr>
        <w:pStyle w:val="corte4fondo"/>
        <w:ind w:firstLine="0"/>
        <w:rPr>
          <w:rFonts w:cs="Arial"/>
          <w:bCs/>
          <w:szCs w:val="26"/>
        </w:rPr>
      </w:pPr>
    </w:p>
    <w:p w14:paraId="39D53A5C" w14:textId="72525263" w:rsidR="00B924CF" w:rsidRPr="00DA57DD" w:rsidRDefault="000B2B74" w:rsidP="00DA57DD">
      <w:pPr>
        <w:pStyle w:val="corte4fondo"/>
        <w:numPr>
          <w:ilvl w:val="0"/>
          <w:numId w:val="2"/>
        </w:numPr>
        <w:ind w:left="0" w:hanging="567"/>
        <w:rPr>
          <w:rFonts w:cs="Arial"/>
          <w:bCs/>
          <w:szCs w:val="26"/>
        </w:rPr>
      </w:pPr>
      <w:r>
        <w:rPr>
          <w:rFonts w:cs="Arial"/>
          <w:bCs/>
          <w:szCs w:val="26"/>
        </w:rPr>
        <w:t>Para el caso de los juicios mercantiles, se aprecia que e</w:t>
      </w:r>
      <w:r w:rsidR="00CF2183">
        <w:rPr>
          <w:rFonts w:cs="Arial"/>
          <w:bCs/>
          <w:szCs w:val="26"/>
        </w:rPr>
        <w:t xml:space="preserve">l Código de Comercio </w:t>
      </w:r>
      <w:r>
        <w:rPr>
          <w:rFonts w:cs="Arial"/>
          <w:bCs/>
          <w:szCs w:val="26"/>
        </w:rPr>
        <w:t>omite regular un procedimiento especifico para la presentación y tramitación del incidente de nulidad de notificaciones, por lo que</w:t>
      </w:r>
      <w:r w:rsidR="006F1CD1">
        <w:rPr>
          <w:rFonts w:cs="Arial"/>
          <w:bCs/>
          <w:szCs w:val="26"/>
        </w:rPr>
        <w:t>,</w:t>
      </w:r>
      <w:r>
        <w:rPr>
          <w:rFonts w:cs="Arial"/>
          <w:bCs/>
          <w:szCs w:val="26"/>
        </w:rPr>
        <w:t xml:space="preserve"> conforme </w:t>
      </w:r>
      <w:r w:rsidR="00B924CF">
        <w:rPr>
          <w:rFonts w:cs="Arial"/>
          <w:bCs/>
          <w:szCs w:val="26"/>
        </w:rPr>
        <w:t xml:space="preserve">a lo que </w:t>
      </w:r>
      <w:r w:rsidR="006F1CD1">
        <w:rPr>
          <w:rFonts w:cs="Arial"/>
          <w:bCs/>
          <w:szCs w:val="26"/>
        </w:rPr>
        <w:t xml:space="preserve">dicha </w:t>
      </w:r>
      <w:r w:rsidR="00B924CF">
        <w:rPr>
          <w:rFonts w:cs="Arial"/>
          <w:bCs/>
          <w:szCs w:val="26"/>
        </w:rPr>
        <w:t>legislación establece en su artículo</w:t>
      </w:r>
      <w:r w:rsidR="00987234">
        <w:rPr>
          <w:rFonts w:cs="Arial"/>
          <w:bCs/>
          <w:szCs w:val="26"/>
        </w:rPr>
        <w:t xml:space="preserve"> 1,054</w:t>
      </w:r>
      <w:r w:rsidR="00AC3DAE">
        <w:rPr>
          <w:rFonts w:cs="Arial"/>
          <w:bCs/>
          <w:szCs w:val="26"/>
        </w:rPr>
        <w:t xml:space="preserve">, si existiere </w:t>
      </w:r>
      <w:r w:rsidR="00B468FE">
        <w:rPr>
          <w:rFonts w:cs="Arial"/>
          <w:bCs/>
          <w:szCs w:val="26"/>
        </w:rPr>
        <w:t xml:space="preserve">algún aspecto no regulado por el Código, se aplicará supletoriamente el Código Federal de </w:t>
      </w:r>
      <w:r w:rsidR="00B468FE">
        <w:rPr>
          <w:rFonts w:cs="Arial"/>
          <w:bCs/>
          <w:szCs w:val="26"/>
        </w:rPr>
        <w:lastRenderedPageBreak/>
        <w:t xml:space="preserve">Procedimientos Civiles y en su caso, se aplicará </w:t>
      </w:r>
      <w:r w:rsidR="00DA57DD">
        <w:rPr>
          <w:rFonts w:cs="Arial"/>
          <w:bCs/>
          <w:szCs w:val="26"/>
        </w:rPr>
        <w:t xml:space="preserve">la ley de procedimientos local correspondiente. </w:t>
      </w:r>
      <w:r w:rsidR="00B924CF">
        <w:rPr>
          <w:rFonts w:cs="Arial"/>
          <w:bCs/>
          <w:szCs w:val="26"/>
        </w:rPr>
        <w:t xml:space="preserve"> </w:t>
      </w:r>
    </w:p>
    <w:p w14:paraId="30FC6E06" w14:textId="77777777" w:rsidR="00CF2183" w:rsidRDefault="00CF2183" w:rsidP="00CF2183">
      <w:pPr>
        <w:pStyle w:val="corte4fondo"/>
        <w:ind w:firstLine="0"/>
        <w:rPr>
          <w:rFonts w:cs="Arial"/>
          <w:bCs/>
          <w:szCs w:val="26"/>
        </w:rPr>
      </w:pPr>
    </w:p>
    <w:p w14:paraId="528F4942" w14:textId="77777777" w:rsidR="005957A8" w:rsidRDefault="00DA57DD" w:rsidP="005957A8">
      <w:pPr>
        <w:pStyle w:val="corte4fondo"/>
        <w:numPr>
          <w:ilvl w:val="0"/>
          <w:numId w:val="2"/>
        </w:numPr>
        <w:ind w:left="0" w:hanging="567"/>
        <w:rPr>
          <w:rFonts w:cs="Arial"/>
          <w:bCs/>
          <w:szCs w:val="26"/>
        </w:rPr>
      </w:pPr>
      <w:r>
        <w:rPr>
          <w:rFonts w:cs="Arial"/>
          <w:bCs/>
          <w:szCs w:val="26"/>
        </w:rPr>
        <w:t xml:space="preserve">Así, se advierte que </w:t>
      </w:r>
      <w:r w:rsidR="005957A8">
        <w:rPr>
          <w:rFonts w:cs="Arial"/>
          <w:bCs/>
          <w:szCs w:val="26"/>
        </w:rPr>
        <w:t xml:space="preserve">el artículo 319 del Código Federal de Procedimientos Civiles señala lo siguiente: </w:t>
      </w:r>
    </w:p>
    <w:p w14:paraId="5DFA4716" w14:textId="77777777" w:rsidR="005957A8" w:rsidRDefault="005957A8" w:rsidP="005957A8">
      <w:pPr>
        <w:pStyle w:val="corte4fondo"/>
        <w:ind w:firstLine="0"/>
        <w:rPr>
          <w:rFonts w:cs="Arial"/>
          <w:bCs/>
          <w:szCs w:val="26"/>
        </w:rPr>
      </w:pPr>
    </w:p>
    <w:p w14:paraId="6585F639" w14:textId="77777777" w:rsidR="005957A8" w:rsidRPr="00266A70" w:rsidRDefault="005957A8" w:rsidP="005957A8">
      <w:pPr>
        <w:pStyle w:val="corte4fondo"/>
        <w:spacing w:line="240" w:lineRule="auto"/>
        <w:ind w:left="426" w:right="423" w:firstLine="0"/>
        <w:rPr>
          <w:rFonts w:cs="Arial"/>
          <w:bCs/>
          <w:sz w:val="24"/>
          <w:szCs w:val="24"/>
        </w:rPr>
      </w:pPr>
      <w:r w:rsidRPr="00266A70">
        <w:rPr>
          <w:rFonts w:cs="Arial"/>
          <w:bCs/>
          <w:sz w:val="24"/>
          <w:szCs w:val="24"/>
        </w:rPr>
        <w:t>ARTICULO 319.- Cuando una notificación se hiciere en forma distinta de la prevenida en este capítulo, o se omitiere, puede la parte agraviada promover incidente sobre declaración de nulidad de lo actuado, desde la notificación hecha indebidamente u omitida.</w:t>
      </w:r>
    </w:p>
    <w:p w14:paraId="5F43E3BD" w14:textId="77777777" w:rsidR="005957A8" w:rsidRPr="00266A70" w:rsidRDefault="005957A8" w:rsidP="005957A8">
      <w:pPr>
        <w:pStyle w:val="corte4fondo"/>
        <w:spacing w:line="240" w:lineRule="auto"/>
        <w:ind w:left="426" w:right="423" w:firstLine="0"/>
        <w:rPr>
          <w:rFonts w:cs="Arial"/>
          <w:bCs/>
          <w:sz w:val="24"/>
          <w:szCs w:val="24"/>
        </w:rPr>
      </w:pPr>
      <w:r w:rsidRPr="00266A70">
        <w:rPr>
          <w:rFonts w:cs="Arial"/>
          <w:bCs/>
          <w:sz w:val="24"/>
          <w:szCs w:val="24"/>
        </w:rPr>
        <w:t>Este incidente no suspenderá el curso del procedimiento, y, si la nulidad fuere declarada, el tribunal determinará, en su resolución, las actuaciones que son nulas, por estimarse que las ignoró el que promovió el incidente de nulidad, o por no poder subsistir, ni haber podido legalmente practicarse sin la existencia previa y la validez de otras. Sin embargo, si el negocio llegare a ponerse en estado de fallarse, sin haberse pronunciado resolución firme que decida el incidente, se suspenderá hasta que éste sea resuelto.</w:t>
      </w:r>
    </w:p>
    <w:p w14:paraId="399F8586" w14:textId="77777777" w:rsidR="00DA57DD" w:rsidRPr="005957A8" w:rsidRDefault="00DA57DD" w:rsidP="005957A8">
      <w:pPr>
        <w:pStyle w:val="corte4fondo"/>
        <w:ind w:firstLine="0"/>
        <w:rPr>
          <w:rFonts w:cs="Arial"/>
          <w:bCs/>
          <w:szCs w:val="26"/>
        </w:rPr>
      </w:pPr>
    </w:p>
    <w:p w14:paraId="7BA8A764" w14:textId="2DFFB866" w:rsidR="00A05BC6" w:rsidRPr="00755C57" w:rsidRDefault="00D8537A" w:rsidP="00A05BC6">
      <w:pPr>
        <w:pStyle w:val="corte4fondo"/>
        <w:numPr>
          <w:ilvl w:val="0"/>
          <w:numId w:val="2"/>
        </w:numPr>
        <w:ind w:left="0" w:hanging="567"/>
        <w:rPr>
          <w:rFonts w:cs="Arial"/>
          <w:bCs/>
          <w:szCs w:val="26"/>
        </w:rPr>
      </w:pPr>
      <w:r>
        <w:rPr>
          <w:rFonts w:cs="Arial"/>
          <w:bCs/>
          <w:szCs w:val="26"/>
        </w:rPr>
        <w:t xml:space="preserve">Mientras que el </w:t>
      </w:r>
      <w:r w:rsidR="00A05BC6">
        <w:rPr>
          <w:rFonts w:cs="Arial"/>
          <w:bCs/>
          <w:szCs w:val="26"/>
        </w:rPr>
        <w:t xml:space="preserve">Código de Procedimientos Civiles para el Estado de Oaxaca prevé la posibilidad de que cuando </w:t>
      </w:r>
      <w:r w:rsidR="00A05BC6" w:rsidRPr="00755C57">
        <w:rPr>
          <w:rFonts w:cs="Arial"/>
          <w:bCs/>
          <w:szCs w:val="26"/>
        </w:rPr>
        <w:t xml:space="preserve">a juicio de las partes, una notificación no se realice siguiendo las formalidades previstas en la ley, </w:t>
      </w:r>
      <w:r w:rsidR="00427540">
        <w:rPr>
          <w:rFonts w:cs="Arial"/>
          <w:bCs/>
          <w:szCs w:val="26"/>
        </w:rPr>
        <w:t xml:space="preserve">se </w:t>
      </w:r>
      <w:r w:rsidR="00A05BC6" w:rsidRPr="00755C57">
        <w:rPr>
          <w:rFonts w:cs="Arial"/>
          <w:bCs/>
          <w:szCs w:val="26"/>
        </w:rPr>
        <w:t>podrá promover incidente de nulidad de notificaciones</w:t>
      </w:r>
      <w:r w:rsidR="00A05BC6">
        <w:rPr>
          <w:rFonts w:cs="Arial"/>
          <w:bCs/>
          <w:szCs w:val="26"/>
        </w:rPr>
        <w:t>, en los siguientes términos</w:t>
      </w:r>
      <w:r w:rsidR="00A05BC6" w:rsidRPr="00755C57">
        <w:rPr>
          <w:rFonts w:cs="Arial"/>
          <w:bCs/>
          <w:szCs w:val="26"/>
        </w:rPr>
        <w:t>:</w:t>
      </w:r>
    </w:p>
    <w:p w14:paraId="102AB013" w14:textId="77777777" w:rsidR="00A05BC6" w:rsidRDefault="00A05BC6" w:rsidP="00A05BC6">
      <w:pPr>
        <w:pStyle w:val="corte4fondo"/>
        <w:rPr>
          <w:rFonts w:cs="Arial"/>
          <w:bCs/>
          <w:szCs w:val="26"/>
        </w:rPr>
      </w:pPr>
    </w:p>
    <w:p w14:paraId="50B18F69" w14:textId="77777777" w:rsidR="00A05BC6" w:rsidRDefault="00A05BC6" w:rsidP="00A05BC6">
      <w:pPr>
        <w:pStyle w:val="corte4fondo"/>
        <w:spacing w:line="240" w:lineRule="auto"/>
        <w:ind w:left="426" w:right="425" w:firstLine="0"/>
        <w:rPr>
          <w:rFonts w:cs="Arial"/>
          <w:bCs/>
          <w:sz w:val="24"/>
          <w:szCs w:val="24"/>
        </w:rPr>
      </w:pPr>
      <w:r w:rsidRPr="00EE3A77">
        <w:rPr>
          <w:rFonts w:cs="Arial"/>
          <w:bCs/>
          <w:sz w:val="24"/>
          <w:szCs w:val="24"/>
        </w:rPr>
        <w:t>Artículo 71.- Las actuaciones serán nulas cuando les falte alguna de las formalidades esenciales, de manera que quede sin defensa cualquiera de las partes, y cuando la ley expresamente lo determine; pero no podrá ser invocada esa nulidad por la parte que dio lugar a ella.</w:t>
      </w:r>
    </w:p>
    <w:p w14:paraId="46D78610" w14:textId="77777777" w:rsidR="00A05BC6" w:rsidRPr="00EE3A77" w:rsidRDefault="00A05BC6" w:rsidP="00A05BC6">
      <w:pPr>
        <w:pStyle w:val="corte4fondo"/>
        <w:spacing w:line="240" w:lineRule="auto"/>
        <w:ind w:left="426" w:right="425" w:firstLine="0"/>
        <w:rPr>
          <w:rFonts w:cs="Arial"/>
          <w:bCs/>
          <w:sz w:val="24"/>
          <w:szCs w:val="24"/>
        </w:rPr>
      </w:pPr>
    </w:p>
    <w:p w14:paraId="553EE243" w14:textId="77777777" w:rsidR="00A05BC6" w:rsidRDefault="00A05BC6" w:rsidP="00A05BC6">
      <w:pPr>
        <w:pStyle w:val="corte4fondo"/>
        <w:spacing w:line="240" w:lineRule="auto"/>
        <w:ind w:left="426" w:right="425" w:firstLine="0"/>
        <w:rPr>
          <w:rFonts w:cs="Arial"/>
          <w:bCs/>
          <w:sz w:val="24"/>
          <w:szCs w:val="24"/>
        </w:rPr>
      </w:pPr>
      <w:r w:rsidRPr="00EE3A77">
        <w:rPr>
          <w:rFonts w:cs="Arial"/>
          <w:bCs/>
          <w:sz w:val="24"/>
          <w:szCs w:val="24"/>
        </w:rPr>
        <w:t>Artículo 72.- La nulidad establecida en beneficio de una de las partes no puede ser invocada por la otra.</w:t>
      </w:r>
    </w:p>
    <w:p w14:paraId="687B04FF" w14:textId="77777777" w:rsidR="00A05BC6" w:rsidRPr="00EE3A77" w:rsidRDefault="00A05BC6" w:rsidP="00A05BC6">
      <w:pPr>
        <w:pStyle w:val="corte4fondo"/>
        <w:spacing w:line="240" w:lineRule="auto"/>
        <w:ind w:left="426" w:right="425" w:firstLine="0"/>
        <w:rPr>
          <w:rFonts w:cs="Arial"/>
          <w:bCs/>
          <w:sz w:val="24"/>
          <w:szCs w:val="24"/>
        </w:rPr>
      </w:pPr>
    </w:p>
    <w:p w14:paraId="527B909D" w14:textId="77777777" w:rsidR="00A05BC6" w:rsidRDefault="00A05BC6" w:rsidP="00A05BC6">
      <w:pPr>
        <w:pStyle w:val="corte4fondo"/>
        <w:spacing w:line="240" w:lineRule="auto"/>
        <w:ind w:left="426" w:right="425" w:firstLine="0"/>
        <w:rPr>
          <w:rFonts w:cs="Arial"/>
          <w:bCs/>
          <w:sz w:val="24"/>
          <w:szCs w:val="24"/>
        </w:rPr>
      </w:pPr>
      <w:r w:rsidRPr="00EE3A77">
        <w:rPr>
          <w:rFonts w:cs="Arial"/>
          <w:bCs/>
          <w:sz w:val="24"/>
          <w:szCs w:val="24"/>
        </w:rPr>
        <w:t>Artículo 73.- Las notificaciones hechas en forma distinta a la prevenida en el capítulo VI del título II, serán nulas; pero si la persona notificada se hubiere manifestado en juicio sabedora de la providencia, la notificación surtirá desde entonces sus efectos como si estuviese legítimamente hecha.</w:t>
      </w:r>
    </w:p>
    <w:p w14:paraId="6967B90A" w14:textId="77777777" w:rsidR="00A05BC6" w:rsidRPr="00EE3A77" w:rsidRDefault="00A05BC6" w:rsidP="00A05BC6">
      <w:pPr>
        <w:pStyle w:val="corte4fondo"/>
        <w:spacing w:line="240" w:lineRule="auto"/>
        <w:ind w:left="426" w:right="425" w:firstLine="0"/>
        <w:rPr>
          <w:rFonts w:cs="Arial"/>
          <w:bCs/>
          <w:sz w:val="24"/>
          <w:szCs w:val="24"/>
        </w:rPr>
      </w:pPr>
    </w:p>
    <w:p w14:paraId="4B32A4F3" w14:textId="77777777" w:rsidR="00A05BC6" w:rsidRDefault="00A05BC6" w:rsidP="00A05BC6">
      <w:pPr>
        <w:pStyle w:val="corte4fondo"/>
        <w:spacing w:line="240" w:lineRule="auto"/>
        <w:ind w:left="426" w:right="425" w:firstLine="0"/>
        <w:rPr>
          <w:rFonts w:cs="Arial"/>
          <w:bCs/>
          <w:sz w:val="24"/>
          <w:szCs w:val="24"/>
        </w:rPr>
      </w:pPr>
      <w:r w:rsidRPr="00EE3A77">
        <w:rPr>
          <w:rFonts w:cs="Arial"/>
          <w:bCs/>
          <w:sz w:val="24"/>
          <w:szCs w:val="24"/>
        </w:rPr>
        <w:t xml:space="preserve">Artículo 74.- La nulidad de una actuación debe reclamarse </w:t>
      </w:r>
      <w:r w:rsidRPr="00664FAB">
        <w:rPr>
          <w:rFonts w:cs="Arial"/>
          <w:b/>
          <w:sz w:val="24"/>
          <w:szCs w:val="24"/>
        </w:rPr>
        <w:t>en la actuación subsecuente</w:t>
      </w:r>
      <w:r w:rsidRPr="00EE3A77">
        <w:rPr>
          <w:rFonts w:cs="Arial"/>
          <w:bCs/>
          <w:sz w:val="24"/>
          <w:szCs w:val="24"/>
        </w:rPr>
        <w:t>, pues de lo contrario aquella queda revalidada de pleno derecho, con excepción de la nulidad por defecto en el emplazamiento.</w:t>
      </w:r>
    </w:p>
    <w:p w14:paraId="70EEE2D4" w14:textId="77777777" w:rsidR="00A05BC6" w:rsidRPr="00EE3A77" w:rsidRDefault="00A05BC6" w:rsidP="00A05BC6">
      <w:pPr>
        <w:pStyle w:val="corte4fondo"/>
        <w:spacing w:line="240" w:lineRule="auto"/>
        <w:ind w:left="426" w:right="425" w:firstLine="0"/>
        <w:rPr>
          <w:rFonts w:cs="Arial"/>
          <w:bCs/>
          <w:sz w:val="24"/>
          <w:szCs w:val="24"/>
        </w:rPr>
      </w:pPr>
    </w:p>
    <w:p w14:paraId="1780D614" w14:textId="77777777" w:rsidR="00A05BC6" w:rsidRDefault="00A05BC6" w:rsidP="00A05BC6">
      <w:pPr>
        <w:pStyle w:val="corte4fondo"/>
        <w:spacing w:line="240" w:lineRule="auto"/>
        <w:ind w:left="426" w:right="425" w:firstLine="0"/>
        <w:rPr>
          <w:rFonts w:cs="Arial"/>
          <w:bCs/>
          <w:sz w:val="24"/>
          <w:szCs w:val="24"/>
        </w:rPr>
      </w:pPr>
      <w:r w:rsidRPr="00EE3A77">
        <w:rPr>
          <w:rFonts w:cs="Arial"/>
          <w:bCs/>
          <w:sz w:val="24"/>
          <w:szCs w:val="24"/>
        </w:rPr>
        <w:t>Artículo 75.- La nulidad de actuaciones por falta o defecto del emplazamiento se tramitará por cuerda separada, conforme al artículo 404 de este Código, sin suspensión del principal, deberá resolverse tan luego se agote el procedimiento incidental, pero siempre antes de pronunciar</w:t>
      </w:r>
      <w:r>
        <w:rPr>
          <w:rFonts w:cs="Arial"/>
          <w:bCs/>
          <w:sz w:val="24"/>
          <w:szCs w:val="24"/>
        </w:rPr>
        <w:t>se</w:t>
      </w:r>
      <w:r w:rsidRPr="00EE3A77">
        <w:rPr>
          <w:rFonts w:cs="Arial"/>
          <w:bCs/>
          <w:sz w:val="24"/>
          <w:szCs w:val="24"/>
        </w:rPr>
        <w:t xml:space="preserve"> sentencia definitiva.</w:t>
      </w:r>
    </w:p>
    <w:p w14:paraId="44A188DE" w14:textId="77777777" w:rsidR="00A05BC6" w:rsidRPr="00EE3A77" w:rsidRDefault="00A05BC6" w:rsidP="00A05BC6">
      <w:pPr>
        <w:pStyle w:val="corte4fondo"/>
        <w:spacing w:line="240" w:lineRule="auto"/>
        <w:ind w:left="426" w:right="425" w:firstLine="0"/>
        <w:rPr>
          <w:rFonts w:cs="Arial"/>
          <w:bCs/>
          <w:sz w:val="24"/>
          <w:szCs w:val="24"/>
        </w:rPr>
      </w:pPr>
      <w:r w:rsidRPr="00EE3A77">
        <w:rPr>
          <w:rFonts w:cs="Arial"/>
          <w:bCs/>
          <w:sz w:val="24"/>
          <w:szCs w:val="24"/>
        </w:rPr>
        <w:t>Los incidentes que se susciten con motivo de otras nulidades de actuaciones o de notificaciones, se tramitarán en la misma forma y se fallarán en la sentencia definitiva.</w:t>
      </w:r>
    </w:p>
    <w:p w14:paraId="14BC86F2" w14:textId="040C910E" w:rsidR="00DA57DD" w:rsidRDefault="00DA57DD" w:rsidP="00427540">
      <w:pPr>
        <w:pStyle w:val="corte4fondo"/>
        <w:ind w:firstLine="0"/>
        <w:rPr>
          <w:rFonts w:cs="Arial"/>
          <w:bCs/>
          <w:szCs w:val="26"/>
        </w:rPr>
      </w:pPr>
    </w:p>
    <w:p w14:paraId="506B44DD" w14:textId="76908065" w:rsidR="00D8537A" w:rsidRDefault="00427540" w:rsidP="004679B7">
      <w:pPr>
        <w:pStyle w:val="corte4fondo"/>
        <w:numPr>
          <w:ilvl w:val="0"/>
          <w:numId w:val="2"/>
        </w:numPr>
        <w:ind w:left="0" w:hanging="567"/>
        <w:rPr>
          <w:rFonts w:cs="Arial"/>
          <w:bCs/>
          <w:szCs w:val="26"/>
        </w:rPr>
      </w:pPr>
      <w:r>
        <w:rPr>
          <w:rFonts w:cs="Arial"/>
          <w:bCs/>
          <w:szCs w:val="26"/>
        </w:rPr>
        <w:t>De estos preceptos se desprende que el Código Federal de Procedimientos Civiles</w:t>
      </w:r>
      <w:r w:rsidR="00413D4C">
        <w:rPr>
          <w:rFonts w:cs="Arial"/>
          <w:bCs/>
          <w:szCs w:val="26"/>
        </w:rPr>
        <w:t xml:space="preserve">, si bien contempla al incidente de nulidad de notificaciones como el recurso idóneo para </w:t>
      </w:r>
      <w:r w:rsidR="008B3C01">
        <w:rPr>
          <w:rFonts w:cs="Arial"/>
          <w:bCs/>
          <w:szCs w:val="26"/>
        </w:rPr>
        <w:t>nulificar una notificación que no haya cumplido con los requisitos establecidos legalmente, es omis</w:t>
      </w:r>
      <w:r w:rsidR="00EF2106">
        <w:rPr>
          <w:rFonts w:cs="Arial"/>
          <w:bCs/>
          <w:szCs w:val="26"/>
        </w:rPr>
        <w:t>o</w:t>
      </w:r>
      <w:r w:rsidR="008B3C01">
        <w:rPr>
          <w:rFonts w:cs="Arial"/>
          <w:bCs/>
          <w:szCs w:val="26"/>
        </w:rPr>
        <w:t xml:space="preserve"> en señalar expresamente el plazo en el que deberá interponerse este</w:t>
      </w:r>
      <w:r w:rsidR="00D959D4">
        <w:rPr>
          <w:rFonts w:cs="Arial"/>
          <w:bCs/>
          <w:szCs w:val="26"/>
        </w:rPr>
        <w:t>; mientras que el código</w:t>
      </w:r>
      <w:r w:rsidR="00EF2106">
        <w:rPr>
          <w:rFonts w:cs="Arial"/>
          <w:bCs/>
          <w:szCs w:val="26"/>
        </w:rPr>
        <w:t xml:space="preserve"> adjetivo</w:t>
      </w:r>
      <w:r w:rsidR="00D959D4">
        <w:rPr>
          <w:rFonts w:cs="Arial"/>
          <w:bCs/>
          <w:szCs w:val="26"/>
        </w:rPr>
        <w:t xml:space="preserve"> </w:t>
      </w:r>
      <w:r w:rsidR="000C713D">
        <w:rPr>
          <w:rFonts w:cs="Arial"/>
          <w:bCs/>
          <w:szCs w:val="26"/>
        </w:rPr>
        <w:t xml:space="preserve">civil </w:t>
      </w:r>
      <w:r w:rsidR="00D959D4">
        <w:rPr>
          <w:rFonts w:cs="Arial"/>
          <w:bCs/>
          <w:szCs w:val="26"/>
        </w:rPr>
        <w:t xml:space="preserve">local del Estado de </w:t>
      </w:r>
      <w:r w:rsidR="00ED5A8D">
        <w:rPr>
          <w:rFonts w:cs="Arial"/>
          <w:bCs/>
          <w:szCs w:val="26"/>
        </w:rPr>
        <w:t>Oaxaca</w:t>
      </w:r>
      <w:r w:rsidR="00D959D4">
        <w:rPr>
          <w:rFonts w:cs="Arial"/>
          <w:bCs/>
          <w:szCs w:val="26"/>
        </w:rPr>
        <w:t xml:space="preserve"> </w:t>
      </w:r>
      <w:r w:rsidR="00263621">
        <w:rPr>
          <w:rFonts w:cs="Arial"/>
          <w:bCs/>
          <w:szCs w:val="26"/>
        </w:rPr>
        <w:t>indic</w:t>
      </w:r>
      <w:r w:rsidR="00D959D4">
        <w:rPr>
          <w:rFonts w:cs="Arial"/>
          <w:bCs/>
          <w:szCs w:val="26"/>
        </w:rPr>
        <w:t>a</w:t>
      </w:r>
      <w:r w:rsidR="00467A72">
        <w:rPr>
          <w:rFonts w:cs="Arial"/>
          <w:bCs/>
          <w:szCs w:val="26"/>
        </w:rPr>
        <w:t xml:space="preserve"> claramente</w:t>
      </w:r>
      <w:r w:rsidR="00D959D4">
        <w:rPr>
          <w:rFonts w:cs="Arial"/>
          <w:bCs/>
          <w:szCs w:val="26"/>
        </w:rPr>
        <w:t xml:space="preserve">, en su artículo 74, que el incidente deberá interponerse </w:t>
      </w:r>
      <w:r w:rsidR="00ED5A8D">
        <w:rPr>
          <w:rFonts w:cs="Arial"/>
          <w:bCs/>
          <w:szCs w:val="26"/>
        </w:rPr>
        <w:t>“</w:t>
      </w:r>
      <w:r w:rsidR="00ED5A8D" w:rsidRPr="00ED5A8D">
        <w:rPr>
          <w:rFonts w:cs="Arial"/>
          <w:bCs/>
          <w:szCs w:val="26"/>
        </w:rPr>
        <w:t>en la actuación subsecuente</w:t>
      </w:r>
      <w:r w:rsidR="00ED5A8D">
        <w:rPr>
          <w:rFonts w:cs="Arial"/>
          <w:bCs/>
          <w:szCs w:val="26"/>
        </w:rPr>
        <w:t xml:space="preserve">”. </w:t>
      </w:r>
    </w:p>
    <w:p w14:paraId="5F322C27" w14:textId="77777777" w:rsidR="00413D4C" w:rsidRDefault="00413D4C" w:rsidP="00ED5A8D">
      <w:pPr>
        <w:pStyle w:val="corte4fondo"/>
        <w:ind w:firstLine="0"/>
        <w:rPr>
          <w:rFonts w:cs="Arial"/>
          <w:bCs/>
          <w:szCs w:val="26"/>
        </w:rPr>
      </w:pPr>
    </w:p>
    <w:p w14:paraId="055FA71C" w14:textId="44569170" w:rsidR="006B7808" w:rsidRPr="0091590D" w:rsidRDefault="00FC1522" w:rsidP="004679B7">
      <w:pPr>
        <w:pStyle w:val="corte4fondo"/>
        <w:numPr>
          <w:ilvl w:val="0"/>
          <w:numId w:val="2"/>
        </w:numPr>
        <w:ind w:left="0" w:hanging="567"/>
        <w:rPr>
          <w:rFonts w:cs="Arial"/>
          <w:bCs/>
          <w:szCs w:val="26"/>
        </w:rPr>
      </w:pPr>
      <w:r w:rsidRPr="0091590D">
        <w:rPr>
          <w:rFonts w:cs="Arial"/>
          <w:bCs/>
          <w:szCs w:val="26"/>
        </w:rPr>
        <w:t xml:space="preserve">Por ende, </w:t>
      </w:r>
      <w:r w:rsidR="00ED5A8D">
        <w:rPr>
          <w:rFonts w:cs="Arial"/>
          <w:bCs/>
          <w:szCs w:val="26"/>
        </w:rPr>
        <w:t>resulta</w:t>
      </w:r>
      <w:r w:rsidR="006B7808" w:rsidRPr="0091590D">
        <w:rPr>
          <w:rFonts w:cs="Arial"/>
          <w:bCs/>
          <w:szCs w:val="26"/>
        </w:rPr>
        <w:t xml:space="preserve"> necesario dilucidar qué debe entenderse por “siguiente actuación en que se comparezca”</w:t>
      </w:r>
      <w:r w:rsidR="0091590D">
        <w:rPr>
          <w:rFonts w:cs="Arial"/>
          <w:bCs/>
          <w:szCs w:val="26"/>
        </w:rPr>
        <w:t>.</w:t>
      </w:r>
      <w:r w:rsidR="006B7808" w:rsidRPr="0091590D">
        <w:rPr>
          <w:rFonts w:cs="Arial"/>
          <w:bCs/>
          <w:szCs w:val="26"/>
        </w:rPr>
        <w:t xml:space="preserve"> </w:t>
      </w:r>
      <w:r w:rsidR="0091590D">
        <w:rPr>
          <w:rFonts w:cs="Arial"/>
          <w:bCs/>
          <w:szCs w:val="26"/>
        </w:rPr>
        <w:t>P</w:t>
      </w:r>
      <w:r w:rsidR="006B7808" w:rsidRPr="0091590D">
        <w:rPr>
          <w:rFonts w:cs="Arial"/>
          <w:bCs/>
          <w:szCs w:val="26"/>
        </w:rPr>
        <w:t>ara efectos del incidente de nulidad de actuaciones, deben considerarse estas características:</w:t>
      </w:r>
    </w:p>
    <w:p w14:paraId="419A858F" w14:textId="77777777" w:rsidR="006B7808" w:rsidRPr="006B7808" w:rsidRDefault="006B7808" w:rsidP="006B7808">
      <w:pPr>
        <w:pStyle w:val="corte4fondo"/>
        <w:rPr>
          <w:rFonts w:cs="Arial"/>
          <w:bCs/>
          <w:szCs w:val="26"/>
        </w:rPr>
      </w:pPr>
    </w:p>
    <w:p w14:paraId="25C8C3BD" w14:textId="77777777" w:rsidR="00426339" w:rsidRDefault="006B7808" w:rsidP="00426339">
      <w:pPr>
        <w:pStyle w:val="corte4fondo"/>
        <w:ind w:firstLine="0"/>
        <w:rPr>
          <w:rFonts w:cs="Arial"/>
          <w:bCs/>
          <w:szCs w:val="26"/>
        </w:rPr>
      </w:pPr>
      <w:r w:rsidRPr="006B7808">
        <w:rPr>
          <w:rFonts w:cs="Arial"/>
          <w:bCs/>
          <w:szCs w:val="26"/>
        </w:rPr>
        <w:t>a)</w:t>
      </w:r>
      <w:r w:rsidR="00E1424A">
        <w:rPr>
          <w:rFonts w:cs="Arial"/>
          <w:bCs/>
          <w:szCs w:val="26"/>
        </w:rPr>
        <w:t xml:space="preserve"> </w:t>
      </w:r>
      <w:r w:rsidRPr="006B7808">
        <w:rPr>
          <w:rFonts w:cs="Arial"/>
          <w:bCs/>
          <w:szCs w:val="26"/>
        </w:rPr>
        <w:t>De la palabra siguiente, conforme al diccionario de la lengua española de la Real Academia Española, se desprenden los siguientes significados: “1. adj. Que sigue; 2. adj. Ulterior, posterior”</w:t>
      </w:r>
      <w:r w:rsidR="002A3663">
        <w:rPr>
          <w:rStyle w:val="Refdenotaalpie"/>
          <w:rFonts w:cs="Arial"/>
          <w:bCs/>
          <w:szCs w:val="26"/>
        </w:rPr>
        <w:footnoteReference w:id="10"/>
      </w:r>
      <w:r w:rsidRPr="006B7808">
        <w:rPr>
          <w:rFonts w:cs="Arial"/>
          <w:bCs/>
          <w:szCs w:val="26"/>
        </w:rPr>
        <w:t>.  Es un adjetivo adjunto que ubica al sujeto en una sucesión de tiempo, para establecer su ubicación en un momento posterior con relación a otro.</w:t>
      </w:r>
    </w:p>
    <w:p w14:paraId="77E760D4" w14:textId="608C4DF7" w:rsidR="006B7808" w:rsidRDefault="006B7808" w:rsidP="00426339">
      <w:pPr>
        <w:pStyle w:val="corte4fondo"/>
        <w:ind w:firstLine="0"/>
        <w:rPr>
          <w:rFonts w:cs="Arial"/>
          <w:bCs/>
          <w:szCs w:val="26"/>
        </w:rPr>
      </w:pPr>
      <w:r w:rsidRPr="006B7808">
        <w:rPr>
          <w:rFonts w:cs="Arial"/>
          <w:bCs/>
          <w:szCs w:val="26"/>
        </w:rPr>
        <w:t xml:space="preserve">Lo anterior significa que la actuación en que comparezca el afectado deberá ser la que siga a la notificación que se cuestiona de nula. En ese sentido, para efectos del juicio </w:t>
      </w:r>
      <w:r w:rsidR="00C955A9">
        <w:rPr>
          <w:rFonts w:cs="Arial"/>
          <w:bCs/>
          <w:szCs w:val="26"/>
        </w:rPr>
        <w:t>ejecutivo mercantil</w:t>
      </w:r>
      <w:r w:rsidRPr="006B7808">
        <w:rPr>
          <w:rFonts w:cs="Arial"/>
          <w:bCs/>
          <w:szCs w:val="26"/>
        </w:rPr>
        <w:t xml:space="preserve">, debe entenderse el acto procesal inmediato posterior a la actuación estimada de ilegal, es decir, la primera intervención ulterior del interesado dentro del procedimiento en el cual se dictó la notificación que se tacha de nula, con las características que se expondrán más adelante. </w:t>
      </w:r>
    </w:p>
    <w:p w14:paraId="47DBE213" w14:textId="77777777" w:rsidR="00CC1CC1" w:rsidRPr="006B7808" w:rsidRDefault="00CC1CC1" w:rsidP="00426339">
      <w:pPr>
        <w:pStyle w:val="corte4fondo"/>
        <w:ind w:firstLine="0"/>
        <w:rPr>
          <w:rFonts w:cs="Arial"/>
          <w:bCs/>
          <w:szCs w:val="26"/>
        </w:rPr>
      </w:pPr>
    </w:p>
    <w:p w14:paraId="3763189B" w14:textId="04E2D6B3" w:rsidR="006B7808" w:rsidRPr="006B7808" w:rsidRDefault="006B7808" w:rsidP="003A5718">
      <w:pPr>
        <w:pStyle w:val="corte4fondo"/>
        <w:ind w:firstLine="0"/>
        <w:rPr>
          <w:rFonts w:cs="Arial"/>
          <w:bCs/>
          <w:szCs w:val="26"/>
        </w:rPr>
      </w:pPr>
      <w:r w:rsidRPr="006B7808">
        <w:rPr>
          <w:rFonts w:cs="Arial"/>
          <w:bCs/>
          <w:szCs w:val="26"/>
        </w:rPr>
        <w:t>b)</w:t>
      </w:r>
      <w:r w:rsidR="003A5718">
        <w:rPr>
          <w:rFonts w:cs="Arial"/>
          <w:bCs/>
          <w:szCs w:val="26"/>
        </w:rPr>
        <w:t xml:space="preserve"> </w:t>
      </w:r>
      <w:r w:rsidRPr="006B7808">
        <w:rPr>
          <w:rFonts w:cs="Arial"/>
          <w:bCs/>
          <w:szCs w:val="26"/>
        </w:rPr>
        <w:t xml:space="preserve">Para considerar qué se debe entender por actuación resulta orientador el criterio emitido por la otrora Tercera Sala de la Suprema Corte de Justicia de la Nación, </w:t>
      </w:r>
      <w:r w:rsidR="002E2748">
        <w:rPr>
          <w:rFonts w:cs="Arial"/>
          <w:bCs/>
          <w:szCs w:val="26"/>
        </w:rPr>
        <w:t>de rubro: “</w:t>
      </w:r>
      <w:r w:rsidR="002E2748" w:rsidRPr="002E2748">
        <w:rPr>
          <w:rFonts w:cs="Arial"/>
          <w:bCs/>
          <w:szCs w:val="26"/>
        </w:rPr>
        <w:t>NULIDAD DE ACTUACIONES, NOCION DE</w:t>
      </w:r>
      <w:r w:rsidR="002E2748">
        <w:rPr>
          <w:rFonts w:cs="Arial"/>
          <w:bCs/>
          <w:szCs w:val="26"/>
        </w:rPr>
        <w:t>”</w:t>
      </w:r>
      <w:r w:rsidR="00A76026">
        <w:rPr>
          <w:rStyle w:val="Refdenotaalpie"/>
          <w:rFonts w:cs="Arial"/>
          <w:bCs/>
          <w:szCs w:val="26"/>
        </w:rPr>
        <w:footnoteReference w:id="11"/>
      </w:r>
      <w:r w:rsidRPr="006B7808">
        <w:rPr>
          <w:rFonts w:cs="Arial"/>
          <w:bCs/>
          <w:szCs w:val="26"/>
        </w:rPr>
        <w:t xml:space="preserve">, en donde se estableció que por actuación judicial no solamente se refieren a las </w:t>
      </w:r>
      <w:r w:rsidRPr="006B7808">
        <w:rPr>
          <w:rFonts w:cs="Arial"/>
          <w:bCs/>
          <w:szCs w:val="26"/>
        </w:rPr>
        <w:lastRenderedPageBreak/>
        <w:t xml:space="preserve">razones, acuerdos, diligencias o determinaciones, sino también </w:t>
      </w:r>
      <w:r w:rsidR="008C394C">
        <w:rPr>
          <w:rFonts w:cs="Arial"/>
          <w:bCs/>
          <w:szCs w:val="26"/>
        </w:rPr>
        <w:t xml:space="preserve">a </w:t>
      </w:r>
      <w:r w:rsidRPr="006B7808">
        <w:rPr>
          <w:rFonts w:cs="Arial"/>
          <w:bCs/>
          <w:szCs w:val="26"/>
        </w:rPr>
        <w:t xml:space="preserve">las promociones, peritajes, ratificaciones y, en general, cuanto se refiere al procedimiento.  En ese entendido, la actuación en que </w:t>
      </w:r>
      <w:r w:rsidR="001A40F2" w:rsidRPr="006B7808">
        <w:rPr>
          <w:rFonts w:cs="Arial"/>
          <w:bCs/>
          <w:szCs w:val="26"/>
        </w:rPr>
        <w:t>comparezca</w:t>
      </w:r>
      <w:r w:rsidRPr="006B7808">
        <w:rPr>
          <w:rFonts w:cs="Arial"/>
          <w:bCs/>
          <w:szCs w:val="26"/>
        </w:rPr>
        <w:t xml:space="preserve"> debe ser la inmediata posterior en la que llegue a participar o intervenir el afectado o sus representantes, con respecto a la notificación cuya validez se cuestiona. </w:t>
      </w:r>
    </w:p>
    <w:p w14:paraId="2F0B7FDC" w14:textId="02E9F6D3" w:rsidR="009A15D7" w:rsidRDefault="009A15D7" w:rsidP="009D3B1C">
      <w:pPr>
        <w:pStyle w:val="corte4fondo"/>
        <w:ind w:firstLine="0"/>
        <w:rPr>
          <w:rFonts w:cs="Arial"/>
          <w:bCs/>
          <w:szCs w:val="26"/>
        </w:rPr>
      </w:pPr>
      <w:r w:rsidRPr="006B7808">
        <w:rPr>
          <w:rFonts w:cs="Arial"/>
          <w:bCs/>
          <w:szCs w:val="26"/>
        </w:rPr>
        <w:t>En conclusión, por actuación en que comparezca se debe tener aquella en la que el afectado o sus representantes participan ante el órgano jurisdiccional correspondiente, que de manera enunciativa pueden consistir en la intervención en alguna diligencia, en una audiencia, en una ratificación o incluso la presentación de una promoción, y en general, cualquier acto procesal en que tenga intervención la parte afectada en el procedimiento judicial.</w:t>
      </w:r>
    </w:p>
    <w:p w14:paraId="77F768CD" w14:textId="77777777" w:rsidR="003E737A" w:rsidRPr="0069316A" w:rsidRDefault="003E737A" w:rsidP="00DC1594">
      <w:pPr>
        <w:pStyle w:val="corte4fondo"/>
        <w:ind w:firstLine="0"/>
        <w:rPr>
          <w:rFonts w:cs="Arial"/>
          <w:bCs/>
          <w:szCs w:val="26"/>
        </w:rPr>
      </w:pPr>
      <w:r w:rsidRPr="0069316A">
        <w:rPr>
          <w:rFonts w:cs="Arial"/>
          <w:bCs/>
          <w:szCs w:val="26"/>
        </w:rPr>
        <w:t xml:space="preserve">Ahora bien, el concepto debe acotarse para el caso del incidente de nulidad de notificaciones, con base en el artículo 1° de la Constitución Federal , que establece que todas las autoridades del país están obligadas a aplicar el principio </w:t>
      </w:r>
      <w:proofErr w:type="spellStart"/>
      <w:r w:rsidRPr="0069316A">
        <w:rPr>
          <w:rFonts w:cs="Arial"/>
          <w:bCs/>
          <w:szCs w:val="26"/>
        </w:rPr>
        <w:t>pro</w:t>
      </w:r>
      <w:proofErr w:type="spellEnd"/>
      <w:r w:rsidRPr="0069316A">
        <w:rPr>
          <w:rFonts w:cs="Arial"/>
          <w:bCs/>
          <w:szCs w:val="26"/>
        </w:rPr>
        <w:t xml:space="preserve"> persona, y, consecuentemente, a preferir las interpretaciones que más favorezcan los derechos, así como el derecho fundamental de acceso a la justicia contenido en el párrafo segundo, del artículo 17 de la Constitución Federal, cuya finalidad es asegurar y facilitar, en el ámbito temporal, que quien acudió a juicio pueda defender un derecho; debiendo estimarse, como un elemento adicional, que:</w:t>
      </w:r>
    </w:p>
    <w:p w14:paraId="697C7968" w14:textId="77777777" w:rsidR="003E737A" w:rsidRPr="003E737A" w:rsidRDefault="003E737A" w:rsidP="00A705E3">
      <w:pPr>
        <w:pStyle w:val="corte4fondo"/>
        <w:ind w:left="502" w:firstLine="0"/>
        <w:rPr>
          <w:rFonts w:cs="Arial"/>
          <w:bCs/>
          <w:szCs w:val="26"/>
        </w:rPr>
      </w:pPr>
    </w:p>
    <w:p w14:paraId="674A6B36" w14:textId="57A393C4" w:rsidR="003E737A" w:rsidRPr="003E737A" w:rsidRDefault="00A705E3" w:rsidP="00DC1594">
      <w:pPr>
        <w:pStyle w:val="corte4fondo"/>
        <w:ind w:firstLine="0"/>
        <w:rPr>
          <w:rFonts w:cs="Arial"/>
          <w:bCs/>
          <w:szCs w:val="26"/>
        </w:rPr>
      </w:pPr>
      <w:r>
        <w:rPr>
          <w:rFonts w:cs="Arial"/>
          <w:bCs/>
          <w:szCs w:val="26"/>
        </w:rPr>
        <w:t xml:space="preserve">c) </w:t>
      </w:r>
      <w:r w:rsidR="003E737A" w:rsidRPr="003E737A">
        <w:rPr>
          <w:rFonts w:cs="Arial"/>
          <w:bCs/>
          <w:szCs w:val="26"/>
        </w:rPr>
        <w:t xml:space="preserve">La siguiente actuación en que comparezca el interesado está condicionada, para efectos del incidente de nulidad de actuaciones, a que en ese momento se evidencie o desprenda el conocimiento de la notificación. </w:t>
      </w:r>
    </w:p>
    <w:p w14:paraId="2CFFEE0E" w14:textId="77777777" w:rsidR="003E737A" w:rsidRPr="003E737A" w:rsidRDefault="003E737A" w:rsidP="00A705E3">
      <w:pPr>
        <w:pStyle w:val="corte4fondo"/>
        <w:ind w:left="502" w:firstLine="0"/>
        <w:rPr>
          <w:rFonts w:cs="Arial"/>
          <w:bCs/>
          <w:szCs w:val="26"/>
        </w:rPr>
      </w:pPr>
    </w:p>
    <w:p w14:paraId="592206B3" w14:textId="1CCAA117" w:rsidR="00C454BA" w:rsidRPr="00171630" w:rsidRDefault="00CA14A6" w:rsidP="00171630">
      <w:pPr>
        <w:pStyle w:val="corte4fondo"/>
        <w:numPr>
          <w:ilvl w:val="0"/>
          <w:numId w:val="2"/>
        </w:numPr>
        <w:ind w:left="0" w:hanging="567"/>
        <w:rPr>
          <w:rFonts w:cs="Arial"/>
          <w:bCs/>
          <w:szCs w:val="26"/>
        </w:rPr>
      </w:pPr>
      <w:r>
        <w:rPr>
          <w:rFonts w:cs="Arial"/>
          <w:bCs/>
          <w:szCs w:val="26"/>
        </w:rPr>
        <w:t>Esta Suprema Corte de Justicia de la Nación ha hecho hincapié en que l</w:t>
      </w:r>
      <w:r w:rsidR="003E737A" w:rsidRPr="003E737A">
        <w:rPr>
          <w:rFonts w:cs="Arial"/>
          <w:bCs/>
          <w:szCs w:val="26"/>
        </w:rPr>
        <w:t>as notificaciones tienen como propósito esencial proteger el derecho fundamental a la defensa adecuada, a fin de cerciorarse que las partes conozcan de los actos procesales en un juicio y puedan ejercer sus defensas antes de que se modifique su esfera jurídica.</w:t>
      </w:r>
      <w:r w:rsidR="00171630">
        <w:rPr>
          <w:rFonts w:cs="Arial"/>
          <w:bCs/>
          <w:szCs w:val="26"/>
        </w:rPr>
        <w:t xml:space="preserve"> </w:t>
      </w:r>
      <w:r w:rsidR="00C454BA" w:rsidRPr="00171630">
        <w:rPr>
          <w:rFonts w:cs="Arial"/>
          <w:bCs/>
          <w:szCs w:val="26"/>
        </w:rPr>
        <w:t xml:space="preserve">Apoya lo anterior, la jurisprudencia </w:t>
      </w:r>
      <w:r w:rsidR="002F3EA5" w:rsidRPr="00171630">
        <w:rPr>
          <w:rFonts w:cs="Arial"/>
          <w:bCs/>
          <w:szCs w:val="26"/>
        </w:rPr>
        <w:t>P./J. 47/95</w:t>
      </w:r>
      <w:r w:rsidR="002F3EA5">
        <w:rPr>
          <w:rStyle w:val="Refdenotaalpie"/>
          <w:rFonts w:cs="Arial"/>
          <w:bCs/>
          <w:szCs w:val="26"/>
        </w:rPr>
        <w:footnoteReference w:id="12"/>
      </w:r>
      <w:r w:rsidR="002F3EA5" w:rsidRPr="00171630">
        <w:rPr>
          <w:rFonts w:cs="Arial"/>
          <w:bCs/>
          <w:szCs w:val="26"/>
        </w:rPr>
        <w:t xml:space="preserve"> </w:t>
      </w:r>
      <w:r w:rsidR="00C454BA" w:rsidRPr="00171630">
        <w:rPr>
          <w:rFonts w:cs="Arial"/>
          <w:bCs/>
          <w:szCs w:val="26"/>
        </w:rPr>
        <w:t>de</w:t>
      </w:r>
      <w:r w:rsidR="002F3EA5" w:rsidRPr="00171630">
        <w:rPr>
          <w:rFonts w:cs="Arial"/>
          <w:bCs/>
          <w:szCs w:val="26"/>
        </w:rPr>
        <w:t>l</w:t>
      </w:r>
      <w:r w:rsidR="00C454BA" w:rsidRPr="00171630">
        <w:rPr>
          <w:rFonts w:cs="Arial"/>
          <w:bCs/>
          <w:szCs w:val="26"/>
        </w:rPr>
        <w:t xml:space="preserve"> Tribunal Pleno</w:t>
      </w:r>
      <w:r w:rsidR="002F3EA5" w:rsidRPr="00171630">
        <w:rPr>
          <w:rFonts w:cs="Arial"/>
          <w:bCs/>
          <w:szCs w:val="26"/>
        </w:rPr>
        <w:t>,</w:t>
      </w:r>
      <w:r w:rsidR="00C454BA" w:rsidRPr="00171630">
        <w:rPr>
          <w:rFonts w:cs="Arial"/>
          <w:bCs/>
          <w:szCs w:val="26"/>
        </w:rPr>
        <w:t xml:space="preserve"> de rubro y texto:</w:t>
      </w:r>
    </w:p>
    <w:p w14:paraId="4A3B95C1" w14:textId="77777777" w:rsidR="009E7D17" w:rsidRDefault="009E7D17" w:rsidP="009E7D17">
      <w:pPr>
        <w:pStyle w:val="corte4fondo"/>
        <w:ind w:firstLine="0"/>
        <w:rPr>
          <w:rFonts w:cs="Arial"/>
          <w:bCs/>
          <w:szCs w:val="26"/>
        </w:rPr>
      </w:pPr>
    </w:p>
    <w:p w14:paraId="523A1487" w14:textId="6CDCB570" w:rsidR="00016778" w:rsidRPr="002F3EA5" w:rsidRDefault="00C454BA" w:rsidP="002F3EA5">
      <w:pPr>
        <w:pStyle w:val="corte4fondo"/>
        <w:spacing w:line="240" w:lineRule="auto"/>
        <w:ind w:left="426" w:right="425" w:firstLine="0"/>
        <w:rPr>
          <w:rFonts w:cs="Arial"/>
          <w:bCs/>
          <w:sz w:val="24"/>
          <w:szCs w:val="24"/>
        </w:rPr>
      </w:pPr>
      <w:r w:rsidRPr="002F3EA5">
        <w:rPr>
          <w:rFonts w:cs="Arial"/>
          <w:b/>
          <w:sz w:val="24"/>
          <w:szCs w:val="24"/>
        </w:rPr>
        <w:t xml:space="preserve">FORMALIDADES ESENCIALES DEL PROCEDIMIENTO. SON LAS QUE GARANTIZAN UNA ADECUADA Y OPORTUNA DEFENSA PREVIA AL ACTO PRIVATIVO. </w:t>
      </w:r>
      <w:r w:rsidRPr="002F3EA5">
        <w:rPr>
          <w:rFonts w:cs="Arial"/>
          <w:bCs/>
          <w:sz w:val="24"/>
          <w:szCs w:val="24"/>
        </w:rPr>
        <w:t>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14:paraId="6A2985D7" w14:textId="77777777" w:rsidR="002F3EA5" w:rsidRPr="009E7D17" w:rsidRDefault="002F3EA5" w:rsidP="009E7D17">
      <w:pPr>
        <w:pStyle w:val="corte4fondo"/>
        <w:ind w:firstLine="0"/>
        <w:rPr>
          <w:rFonts w:cs="Arial"/>
          <w:bCs/>
          <w:szCs w:val="26"/>
        </w:rPr>
      </w:pPr>
    </w:p>
    <w:p w14:paraId="48445D77" w14:textId="4798493B" w:rsidR="00C454BA" w:rsidRDefault="001D1DD3" w:rsidP="001D1DD3">
      <w:pPr>
        <w:pStyle w:val="corte4fondo"/>
        <w:numPr>
          <w:ilvl w:val="0"/>
          <w:numId w:val="2"/>
        </w:numPr>
        <w:ind w:left="0" w:hanging="567"/>
        <w:rPr>
          <w:rFonts w:cs="Arial"/>
          <w:bCs/>
          <w:szCs w:val="26"/>
        </w:rPr>
      </w:pPr>
      <w:r w:rsidRPr="001D1DD3">
        <w:rPr>
          <w:rFonts w:cs="Arial"/>
          <w:bCs/>
          <w:szCs w:val="26"/>
        </w:rPr>
        <w:t>Por ello, las partes cuentan con la posibilidad de combatir las notificaciones que consideren que no fueron realizadas siguiendo las formalidades previstas en la ley, lo que sólo puede acontecer cuando el perjudicado tenga noticia de su existencia, pues de otra manera se le estaría oblig</w:t>
      </w:r>
      <w:r w:rsidR="005C2351">
        <w:rPr>
          <w:rFonts w:cs="Arial"/>
          <w:bCs/>
          <w:szCs w:val="26"/>
        </w:rPr>
        <w:t>a</w:t>
      </w:r>
      <w:r w:rsidRPr="001D1DD3">
        <w:rPr>
          <w:rFonts w:cs="Arial"/>
          <w:bCs/>
          <w:szCs w:val="26"/>
        </w:rPr>
        <w:t>ndo a realizar algo que es imposible.</w:t>
      </w:r>
    </w:p>
    <w:p w14:paraId="1DBCD934" w14:textId="77777777" w:rsidR="00D52774" w:rsidRPr="001D1DD3" w:rsidRDefault="00D52774" w:rsidP="00D52774">
      <w:pPr>
        <w:pStyle w:val="corte4fondo"/>
        <w:ind w:firstLine="0"/>
        <w:rPr>
          <w:rFonts w:cs="Arial"/>
          <w:bCs/>
          <w:szCs w:val="26"/>
        </w:rPr>
      </w:pPr>
    </w:p>
    <w:p w14:paraId="19DFC239" w14:textId="3A24D725" w:rsidR="002F3EA5" w:rsidRDefault="00973789" w:rsidP="00973789">
      <w:pPr>
        <w:pStyle w:val="corte4fondo"/>
        <w:numPr>
          <w:ilvl w:val="0"/>
          <w:numId w:val="2"/>
        </w:numPr>
        <w:ind w:left="0" w:hanging="567"/>
        <w:rPr>
          <w:rFonts w:cs="Arial"/>
          <w:bCs/>
          <w:szCs w:val="26"/>
        </w:rPr>
      </w:pPr>
      <w:r w:rsidRPr="00973789">
        <w:rPr>
          <w:rFonts w:cs="Arial"/>
          <w:bCs/>
          <w:szCs w:val="26"/>
        </w:rPr>
        <w:t xml:space="preserve">Es indispensable que el recurrente conozca, se presuma que conoce la notificación o se haga sabedor de ella, para que pueda impugnarla adecuadamente. El conocimiento de la notificación que se tilda de ilegal resulta fundamental para la procedencia del incidente, puesto que es precisamente dicha actuación la que se controvierte, y, en todo caso, la manifestación del promovente será materia de análisis por parte del órgano jurisdiccional, en la medida que podría quedar desvirtuada si obran en el expediente elementos -distintos a la diligencia de notificación combatida- que acrediten que tuvo conocimiento en fecha distinta o, si advierte que el </w:t>
      </w:r>
      <w:proofErr w:type="spellStart"/>
      <w:r w:rsidRPr="00973789">
        <w:rPr>
          <w:rFonts w:cs="Arial"/>
          <w:bCs/>
          <w:szCs w:val="26"/>
        </w:rPr>
        <w:t>incidentista</w:t>
      </w:r>
      <w:proofErr w:type="spellEnd"/>
      <w:r w:rsidRPr="00973789">
        <w:rPr>
          <w:rFonts w:cs="Arial"/>
          <w:bCs/>
          <w:szCs w:val="26"/>
        </w:rPr>
        <w:t xml:space="preserve"> previamente se ostentó sabedor del acto procesal materia de la notificación impugnada.</w:t>
      </w:r>
    </w:p>
    <w:p w14:paraId="325E7963" w14:textId="77777777" w:rsidR="001A4BF4" w:rsidRDefault="001A4BF4" w:rsidP="001A4BF4">
      <w:pPr>
        <w:pStyle w:val="corte4fondo"/>
        <w:ind w:firstLine="0"/>
        <w:rPr>
          <w:rFonts w:cs="Arial"/>
          <w:bCs/>
          <w:szCs w:val="26"/>
        </w:rPr>
      </w:pPr>
    </w:p>
    <w:p w14:paraId="72795BE0" w14:textId="1764B8C5" w:rsidR="002A7B2D" w:rsidRPr="001310C8" w:rsidRDefault="002A7B2D" w:rsidP="001310C8">
      <w:pPr>
        <w:pStyle w:val="corte4fondo"/>
        <w:numPr>
          <w:ilvl w:val="0"/>
          <w:numId w:val="2"/>
        </w:numPr>
        <w:ind w:left="0" w:hanging="567"/>
        <w:rPr>
          <w:rFonts w:cs="Arial"/>
          <w:bCs/>
          <w:szCs w:val="26"/>
        </w:rPr>
      </w:pPr>
      <w:r w:rsidRPr="002A7B2D">
        <w:rPr>
          <w:rFonts w:cs="Arial"/>
          <w:bCs/>
          <w:szCs w:val="26"/>
        </w:rPr>
        <w:t>En este contexto, si se sostuviera que el interesado debe hacer valer el incidente de mérito en la siguiente actuación en que comparezca al procedimiento correspondiente aun cuando, en ese momento no conociera la notificación que tilda de ilegal, se estaría implícitamente convalidando algo desconocido, haciendo nugatorio sus derechos de defensa.</w:t>
      </w:r>
      <w:r w:rsidR="001310C8">
        <w:rPr>
          <w:rFonts w:cs="Arial"/>
          <w:bCs/>
          <w:szCs w:val="26"/>
        </w:rPr>
        <w:t xml:space="preserve"> </w:t>
      </w:r>
      <w:r w:rsidR="00F75FE6" w:rsidRPr="001310C8">
        <w:rPr>
          <w:rFonts w:cs="Arial"/>
          <w:bCs/>
          <w:szCs w:val="26"/>
        </w:rPr>
        <w:t xml:space="preserve">Sirve de apoyo </w:t>
      </w:r>
      <w:r w:rsidR="00F75FE6" w:rsidRPr="001310C8">
        <w:rPr>
          <w:rFonts w:cs="Arial"/>
          <w:bCs/>
          <w:szCs w:val="26"/>
        </w:rPr>
        <w:lastRenderedPageBreak/>
        <w:t>a lo anterior, por su contenido y alcance, la tesis de la otrora Tercera Sala</w:t>
      </w:r>
      <w:r w:rsidR="00C5087C" w:rsidRPr="001310C8">
        <w:rPr>
          <w:rFonts w:cs="Arial"/>
          <w:bCs/>
          <w:szCs w:val="26"/>
        </w:rPr>
        <w:t>, de contenido</w:t>
      </w:r>
      <w:r w:rsidR="00F75FE6" w:rsidRPr="001310C8">
        <w:rPr>
          <w:rFonts w:cs="Arial"/>
          <w:bCs/>
          <w:szCs w:val="26"/>
        </w:rPr>
        <w:t>:</w:t>
      </w:r>
    </w:p>
    <w:p w14:paraId="4119D5F6" w14:textId="733BE7DC" w:rsidR="002A7B2D" w:rsidRDefault="002A7B2D" w:rsidP="00C5087C">
      <w:pPr>
        <w:pStyle w:val="corte4fondo"/>
        <w:ind w:firstLine="0"/>
        <w:rPr>
          <w:rFonts w:cs="Arial"/>
          <w:bCs/>
          <w:szCs w:val="26"/>
        </w:rPr>
      </w:pPr>
    </w:p>
    <w:p w14:paraId="5A773F46" w14:textId="3FEE5E9C" w:rsidR="00C5087C" w:rsidRPr="00C5087C" w:rsidRDefault="00C5087C" w:rsidP="00B2789A">
      <w:pPr>
        <w:pStyle w:val="corte4fondo"/>
        <w:spacing w:line="240" w:lineRule="auto"/>
        <w:ind w:left="426" w:right="425" w:firstLine="0"/>
        <w:rPr>
          <w:rFonts w:cs="Arial"/>
          <w:bCs/>
          <w:sz w:val="24"/>
          <w:szCs w:val="24"/>
        </w:rPr>
      </w:pPr>
      <w:r w:rsidRPr="00BF3E7F">
        <w:rPr>
          <w:rFonts w:cs="Arial"/>
          <w:b/>
          <w:sz w:val="24"/>
          <w:szCs w:val="24"/>
        </w:rPr>
        <w:t>NOTIFICACIONES NULAS.</w:t>
      </w:r>
      <w:r w:rsidRPr="00C5087C">
        <w:rPr>
          <w:rFonts w:cs="Arial"/>
          <w:bCs/>
          <w:sz w:val="24"/>
          <w:szCs w:val="24"/>
        </w:rPr>
        <w:t xml:space="preserve"> Es verdad que el artículo 77 del Código de Procedimientos Civiles en el Distrito Federal (similar al 228 del código de la materia en el Estado de México), establece que la nulidad de una notificación debe reclamarse en la actuación subsecuente, so pena de que quede revalidada de pleno derecho; pero también lo es que cuando no existe en autos dato alguno que indique que el afectado hubiera tenido conocimiento de la providencia cuya nulidad reclama, no es procedente declarar revalidada la notificación mal hecha, pues la segunda parte del artículo 76 del propio ordenamiento, sólo se refiere a que una notificación nula, por vicio de forma, surta efectos como si hubiese sido legalmente hecha, en el caso de que el notificado se hubiese manifestado sabedor de la providencia, pero no cuando se sigue actuando sin conocimiento del mismo</w:t>
      </w:r>
      <w:r w:rsidRPr="00C5087C">
        <w:rPr>
          <w:rStyle w:val="Refdenotaalpie"/>
          <w:rFonts w:cs="Arial"/>
          <w:bCs/>
          <w:sz w:val="24"/>
          <w:szCs w:val="24"/>
        </w:rPr>
        <w:footnoteReference w:id="13"/>
      </w:r>
      <w:r w:rsidRPr="00C5087C">
        <w:rPr>
          <w:rFonts w:cs="Arial"/>
          <w:bCs/>
          <w:sz w:val="24"/>
          <w:szCs w:val="24"/>
        </w:rPr>
        <w:t>.</w:t>
      </w:r>
    </w:p>
    <w:p w14:paraId="09DA3D67" w14:textId="77777777" w:rsidR="00105CB2" w:rsidRDefault="00105CB2" w:rsidP="00105CB2">
      <w:pPr>
        <w:pStyle w:val="corte4fondo"/>
        <w:rPr>
          <w:rFonts w:cs="Arial"/>
          <w:bCs/>
          <w:szCs w:val="26"/>
        </w:rPr>
      </w:pPr>
    </w:p>
    <w:p w14:paraId="6FE9C5F1" w14:textId="33D1FEF1" w:rsidR="002A7B2D" w:rsidRPr="00F71F5A" w:rsidRDefault="00F71F5A" w:rsidP="00F71F5A">
      <w:pPr>
        <w:pStyle w:val="corte4fondo"/>
        <w:numPr>
          <w:ilvl w:val="0"/>
          <w:numId w:val="2"/>
        </w:numPr>
        <w:ind w:left="0" w:hanging="567"/>
        <w:rPr>
          <w:rFonts w:cs="Arial"/>
          <w:bCs/>
          <w:szCs w:val="26"/>
        </w:rPr>
      </w:pPr>
      <w:r w:rsidRPr="00F71F5A">
        <w:rPr>
          <w:rFonts w:cs="Arial"/>
          <w:bCs/>
          <w:szCs w:val="26"/>
        </w:rPr>
        <w:t>Incluso, aun cuando las partes tienen acceso al expediente en todo momento, deben actuar con diligencia y estar al tanto de las actuaciones que se realizan en el asunto, no por ello se debe limitar la procedencia del incidente de nulidad de notificaciones a la siguiente actuación, sin que existan elementos que puedan demostrar el conocimiento de la notificación, pues el cumplimiento de las formalidades de las notificaciones, dada la finalidad que cumplen, conforme a un criterio que favorece la defensa, prevalece sobre la propia diligencia o cuidado de los interesados.</w:t>
      </w:r>
    </w:p>
    <w:p w14:paraId="02567390" w14:textId="77777777" w:rsidR="00C147CB" w:rsidRDefault="00C147CB" w:rsidP="00ED3959">
      <w:pPr>
        <w:pStyle w:val="corte4fondo"/>
        <w:ind w:firstLine="0"/>
        <w:rPr>
          <w:rFonts w:cs="Arial"/>
          <w:bCs/>
          <w:szCs w:val="26"/>
        </w:rPr>
      </w:pPr>
    </w:p>
    <w:p w14:paraId="044BFD6A" w14:textId="255B4359" w:rsidR="00C147CB" w:rsidRDefault="006130B1" w:rsidP="001275B6">
      <w:pPr>
        <w:pStyle w:val="corte4fondo"/>
        <w:numPr>
          <w:ilvl w:val="0"/>
          <w:numId w:val="2"/>
        </w:numPr>
        <w:ind w:left="0" w:hanging="567"/>
        <w:rPr>
          <w:rFonts w:cs="Arial"/>
          <w:bCs/>
          <w:szCs w:val="26"/>
        </w:rPr>
      </w:pPr>
      <w:r w:rsidRPr="006130B1">
        <w:rPr>
          <w:rFonts w:cs="Arial"/>
          <w:bCs/>
          <w:szCs w:val="26"/>
        </w:rPr>
        <w:t>Así pues, será labor del Juzgador analizar si la actuación del afectado para promover el incidente de nulidad de notificaciones se realizó en la siguiente comparecencia a partir de que tuvo conocimiento de la notificación cuestionada; de manera que las actuaciones anteriores al momento en que se desprenda ese conocimiento, como pudieran ser el señalamiento de un domicilio, la autorización de personas para consultar el expediente o la simple solicitud, sin recepción, de copias del expediente, por sí mismas, no llevarían a determinar la improcedencia del incidente de nulidad.</w:t>
      </w:r>
    </w:p>
    <w:p w14:paraId="6CC9B660" w14:textId="77777777" w:rsidR="00C147CB" w:rsidRDefault="00C147CB" w:rsidP="00A51135">
      <w:pPr>
        <w:pStyle w:val="corte4fondo"/>
        <w:ind w:firstLine="0"/>
        <w:rPr>
          <w:rFonts w:cs="Arial"/>
          <w:bCs/>
          <w:szCs w:val="26"/>
        </w:rPr>
      </w:pPr>
    </w:p>
    <w:p w14:paraId="069F1BD8" w14:textId="638D9B56" w:rsidR="00C147CB" w:rsidRDefault="00D2022F" w:rsidP="001275B6">
      <w:pPr>
        <w:pStyle w:val="corte4fondo"/>
        <w:numPr>
          <w:ilvl w:val="0"/>
          <w:numId w:val="2"/>
        </w:numPr>
        <w:ind w:left="0" w:hanging="567"/>
        <w:rPr>
          <w:rFonts w:cs="Arial"/>
          <w:bCs/>
          <w:szCs w:val="26"/>
        </w:rPr>
      </w:pPr>
      <w:r w:rsidRPr="00D2022F">
        <w:rPr>
          <w:rFonts w:cs="Arial"/>
          <w:bCs/>
          <w:szCs w:val="26"/>
        </w:rPr>
        <w:t xml:space="preserve">Sin perjuicio de lo anterior, de haber elementos que demuestren el conocimiento de la diligencia y a partir de ahí se desprendan actuaciones </w:t>
      </w:r>
      <w:r w:rsidRPr="00D2022F">
        <w:rPr>
          <w:rFonts w:cs="Arial"/>
          <w:bCs/>
          <w:szCs w:val="26"/>
        </w:rPr>
        <w:lastRenderedPageBreak/>
        <w:t>intermedias en las que haya comparecido el afectado sin hacerlo valer, será improcedente el incidente de nulidad de notificaciones por preclusión, pues existirá consentimiento para la impugnación de la notificación, lo que también sucede si no se llega a materializar la afectación, o conociendo el contenido de la actuación que se pretendió notificar, pudo actuar oportunamente en consecuencia.</w:t>
      </w:r>
    </w:p>
    <w:p w14:paraId="184BFE11" w14:textId="77777777" w:rsidR="00A51135" w:rsidRDefault="00A51135" w:rsidP="0000769A">
      <w:pPr>
        <w:pStyle w:val="corte4fondo"/>
        <w:ind w:firstLine="0"/>
        <w:rPr>
          <w:rFonts w:cs="Arial"/>
          <w:bCs/>
          <w:szCs w:val="26"/>
        </w:rPr>
      </w:pPr>
    </w:p>
    <w:p w14:paraId="21FC800A" w14:textId="5A8C9910" w:rsidR="00E35F9D" w:rsidRDefault="00DA1CDF" w:rsidP="0040748C">
      <w:pPr>
        <w:pStyle w:val="corte4fondo"/>
        <w:numPr>
          <w:ilvl w:val="0"/>
          <w:numId w:val="2"/>
        </w:numPr>
        <w:ind w:left="0" w:hanging="567"/>
        <w:rPr>
          <w:rFonts w:cs="Arial"/>
          <w:bCs/>
          <w:szCs w:val="26"/>
        </w:rPr>
      </w:pPr>
      <w:r>
        <w:rPr>
          <w:rFonts w:cs="Arial"/>
          <w:bCs/>
          <w:szCs w:val="26"/>
        </w:rPr>
        <w:t xml:space="preserve">De </w:t>
      </w:r>
      <w:r w:rsidR="009B24BA">
        <w:rPr>
          <w:rFonts w:cs="Arial"/>
          <w:bCs/>
          <w:szCs w:val="26"/>
        </w:rPr>
        <w:t>lo dicho hasta este punto</w:t>
      </w:r>
      <w:r w:rsidR="001274AF">
        <w:rPr>
          <w:rFonts w:cs="Arial"/>
          <w:bCs/>
          <w:szCs w:val="26"/>
        </w:rPr>
        <w:t>, esta Primera Sala concluye</w:t>
      </w:r>
      <w:r w:rsidR="0000769A" w:rsidRPr="0000769A">
        <w:rPr>
          <w:rFonts w:cs="Arial"/>
          <w:bCs/>
          <w:szCs w:val="26"/>
        </w:rPr>
        <w:t xml:space="preserve"> que el incidente de nulidad de notificaciones en el juicio </w:t>
      </w:r>
      <w:r w:rsidR="002F65CE">
        <w:rPr>
          <w:rFonts w:cs="Arial"/>
          <w:bCs/>
          <w:szCs w:val="26"/>
        </w:rPr>
        <w:t>mercantil</w:t>
      </w:r>
      <w:r w:rsidR="008168E2">
        <w:rPr>
          <w:rFonts w:cs="Arial"/>
          <w:bCs/>
          <w:szCs w:val="26"/>
        </w:rPr>
        <w:t xml:space="preserve"> </w:t>
      </w:r>
      <w:r w:rsidR="0000769A" w:rsidRPr="0000769A">
        <w:rPr>
          <w:rFonts w:cs="Arial"/>
          <w:bCs/>
          <w:szCs w:val="26"/>
        </w:rPr>
        <w:t>debe promoverse en la subsecuente actuación en que comparezca la parte afectada, a partir de que se evidencie o desprenda el conocimiento de la notificación irregular.</w:t>
      </w:r>
      <w:r w:rsidR="00260EF8">
        <w:rPr>
          <w:rFonts w:cs="Arial"/>
          <w:bCs/>
          <w:szCs w:val="26"/>
        </w:rPr>
        <w:t xml:space="preserve"> </w:t>
      </w:r>
      <w:r w:rsidR="00862E03" w:rsidRPr="00C21A9D">
        <w:rPr>
          <w:rFonts w:cs="Arial"/>
          <w:bCs/>
          <w:szCs w:val="26"/>
        </w:rPr>
        <w:t>Por tal razón</w:t>
      </w:r>
      <w:r w:rsidR="00C21A9D">
        <w:rPr>
          <w:rFonts w:cs="Arial"/>
          <w:bCs/>
          <w:szCs w:val="26"/>
        </w:rPr>
        <w:t>,</w:t>
      </w:r>
      <w:r w:rsidR="00862E03" w:rsidRPr="00C21A9D">
        <w:rPr>
          <w:rFonts w:cs="Arial"/>
          <w:bCs/>
          <w:szCs w:val="26"/>
        </w:rPr>
        <w:t xml:space="preserve"> es que se considera</w:t>
      </w:r>
      <w:r w:rsidR="0008366D" w:rsidRPr="00C21A9D">
        <w:rPr>
          <w:rFonts w:cs="Arial"/>
          <w:bCs/>
          <w:szCs w:val="26"/>
        </w:rPr>
        <w:t xml:space="preserve"> acertada la conclusión a la que arribó el Juez de Distrito al conceder la protección constitucional</w:t>
      </w:r>
      <w:r w:rsidR="00430903">
        <w:rPr>
          <w:rFonts w:cs="Arial"/>
          <w:bCs/>
          <w:szCs w:val="26"/>
        </w:rPr>
        <w:t xml:space="preserve">; </w:t>
      </w:r>
      <w:r w:rsidR="00BD2D1C">
        <w:rPr>
          <w:rFonts w:cs="Arial"/>
          <w:bCs/>
          <w:szCs w:val="26"/>
        </w:rPr>
        <w:t>y,</w:t>
      </w:r>
      <w:r w:rsidR="00430903">
        <w:rPr>
          <w:rFonts w:cs="Arial"/>
          <w:bCs/>
          <w:szCs w:val="26"/>
        </w:rPr>
        <w:t xml:space="preserve"> por </w:t>
      </w:r>
      <w:r w:rsidR="003C0105">
        <w:rPr>
          <w:rFonts w:cs="Arial"/>
          <w:bCs/>
          <w:szCs w:val="26"/>
        </w:rPr>
        <w:t>tanto, deben</w:t>
      </w:r>
      <w:r w:rsidR="00862E03" w:rsidRPr="00C21A9D">
        <w:rPr>
          <w:rFonts w:cs="Arial"/>
          <w:bCs/>
          <w:szCs w:val="26"/>
        </w:rPr>
        <w:t xml:space="preserve"> </w:t>
      </w:r>
      <w:r w:rsidR="00EF7B16">
        <w:rPr>
          <w:rFonts w:cs="Arial"/>
          <w:bCs/>
          <w:szCs w:val="26"/>
        </w:rPr>
        <w:t xml:space="preserve">considerarse </w:t>
      </w:r>
      <w:r w:rsidR="00862E03" w:rsidRPr="00C21A9D">
        <w:rPr>
          <w:rFonts w:cs="Arial"/>
          <w:bCs/>
          <w:szCs w:val="26"/>
        </w:rPr>
        <w:t xml:space="preserve">infundados los agravios </w:t>
      </w:r>
      <w:r w:rsidR="0008366D" w:rsidRPr="00C21A9D">
        <w:rPr>
          <w:rFonts w:cs="Arial"/>
          <w:bCs/>
          <w:szCs w:val="26"/>
        </w:rPr>
        <w:t>del</w:t>
      </w:r>
      <w:r w:rsidR="00862E03" w:rsidRPr="00C21A9D">
        <w:rPr>
          <w:rFonts w:cs="Arial"/>
          <w:bCs/>
          <w:szCs w:val="26"/>
        </w:rPr>
        <w:t xml:space="preserve"> recurrente</w:t>
      </w:r>
      <w:r w:rsidR="0036489A" w:rsidRPr="00C21A9D">
        <w:rPr>
          <w:rFonts w:cs="Arial"/>
          <w:bCs/>
          <w:szCs w:val="26"/>
        </w:rPr>
        <w:t xml:space="preserve">. </w:t>
      </w:r>
    </w:p>
    <w:p w14:paraId="011AAB36" w14:textId="77777777" w:rsidR="003354A2" w:rsidRDefault="003354A2" w:rsidP="003354A2">
      <w:pPr>
        <w:pStyle w:val="corte4fondo"/>
        <w:ind w:firstLine="0"/>
        <w:rPr>
          <w:rFonts w:cs="Arial"/>
          <w:bCs/>
          <w:szCs w:val="26"/>
        </w:rPr>
      </w:pPr>
    </w:p>
    <w:p w14:paraId="6A7ED207" w14:textId="562A41F4" w:rsidR="00FC6E4C" w:rsidRDefault="00E173B5" w:rsidP="00354492">
      <w:pPr>
        <w:pStyle w:val="corte4fondo"/>
        <w:numPr>
          <w:ilvl w:val="0"/>
          <w:numId w:val="2"/>
        </w:numPr>
        <w:ind w:left="0" w:hanging="567"/>
        <w:rPr>
          <w:rFonts w:cs="Arial"/>
          <w:bCs/>
          <w:szCs w:val="26"/>
        </w:rPr>
      </w:pPr>
      <w:r>
        <w:rPr>
          <w:rFonts w:cs="Arial"/>
          <w:bCs/>
          <w:szCs w:val="26"/>
        </w:rPr>
        <w:t>E</w:t>
      </w:r>
      <w:r w:rsidR="00E242AA">
        <w:rPr>
          <w:rFonts w:cs="Arial"/>
          <w:bCs/>
          <w:szCs w:val="26"/>
        </w:rPr>
        <w:t xml:space="preserve">l que se considere que </w:t>
      </w:r>
      <w:r w:rsidR="005048F9">
        <w:rPr>
          <w:rFonts w:cs="Arial"/>
          <w:bCs/>
          <w:szCs w:val="26"/>
        </w:rPr>
        <w:t xml:space="preserve">el incidente de nulidad de notificaciones </w:t>
      </w:r>
      <w:r w:rsidR="00B85892">
        <w:rPr>
          <w:rFonts w:cs="Arial"/>
          <w:bCs/>
          <w:szCs w:val="26"/>
        </w:rPr>
        <w:t>puede interponerse en la s</w:t>
      </w:r>
      <w:r w:rsidR="00E42AE2">
        <w:rPr>
          <w:rFonts w:cs="Arial"/>
          <w:bCs/>
          <w:szCs w:val="26"/>
        </w:rPr>
        <w:t>iguien</w:t>
      </w:r>
      <w:r w:rsidR="00B85892">
        <w:rPr>
          <w:rFonts w:cs="Arial"/>
          <w:bCs/>
          <w:szCs w:val="26"/>
        </w:rPr>
        <w:t xml:space="preserve">te actuación a que se tenga conocimiento de </w:t>
      </w:r>
      <w:r w:rsidR="003B41EA">
        <w:rPr>
          <w:rFonts w:cs="Arial"/>
          <w:bCs/>
          <w:szCs w:val="26"/>
        </w:rPr>
        <w:t xml:space="preserve">la </w:t>
      </w:r>
      <w:r w:rsidR="00537FCA">
        <w:rPr>
          <w:rFonts w:cs="Arial"/>
          <w:bCs/>
          <w:szCs w:val="26"/>
        </w:rPr>
        <w:t>notific</w:t>
      </w:r>
      <w:r w:rsidR="003B41EA">
        <w:rPr>
          <w:rFonts w:cs="Arial"/>
          <w:bCs/>
          <w:szCs w:val="26"/>
        </w:rPr>
        <w:t xml:space="preserve">ación que se considera se debe invalidar, no vulnera el derecho a la seguridad jurídica </w:t>
      </w:r>
      <w:r w:rsidR="00265A9C">
        <w:rPr>
          <w:rFonts w:cs="Arial"/>
          <w:bCs/>
          <w:szCs w:val="26"/>
        </w:rPr>
        <w:t xml:space="preserve">y de justicia pronta, como lo </w:t>
      </w:r>
      <w:r w:rsidR="00CD5C2E">
        <w:rPr>
          <w:rFonts w:cs="Arial"/>
          <w:bCs/>
          <w:szCs w:val="26"/>
        </w:rPr>
        <w:t>esgrime</w:t>
      </w:r>
      <w:r w:rsidR="00265A9C">
        <w:rPr>
          <w:rFonts w:cs="Arial"/>
          <w:bCs/>
          <w:szCs w:val="26"/>
        </w:rPr>
        <w:t xml:space="preserve"> el recurrente</w:t>
      </w:r>
      <w:r w:rsidR="00EF764B">
        <w:rPr>
          <w:rFonts w:cs="Arial"/>
          <w:bCs/>
          <w:szCs w:val="26"/>
        </w:rPr>
        <w:t xml:space="preserve"> en sus agravios</w:t>
      </w:r>
      <w:r w:rsidR="00265A9C">
        <w:rPr>
          <w:rFonts w:cs="Arial"/>
          <w:bCs/>
          <w:szCs w:val="26"/>
        </w:rPr>
        <w:t xml:space="preserve">, dado que </w:t>
      </w:r>
      <w:r w:rsidR="00FC6E4C">
        <w:rPr>
          <w:rFonts w:cs="Arial"/>
          <w:bCs/>
          <w:szCs w:val="26"/>
        </w:rPr>
        <w:t xml:space="preserve">este podrá interponerse en cualquier momento hasta antes de que se </w:t>
      </w:r>
      <w:r w:rsidR="000F60C2">
        <w:rPr>
          <w:rFonts w:cs="Arial"/>
          <w:bCs/>
          <w:szCs w:val="26"/>
        </w:rPr>
        <w:t>pronuncie sentencia</w:t>
      </w:r>
      <w:r w:rsidR="00284D77">
        <w:rPr>
          <w:rFonts w:cs="Arial"/>
          <w:bCs/>
          <w:szCs w:val="26"/>
        </w:rPr>
        <w:t xml:space="preserve"> definitiva, </w:t>
      </w:r>
      <w:r w:rsidR="003824D3">
        <w:rPr>
          <w:rFonts w:cs="Arial"/>
          <w:bCs/>
          <w:szCs w:val="26"/>
        </w:rPr>
        <w:t>lo que garantiza que no se consumen actos de manera irremediable en perjuicio de la parte que no tuvo conocimiento de las actuaciones</w:t>
      </w:r>
      <w:r w:rsidR="00927BE8">
        <w:rPr>
          <w:rFonts w:cs="Arial"/>
          <w:bCs/>
          <w:szCs w:val="26"/>
        </w:rPr>
        <w:t xml:space="preserve"> correspondientes</w:t>
      </w:r>
      <w:r w:rsidR="005E50AF">
        <w:rPr>
          <w:rFonts w:cs="Arial"/>
          <w:bCs/>
          <w:szCs w:val="26"/>
        </w:rPr>
        <w:t xml:space="preserve"> y</w:t>
      </w:r>
      <w:r w:rsidR="003824D3">
        <w:rPr>
          <w:rFonts w:cs="Arial"/>
          <w:bCs/>
          <w:szCs w:val="26"/>
        </w:rPr>
        <w:t xml:space="preserve"> sin que tenga a su alcance un recurso mediante el </w:t>
      </w:r>
      <w:r w:rsidR="000C0DEE">
        <w:rPr>
          <w:rFonts w:cs="Arial"/>
          <w:bCs/>
          <w:szCs w:val="26"/>
        </w:rPr>
        <w:t>cual</w:t>
      </w:r>
      <w:r w:rsidR="003824D3">
        <w:rPr>
          <w:rFonts w:cs="Arial"/>
          <w:bCs/>
          <w:szCs w:val="26"/>
        </w:rPr>
        <w:t xml:space="preserve"> pueda hacer valer sus </w:t>
      </w:r>
      <w:r w:rsidR="008627D3">
        <w:rPr>
          <w:rFonts w:cs="Arial"/>
          <w:bCs/>
          <w:szCs w:val="26"/>
        </w:rPr>
        <w:t>pretensiones</w:t>
      </w:r>
      <w:r w:rsidR="003824D3">
        <w:rPr>
          <w:rFonts w:cs="Arial"/>
          <w:bCs/>
          <w:szCs w:val="26"/>
        </w:rPr>
        <w:t xml:space="preserve">. </w:t>
      </w:r>
    </w:p>
    <w:p w14:paraId="1A7F3D67" w14:textId="77777777" w:rsidR="00A7444F" w:rsidRDefault="00A7444F" w:rsidP="00A7444F">
      <w:pPr>
        <w:pStyle w:val="corte4fondo"/>
        <w:ind w:firstLine="0"/>
        <w:rPr>
          <w:rFonts w:cs="Arial"/>
          <w:bCs/>
          <w:szCs w:val="26"/>
        </w:rPr>
      </w:pPr>
    </w:p>
    <w:p w14:paraId="25CEBCF9" w14:textId="68A38BC1" w:rsidR="001F61E6" w:rsidRDefault="00E10DCF" w:rsidP="0009699C">
      <w:pPr>
        <w:pStyle w:val="corte4fondo"/>
        <w:numPr>
          <w:ilvl w:val="0"/>
          <w:numId w:val="2"/>
        </w:numPr>
        <w:ind w:left="0" w:hanging="567"/>
        <w:rPr>
          <w:rFonts w:cs="Arial"/>
          <w:bCs/>
          <w:szCs w:val="26"/>
        </w:rPr>
      </w:pPr>
      <w:r w:rsidRPr="009F30AF">
        <w:rPr>
          <w:rFonts w:cs="Arial"/>
          <w:bCs/>
          <w:szCs w:val="26"/>
        </w:rPr>
        <w:t xml:space="preserve">De la misma manera, </w:t>
      </w:r>
      <w:r w:rsidR="005F6547" w:rsidRPr="009F30AF">
        <w:rPr>
          <w:rFonts w:cs="Arial"/>
          <w:bCs/>
          <w:szCs w:val="26"/>
        </w:rPr>
        <w:t>el hecho de que se considere la posibilidad de interponer el incidente de nulidad de notificaciones en la actuación subsecuente</w:t>
      </w:r>
      <w:r w:rsidR="001719E6" w:rsidRPr="009F30AF">
        <w:rPr>
          <w:rFonts w:cs="Arial"/>
          <w:bCs/>
          <w:szCs w:val="26"/>
        </w:rPr>
        <w:t xml:space="preserve"> a la que el </w:t>
      </w:r>
      <w:proofErr w:type="spellStart"/>
      <w:r w:rsidR="001719E6" w:rsidRPr="009F30AF">
        <w:rPr>
          <w:rFonts w:cs="Arial"/>
          <w:bCs/>
          <w:szCs w:val="26"/>
        </w:rPr>
        <w:t>incidentista</w:t>
      </w:r>
      <w:proofErr w:type="spellEnd"/>
      <w:r w:rsidR="001719E6" w:rsidRPr="009F30AF">
        <w:rPr>
          <w:rFonts w:cs="Arial"/>
          <w:bCs/>
          <w:szCs w:val="26"/>
        </w:rPr>
        <w:t xml:space="preserve"> tenga </w:t>
      </w:r>
      <w:r w:rsidR="00AA2C59" w:rsidRPr="009F30AF">
        <w:rPr>
          <w:rFonts w:cs="Arial"/>
          <w:bCs/>
          <w:szCs w:val="26"/>
        </w:rPr>
        <w:t>conocimiento del acto tildado de ilegal o nulo, no vulnera el acceso a la justicia del recurrente,</w:t>
      </w:r>
      <w:r w:rsidR="005207D7" w:rsidRPr="009F30AF">
        <w:rPr>
          <w:rFonts w:cs="Arial"/>
          <w:bCs/>
          <w:szCs w:val="26"/>
        </w:rPr>
        <w:t xml:space="preserve"> ni se deja al arbitrio de</w:t>
      </w:r>
      <w:r w:rsidR="00947D9D" w:rsidRPr="009F30AF">
        <w:rPr>
          <w:rFonts w:cs="Arial"/>
          <w:bCs/>
          <w:szCs w:val="26"/>
        </w:rPr>
        <w:t xml:space="preserve"> </w:t>
      </w:r>
      <w:r w:rsidR="0056796F">
        <w:rPr>
          <w:rFonts w:cs="Arial"/>
          <w:bCs/>
          <w:szCs w:val="26"/>
        </w:rPr>
        <w:t>las partes</w:t>
      </w:r>
      <w:r w:rsidR="005207D7" w:rsidRPr="009F30AF">
        <w:rPr>
          <w:rFonts w:cs="Arial"/>
          <w:bCs/>
          <w:szCs w:val="26"/>
        </w:rPr>
        <w:t xml:space="preserve"> el plazo para interponerlo, </w:t>
      </w:r>
      <w:r w:rsidR="005C02D5" w:rsidRPr="009F30AF">
        <w:rPr>
          <w:rFonts w:cs="Arial"/>
          <w:bCs/>
          <w:szCs w:val="26"/>
        </w:rPr>
        <w:t>dado que,</w:t>
      </w:r>
      <w:r w:rsidR="009F30AF" w:rsidRPr="009F30AF">
        <w:rPr>
          <w:rFonts w:cs="Arial"/>
          <w:bCs/>
          <w:szCs w:val="26"/>
        </w:rPr>
        <w:t xml:space="preserve"> se insiste, este</w:t>
      </w:r>
      <w:r w:rsidR="005C02D5" w:rsidRPr="009F30AF">
        <w:rPr>
          <w:rFonts w:cs="Arial"/>
          <w:bCs/>
          <w:szCs w:val="26"/>
        </w:rPr>
        <w:t xml:space="preserve"> </w:t>
      </w:r>
      <w:r w:rsidR="003C679F" w:rsidRPr="009F30AF">
        <w:rPr>
          <w:rFonts w:cs="Arial"/>
          <w:bCs/>
          <w:szCs w:val="26"/>
        </w:rPr>
        <w:t>puede interponerse, hasta antes del dictado de la sentencia definitiva</w:t>
      </w:r>
      <w:r w:rsidR="00832ED5" w:rsidRPr="009F30AF">
        <w:rPr>
          <w:rFonts w:cs="Arial"/>
          <w:bCs/>
          <w:szCs w:val="26"/>
        </w:rPr>
        <w:t xml:space="preserve">, </w:t>
      </w:r>
      <w:r w:rsidR="00AF0DF2">
        <w:rPr>
          <w:rFonts w:cs="Arial"/>
          <w:bCs/>
          <w:szCs w:val="26"/>
        </w:rPr>
        <w:t xml:space="preserve">e incluso, después del dictado de la sentencia bajo ciertas condiciones, </w:t>
      </w:r>
      <w:r w:rsidR="00832ED5" w:rsidRPr="009F30AF">
        <w:rPr>
          <w:rFonts w:cs="Arial"/>
          <w:bCs/>
          <w:szCs w:val="26"/>
        </w:rPr>
        <w:t>no de manera indefinida</w:t>
      </w:r>
      <w:r w:rsidR="00E53B9A" w:rsidRPr="009F30AF">
        <w:rPr>
          <w:rFonts w:cs="Arial"/>
          <w:bCs/>
          <w:szCs w:val="26"/>
        </w:rPr>
        <w:t xml:space="preserve"> como lo pretende hacer ver el tercero interesado hoy </w:t>
      </w:r>
      <w:r w:rsidR="00E53B9A" w:rsidRPr="009F30AF">
        <w:rPr>
          <w:rFonts w:cs="Arial"/>
          <w:bCs/>
          <w:szCs w:val="26"/>
        </w:rPr>
        <w:lastRenderedPageBreak/>
        <w:t>recurrente</w:t>
      </w:r>
      <w:r w:rsidR="00AF0DF2">
        <w:rPr>
          <w:rFonts w:cs="Arial"/>
          <w:bCs/>
          <w:szCs w:val="26"/>
        </w:rPr>
        <w:t xml:space="preserve">, ya que debe recordarse que los juicios también se encuentran sujetos a ciertos plazos. </w:t>
      </w:r>
    </w:p>
    <w:p w14:paraId="1499A48F" w14:textId="77777777" w:rsidR="00E4097C" w:rsidRPr="009F30AF" w:rsidRDefault="00E4097C" w:rsidP="00E4097C">
      <w:pPr>
        <w:pStyle w:val="corte4fondo"/>
        <w:ind w:firstLine="0"/>
        <w:rPr>
          <w:rFonts w:cs="Arial"/>
          <w:bCs/>
          <w:szCs w:val="26"/>
        </w:rPr>
      </w:pPr>
    </w:p>
    <w:p w14:paraId="0D580DE6" w14:textId="700E6A2A" w:rsidR="002B6F20" w:rsidRPr="002B6F20" w:rsidRDefault="00D545F0" w:rsidP="002B6F20">
      <w:pPr>
        <w:pStyle w:val="corte4fondo"/>
        <w:numPr>
          <w:ilvl w:val="0"/>
          <w:numId w:val="2"/>
        </w:numPr>
        <w:ind w:left="0" w:hanging="567"/>
        <w:rPr>
          <w:rFonts w:cs="Arial"/>
          <w:bCs/>
          <w:szCs w:val="26"/>
        </w:rPr>
      </w:pPr>
      <w:r>
        <w:rPr>
          <w:rFonts w:cs="Arial"/>
          <w:bCs/>
          <w:szCs w:val="26"/>
        </w:rPr>
        <w:t>Al respecto</w:t>
      </w:r>
      <w:r w:rsidR="00A76029">
        <w:rPr>
          <w:rFonts w:cs="Arial"/>
          <w:bCs/>
          <w:szCs w:val="26"/>
        </w:rPr>
        <w:t xml:space="preserve">, </w:t>
      </w:r>
      <w:r w:rsidR="00E4097C">
        <w:rPr>
          <w:rFonts w:cs="Arial"/>
          <w:bCs/>
          <w:szCs w:val="26"/>
        </w:rPr>
        <w:t>ha sido criterio de este Alto Tribunal el que</w:t>
      </w:r>
      <w:r w:rsidR="00D613B4">
        <w:rPr>
          <w:rFonts w:cs="Arial"/>
          <w:bCs/>
          <w:szCs w:val="26"/>
        </w:rPr>
        <w:t xml:space="preserve">, </w:t>
      </w:r>
      <w:r w:rsidR="00A22459" w:rsidRPr="00A22459">
        <w:rPr>
          <w:rFonts w:cs="Arial"/>
          <w:bCs/>
          <w:szCs w:val="26"/>
        </w:rPr>
        <w:t>el artículo 17 Constitucional establece la obligación de que las autoridades encargadas de administrar justicia lo hagan de manera pronta, completa e imparcial</w:t>
      </w:r>
      <w:r w:rsidR="002B6F20">
        <w:rPr>
          <w:rFonts w:cs="Arial"/>
          <w:bCs/>
          <w:szCs w:val="26"/>
        </w:rPr>
        <w:t xml:space="preserve">, y que los plazos </w:t>
      </w:r>
      <w:r w:rsidR="002B6F20" w:rsidRPr="002B6F20">
        <w:rPr>
          <w:rFonts w:cs="Arial"/>
          <w:bCs/>
          <w:szCs w:val="26"/>
        </w:rPr>
        <w:t>deben ser generales, razonables y objetivos:</w:t>
      </w:r>
    </w:p>
    <w:p w14:paraId="0619DEF0" w14:textId="77777777" w:rsidR="002B6F20" w:rsidRDefault="002B6F20" w:rsidP="002B6F20">
      <w:pPr>
        <w:pStyle w:val="corte4fondo"/>
        <w:ind w:firstLine="0"/>
        <w:rPr>
          <w:rFonts w:cs="Arial"/>
          <w:bCs/>
          <w:szCs w:val="26"/>
        </w:rPr>
      </w:pPr>
    </w:p>
    <w:p w14:paraId="298A6160" w14:textId="77777777" w:rsidR="002B6F20" w:rsidRPr="00B27DBD" w:rsidRDefault="002B6F20" w:rsidP="002B6F20">
      <w:pPr>
        <w:pStyle w:val="corte4fondo"/>
        <w:ind w:firstLine="0"/>
        <w:rPr>
          <w:rFonts w:cs="Arial"/>
          <w:bCs/>
          <w:szCs w:val="26"/>
        </w:rPr>
      </w:pPr>
      <w:r w:rsidRPr="00B27DBD">
        <w:rPr>
          <w:rFonts w:cs="Arial"/>
          <w:bCs/>
          <w:szCs w:val="26"/>
        </w:rPr>
        <w:t>a) Generales: que sean comunes a los mismos procedimientos y a todos los sujetos que se sitúen en la misma categoría de parte.</w:t>
      </w:r>
    </w:p>
    <w:p w14:paraId="3CC65E97" w14:textId="77777777" w:rsidR="002B6F20" w:rsidRDefault="002B6F20" w:rsidP="002B6F20">
      <w:pPr>
        <w:pStyle w:val="corte4fondo"/>
        <w:ind w:firstLine="0"/>
        <w:rPr>
          <w:rFonts w:cs="Arial"/>
          <w:bCs/>
          <w:szCs w:val="26"/>
        </w:rPr>
      </w:pPr>
    </w:p>
    <w:p w14:paraId="2127A1F8" w14:textId="77777777" w:rsidR="002B6F20" w:rsidRDefault="002B6F20" w:rsidP="002B6F20">
      <w:pPr>
        <w:pStyle w:val="corte4fondo"/>
        <w:ind w:firstLine="0"/>
        <w:rPr>
          <w:rFonts w:cs="Arial"/>
          <w:bCs/>
          <w:szCs w:val="26"/>
        </w:rPr>
      </w:pPr>
      <w:r w:rsidRPr="00D31214">
        <w:rPr>
          <w:rFonts w:cs="Arial"/>
          <w:bCs/>
          <w:szCs w:val="26"/>
        </w:rPr>
        <w:t>b) Razonables: que sean plazos prudentes para el adecuado actuar de la autoridad y el ejercicio del derecho de defensa de las partes.</w:t>
      </w:r>
    </w:p>
    <w:p w14:paraId="087D7C24" w14:textId="77777777" w:rsidR="002B6F20" w:rsidRPr="00D31214" w:rsidRDefault="002B6F20" w:rsidP="002B6F20">
      <w:pPr>
        <w:pStyle w:val="corte4fondo"/>
        <w:ind w:firstLine="0"/>
        <w:rPr>
          <w:rFonts w:cs="Arial"/>
          <w:bCs/>
          <w:szCs w:val="26"/>
        </w:rPr>
      </w:pPr>
    </w:p>
    <w:p w14:paraId="51102AC6" w14:textId="77777777" w:rsidR="002B6F20" w:rsidRPr="00D31214" w:rsidRDefault="002B6F20" w:rsidP="002B6F20">
      <w:pPr>
        <w:pStyle w:val="corte4fondo"/>
        <w:ind w:firstLine="0"/>
        <w:rPr>
          <w:rFonts w:cs="Arial"/>
          <w:bCs/>
          <w:szCs w:val="26"/>
        </w:rPr>
      </w:pPr>
      <w:r w:rsidRPr="00D31214">
        <w:rPr>
          <w:rFonts w:cs="Arial"/>
          <w:bCs/>
          <w:szCs w:val="26"/>
        </w:rPr>
        <w:t>c) Objetivos: que se delimiten en la ley correspondiente a efecto de impedir que quede al arbitrio de las partes o de la autoridad extender los tiempos para el ejercicio de sus derechos y obligaciones procedimentales.</w:t>
      </w:r>
    </w:p>
    <w:p w14:paraId="3F6FAA8B" w14:textId="77777777" w:rsidR="002B6F20" w:rsidRPr="00A22459" w:rsidRDefault="002B6F20" w:rsidP="00E944EB">
      <w:pPr>
        <w:pStyle w:val="corte4fondo"/>
        <w:ind w:firstLine="0"/>
        <w:rPr>
          <w:rFonts w:cs="Arial"/>
          <w:bCs/>
          <w:szCs w:val="26"/>
        </w:rPr>
      </w:pPr>
    </w:p>
    <w:p w14:paraId="4181F9F8" w14:textId="77777777" w:rsidR="00E8427B" w:rsidRPr="00E8427B" w:rsidRDefault="00E8427B" w:rsidP="00E8427B">
      <w:pPr>
        <w:pStyle w:val="corte4fondo"/>
        <w:numPr>
          <w:ilvl w:val="0"/>
          <w:numId w:val="2"/>
        </w:numPr>
        <w:ind w:left="0" w:hanging="567"/>
        <w:rPr>
          <w:rFonts w:cs="Arial"/>
          <w:bCs/>
          <w:szCs w:val="26"/>
        </w:rPr>
      </w:pPr>
      <w:r w:rsidRPr="00E8427B">
        <w:rPr>
          <w:rFonts w:cs="Arial"/>
          <w:bCs/>
          <w:szCs w:val="26"/>
        </w:rPr>
        <w:t>Resulta ilustrativo a lo anterior, la tesis 1a. LXX/2005</w:t>
      </w:r>
      <w:r>
        <w:rPr>
          <w:rStyle w:val="Refdenotaalpie"/>
          <w:rFonts w:cs="Arial"/>
          <w:bCs/>
          <w:szCs w:val="26"/>
        </w:rPr>
        <w:footnoteReference w:id="14"/>
      </w:r>
      <w:r w:rsidRPr="00E8427B">
        <w:rPr>
          <w:rFonts w:cs="Arial"/>
          <w:bCs/>
          <w:szCs w:val="26"/>
        </w:rPr>
        <w:t xml:space="preserve"> de la Primera Sala de esta Suprema Corte de Justicia de la Nación:</w:t>
      </w:r>
    </w:p>
    <w:p w14:paraId="325F642E" w14:textId="77777777" w:rsidR="00E8427B" w:rsidRPr="00BF5681" w:rsidRDefault="00E8427B" w:rsidP="00E8427B">
      <w:pPr>
        <w:pStyle w:val="corte4fondo"/>
        <w:rPr>
          <w:rFonts w:cs="Arial"/>
          <w:bCs/>
          <w:szCs w:val="26"/>
        </w:rPr>
      </w:pPr>
    </w:p>
    <w:p w14:paraId="20B01F3F" w14:textId="1092FE53" w:rsidR="00E4097C" w:rsidRDefault="00E8427B" w:rsidP="00E8427B">
      <w:pPr>
        <w:pStyle w:val="Prrafodelista"/>
        <w:rPr>
          <w:rFonts w:cs="Arial"/>
          <w:bCs/>
          <w:szCs w:val="26"/>
        </w:rPr>
      </w:pPr>
      <w:r w:rsidRPr="00E043F5">
        <w:rPr>
          <w:rFonts w:cs="Arial"/>
          <w:b/>
          <w:sz w:val="24"/>
          <w:szCs w:val="24"/>
        </w:rPr>
        <w:t>JUSTICIA PRONTA A QUE SE REFIERE EL ARTÍCULO 17 CONSTITUCIONAL. OBLIGACIÓN DEL LEGISLADOR PARA GARANTIZARLA.</w:t>
      </w:r>
      <w:r w:rsidRPr="00464397">
        <w:rPr>
          <w:rFonts w:cs="Arial"/>
          <w:bCs/>
          <w:sz w:val="24"/>
          <w:szCs w:val="24"/>
        </w:rPr>
        <w:t xml:space="preserve"> El mandato contenido en el segundo párrafo del artículo 17 de la Constitución Política de los Estados Unidos Mexicanos está encaminado a asegurar que las autoridades encargadas de administrar </w:t>
      </w:r>
      <w:proofErr w:type="gramStart"/>
      <w:r w:rsidRPr="00464397">
        <w:rPr>
          <w:rFonts w:cs="Arial"/>
          <w:bCs/>
          <w:sz w:val="24"/>
          <w:szCs w:val="24"/>
        </w:rPr>
        <w:t>justicia,</w:t>
      </w:r>
      <w:proofErr w:type="gramEnd"/>
      <w:r w:rsidRPr="00464397">
        <w:rPr>
          <w:rFonts w:cs="Arial"/>
          <w:bCs/>
          <w:sz w:val="24"/>
          <w:szCs w:val="24"/>
        </w:rPr>
        <w:t xml:space="preserve"> lo hagan de manera pronta, completa e imparcial. Por lo que respecta a los actos legislativos, la justicia pronta se garantiza cuando el legislador establece en las leyes plazos generales, razonables y objetivos, a los cuales tienen que sujetarse tanto la autoridad como las partes en los procesos jurisdiccionales, entendiéndose por: a) generales, que sean comunes a los mismos procedimientos y a todos los sujetos que se sitúen en la misma categoría de parte; b) razonables, que sean plazos prudentes para el adecuado actuar de la autoridad y el ejercicio del derecho de defensa de las partes, y c) objetivos, que se delimiten en la ley correspondiente a efecto de impedir que quede al arbitrio de las partes o de la autoridad extender los tiempos para el ejercicio de sus derechos y obligaciones procedimentales.</w:t>
      </w:r>
    </w:p>
    <w:p w14:paraId="1D0F4C0B" w14:textId="77777777" w:rsidR="00E8427B" w:rsidRDefault="00E8427B" w:rsidP="00E8427B">
      <w:pPr>
        <w:pStyle w:val="corte4fondo"/>
        <w:ind w:firstLine="0"/>
        <w:rPr>
          <w:rFonts w:cs="Arial"/>
          <w:bCs/>
          <w:szCs w:val="26"/>
        </w:rPr>
      </w:pPr>
    </w:p>
    <w:p w14:paraId="0FB526F2" w14:textId="2347E83D" w:rsidR="007F7950" w:rsidRDefault="003D57C5" w:rsidP="007F7950">
      <w:pPr>
        <w:pStyle w:val="corte4fondo"/>
        <w:numPr>
          <w:ilvl w:val="0"/>
          <w:numId w:val="2"/>
        </w:numPr>
        <w:ind w:left="0" w:hanging="567"/>
        <w:rPr>
          <w:rFonts w:cs="Arial"/>
          <w:bCs/>
          <w:szCs w:val="26"/>
        </w:rPr>
      </w:pPr>
      <w:r>
        <w:rPr>
          <w:rFonts w:cs="Arial"/>
          <w:bCs/>
          <w:szCs w:val="26"/>
        </w:rPr>
        <w:lastRenderedPageBreak/>
        <w:t xml:space="preserve">Por tanto, si bien se aprecia que </w:t>
      </w:r>
      <w:r w:rsidR="001D7061">
        <w:rPr>
          <w:rFonts w:cs="Arial"/>
          <w:bCs/>
          <w:szCs w:val="26"/>
        </w:rPr>
        <w:t xml:space="preserve">el Código de Comercio es omiso en regular </w:t>
      </w:r>
      <w:r w:rsidR="00820489">
        <w:rPr>
          <w:rFonts w:cs="Arial"/>
          <w:bCs/>
          <w:szCs w:val="26"/>
        </w:rPr>
        <w:t>el incidente de nulidad de notificaciones</w:t>
      </w:r>
      <w:r w:rsidR="00AB19A2">
        <w:rPr>
          <w:rFonts w:cs="Arial"/>
          <w:bCs/>
          <w:szCs w:val="26"/>
        </w:rPr>
        <w:t xml:space="preserve"> en específico</w:t>
      </w:r>
      <w:r>
        <w:rPr>
          <w:rFonts w:cs="Arial"/>
          <w:bCs/>
          <w:szCs w:val="26"/>
        </w:rPr>
        <w:t xml:space="preserve">, lo cierto es que ello no implica que </w:t>
      </w:r>
      <w:r w:rsidR="007F7950">
        <w:rPr>
          <w:rFonts w:cs="Arial"/>
          <w:bCs/>
          <w:szCs w:val="26"/>
        </w:rPr>
        <w:t xml:space="preserve">el plazo para interponer el incidente se pueda prolongar indefinidamente, ya que, frente a la omisión de la ley, </w:t>
      </w:r>
      <w:r w:rsidR="00963234">
        <w:rPr>
          <w:rFonts w:cs="Arial"/>
          <w:bCs/>
          <w:szCs w:val="26"/>
        </w:rPr>
        <w:t xml:space="preserve">es </w:t>
      </w:r>
      <w:r w:rsidR="00343A51">
        <w:rPr>
          <w:rFonts w:cs="Arial"/>
          <w:bCs/>
          <w:szCs w:val="26"/>
        </w:rPr>
        <w:t>viable aplicar supletoriamente el Código Federal de Procedimientos Civiles</w:t>
      </w:r>
      <w:r w:rsidR="00F21060">
        <w:rPr>
          <w:rFonts w:cs="Arial"/>
          <w:bCs/>
          <w:szCs w:val="26"/>
        </w:rPr>
        <w:t xml:space="preserve"> o los códigos adjetivos locales</w:t>
      </w:r>
      <w:r w:rsidR="001E4835">
        <w:rPr>
          <w:rFonts w:cs="Arial"/>
          <w:bCs/>
          <w:szCs w:val="26"/>
        </w:rPr>
        <w:t xml:space="preserve">, en aras de salvaguardar el derecho de acceso a la justicia de todas las partes involucradas en el juicio. </w:t>
      </w:r>
    </w:p>
    <w:p w14:paraId="301CD95E" w14:textId="77777777" w:rsidR="007F7950" w:rsidRDefault="007F7950" w:rsidP="007F7950">
      <w:pPr>
        <w:pStyle w:val="corte4fondo"/>
        <w:ind w:firstLine="0"/>
        <w:rPr>
          <w:rFonts w:cs="Arial"/>
          <w:bCs/>
          <w:szCs w:val="26"/>
        </w:rPr>
      </w:pPr>
    </w:p>
    <w:p w14:paraId="40653AE2" w14:textId="36835023" w:rsidR="00236D63" w:rsidRDefault="002565CF" w:rsidP="007F7950">
      <w:pPr>
        <w:pStyle w:val="corte4fondo"/>
        <w:numPr>
          <w:ilvl w:val="0"/>
          <w:numId w:val="2"/>
        </w:numPr>
        <w:ind w:left="0" w:hanging="567"/>
        <w:rPr>
          <w:rFonts w:cs="Arial"/>
          <w:bCs/>
          <w:szCs w:val="26"/>
        </w:rPr>
      </w:pPr>
      <w:r>
        <w:rPr>
          <w:rFonts w:cs="Arial"/>
          <w:bCs/>
          <w:szCs w:val="26"/>
        </w:rPr>
        <w:t>A</w:t>
      </w:r>
      <w:r w:rsidR="002B5541">
        <w:rPr>
          <w:rFonts w:cs="Arial"/>
          <w:bCs/>
          <w:szCs w:val="26"/>
        </w:rPr>
        <w:t>sí</w:t>
      </w:r>
      <w:r w:rsidR="005F4BE3">
        <w:rPr>
          <w:rFonts w:cs="Arial"/>
          <w:bCs/>
          <w:szCs w:val="26"/>
        </w:rPr>
        <w:t xml:space="preserve">, </w:t>
      </w:r>
      <w:r>
        <w:rPr>
          <w:rFonts w:cs="Arial"/>
          <w:bCs/>
          <w:szCs w:val="26"/>
        </w:rPr>
        <w:t>atendiendo a</w:t>
      </w:r>
      <w:r w:rsidR="005F4BE3">
        <w:rPr>
          <w:rFonts w:cs="Arial"/>
          <w:bCs/>
          <w:szCs w:val="26"/>
        </w:rPr>
        <w:t xml:space="preserve"> lo establecido en el artículo 1,054, del Código de Comercio, que </w:t>
      </w:r>
      <w:r w:rsidR="00BC261A">
        <w:rPr>
          <w:rFonts w:cs="Arial"/>
          <w:bCs/>
          <w:szCs w:val="26"/>
        </w:rPr>
        <w:t xml:space="preserve">justamente </w:t>
      </w:r>
      <w:r w:rsidR="005F4BE3">
        <w:rPr>
          <w:rFonts w:cs="Arial"/>
          <w:bCs/>
          <w:szCs w:val="26"/>
        </w:rPr>
        <w:t xml:space="preserve">señala que </w:t>
      </w:r>
      <w:r w:rsidR="00236D63" w:rsidRPr="00236D63">
        <w:rPr>
          <w:rFonts w:cs="Arial"/>
          <w:bCs/>
          <w:szCs w:val="26"/>
        </w:rPr>
        <w:t>los juicios mercantiles se regirán por las disposiciones de</w:t>
      </w:r>
      <w:r w:rsidR="00423891">
        <w:rPr>
          <w:rFonts w:cs="Arial"/>
          <w:bCs/>
          <w:szCs w:val="26"/>
        </w:rPr>
        <w:t>l propio Código</w:t>
      </w:r>
      <w:r w:rsidR="00236D63" w:rsidRPr="00236D63">
        <w:rPr>
          <w:rFonts w:cs="Arial"/>
          <w:bCs/>
          <w:szCs w:val="26"/>
        </w:rPr>
        <w:t xml:space="preserve">, </w:t>
      </w:r>
      <w:r w:rsidR="00DC2C7A">
        <w:rPr>
          <w:rFonts w:cs="Arial"/>
          <w:bCs/>
          <w:szCs w:val="26"/>
        </w:rPr>
        <w:t>o en su defecto</w:t>
      </w:r>
      <w:r w:rsidR="00236D63" w:rsidRPr="00236D63">
        <w:rPr>
          <w:rFonts w:cs="Arial"/>
          <w:bCs/>
          <w:szCs w:val="26"/>
        </w:rPr>
        <w:t xml:space="preserve">, </w:t>
      </w:r>
      <w:r w:rsidR="00DC2C7A">
        <w:rPr>
          <w:rFonts w:cs="Arial"/>
          <w:bCs/>
          <w:szCs w:val="26"/>
        </w:rPr>
        <w:t xml:space="preserve">que </w:t>
      </w:r>
      <w:r w:rsidR="00236D63" w:rsidRPr="00236D63">
        <w:rPr>
          <w:rFonts w:cs="Arial"/>
          <w:bCs/>
          <w:szCs w:val="26"/>
        </w:rPr>
        <w:t>se aplicará supletoriamente el Código Federal de Procedimientos Civiles</w:t>
      </w:r>
      <w:r w:rsidR="00DC2C7A">
        <w:rPr>
          <w:rFonts w:cs="Arial"/>
          <w:bCs/>
          <w:szCs w:val="26"/>
        </w:rPr>
        <w:t>,</w:t>
      </w:r>
      <w:r w:rsidR="00236D63" w:rsidRPr="00236D63">
        <w:rPr>
          <w:rFonts w:cs="Arial"/>
          <w:bCs/>
          <w:szCs w:val="26"/>
        </w:rPr>
        <w:t xml:space="preserve"> y en caso de que </w:t>
      </w:r>
      <w:r w:rsidR="00691F18">
        <w:rPr>
          <w:rFonts w:cs="Arial"/>
          <w:bCs/>
          <w:szCs w:val="26"/>
        </w:rPr>
        <w:t xml:space="preserve">este </w:t>
      </w:r>
      <w:r w:rsidR="00236D63" w:rsidRPr="00236D63">
        <w:rPr>
          <w:rFonts w:cs="Arial"/>
          <w:bCs/>
          <w:szCs w:val="26"/>
        </w:rPr>
        <w:t xml:space="preserve">no regule suficientemente la institución cuya supletoriedad se requiera, </w:t>
      </w:r>
      <w:r w:rsidR="00691F18">
        <w:rPr>
          <w:rFonts w:cs="Arial"/>
          <w:bCs/>
          <w:szCs w:val="26"/>
        </w:rPr>
        <w:t xml:space="preserve">se podrá aplicar </w:t>
      </w:r>
      <w:r w:rsidR="00236D63" w:rsidRPr="00236D63">
        <w:rPr>
          <w:rFonts w:cs="Arial"/>
          <w:bCs/>
          <w:szCs w:val="26"/>
        </w:rPr>
        <w:t>la ley de procedimientos local respectiva</w:t>
      </w:r>
      <w:r w:rsidR="00C64EC0">
        <w:rPr>
          <w:rFonts w:cs="Arial"/>
          <w:bCs/>
          <w:szCs w:val="26"/>
        </w:rPr>
        <w:t xml:space="preserve">, </w:t>
      </w:r>
      <w:r w:rsidR="00DC2C7A">
        <w:rPr>
          <w:rFonts w:cs="Arial"/>
          <w:bCs/>
          <w:szCs w:val="26"/>
        </w:rPr>
        <w:t xml:space="preserve">lo que </w:t>
      </w:r>
      <w:r w:rsidR="00C64EC0">
        <w:rPr>
          <w:rFonts w:cs="Arial"/>
          <w:bCs/>
          <w:szCs w:val="26"/>
        </w:rPr>
        <w:t xml:space="preserve">confirma lo infundado de lo apuntado por la parte recurrente. </w:t>
      </w:r>
    </w:p>
    <w:p w14:paraId="05F95C66" w14:textId="77777777" w:rsidR="00660937" w:rsidRDefault="00660937" w:rsidP="00660937">
      <w:pPr>
        <w:pStyle w:val="Prrafodelista"/>
        <w:rPr>
          <w:rFonts w:cs="Arial"/>
          <w:bCs/>
          <w:szCs w:val="26"/>
        </w:rPr>
      </w:pPr>
    </w:p>
    <w:p w14:paraId="159B6834" w14:textId="5D792085" w:rsidR="00660937" w:rsidRDefault="00660937" w:rsidP="007F7950">
      <w:pPr>
        <w:pStyle w:val="corte4fondo"/>
        <w:numPr>
          <w:ilvl w:val="0"/>
          <w:numId w:val="2"/>
        </w:numPr>
        <w:ind w:left="0" w:hanging="567"/>
        <w:rPr>
          <w:rFonts w:cs="Arial"/>
          <w:bCs/>
          <w:szCs w:val="26"/>
        </w:rPr>
      </w:pPr>
      <w:r>
        <w:rPr>
          <w:rFonts w:cs="Arial"/>
          <w:bCs/>
          <w:szCs w:val="26"/>
        </w:rPr>
        <w:t>Para mayor claridad</w:t>
      </w:r>
      <w:r w:rsidR="003156E2">
        <w:rPr>
          <w:rFonts w:cs="Arial"/>
          <w:bCs/>
          <w:szCs w:val="26"/>
        </w:rPr>
        <w:t>, se reproduce el contenido íntegro del precepto mencionado:</w:t>
      </w:r>
    </w:p>
    <w:p w14:paraId="10FCC177" w14:textId="77777777" w:rsidR="003156E2" w:rsidRDefault="003156E2" w:rsidP="003156E2">
      <w:pPr>
        <w:pStyle w:val="Prrafodelista"/>
        <w:rPr>
          <w:rFonts w:cs="Arial"/>
          <w:bCs/>
          <w:szCs w:val="26"/>
        </w:rPr>
      </w:pPr>
    </w:p>
    <w:p w14:paraId="06F21ADA" w14:textId="07AE5F92" w:rsidR="003156E2" w:rsidRPr="003156E2" w:rsidRDefault="003156E2" w:rsidP="003156E2">
      <w:pPr>
        <w:pStyle w:val="corte4fondo"/>
        <w:spacing w:line="240" w:lineRule="auto"/>
        <w:ind w:left="567" w:right="423" w:firstLine="0"/>
        <w:rPr>
          <w:rFonts w:cs="Arial"/>
          <w:bCs/>
          <w:sz w:val="24"/>
          <w:szCs w:val="24"/>
        </w:rPr>
      </w:pPr>
      <w:r w:rsidRPr="003156E2">
        <w:rPr>
          <w:rFonts w:cs="Arial"/>
          <w:bCs/>
          <w:sz w:val="24"/>
          <w:szCs w:val="24"/>
        </w:rPr>
        <w:t>Art. 1,054. En caso de no existir convenio de las partes sobre el procedimiento ante tribunales en los términos de los anteriores artículos, salvo que las leyes mercantiles establezcan un procedimiento especial o una supletoriedad expresa, los juicios mercantiles se regirán por las disposiciones de este libro y, en su defecto, se aplicará supletoriamente el Código Federal de Procedimientos Civiles y en caso de que no regule suficientemente la institución cuya supletoriedad se requiera, la ley de procedimientos local respectiva.</w:t>
      </w:r>
    </w:p>
    <w:p w14:paraId="70460A12" w14:textId="77777777" w:rsidR="00113D2E" w:rsidRDefault="00113D2E" w:rsidP="00113D2E">
      <w:pPr>
        <w:pStyle w:val="corte4fondo"/>
        <w:ind w:firstLine="0"/>
        <w:rPr>
          <w:rFonts w:cs="Arial"/>
          <w:bCs/>
          <w:szCs w:val="26"/>
        </w:rPr>
      </w:pPr>
    </w:p>
    <w:p w14:paraId="737B6126" w14:textId="2B4CD68D" w:rsidR="0062029B" w:rsidRPr="0062029B" w:rsidRDefault="00113D2E" w:rsidP="0062029B">
      <w:pPr>
        <w:pStyle w:val="corte4fondo"/>
        <w:numPr>
          <w:ilvl w:val="0"/>
          <w:numId w:val="2"/>
        </w:numPr>
        <w:ind w:left="0" w:hanging="567"/>
        <w:rPr>
          <w:rFonts w:cs="Arial"/>
          <w:bCs/>
          <w:szCs w:val="26"/>
        </w:rPr>
      </w:pPr>
      <w:r>
        <w:rPr>
          <w:rFonts w:cs="Arial"/>
          <w:bCs/>
          <w:szCs w:val="26"/>
        </w:rPr>
        <w:t xml:space="preserve">Del numeral se desprende que los juicios mercantiles se regirán por las disposiciones </w:t>
      </w:r>
      <w:r w:rsidR="0062029B">
        <w:rPr>
          <w:rFonts w:cs="Arial"/>
          <w:bCs/>
          <w:szCs w:val="26"/>
        </w:rPr>
        <w:t xml:space="preserve">del libro relativo, y en su defecto se aplicará la ley supletoria al Código de Comercio, en los siguientes supuestos: a) </w:t>
      </w:r>
      <w:r w:rsidR="00F51A6A">
        <w:rPr>
          <w:rFonts w:cs="Arial"/>
          <w:bCs/>
          <w:szCs w:val="26"/>
        </w:rPr>
        <w:t xml:space="preserve">cuando no exista un convenio </w:t>
      </w:r>
      <w:r w:rsidR="00CE335B">
        <w:rPr>
          <w:rFonts w:cs="Arial"/>
          <w:bCs/>
          <w:szCs w:val="26"/>
        </w:rPr>
        <w:t xml:space="preserve">de las partes sobre el procedimiento ante tribunales en los términos de los artículos anteriores; b) cuando </w:t>
      </w:r>
      <w:r w:rsidR="00520B53">
        <w:rPr>
          <w:rFonts w:cs="Arial"/>
          <w:bCs/>
          <w:szCs w:val="26"/>
        </w:rPr>
        <w:t>las leyes mercantiles no establezcan un procedimiento especial o una supletoriedad expresa</w:t>
      </w:r>
      <w:r w:rsidR="00AD141C">
        <w:rPr>
          <w:rStyle w:val="Refdenotaalpie"/>
          <w:rFonts w:cs="Arial"/>
          <w:bCs/>
          <w:szCs w:val="26"/>
        </w:rPr>
        <w:footnoteReference w:id="15"/>
      </w:r>
      <w:r w:rsidR="00520B53">
        <w:rPr>
          <w:rFonts w:cs="Arial"/>
          <w:bCs/>
          <w:szCs w:val="26"/>
        </w:rPr>
        <w:t xml:space="preserve">. </w:t>
      </w:r>
    </w:p>
    <w:p w14:paraId="1F72F1C8" w14:textId="77777777" w:rsidR="00113D2E" w:rsidRDefault="00113D2E" w:rsidP="00113D2E">
      <w:pPr>
        <w:pStyle w:val="corte4fondo"/>
        <w:ind w:firstLine="0"/>
        <w:rPr>
          <w:rFonts w:cs="Arial"/>
          <w:bCs/>
          <w:szCs w:val="26"/>
        </w:rPr>
      </w:pPr>
    </w:p>
    <w:p w14:paraId="70303220" w14:textId="2293E989" w:rsidR="009E3D08" w:rsidRDefault="00691F18" w:rsidP="00236D63">
      <w:pPr>
        <w:pStyle w:val="corte4fondo"/>
        <w:numPr>
          <w:ilvl w:val="0"/>
          <w:numId w:val="2"/>
        </w:numPr>
        <w:ind w:left="0" w:hanging="567"/>
        <w:rPr>
          <w:rFonts w:cs="Arial"/>
          <w:bCs/>
          <w:szCs w:val="26"/>
        </w:rPr>
      </w:pPr>
      <w:r>
        <w:rPr>
          <w:rFonts w:cs="Arial"/>
          <w:bCs/>
          <w:szCs w:val="26"/>
        </w:rPr>
        <w:lastRenderedPageBreak/>
        <w:t>E</w:t>
      </w:r>
      <w:r w:rsidR="00D0508A">
        <w:rPr>
          <w:rFonts w:cs="Arial"/>
          <w:bCs/>
          <w:szCs w:val="26"/>
        </w:rPr>
        <w:t xml:space="preserve">sta supletoriedad </w:t>
      </w:r>
      <w:r w:rsidR="00A458B6">
        <w:rPr>
          <w:rFonts w:cs="Arial"/>
          <w:bCs/>
          <w:szCs w:val="26"/>
        </w:rPr>
        <w:t>fue establecida por</w:t>
      </w:r>
      <w:r w:rsidR="009E3D08">
        <w:rPr>
          <w:rFonts w:cs="Arial"/>
          <w:bCs/>
          <w:szCs w:val="26"/>
        </w:rPr>
        <w:t xml:space="preserve"> </w:t>
      </w:r>
      <w:r w:rsidR="0090642B">
        <w:rPr>
          <w:rFonts w:cs="Arial"/>
          <w:bCs/>
          <w:szCs w:val="26"/>
        </w:rPr>
        <w:t xml:space="preserve">el propio legislador federal </w:t>
      </w:r>
      <w:r w:rsidR="00AD101C">
        <w:rPr>
          <w:rFonts w:cs="Arial"/>
          <w:bCs/>
          <w:szCs w:val="26"/>
        </w:rPr>
        <w:t xml:space="preserve">y conforme a lo que ha establecido este Alto Tribunal, la supletoriedad del Código Federal de Procedimientos Civiles procede no sólo cuando </w:t>
      </w:r>
      <w:r w:rsidR="009B6A74">
        <w:rPr>
          <w:rFonts w:cs="Arial"/>
          <w:bCs/>
          <w:szCs w:val="26"/>
        </w:rPr>
        <w:t xml:space="preserve">en el Código de Comercio no se reglamenta o se haga de manera insuficiente o deficiente </w:t>
      </w:r>
      <w:r w:rsidR="000E1459">
        <w:rPr>
          <w:rFonts w:cs="Arial"/>
          <w:bCs/>
          <w:szCs w:val="26"/>
        </w:rPr>
        <w:t>una institución que se encuentra contemplada en tal ley</w:t>
      </w:r>
      <w:r w:rsidR="000248D1">
        <w:rPr>
          <w:rFonts w:cs="Arial"/>
          <w:bCs/>
          <w:szCs w:val="26"/>
        </w:rPr>
        <w:t xml:space="preserve">, sino también cuando no encontrándose comprendida tal institución, su aplicación sea congruente con los principios de los procesos </w:t>
      </w:r>
      <w:r w:rsidR="00FD1986">
        <w:rPr>
          <w:rFonts w:cs="Arial"/>
          <w:bCs/>
          <w:szCs w:val="26"/>
        </w:rPr>
        <w:t xml:space="preserve">mercantiles, e indispensable para su trámite y resolución. </w:t>
      </w:r>
    </w:p>
    <w:p w14:paraId="0D11107F" w14:textId="77777777" w:rsidR="000E1459" w:rsidRDefault="000E1459" w:rsidP="000E1459">
      <w:pPr>
        <w:pStyle w:val="Prrafodelista"/>
        <w:rPr>
          <w:rFonts w:cs="Arial"/>
          <w:bCs/>
          <w:szCs w:val="26"/>
        </w:rPr>
      </w:pPr>
    </w:p>
    <w:p w14:paraId="3694FF40" w14:textId="01326EEB" w:rsidR="000E1459" w:rsidRDefault="001440BB" w:rsidP="00236D63">
      <w:pPr>
        <w:pStyle w:val="corte4fondo"/>
        <w:numPr>
          <w:ilvl w:val="0"/>
          <w:numId w:val="2"/>
        </w:numPr>
        <w:ind w:left="0" w:hanging="567"/>
        <w:rPr>
          <w:rFonts w:cs="Arial"/>
          <w:bCs/>
          <w:szCs w:val="26"/>
        </w:rPr>
      </w:pPr>
      <w:r>
        <w:rPr>
          <w:rFonts w:cs="Arial"/>
          <w:bCs/>
          <w:szCs w:val="26"/>
        </w:rPr>
        <w:t>Es decir, se ha señalado que la suplencia procede no sólo respecto de instituciones en ella contempladas pero que no se encuentren reglamentadas</w:t>
      </w:r>
      <w:r w:rsidR="000E36BD">
        <w:rPr>
          <w:rFonts w:cs="Arial"/>
          <w:bCs/>
          <w:szCs w:val="26"/>
        </w:rPr>
        <w:t xml:space="preserve">, o bien, que se encuentran reglamentadas en forma insuficiente o deficiente, sino también en el caso de instituciones no establecidas en tal ley, a condición de que, por una parte, sea indispensable para el juzgador acudir a tal supletoriedad para </w:t>
      </w:r>
      <w:r w:rsidR="007334F5">
        <w:rPr>
          <w:rFonts w:cs="Arial"/>
          <w:bCs/>
          <w:szCs w:val="26"/>
        </w:rPr>
        <w:t>solucionar el conflicto que se le plantee y, por la otra, de que la institución se aplique en forma supletoria o esté en contradicción con el conjunto de normas cuyas lagunas de</w:t>
      </w:r>
      <w:r w:rsidR="00395477">
        <w:rPr>
          <w:rFonts w:cs="Arial"/>
          <w:bCs/>
          <w:szCs w:val="26"/>
        </w:rPr>
        <w:t>be</w:t>
      </w:r>
      <w:r w:rsidR="007334F5">
        <w:rPr>
          <w:rFonts w:cs="Arial"/>
          <w:bCs/>
          <w:szCs w:val="26"/>
        </w:rPr>
        <w:t xml:space="preserve"> llenar, sino que sea congruente con los principios de los procesos que reglamenta</w:t>
      </w:r>
      <w:r w:rsidR="009B7DCE">
        <w:rPr>
          <w:rStyle w:val="Refdenotaalpie"/>
          <w:rFonts w:cs="Arial"/>
          <w:bCs/>
          <w:szCs w:val="26"/>
        </w:rPr>
        <w:footnoteReference w:id="16"/>
      </w:r>
      <w:r w:rsidR="007334F5">
        <w:rPr>
          <w:rFonts w:cs="Arial"/>
          <w:bCs/>
          <w:szCs w:val="26"/>
        </w:rPr>
        <w:t xml:space="preserve">. </w:t>
      </w:r>
    </w:p>
    <w:p w14:paraId="03FFFBE7" w14:textId="77777777" w:rsidR="009E3D08" w:rsidRPr="00245F3A" w:rsidRDefault="009E3D08" w:rsidP="00245F3A">
      <w:pPr>
        <w:pStyle w:val="corte4fondo"/>
        <w:ind w:firstLine="0"/>
        <w:rPr>
          <w:rFonts w:cs="Arial"/>
          <w:bCs/>
          <w:szCs w:val="26"/>
        </w:rPr>
      </w:pPr>
    </w:p>
    <w:p w14:paraId="6925B59B" w14:textId="7FF94306" w:rsidR="00E67AE5" w:rsidRDefault="00E67AE5" w:rsidP="00236D63">
      <w:pPr>
        <w:pStyle w:val="corte4fondo"/>
        <w:numPr>
          <w:ilvl w:val="0"/>
          <w:numId w:val="2"/>
        </w:numPr>
        <w:ind w:left="0" w:hanging="567"/>
        <w:rPr>
          <w:rFonts w:cs="Arial"/>
          <w:bCs/>
          <w:szCs w:val="26"/>
        </w:rPr>
      </w:pPr>
      <w:r>
        <w:rPr>
          <w:rFonts w:cs="Arial"/>
          <w:bCs/>
          <w:szCs w:val="26"/>
        </w:rPr>
        <w:t>Por tanto, en contradicción</w:t>
      </w:r>
      <w:r w:rsidR="00F66D0F">
        <w:rPr>
          <w:rFonts w:cs="Arial"/>
          <w:bCs/>
          <w:szCs w:val="26"/>
        </w:rPr>
        <w:t xml:space="preserve"> con lo apuntado en los agravios, esta Sala </w:t>
      </w:r>
      <w:r w:rsidR="00267499">
        <w:rPr>
          <w:rFonts w:cs="Arial"/>
          <w:bCs/>
          <w:szCs w:val="26"/>
        </w:rPr>
        <w:t>recalc</w:t>
      </w:r>
      <w:r w:rsidR="00F66D0F">
        <w:rPr>
          <w:rFonts w:cs="Arial"/>
          <w:bCs/>
          <w:szCs w:val="26"/>
        </w:rPr>
        <w:t xml:space="preserve">a que no existe vulneración del derecho de acceso a la justicia con el hecho de que </w:t>
      </w:r>
      <w:r w:rsidR="00AF68E2">
        <w:rPr>
          <w:rFonts w:cs="Arial"/>
          <w:bCs/>
          <w:szCs w:val="26"/>
        </w:rPr>
        <w:t xml:space="preserve">se permita la interposición del incidente de nulidad de notificaciones en la “actuación subsecuente” a que se tenga conocimiento de la actuación que se considera </w:t>
      </w:r>
      <w:r w:rsidR="00CC2AB7">
        <w:rPr>
          <w:rFonts w:cs="Arial"/>
          <w:bCs/>
          <w:szCs w:val="26"/>
        </w:rPr>
        <w:t xml:space="preserve">se debe nulificar, ya que está dispuesto en la propia legislación el que esto podrá suceder en </w:t>
      </w:r>
      <w:r w:rsidR="00267499">
        <w:rPr>
          <w:rFonts w:cs="Arial"/>
          <w:bCs/>
          <w:szCs w:val="26"/>
        </w:rPr>
        <w:t>un</w:t>
      </w:r>
      <w:r w:rsidR="00CC2AB7">
        <w:rPr>
          <w:rFonts w:cs="Arial"/>
          <w:bCs/>
          <w:szCs w:val="26"/>
        </w:rPr>
        <w:t xml:space="preserve"> momento</w:t>
      </w:r>
      <w:r w:rsidR="00267499">
        <w:rPr>
          <w:rFonts w:cs="Arial"/>
          <w:bCs/>
          <w:szCs w:val="26"/>
        </w:rPr>
        <w:t xml:space="preserve"> determinado</w:t>
      </w:r>
      <w:r w:rsidR="008D6D51">
        <w:rPr>
          <w:rFonts w:cs="Arial"/>
          <w:bCs/>
          <w:szCs w:val="26"/>
        </w:rPr>
        <w:t xml:space="preserve">, en virtud de la supletoriedad que el propio Código de Comercio señala. </w:t>
      </w:r>
    </w:p>
    <w:p w14:paraId="66B4FA89" w14:textId="77777777" w:rsidR="00E67AE5" w:rsidRDefault="00E67AE5" w:rsidP="00E67AE5">
      <w:pPr>
        <w:pStyle w:val="Prrafodelista"/>
        <w:rPr>
          <w:rFonts w:cs="Arial"/>
          <w:bCs/>
          <w:szCs w:val="26"/>
        </w:rPr>
      </w:pPr>
    </w:p>
    <w:p w14:paraId="5C82F899" w14:textId="16DD0E8C" w:rsidR="00111B86" w:rsidRDefault="008D6D51" w:rsidP="00236D63">
      <w:pPr>
        <w:pStyle w:val="corte4fondo"/>
        <w:numPr>
          <w:ilvl w:val="0"/>
          <w:numId w:val="2"/>
        </w:numPr>
        <w:ind w:left="0" w:hanging="567"/>
        <w:rPr>
          <w:rFonts w:cs="Arial"/>
          <w:bCs/>
          <w:szCs w:val="26"/>
        </w:rPr>
      </w:pPr>
      <w:r>
        <w:rPr>
          <w:rFonts w:cs="Arial"/>
          <w:bCs/>
          <w:szCs w:val="26"/>
        </w:rPr>
        <w:t>En otro de sus agravios</w:t>
      </w:r>
      <w:r w:rsidR="00F638E3">
        <w:rPr>
          <w:rFonts w:cs="Arial"/>
          <w:bCs/>
          <w:szCs w:val="26"/>
        </w:rPr>
        <w:t xml:space="preserve">, el recurrente pretende que se aplique al caso el criterio que el Pleno de este Alto Tribunal adoptó en la contradicción de tesis </w:t>
      </w:r>
      <w:r w:rsidR="00E96F97">
        <w:rPr>
          <w:rFonts w:cs="Arial"/>
          <w:bCs/>
          <w:szCs w:val="26"/>
        </w:rPr>
        <w:t xml:space="preserve">133/2015 y </w:t>
      </w:r>
      <w:r w:rsidR="005056A0">
        <w:rPr>
          <w:rFonts w:cs="Arial"/>
          <w:bCs/>
          <w:szCs w:val="26"/>
        </w:rPr>
        <w:t>que,</w:t>
      </w:r>
      <w:r w:rsidR="00E96F97">
        <w:rPr>
          <w:rFonts w:cs="Arial"/>
          <w:bCs/>
          <w:szCs w:val="26"/>
        </w:rPr>
        <w:t xml:space="preserve"> por ende, se inaplique la jurisprudencia 3a./J. </w:t>
      </w:r>
      <w:r w:rsidR="005056A0">
        <w:rPr>
          <w:rFonts w:cs="Arial"/>
          <w:bCs/>
          <w:szCs w:val="26"/>
        </w:rPr>
        <w:t>1/95</w:t>
      </w:r>
      <w:r w:rsidR="0060350F">
        <w:rPr>
          <w:rFonts w:cs="Arial"/>
          <w:bCs/>
          <w:szCs w:val="26"/>
        </w:rPr>
        <w:t xml:space="preserve"> </w:t>
      </w:r>
      <w:r w:rsidR="0060350F">
        <w:rPr>
          <w:rFonts w:cs="Arial"/>
          <w:bCs/>
          <w:szCs w:val="26"/>
        </w:rPr>
        <w:lastRenderedPageBreak/>
        <w:t>previamente citada</w:t>
      </w:r>
      <w:r w:rsidR="00F74994">
        <w:rPr>
          <w:rFonts w:cs="Arial"/>
          <w:bCs/>
          <w:szCs w:val="26"/>
        </w:rPr>
        <w:t xml:space="preserve">; sin embargo, ello no es dable en virtud de que </w:t>
      </w:r>
      <w:r w:rsidR="0014226A">
        <w:rPr>
          <w:rFonts w:cs="Arial"/>
          <w:bCs/>
          <w:szCs w:val="26"/>
        </w:rPr>
        <w:t>dicho</w:t>
      </w:r>
      <w:r w:rsidR="00A428BF">
        <w:rPr>
          <w:rFonts w:cs="Arial"/>
          <w:bCs/>
          <w:szCs w:val="26"/>
        </w:rPr>
        <w:t xml:space="preserve"> criterio </w:t>
      </w:r>
      <w:r w:rsidR="00C5237D">
        <w:rPr>
          <w:rFonts w:cs="Arial"/>
          <w:bCs/>
          <w:szCs w:val="26"/>
        </w:rPr>
        <w:t xml:space="preserve">fue </w:t>
      </w:r>
      <w:r w:rsidR="00D7104A">
        <w:rPr>
          <w:rFonts w:cs="Arial"/>
          <w:bCs/>
          <w:szCs w:val="26"/>
        </w:rPr>
        <w:t>desarrollado y emitido</w:t>
      </w:r>
      <w:r w:rsidR="0014226A">
        <w:rPr>
          <w:rFonts w:cs="Arial"/>
          <w:bCs/>
          <w:szCs w:val="26"/>
        </w:rPr>
        <w:t xml:space="preserve"> </w:t>
      </w:r>
      <w:r w:rsidR="00C5237D">
        <w:rPr>
          <w:rFonts w:cs="Arial"/>
          <w:bCs/>
          <w:szCs w:val="26"/>
        </w:rPr>
        <w:t>para</w:t>
      </w:r>
      <w:r w:rsidR="0014226A">
        <w:rPr>
          <w:rFonts w:cs="Arial"/>
          <w:bCs/>
          <w:szCs w:val="26"/>
        </w:rPr>
        <w:t xml:space="preserve"> el juicio de amparo</w:t>
      </w:r>
      <w:r w:rsidR="003519E2">
        <w:rPr>
          <w:rFonts w:cs="Arial"/>
          <w:bCs/>
          <w:szCs w:val="26"/>
        </w:rPr>
        <w:t xml:space="preserve"> y</w:t>
      </w:r>
      <w:r w:rsidR="00D7104A">
        <w:rPr>
          <w:rFonts w:cs="Arial"/>
          <w:bCs/>
          <w:szCs w:val="26"/>
        </w:rPr>
        <w:t>,</w:t>
      </w:r>
      <w:r w:rsidR="003519E2">
        <w:rPr>
          <w:rFonts w:cs="Arial"/>
          <w:bCs/>
          <w:szCs w:val="26"/>
        </w:rPr>
        <w:t xml:space="preserve"> en e</w:t>
      </w:r>
      <w:r w:rsidR="00A704B5">
        <w:rPr>
          <w:rFonts w:cs="Arial"/>
          <w:bCs/>
          <w:szCs w:val="26"/>
        </w:rPr>
        <w:t>ste</w:t>
      </w:r>
      <w:r w:rsidR="003519E2">
        <w:rPr>
          <w:rFonts w:cs="Arial"/>
          <w:bCs/>
          <w:szCs w:val="26"/>
        </w:rPr>
        <w:t xml:space="preserve"> caso, </w:t>
      </w:r>
      <w:r w:rsidR="00A704B5">
        <w:rPr>
          <w:rFonts w:cs="Arial"/>
          <w:bCs/>
          <w:szCs w:val="26"/>
        </w:rPr>
        <w:t>nos encontramos frente a una controversia en materia mercantil</w:t>
      </w:r>
      <w:r w:rsidR="002222CF">
        <w:rPr>
          <w:rFonts w:cs="Arial"/>
          <w:bCs/>
          <w:szCs w:val="26"/>
        </w:rPr>
        <w:t>,</w:t>
      </w:r>
      <w:r w:rsidR="00A704B5">
        <w:rPr>
          <w:rFonts w:cs="Arial"/>
          <w:bCs/>
          <w:szCs w:val="26"/>
        </w:rPr>
        <w:t xml:space="preserve"> cuya regulación, principios y características, son diversas</w:t>
      </w:r>
      <w:r w:rsidR="003519E2">
        <w:rPr>
          <w:rFonts w:cs="Arial"/>
          <w:bCs/>
          <w:szCs w:val="26"/>
        </w:rPr>
        <w:t xml:space="preserve">. </w:t>
      </w:r>
    </w:p>
    <w:p w14:paraId="24E5B14B" w14:textId="77777777" w:rsidR="00AD3BE0" w:rsidRDefault="00AD3BE0" w:rsidP="00AD3BE0">
      <w:pPr>
        <w:pStyle w:val="Prrafodelista"/>
        <w:rPr>
          <w:rFonts w:cs="Arial"/>
          <w:bCs/>
          <w:szCs w:val="26"/>
        </w:rPr>
      </w:pPr>
    </w:p>
    <w:p w14:paraId="22DD7532" w14:textId="4CC9572F" w:rsidR="00AD3BE0" w:rsidRDefault="002A2994" w:rsidP="00236D63">
      <w:pPr>
        <w:pStyle w:val="corte4fondo"/>
        <w:numPr>
          <w:ilvl w:val="0"/>
          <w:numId w:val="2"/>
        </w:numPr>
        <w:ind w:left="0" w:hanging="567"/>
        <w:rPr>
          <w:rFonts w:cs="Arial"/>
          <w:bCs/>
          <w:szCs w:val="26"/>
        </w:rPr>
      </w:pPr>
      <w:r>
        <w:rPr>
          <w:rFonts w:cs="Arial"/>
          <w:bCs/>
          <w:szCs w:val="26"/>
        </w:rPr>
        <w:t>No</w:t>
      </w:r>
      <w:r w:rsidR="00E22D66">
        <w:rPr>
          <w:rFonts w:cs="Arial"/>
          <w:bCs/>
          <w:szCs w:val="26"/>
        </w:rPr>
        <w:t xml:space="preserve"> se soslaya que </w:t>
      </w:r>
      <w:r w:rsidR="00ED7B7C">
        <w:rPr>
          <w:rFonts w:cs="Arial"/>
          <w:bCs/>
          <w:szCs w:val="26"/>
        </w:rPr>
        <w:t xml:space="preserve">en la resolución de la solicitud de ejercicio de la facultad de atracción mediante la cual se </w:t>
      </w:r>
      <w:r w:rsidR="009E5E86">
        <w:rPr>
          <w:rFonts w:cs="Arial"/>
          <w:bCs/>
          <w:szCs w:val="26"/>
        </w:rPr>
        <w:t>determin</w:t>
      </w:r>
      <w:r w:rsidR="00ED7B7C">
        <w:rPr>
          <w:rFonts w:cs="Arial"/>
          <w:bCs/>
          <w:szCs w:val="26"/>
        </w:rPr>
        <w:t>ó atraer e</w:t>
      </w:r>
      <w:r w:rsidR="001E518D">
        <w:rPr>
          <w:rFonts w:cs="Arial"/>
          <w:bCs/>
          <w:szCs w:val="26"/>
        </w:rPr>
        <w:t>ste</w:t>
      </w:r>
      <w:r w:rsidR="00ED7B7C">
        <w:rPr>
          <w:rFonts w:cs="Arial"/>
          <w:bCs/>
          <w:szCs w:val="26"/>
        </w:rPr>
        <w:t xml:space="preserve"> asunto por </w:t>
      </w:r>
      <w:r w:rsidR="009E5E86">
        <w:rPr>
          <w:rFonts w:cs="Arial"/>
          <w:bCs/>
          <w:szCs w:val="26"/>
        </w:rPr>
        <w:t>l</w:t>
      </w:r>
      <w:r w:rsidR="00ED7B7C">
        <w:rPr>
          <w:rFonts w:cs="Arial"/>
          <w:bCs/>
          <w:szCs w:val="26"/>
        </w:rPr>
        <w:t>a Primera</w:t>
      </w:r>
      <w:r w:rsidR="007D3E40">
        <w:rPr>
          <w:rFonts w:cs="Arial"/>
          <w:bCs/>
          <w:szCs w:val="26"/>
        </w:rPr>
        <w:t xml:space="preserve"> </w:t>
      </w:r>
      <w:r w:rsidR="00ED7B7C">
        <w:rPr>
          <w:rFonts w:cs="Arial"/>
          <w:bCs/>
          <w:szCs w:val="26"/>
        </w:rPr>
        <w:t xml:space="preserve">Sala </w:t>
      </w:r>
      <w:r w:rsidR="009E5E86">
        <w:rPr>
          <w:rFonts w:cs="Arial"/>
          <w:bCs/>
          <w:szCs w:val="26"/>
        </w:rPr>
        <w:t xml:space="preserve">de este Alto Tribunal, </w:t>
      </w:r>
      <w:r w:rsidR="00ED7B7C">
        <w:rPr>
          <w:rFonts w:cs="Arial"/>
          <w:bCs/>
          <w:szCs w:val="26"/>
        </w:rPr>
        <w:t xml:space="preserve">se </w:t>
      </w:r>
      <w:r w:rsidR="00D93A81">
        <w:rPr>
          <w:rFonts w:cs="Arial"/>
          <w:bCs/>
          <w:szCs w:val="26"/>
        </w:rPr>
        <w:t>apuntó que</w:t>
      </w:r>
      <w:r w:rsidR="003D4A04">
        <w:rPr>
          <w:rFonts w:cs="Arial"/>
          <w:bCs/>
          <w:szCs w:val="26"/>
        </w:rPr>
        <w:t>,</w:t>
      </w:r>
      <w:r w:rsidR="00D93A81">
        <w:rPr>
          <w:rFonts w:cs="Arial"/>
          <w:bCs/>
          <w:szCs w:val="26"/>
        </w:rPr>
        <w:t xml:space="preserve"> dado que el artículo </w:t>
      </w:r>
      <w:r w:rsidR="00516AC2">
        <w:rPr>
          <w:rFonts w:cs="Arial"/>
          <w:bCs/>
          <w:szCs w:val="26"/>
        </w:rPr>
        <w:t>68 de la Ley de Amparo</w:t>
      </w:r>
      <w:r w:rsidR="007D3E40">
        <w:rPr>
          <w:rFonts w:cs="Arial"/>
          <w:bCs/>
          <w:szCs w:val="26"/>
        </w:rPr>
        <w:t xml:space="preserve"> es similar </w:t>
      </w:r>
      <w:r w:rsidR="001E518D">
        <w:rPr>
          <w:rFonts w:cs="Arial"/>
          <w:bCs/>
          <w:szCs w:val="26"/>
        </w:rPr>
        <w:t xml:space="preserve">en su redacción </w:t>
      </w:r>
      <w:r w:rsidR="007D3E40">
        <w:rPr>
          <w:rFonts w:cs="Arial"/>
          <w:bCs/>
          <w:szCs w:val="26"/>
        </w:rPr>
        <w:t xml:space="preserve">al 74 del Código de Procedimientos Civiles </w:t>
      </w:r>
      <w:r w:rsidR="00DF2FFB">
        <w:rPr>
          <w:rFonts w:cs="Arial"/>
          <w:bCs/>
          <w:szCs w:val="26"/>
        </w:rPr>
        <w:t xml:space="preserve">para </w:t>
      </w:r>
      <w:r w:rsidR="007D3E40">
        <w:rPr>
          <w:rFonts w:cs="Arial"/>
          <w:bCs/>
          <w:szCs w:val="26"/>
        </w:rPr>
        <w:t xml:space="preserve">el Estado de Oaxaca, </w:t>
      </w:r>
      <w:r w:rsidR="003C554F">
        <w:rPr>
          <w:rFonts w:cs="Arial"/>
          <w:bCs/>
          <w:szCs w:val="26"/>
        </w:rPr>
        <w:t>era dable aplicar el criterio sostenido en la contradicción de tesis 133</w:t>
      </w:r>
      <w:r w:rsidR="001E518D">
        <w:rPr>
          <w:rFonts w:cs="Arial"/>
          <w:bCs/>
          <w:szCs w:val="26"/>
        </w:rPr>
        <w:t xml:space="preserve">/2015; </w:t>
      </w:r>
      <w:r w:rsidR="000230A1">
        <w:rPr>
          <w:rFonts w:cs="Arial"/>
          <w:bCs/>
          <w:szCs w:val="26"/>
        </w:rPr>
        <w:t xml:space="preserve">no obstante, </w:t>
      </w:r>
      <w:r w:rsidR="00910227">
        <w:rPr>
          <w:rFonts w:cs="Arial"/>
          <w:bCs/>
          <w:szCs w:val="26"/>
        </w:rPr>
        <w:t>se considera que</w:t>
      </w:r>
      <w:r w:rsidR="00942A0D">
        <w:rPr>
          <w:rFonts w:cs="Arial"/>
          <w:bCs/>
          <w:szCs w:val="26"/>
        </w:rPr>
        <w:t xml:space="preserve"> </w:t>
      </w:r>
      <w:r w:rsidR="005E585A">
        <w:rPr>
          <w:rFonts w:cs="Arial"/>
          <w:bCs/>
          <w:szCs w:val="26"/>
        </w:rPr>
        <w:t>ello</w:t>
      </w:r>
      <w:r w:rsidR="00910227">
        <w:rPr>
          <w:rFonts w:cs="Arial"/>
          <w:bCs/>
          <w:szCs w:val="26"/>
        </w:rPr>
        <w:t xml:space="preserve"> no es lo </w:t>
      </w:r>
      <w:r w:rsidR="00D94FE7">
        <w:rPr>
          <w:rFonts w:cs="Arial"/>
          <w:bCs/>
          <w:szCs w:val="26"/>
        </w:rPr>
        <w:t xml:space="preserve">factible, por tratarse </w:t>
      </w:r>
      <w:r w:rsidR="00753CED">
        <w:rPr>
          <w:rFonts w:cs="Arial"/>
          <w:bCs/>
          <w:szCs w:val="26"/>
        </w:rPr>
        <w:t>de juicios cuya naturaleza es distinta</w:t>
      </w:r>
      <w:r w:rsidR="004C41D0">
        <w:rPr>
          <w:rFonts w:cs="Arial"/>
          <w:bCs/>
          <w:szCs w:val="26"/>
        </w:rPr>
        <w:t xml:space="preserve">. </w:t>
      </w:r>
      <w:r w:rsidR="00910227">
        <w:rPr>
          <w:rFonts w:cs="Arial"/>
          <w:bCs/>
          <w:szCs w:val="26"/>
        </w:rPr>
        <w:t xml:space="preserve"> </w:t>
      </w:r>
    </w:p>
    <w:p w14:paraId="7F3AA1EC" w14:textId="77777777" w:rsidR="00910227" w:rsidRDefault="00910227" w:rsidP="00910227">
      <w:pPr>
        <w:pStyle w:val="Prrafodelista"/>
        <w:rPr>
          <w:rFonts w:cs="Arial"/>
          <w:bCs/>
          <w:szCs w:val="26"/>
        </w:rPr>
      </w:pPr>
    </w:p>
    <w:p w14:paraId="28E72775" w14:textId="012CDA7A" w:rsidR="00BC33B5" w:rsidRDefault="004C41D0" w:rsidP="00BC33B5">
      <w:pPr>
        <w:pStyle w:val="corte4fondo"/>
        <w:numPr>
          <w:ilvl w:val="0"/>
          <w:numId w:val="2"/>
        </w:numPr>
        <w:ind w:left="0" w:hanging="567"/>
        <w:rPr>
          <w:rFonts w:cs="Arial"/>
          <w:bCs/>
          <w:szCs w:val="26"/>
        </w:rPr>
      </w:pPr>
      <w:r>
        <w:rPr>
          <w:rFonts w:cs="Arial"/>
          <w:bCs/>
          <w:szCs w:val="26"/>
        </w:rPr>
        <w:t xml:space="preserve">En efecto, </w:t>
      </w:r>
      <w:r w:rsidR="0048099B">
        <w:rPr>
          <w:rFonts w:cs="Arial"/>
          <w:bCs/>
          <w:szCs w:val="26"/>
        </w:rPr>
        <w:t xml:space="preserve">en la resolución de la solicitud de ejercicio de la facultad de atracción se apuntó que la tesis </w:t>
      </w:r>
      <w:r w:rsidR="00E56447">
        <w:rPr>
          <w:rFonts w:cs="Arial"/>
          <w:bCs/>
          <w:szCs w:val="26"/>
        </w:rPr>
        <w:t>P./J.</w:t>
      </w:r>
      <w:r w:rsidR="001478D7">
        <w:rPr>
          <w:rFonts w:cs="Arial"/>
          <w:bCs/>
          <w:szCs w:val="26"/>
        </w:rPr>
        <w:t xml:space="preserve"> 23/2016</w:t>
      </w:r>
      <w:r w:rsidR="002222CF">
        <w:rPr>
          <w:rStyle w:val="Refdenotaalpie"/>
          <w:rFonts w:cs="Arial"/>
          <w:bCs/>
          <w:szCs w:val="26"/>
        </w:rPr>
        <w:footnoteReference w:id="17"/>
      </w:r>
      <w:r w:rsidR="00000EA4">
        <w:rPr>
          <w:rFonts w:cs="Arial"/>
          <w:bCs/>
          <w:szCs w:val="26"/>
        </w:rPr>
        <w:t>,</w:t>
      </w:r>
      <w:r w:rsidR="001478D7">
        <w:rPr>
          <w:rFonts w:cs="Arial"/>
          <w:bCs/>
          <w:szCs w:val="26"/>
        </w:rPr>
        <w:t xml:space="preserve"> </w:t>
      </w:r>
      <w:r w:rsidR="0048099B">
        <w:rPr>
          <w:rFonts w:cs="Arial"/>
          <w:bCs/>
          <w:szCs w:val="26"/>
        </w:rPr>
        <w:t xml:space="preserve">resultante </w:t>
      </w:r>
      <w:r w:rsidR="00E56447">
        <w:rPr>
          <w:rFonts w:cs="Arial"/>
          <w:bCs/>
          <w:szCs w:val="26"/>
        </w:rPr>
        <w:t xml:space="preserve">de la contradicción de tesis mencionada, </w:t>
      </w:r>
      <w:r w:rsidR="001478D7">
        <w:rPr>
          <w:rFonts w:cs="Arial"/>
          <w:bCs/>
          <w:szCs w:val="26"/>
        </w:rPr>
        <w:t>cuyo rubro es: “</w:t>
      </w:r>
      <w:r w:rsidR="00BC33B5" w:rsidRPr="00BC33B5">
        <w:rPr>
          <w:rFonts w:cs="Arial"/>
          <w:bCs/>
          <w:szCs w:val="26"/>
        </w:rPr>
        <w:t>NULIDAD DE NOTIFICACIONES EN EL JUICIO DE AMPARO. LA SIGUIENTE ACTUACIÓN EN QUE SE COMPAREZCA A PRESENTAR EL INCIDENTE RESPECTIVO, DEBE LLEVARLA A CABO EL INTERESADO DENTRO DEL TÉRMINO DE 3 DÍAS PREVISTO EN EL ARTÍCULO 297, FRACCIÓN II, DEL CÓDIGO FEDERAL DE PROCEDIMIENTOS CIVILES, CONTADO A PARTIR DEL DÍA SIGUIENTE AL EN QUE TUVO CONOCIMIENTO O SE OSTENTÓ SABEDOR DE LA ACTUACIÓN QUE TILDA DE IRREGULAR</w:t>
      </w:r>
      <w:r w:rsidR="00BC33B5">
        <w:rPr>
          <w:rFonts w:cs="Arial"/>
          <w:bCs/>
          <w:szCs w:val="26"/>
        </w:rPr>
        <w:t xml:space="preserve">” podía ser aplicable para resolver el presente asunto. </w:t>
      </w:r>
    </w:p>
    <w:p w14:paraId="3E50F1BC" w14:textId="77777777" w:rsidR="0030134C" w:rsidRDefault="0030134C" w:rsidP="0030134C">
      <w:pPr>
        <w:pStyle w:val="Prrafodelista"/>
        <w:rPr>
          <w:rFonts w:cs="Arial"/>
          <w:bCs/>
          <w:szCs w:val="26"/>
        </w:rPr>
      </w:pPr>
    </w:p>
    <w:p w14:paraId="01BCAD4C" w14:textId="072CE18F" w:rsidR="0030134C" w:rsidRDefault="00E93237" w:rsidP="00BC33B5">
      <w:pPr>
        <w:pStyle w:val="corte4fondo"/>
        <w:numPr>
          <w:ilvl w:val="0"/>
          <w:numId w:val="2"/>
        </w:numPr>
        <w:ind w:left="0" w:hanging="567"/>
        <w:rPr>
          <w:rFonts w:cs="Arial"/>
          <w:bCs/>
          <w:szCs w:val="26"/>
        </w:rPr>
      </w:pPr>
      <w:r>
        <w:rPr>
          <w:rFonts w:cs="Arial"/>
          <w:bCs/>
          <w:szCs w:val="26"/>
        </w:rPr>
        <w:t>Pero se insiste</w:t>
      </w:r>
      <w:r w:rsidR="000A1DE6">
        <w:rPr>
          <w:rFonts w:cs="Arial"/>
          <w:bCs/>
          <w:szCs w:val="26"/>
        </w:rPr>
        <w:t xml:space="preserve">, no es </w:t>
      </w:r>
      <w:r>
        <w:rPr>
          <w:rFonts w:cs="Arial"/>
          <w:bCs/>
          <w:szCs w:val="26"/>
        </w:rPr>
        <w:t>posi</w:t>
      </w:r>
      <w:r w:rsidR="000A1DE6">
        <w:rPr>
          <w:rFonts w:cs="Arial"/>
          <w:bCs/>
          <w:szCs w:val="26"/>
        </w:rPr>
        <w:t xml:space="preserve">ble </w:t>
      </w:r>
      <w:r w:rsidR="00F17362">
        <w:rPr>
          <w:rFonts w:cs="Arial"/>
          <w:bCs/>
          <w:szCs w:val="26"/>
        </w:rPr>
        <w:t xml:space="preserve">realizar tal aplicación porque </w:t>
      </w:r>
      <w:r w:rsidR="009D5C8B">
        <w:rPr>
          <w:rFonts w:cs="Arial"/>
          <w:bCs/>
          <w:szCs w:val="26"/>
        </w:rPr>
        <w:t xml:space="preserve">el plazo que </w:t>
      </w:r>
      <w:r w:rsidR="00D3541C">
        <w:rPr>
          <w:rFonts w:cs="Arial"/>
          <w:bCs/>
          <w:szCs w:val="26"/>
        </w:rPr>
        <w:t>se contempla</w:t>
      </w:r>
      <w:r w:rsidR="00F17362">
        <w:rPr>
          <w:rFonts w:cs="Arial"/>
          <w:bCs/>
          <w:szCs w:val="26"/>
        </w:rPr>
        <w:t xml:space="preserve"> </w:t>
      </w:r>
      <w:r w:rsidR="009D5C8B">
        <w:rPr>
          <w:rFonts w:cs="Arial"/>
          <w:bCs/>
          <w:szCs w:val="26"/>
        </w:rPr>
        <w:t xml:space="preserve">en dicho criterio </w:t>
      </w:r>
      <w:r w:rsidR="009F6065">
        <w:rPr>
          <w:rFonts w:cs="Arial"/>
          <w:bCs/>
          <w:szCs w:val="26"/>
        </w:rPr>
        <w:t>no se estableció para un juicio de naturaleza diversa a la de amparo</w:t>
      </w:r>
      <w:r w:rsidR="000A349C">
        <w:rPr>
          <w:rFonts w:cs="Arial"/>
          <w:bCs/>
          <w:szCs w:val="26"/>
        </w:rPr>
        <w:t>;</w:t>
      </w:r>
      <w:r w:rsidR="003A05D3">
        <w:rPr>
          <w:rFonts w:cs="Arial"/>
          <w:bCs/>
          <w:szCs w:val="26"/>
        </w:rPr>
        <w:t xml:space="preserve"> de ahí que esta Primera Sala considere </w:t>
      </w:r>
      <w:r w:rsidR="003816BD">
        <w:rPr>
          <w:rFonts w:cs="Arial"/>
          <w:bCs/>
          <w:szCs w:val="26"/>
        </w:rPr>
        <w:t>que,</w:t>
      </w:r>
      <w:r w:rsidR="003A05D3">
        <w:rPr>
          <w:rFonts w:cs="Arial"/>
          <w:bCs/>
          <w:szCs w:val="26"/>
        </w:rPr>
        <w:t xml:space="preserve"> por el contrario, el </w:t>
      </w:r>
      <w:r w:rsidR="00CD3312">
        <w:rPr>
          <w:rFonts w:cs="Arial"/>
          <w:bCs/>
          <w:szCs w:val="26"/>
        </w:rPr>
        <w:t xml:space="preserve">momento </w:t>
      </w:r>
      <w:r w:rsidR="003A05D3">
        <w:rPr>
          <w:rFonts w:cs="Arial"/>
          <w:bCs/>
          <w:szCs w:val="26"/>
        </w:rPr>
        <w:t>para interponer el incidente de nulidad de notificaciones</w:t>
      </w:r>
      <w:r w:rsidR="0094390F">
        <w:rPr>
          <w:rFonts w:cs="Arial"/>
          <w:bCs/>
          <w:szCs w:val="26"/>
        </w:rPr>
        <w:t xml:space="preserve"> en un juicio de naturaleza mercantil</w:t>
      </w:r>
      <w:r w:rsidR="003A05D3">
        <w:rPr>
          <w:rFonts w:cs="Arial"/>
          <w:bCs/>
          <w:szCs w:val="26"/>
        </w:rPr>
        <w:t xml:space="preserve"> debe ser </w:t>
      </w:r>
      <w:r w:rsidR="00077F53">
        <w:rPr>
          <w:rFonts w:cs="Arial"/>
          <w:bCs/>
          <w:szCs w:val="26"/>
        </w:rPr>
        <w:t>la subsecuente actuación a la que se tenga conocimiento del acto tildado de ilegal o que se busque nulificar</w:t>
      </w:r>
      <w:r w:rsidR="00392D1C">
        <w:rPr>
          <w:rFonts w:cs="Arial"/>
          <w:bCs/>
          <w:szCs w:val="26"/>
        </w:rPr>
        <w:t>.</w:t>
      </w:r>
    </w:p>
    <w:p w14:paraId="68D681E8" w14:textId="77777777" w:rsidR="00392D1C" w:rsidRDefault="00392D1C" w:rsidP="00392D1C">
      <w:pPr>
        <w:pStyle w:val="Prrafodelista"/>
        <w:rPr>
          <w:rFonts w:cs="Arial"/>
          <w:bCs/>
          <w:szCs w:val="26"/>
        </w:rPr>
      </w:pPr>
    </w:p>
    <w:p w14:paraId="5EF1444F" w14:textId="0828B422" w:rsidR="00392D1C" w:rsidRPr="004D127B" w:rsidRDefault="008D5237" w:rsidP="004D127B">
      <w:pPr>
        <w:pStyle w:val="corte4fondo"/>
        <w:numPr>
          <w:ilvl w:val="0"/>
          <w:numId w:val="2"/>
        </w:numPr>
        <w:ind w:left="0" w:hanging="567"/>
        <w:rPr>
          <w:rFonts w:cs="Arial"/>
          <w:bCs/>
          <w:szCs w:val="26"/>
        </w:rPr>
      </w:pPr>
      <w:r>
        <w:rPr>
          <w:rFonts w:cs="Arial"/>
          <w:bCs/>
          <w:szCs w:val="26"/>
        </w:rPr>
        <w:lastRenderedPageBreak/>
        <w:t xml:space="preserve">En consecuencia, </w:t>
      </w:r>
      <w:r w:rsidR="001F4884">
        <w:rPr>
          <w:rFonts w:cs="Arial"/>
          <w:bCs/>
          <w:szCs w:val="26"/>
        </w:rPr>
        <w:t xml:space="preserve">el argumento </w:t>
      </w:r>
      <w:r w:rsidR="003816BD">
        <w:rPr>
          <w:rFonts w:cs="Arial"/>
          <w:bCs/>
          <w:szCs w:val="26"/>
        </w:rPr>
        <w:t xml:space="preserve">de la parte recurrente, </w:t>
      </w:r>
      <w:r w:rsidR="001F4884">
        <w:rPr>
          <w:rFonts w:cs="Arial"/>
          <w:bCs/>
          <w:szCs w:val="26"/>
        </w:rPr>
        <w:t xml:space="preserve">relativo a que la tesis </w:t>
      </w:r>
      <w:r w:rsidR="00E44811">
        <w:rPr>
          <w:rFonts w:cs="Arial"/>
          <w:bCs/>
          <w:szCs w:val="26"/>
        </w:rPr>
        <w:t>3a./J. 1/95, de rubro “NULIDAD DE ACTUACIONES EN PROCEDIMIENTOS MERCANTILES</w:t>
      </w:r>
      <w:r w:rsidR="00176563">
        <w:rPr>
          <w:rFonts w:cs="Arial"/>
          <w:bCs/>
          <w:szCs w:val="26"/>
        </w:rPr>
        <w:t xml:space="preserve">. DEBE INTERPONERSE EN LA ACTUACIÓN SUBSECUENTE EN QUE INTERVENGA EL INCONFORME (APLICACIÓN SUPLETORIA DE LA LEGISLACIÓN DEL ESTADO DE JALISCO Y CODIFICACIONES SIMILARES)” </w:t>
      </w:r>
      <w:r w:rsidR="009464F3">
        <w:rPr>
          <w:rFonts w:cs="Arial"/>
          <w:bCs/>
          <w:szCs w:val="26"/>
        </w:rPr>
        <w:t>ha quedado superada por la antes mencionada jurisprudencia P./J. 23/2016 (10</w:t>
      </w:r>
      <w:r w:rsidR="00536C54">
        <w:rPr>
          <w:rFonts w:cs="Arial"/>
          <w:bCs/>
          <w:szCs w:val="26"/>
        </w:rPr>
        <w:t>ª.</w:t>
      </w:r>
      <w:r w:rsidR="009464F3">
        <w:rPr>
          <w:rFonts w:cs="Arial"/>
          <w:bCs/>
          <w:szCs w:val="26"/>
        </w:rPr>
        <w:t>)</w:t>
      </w:r>
      <w:r w:rsidR="00536C54">
        <w:rPr>
          <w:rFonts w:cs="Arial"/>
          <w:bCs/>
          <w:szCs w:val="26"/>
        </w:rPr>
        <w:t xml:space="preserve">, </w:t>
      </w:r>
      <w:r w:rsidR="003816BD">
        <w:rPr>
          <w:rFonts w:cs="Arial"/>
          <w:bCs/>
          <w:szCs w:val="26"/>
        </w:rPr>
        <w:t>también resultaría infundado</w:t>
      </w:r>
      <w:r w:rsidR="004D127B">
        <w:rPr>
          <w:rFonts w:cs="Arial"/>
          <w:bCs/>
          <w:szCs w:val="26"/>
        </w:rPr>
        <w:t xml:space="preserve">, </w:t>
      </w:r>
      <w:r w:rsidR="00536C54" w:rsidRPr="004D127B">
        <w:rPr>
          <w:rFonts w:cs="Arial"/>
          <w:bCs/>
          <w:szCs w:val="26"/>
        </w:rPr>
        <w:t xml:space="preserve">porque esta </w:t>
      </w:r>
      <w:r w:rsidR="00EE69E9">
        <w:rPr>
          <w:rFonts w:cs="Arial"/>
          <w:bCs/>
          <w:szCs w:val="26"/>
        </w:rPr>
        <w:t>se argumentó y razonó</w:t>
      </w:r>
      <w:r w:rsidR="00536C54" w:rsidRPr="004D127B">
        <w:rPr>
          <w:rFonts w:cs="Arial"/>
          <w:bCs/>
          <w:szCs w:val="26"/>
        </w:rPr>
        <w:t xml:space="preserve"> para un </w:t>
      </w:r>
      <w:r w:rsidR="004D127B">
        <w:rPr>
          <w:rFonts w:cs="Arial"/>
          <w:bCs/>
          <w:szCs w:val="26"/>
        </w:rPr>
        <w:t>juicio</w:t>
      </w:r>
      <w:r w:rsidR="00536C54" w:rsidRPr="004D127B">
        <w:rPr>
          <w:rFonts w:cs="Arial"/>
          <w:bCs/>
          <w:szCs w:val="26"/>
        </w:rPr>
        <w:t xml:space="preserve"> distinto como ya se ha</w:t>
      </w:r>
      <w:r w:rsidR="004D127B">
        <w:rPr>
          <w:rFonts w:cs="Arial"/>
          <w:bCs/>
          <w:szCs w:val="26"/>
        </w:rPr>
        <w:t xml:space="preserve"> venido </w:t>
      </w:r>
      <w:r w:rsidR="004D127B" w:rsidRPr="004D127B">
        <w:rPr>
          <w:rFonts w:cs="Arial"/>
          <w:bCs/>
          <w:szCs w:val="26"/>
        </w:rPr>
        <w:t>indicando</w:t>
      </w:r>
      <w:r w:rsidR="00536C54" w:rsidRPr="004D127B">
        <w:rPr>
          <w:rFonts w:cs="Arial"/>
          <w:bCs/>
          <w:szCs w:val="26"/>
        </w:rPr>
        <w:t xml:space="preserve">. </w:t>
      </w:r>
    </w:p>
    <w:p w14:paraId="0292A16C" w14:textId="77777777" w:rsidR="00536C54" w:rsidRDefault="00536C54" w:rsidP="00536C54">
      <w:pPr>
        <w:pStyle w:val="Prrafodelista"/>
        <w:rPr>
          <w:rFonts w:cs="Arial"/>
          <w:bCs/>
          <w:szCs w:val="26"/>
        </w:rPr>
      </w:pPr>
    </w:p>
    <w:p w14:paraId="1D7B6F66" w14:textId="07001C60" w:rsidR="009C5042" w:rsidRPr="00EE3706" w:rsidRDefault="00F75B03" w:rsidP="00EE3706">
      <w:pPr>
        <w:pStyle w:val="corte4fondo"/>
        <w:numPr>
          <w:ilvl w:val="0"/>
          <w:numId w:val="2"/>
        </w:numPr>
        <w:ind w:left="0" w:hanging="567"/>
        <w:rPr>
          <w:rFonts w:cs="Arial"/>
          <w:bCs/>
          <w:szCs w:val="26"/>
        </w:rPr>
      </w:pPr>
      <w:r>
        <w:rPr>
          <w:rFonts w:cs="Arial"/>
          <w:bCs/>
          <w:szCs w:val="26"/>
        </w:rPr>
        <w:t>En conclusión</w:t>
      </w:r>
      <w:r w:rsidR="00F15CA4">
        <w:rPr>
          <w:rFonts w:cs="Arial"/>
          <w:bCs/>
          <w:szCs w:val="26"/>
        </w:rPr>
        <w:t xml:space="preserve">, </w:t>
      </w:r>
      <w:r w:rsidR="00EE69E9">
        <w:rPr>
          <w:rFonts w:cs="Arial"/>
          <w:bCs/>
          <w:szCs w:val="26"/>
        </w:rPr>
        <w:t xml:space="preserve">de todo lo apuntado, </w:t>
      </w:r>
      <w:r w:rsidR="00F15CA4">
        <w:rPr>
          <w:rFonts w:cs="Arial"/>
          <w:bCs/>
          <w:szCs w:val="26"/>
        </w:rPr>
        <w:t>debe considerarse la inaplicabilidad del artículo 1,079 del Código de Comercio, en su fracción V</w:t>
      </w:r>
      <w:r w:rsidR="00B10737">
        <w:rPr>
          <w:rFonts w:cs="Arial"/>
          <w:bCs/>
          <w:szCs w:val="26"/>
        </w:rPr>
        <w:t>I</w:t>
      </w:r>
      <w:r w:rsidR="00991764">
        <w:rPr>
          <w:rFonts w:cs="Arial"/>
          <w:bCs/>
          <w:szCs w:val="26"/>
        </w:rPr>
        <w:t xml:space="preserve">, así como del artículo </w:t>
      </w:r>
      <w:r w:rsidR="00331828">
        <w:rPr>
          <w:rFonts w:cs="Arial"/>
          <w:bCs/>
          <w:szCs w:val="26"/>
        </w:rPr>
        <w:t>297</w:t>
      </w:r>
      <w:r w:rsidR="00B62C64">
        <w:rPr>
          <w:rFonts w:cs="Arial"/>
          <w:bCs/>
          <w:szCs w:val="26"/>
        </w:rPr>
        <w:t>, fracción II, del Código Federal de Procedimientos Civiles</w:t>
      </w:r>
      <w:r w:rsidR="00EE69E9">
        <w:rPr>
          <w:rFonts w:cs="Arial"/>
          <w:bCs/>
          <w:szCs w:val="26"/>
        </w:rPr>
        <w:t xml:space="preserve"> para determinar </w:t>
      </w:r>
      <w:r w:rsidR="00AE5BA5">
        <w:rPr>
          <w:rFonts w:cs="Arial"/>
          <w:bCs/>
          <w:szCs w:val="26"/>
        </w:rPr>
        <w:t>el plazo para interponer el incidente de nulidad de notificaciones en un juicio mercantil</w:t>
      </w:r>
      <w:r w:rsidR="00B62C64">
        <w:rPr>
          <w:rFonts w:cs="Arial"/>
          <w:bCs/>
          <w:szCs w:val="26"/>
        </w:rPr>
        <w:t xml:space="preserve">, ya que </w:t>
      </w:r>
      <w:r w:rsidR="00FC52CA" w:rsidRPr="00B62C64">
        <w:rPr>
          <w:rFonts w:cs="Arial"/>
          <w:bCs/>
          <w:szCs w:val="26"/>
        </w:rPr>
        <w:t>de conformidad con el artículo 1</w:t>
      </w:r>
      <w:r w:rsidR="00422532" w:rsidRPr="00B62C64">
        <w:rPr>
          <w:rFonts w:cs="Arial"/>
          <w:bCs/>
          <w:szCs w:val="26"/>
        </w:rPr>
        <w:t>,</w:t>
      </w:r>
      <w:r w:rsidR="00FC52CA" w:rsidRPr="00B62C64">
        <w:rPr>
          <w:rFonts w:cs="Arial"/>
          <w:bCs/>
          <w:szCs w:val="26"/>
        </w:rPr>
        <w:t xml:space="preserve">054 del Código de Comercio, </w:t>
      </w:r>
      <w:r w:rsidR="00481247">
        <w:rPr>
          <w:rFonts w:cs="Arial"/>
          <w:bCs/>
          <w:szCs w:val="26"/>
        </w:rPr>
        <w:t xml:space="preserve">el Código de Procedimientos Civiles para el Estado de Oaxaca, en su artículo 74, prevé </w:t>
      </w:r>
      <w:r w:rsidR="00255F75">
        <w:rPr>
          <w:rFonts w:cs="Arial"/>
          <w:bCs/>
          <w:szCs w:val="26"/>
        </w:rPr>
        <w:t xml:space="preserve">que la incidencia debe promoverse en la actuación subsecuente </w:t>
      </w:r>
      <w:r w:rsidR="00EE3706">
        <w:rPr>
          <w:rFonts w:cs="Arial"/>
          <w:bCs/>
          <w:szCs w:val="26"/>
        </w:rPr>
        <w:t xml:space="preserve">en la que intervenga el afectado, esto, en virtud de que </w:t>
      </w:r>
      <w:r w:rsidR="009F3162">
        <w:rPr>
          <w:rFonts w:cs="Arial"/>
          <w:bCs/>
          <w:szCs w:val="26"/>
        </w:rPr>
        <w:t xml:space="preserve">ni el Código de Comercio, ni </w:t>
      </w:r>
      <w:r w:rsidR="00EE3706">
        <w:rPr>
          <w:rFonts w:cs="Arial"/>
          <w:bCs/>
          <w:szCs w:val="26"/>
        </w:rPr>
        <w:t xml:space="preserve">el </w:t>
      </w:r>
      <w:r w:rsidR="000E3DDF" w:rsidRPr="00EE3706">
        <w:rPr>
          <w:rFonts w:cs="Arial"/>
          <w:bCs/>
          <w:szCs w:val="26"/>
        </w:rPr>
        <w:t>Código Federal de Procedimientos Civiles  contempla</w:t>
      </w:r>
      <w:r w:rsidR="00F034D2">
        <w:rPr>
          <w:rFonts w:cs="Arial"/>
          <w:bCs/>
          <w:szCs w:val="26"/>
        </w:rPr>
        <w:t>n</w:t>
      </w:r>
      <w:r w:rsidR="000E3DDF" w:rsidRPr="00EE3706">
        <w:rPr>
          <w:rFonts w:cs="Arial"/>
          <w:bCs/>
          <w:szCs w:val="26"/>
        </w:rPr>
        <w:t xml:space="preserve"> el plazo para plantear el incidente de nulidad de actuaciones</w:t>
      </w:r>
      <w:r w:rsidR="00D83823" w:rsidRPr="00EE3706">
        <w:rPr>
          <w:rFonts w:cs="Arial"/>
          <w:bCs/>
          <w:szCs w:val="26"/>
        </w:rPr>
        <w:t xml:space="preserve">. </w:t>
      </w:r>
    </w:p>
    <w:p w14:paraId="4351BB01" w14:textId="77777777" w:rsidR="00DD6937" w:rsidRPr="00E236EF" w:rsidRDefault="00DD6937" w:rsidP="00E236EF">
      <w:pPr>
        <w:pStyle w:val="Prrafodelista"/>
        <w:spacing w:line="360" w:lineRule="auto"/>
        <w:ind w:left="0"/>
        <w:rPr>
          <w:rFonts w:cs="Arial"/>
          <w:szCs w:val="26"/>
        </w:rPr>
      </w:pPr>
    </w:p>
    <w:p w14:paraId="2729B427" w14:textId="75EA93DE" w:rsidR="00A20ED3" w:rsidRPr="00FF4ACC" w:rsidRDefault="00A20ED3" w:rsidP="00FD5717">
      <w:pPr>
        <w:pStyle w:val="Prrafodelista"/>
        <w:tabs>
          <w:tab w:val="left" w:pos="851"/>
        </w:tabs>
        <w:spacing w:line="360" w:lineRule="auto"/>
        <w:ind w:left="0"/>
        <w:rPr>
          <w:rFonts w:cs="Arial"/>
          <w:szCs w:val="26"/>
        </w:rPr>
      </w:pPr>
      <w:r w:rsidRPr="00FF4ACC">
        <w:rPr>
          <w:rFonts w:cs="Arial"/>
          <w:szCs w:val="26"/>
        </w:rPr>
        <w:t xml:space="preserve">Por lo expuesto y fundado, se </w:t>
      </w:r>
    </w:p>
    <w:p w14:paraId="0AA17687" w14:textId="77777777" w:rsidR="008B1D29" w:rsidRPr="00FF4ACC" w:rsidRDefault="008B1D29" w:rsidP="00A20ED3">
      <w:pPr>
        <w:pStyle w:val="corte4fondo"/>
        <w:ind w:firstLine="0"/>
        <w:rPr>
          <w:rFonts w:cs="Arial"/>
          <w:szCs w:val="26"/>
          <w:lang w:eastAsia="en-US"/>
        </w:rPr>
      </w:pPr>
    </w:p>
    <w:p w14:paraId="6F4CC087" w14:textId="77777777" w:rsidR="00A20ED3" w:rsidRPr="00FF4ACC" w:rsidRDefault="00A20ED3" w:rsidP="00A20ED3">
      <w:pPr>
        <w:autoSpaceDE w:val="0"/>
        <w:autoSpaceDN w:val="0"/>
        <w:adjustRightInd w:val="0"/>
        <w:spacing w:line="360" w:lineRule="auto"/>
        <w:jc w:val="center"/>
        <w:rPr>
          <w:rFonts w:cs="Arial"/>
          <w:b/>
          <w:szCs w:val="26"/>
        </w:rPr>
      </w:pPr>
      <w:r w:rsidRPr="00FF4ACC">
        <w:rPr>
          <w:rFonts w:cs="Arial"/>
          <w:b/>
          <w:szCs w:val="26"/>
        </w:rPr>
        <w:t>R E S U E L V E</w:t>
      </w:r>
    </w:p>
    <w:p w14:paraId="6E82F0AE" w14:textId="77777777" w:rsidR="00A20ED3" w:rsidRPr="00FF4ACC" w:rsidRDefault="00A20ED3" w:rsidP="00A20ED3">
      <w:pPr>
        <w:pStyle w:val="Textoindependiente"/>
        <w:spacing w:line="360" w:lineRule="auto"/>
        <w:ind w:firstLine="709"/>
        <w:rPr>
          <w:rFonts w:cs="Arial"/>
          <w:b/>
          <w:bCs/>
          <w:sz w:val="26"/>
          <w:szCs w:val="26"/>
          <w:lang w:val="es-ES_tradnl"/>
        </w:rPr>
      </w:pPr>
    </w:p>
    <w:p w14:paraId="43775F3E" w14:textId="5FD8C8EA" w:rsidR="0075178A" w:rsidRDefault="00E236EF" w:rsidP="00F93C07">
      <w:pPr>
        <w:pStyle w:val="Textoindependiente"/>
        <w:spacing w:line="360" w:lineRule="auto"/>
        <w:rPr>
          <w:rFonts w:cs="Arial"/>
          <w:sz w:val="26"/>
          <w:szCs w:val="26"/>
          <w:lang w:val="es-ES_tradnl"/>
        </w:rPr>
      </w:pPr>
      <w:r>
        <w:rPr>
          <w:rFonts w:cs="Arial"/>
          <w:b/>
          <w:bCs/>
          <w:sz w:val="26"/>
          <w:szCs w:val="26"/>
          <w:lang w:val="es-ES_tradnl"/>
        </w:rPr>
        <w:t>PRIMERO</w:t>
      </w:r>
      <w:r w:rsidR="00A20ED3" w:rsidRPr="00FF4ACC">
        <w:rPr>
          <w:rFonts w:cs="Arial"/>
          <w:b/>
          <w:bCs/>
          <w:sz w:val="26"/>
          <w:szCs w:val="26"/>
          <w:lang w:val="es-ES_tradnl"/>
        </w:rPr>
        <w:t xml:space="preserve">. </w:t>
      </w:r>
      <w:r w:rsidR="00CF5509" w:rsidRPr="00CF5509">
        <w:rPr>
          <w:rFonts w:cs="Arial"/>
          <w:sz w:val="26"/>
          <w:szCs w:val="26"/>
          <w:lang w:val="es-ES_tradnl"/>
        </w:rPr>
        <w:t xml:space="preserve">En la materia de la revisión, se confirma la sentencia dictada el veintisiete de octubre de dos mil veinte por el Juez Quinto de Distrito en el Estado de Oaxaca, con residencia en San Bartolo Coyotepec, Oaxaca, en el juicio de amparo indirecto </w:t>
      </w:r>
      <w:r w:rsidR="000D5EB3">
        <w:rPr>
          <w:rFonts w:cs="Arial"/>
          <w:sz w:val="26"/>
          <w:szCs w:val="26"/>
          <w:lang w:val="es-ES_tradnl"/>
        </w:rPr>
        <w:t>**********</w:t>
      </w:r>
      <w:r w:rsidR="00CF5509" w:rsidRPr="00CF5509">
        <w:rPr>
          <w:rFonts w:cs="Arial"/>
          <w:sz w:val="26"/>
          <w:szCs w:val="26"/>
          <w:lang w:val="es-ES_tradnl"/>
        </w:rPr>
        <w:t>.</w:t>
      </w:r>
    </w:p>
    <w:p w14:paraId="7A56010D" w14:textId="5073541F" w:rsidR="00161326" w:rsidRDefault="00161326" w:rsidP="00F93C07">
      <w:pPr>
        <w:pStyle w:val="Textoindependiente"/>
        <w:spacing w:line="360" w:lineRule="auto"/>
        <w:rPr>
          <w:rFonts w:cs="Arial"/>
          <w:sz w:val="26"/>
          <w:szCs w:val="26"/>
          <w:lang w:val="es-ES_tradnl"/>
        </w:rPr>
      </w:pPr>
    </w:p>
    <w:p w14:paraId="736F0199" w14:textId="19E7380B" w:rsidR="00161326" w:rsidRDefault="00161326" w:rsidP="00F93C07">
      <w:pPr>
        <w:pStyle w:val="Textoindependiente"/>
        <w:spacing w:line="360" w:lineRule="auto"/>
        <w:rPr>
          <w:rFonts w:cs="Arial"/>
          <w:sz w:val="26"/>
          <w:szCs w:val="26"/>
          <w:lang w:val="es-ES_tradnl"/>
        </w:rPr>
      </w:pPr>
      <w:r w:rsidRPr="004A0489">
        <w:rPr>
          <w:rFonts w:cs="Arial"/>
          <w:b/>
          <w:bCs/>
          <w:sz w:val="26"/>
          <w:szCs w:val="26"/>
          <w:lang w:val="es-ES_tradnl"/>
        </w:rPr>
        <w:t>SEGUNDO.</w:t>
      </w:r>
      <w:r>
        <w:rPr>
          <w:rFonts w:cs="Arial"/>
          <w:sz w:val="26"/>
          <w:szCs w:val="26"/>
          <w:lang w:val="es-ES_tradnl"/>
        </w:rPr>
        <w:t xml:space="preserve"> </w:t>
      </w:r>
      <w:r w:rsidR="004122D5">
        <w:rPr>
          <w:rFonts w:cs="Arial"/>
          <w:sz w:val="26"/>
          <w:szCs w:val="26"/>
          <w:lang w:val="es-ES_tradnl"/>
        </w:rPr>
        <w:t xml:space="preserve">La </w:t>
      </w:r>
      <w:r w:rsidR="00906AAB">
        <w:rPr>
          <w:rFonts w:cs="Arial"/>
          <w:sz w:val="26"/>
          <w:szCs w:val="26"/>
          <w:lang w:val="es-ES_tradnl"/>
        </w:rPr>
        <w:t>J</w:t>
      </w:r>
      <w:r w:rsidR="004122D5">
        <w:rPr>
          <w:rFonts w:cs="Arial"/>
          <w:sz w:val="26"/>
          <w:szCs w:val="26"/>
          <w:lang w:val="es-ES_tradnl"/>
        </w:rPr>
        <w:t xml:space="preserve">usticia de la Unión ampara </w:t>
      </w:r>
      <w:r w:rsidR="0018473C">
        <w:rPr>
          <w:rFonts w:cs="Arial"/>
          <w:sz w:val="26"/>
          <w:szCs w:val="26"/>
          <w:lang w:val="es-ES_tradnl"/>
        </w:rPr>
        <w:t>y</w:t>
      </w:r>
      <w:r w:rsidR="004122D5">
        <w:rPr>
          <w:rFonts w:cs="Arial"/>
          <w:sz w:val="26"/>
          <w:szCs w:val="26"/>
          <w:lang w:val="es-ES_tradnl"/>
        </w:rPr>
        <w:t xml:space="preserve"> protege a </w:t>
      </w:r>
      <w:r w:rsidR="000D5EB3">
        <w:rPr>
          <w:rFonts w:cs="Arial"/>
          <w:sz w:val="26"/>
          <w:szCs w:val="26"/>
          <w:lang w:val="es-ES_tradnl"/>
        </w:rPr>
        <w:t>**********</w:t>
      </w:r>
      <w:r w:rsidR="00792280">
        <w:rPr>
          <w:rFonts w:cs="Arial"/>
          <w:sz w:val="26"/>
          <w:szCs w:val="26"/>
          <w:lang w:val="es-ES_tradnl"/>
        </w:rPr>
        <w:t>, contra el acto que reclamó del Juez Séptimo Civil del distrito judicial del Centro</w:t>
      </w:r>
      <w:r w:rsidR="0054714E">
        <w:rPr>
          <w:rFonts w:cs="Arial"/>
          <w:sz w:val="26"/>
          <w:szCs w:val="26"/>
          <w:lang w:val="es-ES_tradnl"/>
        </w:rPr>
        <w:t xml:space="preserve"> del Estado de Oaxaca</w:t>
      </w:r>
      <w:r w:rsidR="00792280">
        <w:rPr>
          <w:rFonts w:cs="Arial"/>
          <w:sz w:val="26"/>
          <w:szCs w:val="26"/>
          <w:lang w:val="es-ES_tradnl"/>
        </w:rPr>
        <w:t xml:space="preserve">, consistente en la resolución de veintiocho de abril de dos mil diecisiete, dentro del juicio ejecutivo mercantil </w:t>
      </w:r>
      <w:r w:rsidR="000D5EB3">
        <w:rPr>
          <w:rFonts w:cs="Arial"/>
          <w:sz w:val="26"/>
          <w:szCs w:val="26"/>
          <w:lang w:val="es-ES_tradnl"/>
        </w:rPr>
        <w:t>**********</w:t>
      </w:r>
      <w:r w:rsidR="004122D5">
        <w:rPr>
          <w:rFonts w:cs="Arial"/>
          <w:sz w:val="26"/>
          <w:szCs w:val="26"/>
          <w:lang w:val="es-ES_tradnl"/>
        </w:rPr>
        <w:t xml:space="preserve">. </w:t>
      </w:r>
    </w:p>
    <w:p w14:paraId="35B4830C" w14:textId="77777777" w:rsidR="00544728" w:rsidRPr="00FF4ACC" w:rsidRDefault="00544728" w:rsidP="00544728">
      <w:pPr>
        <w:pStyle w:val="Textoindependiente"/>
        <w:tabs>
          <w:tab w:val="left" w:pos="-2977"/>
        </w:tabs>
        <w:spacing w:line="360" w:lineRule="auto"/>
        <w:rPr>
          <w:rFonts w:cs="Arial"/>
          <w:b/>
          <w:sz w:val="26"/>
          <w:szCs w:val="26"/>
          <w:lang w:val="es-ES_tradnl"/>
        </w:rPr>
      </w:pPr>
    </w:p>
    <w:p w14:paraId="6B7B48CD" w14:textId="2D31D900" w:rsidR="00C37181" w:rsidRDefault="00A20ED3" w:rsidP="001A61AE">
      <w:pPr>
        <w:pStyle w:val="corte4fondo"/>
        <w:ind w:firstLine="0"/>
        <w:rPr>
          <w:rFonts w:cs="Arial"/>
          <w:szCs w:val="26"/>
        </w:rPr>
      </w:pPr>
      <w:r w:rsidRPr="00FF4ACC">
        <w:rPr>
          <w:rFonts w:cs="Arial"/>
          <w:b/>
          <w:szCs w:val="26"/>
        </w:rPr>
        <w:lastRenderedPageBreak/>
        <w:t>Notifíquese</w:t>
      </w:r>
      <w:r w:rsidRPr="00FF4ACC">
        <w:rPr>
          <w:rFonts w:cs="Arial"/>
          <w:szCs w:val="26"/>
        </w:rPr>
        <w:t xml:space="preserve">; y, en su oportunidad, archívese </w:t>
      </w:r>
      <w:proofErr w:type="gramStart"/>
      <w:r w:rsidRPr="00FF4ACC">
        <w:rPr>
          <w:rFonts w:cs="Arial"/>
          <w:szCs w:val="26"/>
        </w:rPr>
        <w:t>el toca</w:t>
      </w:r>
      <w:proofErr w:type="gramEnd"/>
      <w:r w:rsidRPr="00FF4ACC">
        <w:rPr>
          <w:rFonts w:cs="Arial"/>
          <w:szCs w:val="26"/>
        </w:rPr>
        <w:t xml:space="preserve"> como asunto concluido.</w:t>
      </w:r>
    </w:p>
    <w:p w14:paraId="45CE0939" w14:textId="77777777" w:rsidR="00552333" w:rsidRDefault="00552333" w:rsidP="001A61AE">
      <w:pPr>
        <w:pStyle w:val="corte4fondo"/>
        <w:ind w:firstLine="0"/>
        <w:rPr>
          <w:rFonts w:cs="Arial"/>
          <w:szCs w:val="26"/>
        </w:rPr>
      </w:pPr>
    </w:p>
    <w:p w14:paraId="23909217" w14:textId="77777777" w:rsidR="00FB4D2E" w:rsidRPr="00555E7F" w:rsidRDefault="00FB4D2E" w:rsidP="00FB4D2E">
      <w:pPr>
        <w:spacing w:line="360" w:lineRule="auto"/>
        <w:ind w:right="51"/>
        <w:rPr>
          <w:rFonts w:cs="Arial"/>
          <w:szCs w:val="26"/>
        </w:rPr>
      </w:pPr>
      <w:r w:rsidRPr="00555E7F">
        <w:rPr>
          <w:rFonts w:cs="Arial"/>
          <w:szCs w:val="26"/>
        </w:rPr>
        <w:t xml:space="preserve">Así lo resolvió la Primera Sala de la Suprema Corte de Justicia de la Nación por unanimidad de cinco votos de la </w:t>
      </w:r>
      <w:proofErr w:type="gramStart"/>
      <w:r w:rsidRPr="00555E7F">
        <w:rPr>
          <w:rFonts w:cs="Arial"/>
          <w:szCs w:val="26"/>
        </w:rPr>
        <w:t>Ministra</w:t>
      </w:r>
      <w:proofErr w:type="gramEnd"/>
      <w:r w:rsidRPr="00555E7F">
        <w:rPr>
          <w:rFonts w:cs="Arial"/>
          <w:szCs w:val="26"/>
        </w:rPr>
        <w:t xml:space="preserve"> y los Ministros:</w:t>
      </w:r>
      <w:r>
        <w:rPr>
          <w:rFonts w:cs="Arial"/>
          <w:szCs w:val="26"/>
        </w:rPr>
        <w:t xml:space="preserve"> </w:t>
      </w:r>
      <w:r w:rsidRPr="00C37087">
        <w:rPr>
          <w:rFonts w:cs="Arial"/>
          <w:szCs w:val="26"/>
        </w:rPr>
        <w:t xml:space="preserve">Arturo Zaldívar Lelo de Larrea, Juan Luis González Alcántara Carrancá, Ana Margarita Ríos </w:t>
      </w:r>
      <w:proofErr w:type="spellStart"/>
      <w:r w:rsidRPr="00C37087">
        <w:rPr>
          <w:rFonts w:cs="Arial"/>
          <w:szCs w:val="26"/>
        </w:rPr>
        <w:t>Farjat</w:t>
      </w:r>
      <w:proofErr w:type="spellEnd"/>
      <w:r>
        <w:rPr>
          <w:rFonts w:cs="Arial"/>
          <w:szCs w:val="26"/>
        </w:rPr>
        <w:t>,</w:t>
      </w:r>
      <w:r w:rsidRPr="00C37087">
        <w:rPr>
          <w:rFonts w:cs="Arial"/>
          <w:szCs w:val="26"/>
        </w:rPr>
        <w:t xml:space="preserve"> </w:t>
      </w:r>
      <w:r w:rsidRPr="00555E7F">
        <w:rPr>
          <w:rFonts w:cs="Arial"/>
          <w:szCs w:val="26"/>
        </w:rPr>
        <w:t xml:space="preserve">Alfredo Gutiérrez Ortiz Mena (Ponente) </w:t>
      </w:r>
      <w:r w:rsidRPr="00C37087">
        <w:rPr>
          <w:rFonts w:cs="Arial"/>
          <w:szCs w:val="26"/>
        </w:rPr>
        <w:t xml:space="preserve">y el </w:t>
      </w:r>
      <w:r>
        <w:rPr>
          <w:rFonts w:cs="Arial"/>
          <w:szCs w:val="26"/>
        </w:rPr>
        <w:t>Presidente</w:t>
      </w:r>
      <w:r w:rsidRPr="00C37087">
        <w:rPr>
          <w:rFonts w:cs="Arial"/>
          <w:szCs w:val="26"/>
        </w:rPr>
        <w:t xml:space="preserve"> Jorge Mario Pardo Rebolledo</w:t>
      </w:r>
      <w:r w:rsidRPr="00555E7F">
        <w:rPr>
          <w:rFonts w:cs="Arial"/>
          <w:szCs w:val="26"/>
        </w:rPr>
        <w:t>.</w:t>
      </w:r>
    </w:p>
    <w:p w14:paraId="7C4145B5" w14:textId="77777777" w:rsidR="00FB4D2E" w:rsidRPr="00555E7F" w:rsidRDefault="00FB4D2E" w:rsidP="00FB4D2E">
      <w:pPr>
        <w:spacing w:line="360" w:lineRule="auto"/>
        <w:ind w:left="709" w:right="51"/>
        <w:rPr>
          <w:rFonts w:cs="Arial"/>
          <w:szCs w:val="26"/>
        </w:rPr>
      </w:pPr>
    </w:p>
    <w:p w14:paraId="6F1C2A49" w14:textId="77777777" w:rsidR="00FB4D2E" w:rsidRPr="00555E7F" w:rsidRDefault="00FB4D2E" w:rsidP="00FB4D2E">
      <w:pPr>
        <w:spacing w:line="360" w:lineRule="auto"/>
        <w:ind w:right="51"/>
        <w:rPr>
          <w:rFonts w:cs="Arial"/>
          <w:szCs w:val="26"/>
        </w:rPr>
      </w:pPr>
      <w:r w:rsidRPr="00555E7F">
        <w:rPr>
          <w:rFonts w:cs="Arial"/>
          <w:szCs w:val="26"/>
        </w:rPr>
        <w:t xml:space="preserve">Firman </w:t>
      </w:r>
      <w:r>
        <w:rPr>
          <w:rFonts w:cs="Arial"/>
          <w:szCs w:val="26"/>
        </w:rPr>
        <w:t xml:space="preserve">el </w:t>
      </w:r>
      <w:proofErr w:type="gramStart"/>
      <w:r>
        <w:rPr>
          <w:rFonts w:cs="Arial"/>
          <w:szCs w:val="26"/>
        </w:rPr>
        <w:t>Ministro</w:t>
      </w:r>
      <w:r w:rsidRPr="00555E7F">
        <w:rPr>
          <w:rFonts w:cs="Arial"/>
          <w:szCs w:val="26"/>
        </w:rPr>
        <w:t xml:space="preserve"> President</w:t>
      </w:r>
      <w:r>
        <w:rPr>
          <w:rFonts w:cs="Arial"/>
          <w:szCs w:val="26"/>
        </w:rPr>
        <w:t>e</w:t>
      </w:r>
      <w:proofErr w:type="gramEnd"/>
      <w:r w:rsidRPr="00555E7F">
        <w:rPr>
          <w:rFonts w:cs="Arial"/>
          <w:szCs w:val="26"/>
        </w:rPr>
        <w:t xml:space="preserve"> de la Sala y el Ministro Ponente con el Secretario de Acuerdos que autoriza y da fe.</w:t>
      </w:r>
    </w:p>
    <w:p w14:paraId="268F2456" w14:textId="77777777" w:rsidR="00FB4D2E" w:rsidRDefault="00FB4D2E" w:rsidP="00FB4D2E">
      <w:pPr>
        <w:spacing w:line="360" w:lineRule="auto"/>
        <w:ind w:left="709" w:right="51"/>
        <w:rPr>
          <w:rFonts w:cs="Arial"/>
          <w:szCs w:val="26"/>
        </w:rPr>
      </w:pPr>
    </w:p>
    <w:p w14:paraId="2CCB384F" w14:textId="77777777" w:rsidR="00551FA5" w:rsidRDefault="00551FA5" w:rsidP="00FB4D2E">
      <w:pPr>
        <w:spacing w:line="360" w:lineRule="auto"/>
        <w:ind w:left="709" w:right="51"/>
        <w:rPr>
          <w:rFonts w:cs="Arial"/>
          <w:szCs w:val="26"/>
        </w:rPr>
      </w:pPr>
    </w:p>
    <w:p w14:paraId="661F042C" w14:textId="77777777" w:rsidR="00FB4D2E" w:rsidRDefault="00FB4D2E" w:rsidP="00FB4D2E">
      <w:pPr>
        <w:spacing w:line="360" w:lineRule="auto"/>
        <w:ind w:right="51"/>
        <w:jc w:val="center"/>
        <w:rPr>
          <w:rFonts w:cs="Arial"/>
          <w:b/>
          <w:bCs/>
          <w:szCs w:val="26"/>
        </w:rPr>
      </w:pPr>
      <w:r w:rsidRPr="00555E7F">
        <w:rPr>
          <w:rFonts w:cs="Arial"/>
          <w:b/>
          <w:bCs/>
          <w:szCs w:val="26"/>
        </w:rPr>
        <w:t>PRESIDENT</w:t>
      </w:r>
      <w:r>
        <w:rPr>
          <w:rFonts w:cs="Arial"/>
          <w:b/>
          <w:bCs/>
          <w:szCs w:val="26"/>
        </w:rPr>
        <w:t>E</w:t>
      </w:r>
      <w:r w:rsidRPr="00555E7F">
        <w:rPr>
          <w:rFonts w:cs="Arial"/>
          <w:b/>
          <w:bCs/>
          <w:szCs w:val="26"/>
        </w:rPr>
        <w:t xml:space="preserve"> DE LA PRIMERA SALA</w:t>
      </w:r>
    </w:p>
    <w:p w14:paraId="417F65DC" w14:textId="77777777" w:rsidR="00AF48AC" w:rsidRPr="00555E7F" w:rsidRDefault="00AF48AC" w:rsidP="00FB4D2E">
      <w:pPr>
        <w:spacing w:line="360" w:lineRule="auto"/>
        <w:ind w:right="51"/>
        <w:jc w:val="center"/>
        <w:rPr>
          <w:rFonts w:cs="Arial"/>
          <w:b/>
          <w:bCs/>
          <w:szCs w:val="26"/>
        </w:rPr>
      </w:pPr>
    </w:p>
    <w:p w14:paraId="61297C80" w14:textId="77777777" w:rsidR="00FB4D2E" w:rsidRPr="00555E7F" w:rsidRDefault="00FB4D2E" w:rsidP="00FB4D2E">
      <w:pPr>
        <w:spacing w:line="360" w:lineRule="auto"/>
        <w:ind w:right="51"/>
        <w:jc w:val="center"/>
        <w:rPr>
          <w:rFonts w:cs="Arial"/>
          <w:b/>
          <w:bCs/>
          <w:szCs w:val="26"/>
        </w:rPr>
      </w:pPr>
      <w:r w:rsidRPr="00555E7F">
        <w:rPr>
          <w:rFonts w:cs="Arial"/>
          <w:b/>
          <w:bCs/>
          <w:szCs w:val="26"/>
        </w:rPr>
        <w:t>MINISTR</w:t>
      </w:r>
      <w:r>
        <w:rPr>
          <w:rFonts w:cs="Arial"/>
          <w:b/>
          <w:bCs/>
          <w:szCs w:val="26"/>
        </w:rPr>
        <w:t>O</w:t>
      </w:r>
      <w:r w:rsidRPr="00555E7F">
        <w:rPr>
          <w:rFonts w:cs="Arial"/>
          <w:b/>
          <w:bCs/>
          <w:szCs w:val="26"/>
        </w:rPr>
        <w:t xml:space="preserve"> </w:t>
      </w:r>
      <w:r>
        <w:rPr>
          <w:rFonts w:cs="Arial"/>
          <w:b/>
          <w:bCs/>
          <w:szCs w:val="26"/>
        </w:rPr>
        <w:t>JORGE MARIO PARDO REBOLLEDO</w:t>
      </w:r>
    </w:p>
    <w:p w14:paraId="71F48AF5" w14:textId="77777777" w:rsidR="00AF48AC" w:rsidRDefault="00AF48AC" w:rsidP="00FB4D2E">
      <w:pPr>
        <w:spacing w:line="360" w:lineRule="auto"/>
        <w:ind w:right="51"/>
        <w:rPr>
          <w:rFonts w:cs="Arial"/>
          <w:b/>
          <w:bCs/>
          <w:szCs w:val="26"/>
        </w:rPr>
      </w:pPr>
    </w:p>
    <w:p w14:paraId="34B5BF03" w14:textId="77777777" w:rsidR="00FB4D2E" w:rsidRPr="00555E7F" w:rsidRDefault="00FB4D2E" w:rsidP="00FB4D2E">
      <w:pPr>
        <w:spacing w:line="360" w:lineRule="auto"/>
        <w:ind w:right="51"/>
        <w:rPr>
          <w:rFonts w:cs="Arial"/>
          <w:b/>
          <w:bCs/>
          <w:szCs w:val="26"/>
        </w:rPr>
      </w:pPr>
    </w:p>
    <w:p w14:paraId="3B6DAF2E" w14:textId="77777777" w:rsidR="00FB4D2E" w:rsidRDefault="00FB4D2E" w:rsidP="00FB4D2E">
      <w:pPr>
        <w:spacing w:line="360" w:lineRule="auto"/>
        <w:ind w:right="51"/>
        <w:jc w:val="center"/>
        <w:rPr>
          <w:rFonts w:cs="Arial"/>
          <w:b/>
          <w:bCs/>
          <w:szCs w:val="26"/>
        </w:rPr>
      </w:pPr>
      <w:r w:rsidRPr="00555E7F">
        <w:rPr>
          <w:rFonts w:cs="Arial"/>
          <w:b/>
          <w:bCs/>
          <w:szCs w:val="26"/>
        </w:rPr>
        <w:t>PONENTE</w:t>
      </w:r>
    </w:p>
    <w:p w14:paraId="1D07A90A" w14:textId="77777777" w:rsidR="00AF48AC" w:rsidRPr="00555E7F" w:rsidRDefault="00AF48AC" w:rsidP="00FB4D2E">
      <w:pPr>
        <w:spacing w:line="360" w:lineRule="auto"/>
        <w:ind w:right="51"/>
        <w:jc w:val="center"/>
        <w:rPr>
          <w:rFonts w:cs="Arial"/>
          <w:b/>
          <w:bCs/>
          <w:szCs w:val="26"/>
        </w:rPr>
      </w:pPr>
    </w:p>
    <w:p w14:paraId="4924282F" w14:textId="77777777" w:rsidR="00FB4D2E" w:rsidRPr="00555E7F" w:rsidRDefault="00FB4D2E" w:rsidP="00FB4D2E">
      <w:pPr>
        <w:spacing w:line="360" w:lineRule="auto"/>
        <w:ind w:right="51"/>
        <w:jc w:val="center"/>
        <w:rPr>
          <w:rFonts w:cs="Arial"/>
          <w:b/>
          <w:bCs/>
          <w:szCs w:val="26"/>
        </w:rPr>
      </w:pPr>
      <w:r w:rsidRPr="00555E7F">
        <w:rPr>
          <w:rFonts w:cs="Arial"/>
          <w:b/>
          <w:bCs/>
          <w:szCs w:val="26"/>
        </w:rPr>
        <w:t>MINISTRO ALFREDO GUTIÉRREZ ORTIZ MENA</w:t>
      </w:r>
    </w:p>
    <w:p w14:paraId="0B26692C" w14:textId="77777777" w:rsidR="00FB4D2E" w:rsidRDefault="00FB4D2E" w:rsidP="00FB4D2E">
      <w:pPr>
        <w:spacing w:line="360" w:lineRule="auto"/>
        <w:ind w:right="51"/>
        <w:jc w:val="center"/>
        <w:rPr>
          <w:rFonts w:cs="Arial"/>
          <w:b/>
          <w:bCs/>
          <w:szCs w:val="26"/>
        </w:rPr>
      </w:pPr>
    </w:p>
    <w:p w14:paraId="25262F49" w14:textId="77777777" w:rsidR="00AF48AC" w:rsidRPr="00555E7F" w:rsidRDefault="00AF48AC" w:rsidP="00FB4D2E">
      <w:pPr>
        <w:spacing w:line="360" w:lineRule="auto"/>
        <w:ind w:right="51"/>
        <w:jc w:val="center"/>
        <w:rPr>
          <w:rFonts w:cs="Arial"/>
          <w:b/>
          <w:bCs/>
          <w:szCs w:val="26"/>
        </w:rPr>
      </w:pPr>
    </w:p>
    <w:p w14:paraId="2AFA8209" w14:textId="77777777" w:rsidR="00FB4D2E" w:rsidRDefault="00FB4D2E" w:rsidP="00FB4D2E">
      <w:pPr>
        <w:spacing w:line="360" w:lineRule="auto"/>
        <w:ind w:right="51"/>
        <w:jc w:val="center"/>
        <w:rPr>
          <w:rFonts w:cs="Arial"/>
          <w:b/>
          <w:bCs/>
          <w:szCs w:val="26"/>
        </w:rPr>
      </w:pPr>
      <w:r w:rsidRPr="00555E7F">
        <w:rPr>
          <w:rFonts w:cs="Arial"/>
          <w:b/>
          <w:bCs/>
          <w:szCs w:val="26"/>
        </w:rPr>
        <w:t>SECRETARIO DE ACUERDOS DE LA PRIMERA SALA</w:t>
      </w:r>
    </w:p>
    <w:p w14:paraId="675B4F49" w14:textId="77777777" w:rsidR="00FB4D2E" w:rsidRDefault="00FB4D2E" w:rsidP="00FB4D2E">
      <w:pPr>
        <w:spacing w:line="360" w:lineRule="auto"/>
        <w:ind w:right="51"/>
        <w:jc w:val="center"/>
        <w:rPr>
          <w:rFonts w:cs="Arial"/>
          <w:b/>
          <w:bCs/>
          <w:szCs w:val="26"/>
        </w:rPr>
      </w:pPr>
    </w:p>
    <w:p w14:paraId="65A38C72" w14:textId="77777777" w:rsidR="00FB4D2E" w:rsidRPr="00555E7F" w:rsidRDefault="00FB4D2E" w:rsidP="00FB4D2E">
      <w:pPr>
        <w:tabs>
          <w:tab w:val="left" w:pos="426"/>
        </w:tabs>
        <w:spacing w:line="360" w:lineRule="auto"/>
        <w:jc w:val="center"/>
        <w:rPr>
          <w:rFonts w:cs="Arial"/>
          <w:szCs w:val="26"/>
          <w:lang w:eastAsia="x-none"/>
        </w:rPr>
      </w:pPr>
      <w:r w:rsidRPr="00555E7F">
        <w:rPr>
          <w:rFonts w:cs="Arial"/>
          <w:b/>
          <w:iCs/>
          <w:szCs w:val="26"/>
          <w:lang w:val="es-ES"/>
        </w:rPr>
        <w:t>MTRO. RAÚL MENDIOLA PIZAÑA</w:t>
      </w:r>
    </w:p>
    <w:p w14:paraId="3F68C5B5" w14:textId="77777777" w:rsidR="00552333" w:rsidRDefault="00552333" w:rsidP="001A61AE">
      <w:pPr>
        <w:pStyle w:val="corte4fondo"/>
        <w:ind w:firstLine="0"/>
        <w:rPr>
          <w:rFonts w:cs="Arial"/>
          <w:szCs w:val="26"/>
        </w:rPr>
      </w:pPr>
    </w:p>
    <w:p w14:paraId="6867DD7C" w14:textId="77777777" w:rsidR="00551FA5" w:rsidRPr="00FF4ACC" w:rsidRDefault="00551FA5" w:rsidP="001A61AE">
      <w:pPr>
        <w:pStyle w:val="corte4fondo"/>
        <w:ind w:firstLine="0"/>
        <w:rPr>
          <w:rFonts w:cs="Arial"/>
          <w:szCs w:val="26"/>
        </w:rPr>
      </w:pPr>
    </w:p>
    <w:p w14:paraId="5ABBEB68" w14:textId="77777777" w:rsidR="006467C3" w:rsidRPr="003A30CB" w:rsidRDefault="006467C3" w:rsidP="006467C3">
      <w:pPr>
        <w:pStyle w:val="corte4fondo"/>
        <w:widowControl w:val="0"/>
        <w:spacing w:line="240" w:lineRule="auto"/>
        <w:ind w:firstLine="0"/>
        <w:rPr>
          <w:rFonts w:cs="Arial"/>
          <w:sz w:val="22"/>
          <w:szCs w:val="22"/>
        </w:rPr>
      </w:pPr>
      <w:r w:rsidRPr="0072347C">
        <w:rPr>
          <w:rFonts w:cs="Arial"/>
          <w:sz w:val="22"/>
          <w:szCs w:val="22"/>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0467A2A0" w14:textId="77777777" w:rsidR="00B46782" w:rsidRPr="00FF4ACC" w:rsidRDefault="00B46782" w:rsidP="001A61AE">
      <w:pPr>
        <w:pStyle w:val="corte4fondo"/>
        <w:ind w:firstLine="0"/>
        <w:rPr>
          <w:rFonts w:cs="Arial"/>
          <w:szCs w:val="26"/>
        </w:rPr>
      </w:pPr>
    </w:p>
    <w:sectPr w:rsidR="00B46782" w:rsidRPr="00FF4ACC" w:rsidSect="00B5154C">
      <w:pgSz w:w="12240" w:h="20160" w:code="5"/>
      <w:pgMar w:top="2410" w:right="1752" w:bottom="1843" w:left="1701" w:header="1276" w:footer="146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9DE9" w14:textId="77777777" w:rsidR="00425885" w:rsidRDefault="00425885" w:rsidP="00A20ED3">
      <w:r>
        <w:separator/>
      </w:r>
    </w:p>
  </w:endnote>
  <w:endnote w:type="continuationSeparator" w:id="0">
    <w:p w14:paraId="02FED332" w14:textId="77777777" w:rsidR="00425885" w:rsidRDefault="00425885" w:rsidP="00A2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241D" w14:textId="77777777" w:rsidR="00BC2579" w:rsidRPr="0042621B" w:rsidRDefault="00BC2579">
    <w:pPr>
      <w:pStyle w:val="Piedepgina"/>
      <w:rPr>
        <w:rFonts w:cs="Arial"/>
        <w:b/>
        <w:sz w:val="24"/>
        <w:szCs w:val="24"/>
      </w:rPr>
    </w:pPr>
    <w:r w:rsidRPr="0042621B">
      <w:rPr>
        <w:rFonts w:cs="Arial"/>
        <w:b/>
        <w:sz w:val="24"/>
        <w:szCs w:val="24"/>
      </w:rPr>
      <w:fldChar w:fldCharType="begin"/>
    </w:r>
    <w:r w:rsidRPr="0042621B">
      <w:rPr>
        <w:rFonts w:cs="Arial"/>
        <w:b/>
        <w:sz w:val="24"/>
        <w:szCs w:val="24"/>
      </w:rPr>
      <w:instrText xml:space="preserve"> </w:instrText>
    </w:r>
    <w:r>
      <w:rPr>
        <w:rFonts w:cs="Arial"/>
        <w:b/>
        <w:sz w:val="24"/>
        <w:szCs w:val="24"/>
      </w:rPr>
      <w:instrText>PAGE</w:instrText>
    </w:r>
    <w:r w:rsidRPr="0042621B">
      <w:rPr>
        <w:rFonts w:cs="Arial"/>
        <w:b/>
        <w:sz w:val="24"/>
        <w:szCs w:val="24"/>
      </w:rPr>
      <w:instrText xml:space="preserve">   \* MERGEFORMAT </w:instrText>
    </w:r>
    <w:r w:rsidRPr="0042621B">
      <w:rPr>
        <w:rFonts w:cs="Arial"/>
        <w:b/>
        <w:sz w:val="24"/>
        <w:szCs w:val="24"/>
      </w:rPr>
      <w:fldChar w:fldCharType="separate"/>
    </w:r>
    <w:r>
      <w:rPr>
        <w:rFonts w:cs="Arial"/>
        <w:b/>
        <w:noProof/>
        <w:sz w:val="24"/>
        <w:szCs w:val="24"/>
      </w:rPr>
      <w:t>40</w:t>
    </w:r>
    <w:r w:rsidRPr="0042621B">
      <w:rPr>
        <w:rFonts w:cs="Arial"/>
        <w:b/>
        <w:sz w:val="24"/>
        <w:szCs w:val="24"/>
      </w:rPr>
      <w:fldChar w:fldCharType="end"/>
    </w:r>
  </w:p>
  <w:p w14:paraId="4A72342B" w14:textId="77777777" w:rsidR="00BC2579" w:rsidRPr="0042621B" w:rsidRDefault="00BC2579">
    <w:pPr>
      <w:pStyle w:val="Piedepgina"/>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2AD1" w14:textId="77777777" w:rsidR="00BC2579" w:rsidRDefault="00BC2579" w:rsidP="00A20ED3">
    <w:pPr>
      <w:pStyle w:val="Piedepgina"/>
      <w:jc w:val="center"/>
      <w:rPr>
        <w:rFonts w:cs="Arial"/>
        <w:b/>
        <w:sz w:val="24"/>
        <w:szCs w:val="24"/>
      </w:rPr>
    </w:pPr>
  </w:p>
  <w:p w14:paraId="71137A33" w14:textId="77777777" w:rsidR="00BC2579" w:rsidRPr="00E31840" w:rsidRDefault="00BC2579" w:rsidP="00A20ED3">
    <w:pPr>
      <w:pStyle w:val="Piedepgina"/>
      <w:jc w:val="center"/>
      <w:rPr>
        <w:rFonts w:cs="Arial"/>
        <w:b/>
        <w:sz w:val="24"/>
        <w:szCs w:val="24"/>
      </w:rPr>
    </w:pPr>
    <w:r w:rsidRPr="0042621B">
      <w:rPr>
        <w:rFonts w:cs="Arial"/>
        <w:b/>
        <w:sz w:val="24"/>
        <w:szCs w:val="24"/>
      </w:rPr>
      <w:fldChar w:fldCharType="begin"/>
    </w:r>
    <w:r w:rsidRPr="0042621B">
      <w:rPr>
        <w:rFonts w:cs="Arial"/>
        <w:b/>
        <w:sz w:val="24"/>
        <w:szCs w:val="24"/>
      </w:rPr>
      <w:instrText xml:space="preserve"> </w:instrText>
    </w:r>
    <w:r>
      <w:rPr>
        <w:rFonts w:cs="Arial"/>
        <w:b/>
        <w:sz w:val="24"/>
        <w:szCs w:val="24"/>
      </w:rPr>
      <w:instrText>PAGE</w:instrText>
    </w:r>
    <w:r w:rsidRPr="0042621B">
      <w:rPr>
        <w:rFonts w:cs="Arial"/>
        <w:b/>
        <w:sz w:val="24"/>
        <w:szCs w:val="24"/>
      </w:rPr>
      <w:instrText xml:space="preserve">   \* MERGEFORMAT </w:instrText>
    </w:r>
    <w:r w:rsidRPr="0042621B">
      <w:rPr>
        <w:rFonts w:cs="Arial"/>
        <w:b/>
        <w:sz w:val="24"/>
        <w:szCs w:val="24"/>
      </w:rPr>
      <w:fldChar w:fldCharType="separate"/>
    </w:r>
    <w:r>
      <w:rPr>
        <w:rFonts w:cs="Arial"/>
        <w:b/>
        <w:noProof/>
        <w:sz w:val="24"/>
        <w:szCs w:val="24"/>
      </w:rPr>
      <w:t>66</w:t>
    </w:r>
    <w:r w:rsidRPr="0042621B">
      <w:rPr>
        <w:rFonts w:cs="Arial"/>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199E" w14:textId="77777777" w:rsidR="00BC2579" w:rsidRPr="00E31840" w:rsidRDefault="00BC2579" w:rsidP="00A20ED3">
    <w:pPr>
      <w:pStyle w:val="Piedepgina"/>
      <w:jc w:val="center"/>
      <w:rPr>
        <w:rFonts w:cs="Arial"/>
        <w:sz w:val="24"/>
        <w:szCs w:val="24"/>
      </w:rPr>
    </w:pPr>
  </w:p>
  <w:p w14:paraId="05578217" w14:textId="77777777" w:rsidR="00BC2579" w:rsidRPr="00E31840" w:rsidRDefault="00BC2579" w:rsidP="00A20ED3">
    <w:pPr>
      <w:pStyle w:val="Piedepgina"/>
      <w:jc w:val="center"/>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5E0F" w14:textId="77777777" w:rsidR="00425885" w:rsidRDefault="00425885" w:rsidP="00A20ED3">
      <w:r>
        <w:separator/>
      </w:r>
    </w:p>
  </w:footnote>
  <w:footnote w:type="continuationSeparator" w:id="0">
    <w:p w14:paraId="58A41205" w14:textId="77777777" w:rsidR="00425885" w:rsidRDefault="00425885" w:rsidP="00A20ED3">
      <w:r>
        <w:continuationSeparator/>
      </w:r>
    </w:p>
  </w:footnote>
  <w:footnote w:id="1">
    <w:p w14:paraId="605672A9" w14:textId="5B19550D" w:rsidR="00E97887" w:rsidRPr="00E97887" w:rsidRDefault="00E97887">
      <w:pPr>
        <w:pStyle w:val="Textonotapie"/>
        <w:rPr>
          <w:lang w:val="es-MX"/>
        </w:rPr>
      </w:pPr>
      <w:r>
        <w:rPr>
          <w:rStyle w:val="Refdenotaalpie"/>
        </w:rPr>
        <w:footnoteRef/>
      </w:r>
      <w:r>
        <w:t xml:space="preserve"> </w:t>
      </w:r>
      <w:r w:rsidR="002340C9">
        <w:t xml:space="preserve">El asunto se resolvió por mayoría de cuatro votos </w:t>
      </w:r>
      <w:r w:rsidR="002340C9" w:rsidRPr="002340C9">
        <w:t>de la Señora y los Señores Ministros: Juan Luis González Alcántara Carrancá, Jorge Mario Pardo Rebolledo (Ponente), Alfredo Gutiérrez Ortiz Mena y Presidenta Ana Margarita Ríos Farjat; en contra del emitido por la Señora Ministra Norma Lucía Piña Hernández.</w:t>
      </w:r>
    </w:p>
  </w:footnote>
  <w:footnote w:id="2">
    <w:p w14:paraId="3835D8F1" w14:textId="02C1A59C" w:rsidR="00250A1D" w:rsidRPr="00250A1D" w:rsidRDefault="00250A1D">
      <w:pPr>
        <w:pStyle w:val="Textonotapie"/>
        <w:rPr>
          <w:lang w:val="es-MX"/>
        </w:rPr>
      </w:pPr>
      <w:r>
        <w:rPr>
          <w:rStyle w:val="Refdenotaalpie"/>
        </w:rPr>
        <w:footnoteRef/>
      </w:r>
      <w:r>
        <w:t xml:space="preserve"> </w:t>
      </w:r>
      <w:r w:rsidR="000F4E36">
        <w:rPr>
          <w:lang w:val="es-MX"/>
        </w:rPr>
        <w:t xml:space="preserve">Solicitud de ejercicio de la facultad de atracción </w:t>
      </w:r>
      <w:r w:rsidR="00437D51">
        <w:rPr>
          <w:lang w:val="es-MX"/>
        </w:rPr>
        <w:t xml:space="preserve">239/2021, resuelta en sesión de seis de octubre de dos mil veintiuno, </w:t>
      </w:r>
      <w:r w:rsidR="00593571">
        <w:rPr>
          <w:lang w:val="es-MX"/>
        </w:rPr>
        <w:t xml:space="preserve">por mayoría de cuatro votos. </w:t>
      </w:r>
    </w:p>
  </w:footnote>
  <w:footnote w:id="3">
    <w:p w14:paraId="1C56DCF2" w14:textId="339353BE" w:rsidR="00E309E3" w:rsidRPr="00E309E3" w:rsidRDefault="00E309E3">
      <w:pPr>
        <w:pStyle w:val="Textonotapie"/>
        <w:rPr>
          <w:lang w:val="es-MX"/>
        </w:rPr>
      </w:pPr>
      <w:r>
        <w:rPr>
          <w:rStyle w:val="Refdenotaalpie"/>
        </w:rPr>
        <w:footnoteRef/>
      </w:r>
      <w:r>
        <w:t xml:space="preserve"> </w:t>
      </w:r>
      <w:r w:rsidR="00A013E3">
        <w:rPr>
          <w:lang w:val="es-MX"/>
        </w:rPr>
        <w:t>Resuelta</w:t>
      </w:r>
      <w:r w:rsidR="007D25F8">
        <w:rPr>
          <w:lang w:val="es-MX"/>
        </w:rPr>
        <w:t xml:space="preserve"> por el Pleno en sesión de </w:t>
      </w:r>
      <w:r w:rsidR="00C04CEE" w:rsidRPr="00C04CEE">
        <w:rPr>
          <w:lang w:val="es-MX"/>
        </w:rPr>
        <w:t>veinte de junio de dos mil dieciséis</w:t>
      </w:r>
      <w:r w:rsidR="00EF3E85">
        <w:rPr>
          <w:lang w:val="es-MX"/>
        </w:rPr>
        <w:t xml:space="preserve"> por mayoría de ocho votos. </w:t>
      </w:r>
    </w:p>
  </w:footnote>
  <w:footnote w:id="4">
    <w:p w14:paraId="5ADF5479" w14:textId="77777777" w:rsidR="00D97D6D" w:rsidRPr="00015C95" w:rsidRDefault="00D97D6D" w:rsidP="00D97D6D">
      <w:pPr>
        <w:pStyle w:val="Textonotapie"/>
      </w:pPr>
      <w:r>
        <w:rPr>
          <w:rStyle w:val="Refdenotaalpie"/>
        </w:rPr>
        <w:footnoteRef/>
      </w:r>
      <w:r>
        <w:t xml:space="preserve"> Registro digital: 206553, Tercera Sala, Octava Época, Tesis: 3a./J. 1/95, Gaceta del Semanario Judicial de la Federación. Núm. 86-1, Febrero de 1995, página 9. Texto: “A fin de que una actuación nula no se convalide, es necesario, excepto cuando se trate de la nulidad por defecto en el emplazamiento, que se reclame en la actuación subsecuente en que intervenga el que la promueve (artículo 71 del Código de Procedimientos Civiles del Estado); sin que sea aplicable el artículo 1079, fracción VIII del Código de Comercio que establece un término de tres días cuando la ley no señale expresamente otro para la práctica de algún acto judicial o para el ejercicio de un derecho, en virtud de que por la estrecha vinculación que existe entre las disposiciones que regulan la nulidad de actuaciones en la legislación común, no es posible establecer un término para su interposición, distinto del que prevé el propio código adjetivo local, ya que una aplicación parcial de este ordenamiento, sólo conduciría a desmembrar dicha figura procesal”.</w:t>
      </w:r>
    </w:p>
  </w:footnote>
  <w:footnote w:id="5">
    <w:p w14:paraId="35123782" w14:textId="4E94E351" w:rsidR="00AD3FFA" w:rsidRPr="00AD3FFA" w:rsidRDefault="00AD3FFA" w:rsidP="00AD3FFA">
      <w:pPr>
        <w:pStyle w:val="Textonotapie"/>
        <w:rPr>
          <w:lang w:val="es-MX"/>
        </w:rPr>
      </w:pPr>
      <w:r>
        <w:rPr>
          <w:rStyle w:val="Refdenotaalpie"/>
        </w:rPr>
        <w:footnoteRef/>
      </w:r>
      <w:r>
        <w:t xml:space="preserve"> Gaceta del Semanario Judicial de la Federación</w:t>
      </w:r>
      <w:r w:rsidR="00D95D45">
        <w:t xml:space="preserve">, </w:t>
      </w:r>
      <w:r>
        <w:t xml:space="preserve">Libro 35, </w:t>
      </w:r>
      <w:r w:rsidR="00D95D45">
        <w:t>octubre</w:t>
      </w:r>
      <w:r>
        <w:t xml:space="preserve"> de 2016, Tomo I, página 30</w:t>
      </w:r>
      <w:r w:rsidR="00D95D45">
        <w:t>,</w:t>
      </w:r>
      <w:r w:rsidRPr="00AD3FFA">
        <w:t xml:space="preserve"> </w:t>
      </w:r>
      <w:r>
        <w:t>Décima Época</w:t>
      </w:r>
      <w:r w:rsidR="00D95D45">
        <w:t>,</w:t>
      </w:r>
      <w:r w:rsidRPr="00AD3FFA">
        <w:t xml:space="preserve"> </w:t>
      </w:r>
      <w:r>
        <w:t>Pleno</w:t>
      </w:r>
      <w:r w:rsidR="00D95D45">
        <w:t>,</w:t>
      </w:r>
      <w:r w:rsidRPr="00AD3FFA">
        <w:t xml:space="preserve"> </w:t>
      </w:r>
      <w:r>
        <w:t>Registro digital: 2012797</w:t>
      </w:r>
      <w:r w:rsidR="00D95D45">
        <w:t>.</w:t>
      </w:r>
    </w:p>
  </w:footnote>
  <w:footnote w:id="6">
    <w:p w14:paraId="01EB5C16" w14:textId="77777777" w:rsidR="007334F0" w:rsidRPr="007F709D" w:rsidRDefault="007334F0" w:rsidP="007334F0">
      <w:pPr>
        <w:pStyle w:val="Textonotapie"/>
        <w:rPr>
          <w:lang w:val="es-MX"/>
        </w:rPr>
      </w:pPr>
      <w:r>
        <w:rPr>
          <w:rStyle w:val="Refdenotaalpie"/>
        </w:rPr>
        <w:footnoteRef/>
      </w:r>
      <w:r>
        <w:t xml:space="preserve"> </w:t>
      </w:r>
      <w:r>
        <w:rPr>
          <w:lang w:val="es-MX"/>
        </w:rPr>
        <w:t xml:space="preserve">Al respecto, véase la contradicción de tesis 133/2015, op.cit. </w:t>
      </w:r>
    </w:p>
  </w:footnote>
  <w:footnote w:id="7">
    <w:p w14:paraId="626ACEF2" w14:textId="56BBA364" w:rsidR="00DF65B4" w:rsidRPr="00DF65B4" w:rsidRDefault="00DF65B4">
      <w:pPr>
        <w:pStyle w:val="Textonotapie"/>
        <w:rPr>
          <w:lang w:val="es-MX"/>
        </w:rPr>
      </w:pPr>
      <w:r>
        <w:rPr>
          <w:rStyle w:val="Refdenotaalpie"/>
        </w:rPr>
        <w:footnoteRef/>
      </w:r>
      <w:r>
        <w:t xml:space="preserve"> </w:t>
      </w:r>
      <w:r>
        <w:rPr>
          <w:lang w:val="es-MX"/>
        </w:rPr>
        <w:t xml:space="preserve">Véase la contradicción de tesis </w:t>
      </w:r>
      <w:r w:rsidR="004B0A23">
        <w:rPr>
          <w:lang w:val="es-MX"/>
        </w:rPr>
        <w:t xml:space="preserve">420/2016, resuelta por </w:t>
      </w:r>
      <w:r w:rsidR="00146DAA">
        <w:rPr>
          <w:lang w:val="es-MX"/>
        </w:rPr>
        <w:t xml:space="preserve">el Tribunal Pleno en sesión de </w:t>
      </w:r>
      <w:r w:rsidR="00EB4F24">
        <w:rPr>
          <w:lang w:val="es-MX"/>
        </w:rPr>
        <w:t xml:space="preserve">dieciocho de septiembre de dos mil dieciocho. </w:t>
      </w:r>
    </w:p>
  </w:footnote>
  <w:footnote w:id="8">
    <w:p w14:paraId="6D479BA6" w14:textId="660A180F" w:rsidR="00A04CEF" w:rsidRPr="00A04CEF" w:rsidRDefault="00A04CEF">
      <w:pPr>
        <w:pStyle w:val="Textonotapie"/>
        <w:rPr>
          <w:lang w:val="es-MX"/>
        </w:rPr>
      </w:pPr>
      <w:r>
        <w:rPr>
          <w:rStyle w:val="Refdenotaalpie"/>
        </w:rPr>
        <w:footnoteRef/>
      </w:r>
      <w:r>
        <w:t xml:space="preserve"> </w:t>
      </w:r>
      <w:r w:rsidR="006F5718">
        <w:rPr>
          <w:lang w:val="es-MX"/>
        </w:rPr>
        <w:t xml:space="preserve">Consultable en: </w:t>
      </w:r>
      <w:hyperlink r:id="rId1" w:history="1">
        <w:r w:rsidR="006F5718" w:rsidRPr="00D46E61">
          <w:rPr>
            <w:rStyle w:val="Hipervnculo"/>
            <w:lang w:val="es-MX"/>
          </w:rPr>
          <w:t>https://dle.rae.es/incidente</w:t>
        </w:r>
      </w:hyperlink>
      <w:r w:rsidR="006F5718">
        <w:rPr>
          <w:lang w:val="es-MX"/>
        </w:rPr>
        <w:t xml:space="preserve">. </w:t>
      </w:r>
    </w:p>
  </w:footnote>
  <w:footnote w:id="9">
    <w:p w14:paraId="788AEE5D" w14:textId="7F19B34D" w:rsidR="001E2CB4" w:rsidRPr="001E2CB4" w:rsidRDefault="001E2CB4">
      <w:pPr>
        <w:pStyle w:val="Textonotapie"/>
        <w:rPr>
          <w:lang w:val="es-MX"/>
        </w:rPr>
      </w:pPr>
      <w:r>
        <w:rPr>
          <w:rStyle w:val="Refdenotaalpie"/>
        </w:rPr>
        <w:footnoteRef/>
      </w:r>
      <w:r>
        <w:t xml:space="preserve"> </w:t>
      </w:r>
      <w:r>
        <w:rPr>
          <w:lang w:val="es-MX"/>
        </w:rPr>
        <w:t>Véase la la contradicción de tesis 133/2015, op.cit.</w:t>
      </w:r>
    </w:p>
  </w:footnote>
  <w:footnote w:id="10">
    <w:p w14:paraId="4041E563" w14:textId="58F4EA9A" w:rsidR="002A3663" w:rsidRPr="002A3663" w:rsidRDefault="002A3663">
      <w:pPr>
        <w:pStyle w:val="Textonotapie"/>
        <w:rPr>
          <w:lang w:val="es-MX"/>
        </w:rPr>
      </w:pPr>
      <w:r>
        <w:rPr>
          <w:rStyle w:val="Refdenotaalpie"/>
        </w:rPr>
        <w:footnoteRef/>
      </w:r>
      <w:r w:rsidR="00A34C84">
        <w:t xml:space="preserve"> Véase:</w:t>
      </w:r>
      <w:r>
        <w:t xml:space="preserve"> </w:t>
      </w:r>
      <w:r w:rsidR="00A93439" w:rsidRPr="00A93439">
        <w:t>https://dle.rae.es/siguiente?m=form</w:t>
      </w:r>
    </w:p>
  </w:footnote>
  <w:footnote w:id="11">
    <w:p w14:paraId="1FBF782F" w14:textId="341E6B37" w:rsidR="00A76026" w:rsidRPr="00A76026" w:rsidRDefault="00A76026" w:rsidP="009166D4">
      <w:pPr>
        <w:pStyle w:val="Textonotapie"/>
        <w:rPr>
          <w:lang w:val="es-MX"/>
        </w:rPr>
      </w:pPr>
      <w:r>
        <w:rPr>
          <w:rStyle w:val="Refdenotaalpie"/>
        </w:rPr>
        <w:footnoteRef/>
      </w:r>
      <w:r>
        <w:t xml:space="preserve"> </w:t>
      </w:r>
      <w:r w:rsidR="009166D4">
        <w:t>Registro digital: 269549</w:t>
      </w:r>
      <w:r w:rsidR="00AD2113">
        <w:t xml:space="preserve">, </w:t>
      </w:r>
      <w:r w:rsidR="009166D4">
        <w:t>Tercera Sala</w:t>
      </w:r>
      <w:r w:rsidR="00AD2113">
        <w:t xml:space="preserve">, </w:t>
      </w:r>
      <w:r w:rsidR="009166D4">
        <w:t>Sexta Época</w:t>
      </w:r>
      <w:r w:rsidR="00AD2113">
        <w:t xml:space="preserve">, </w:t>
      </w:r>
      <w:r w:rsidR="009166D4">
        <w:t xml:space="preserve">Semanario Judicial de la </w:t>
      </w:r>
      <w:r w:rsidR="00CC1CC1">
        <w:t>Federación, Volumen</w:t>
      </w:r>
      <w:r w:rsidR="009166D4">
        <w:t xml:space="preserve"> CXXII, Cuarta Parte, página 81</w:t>
      </w:r>
      <w:r w:rsidR="008B1E38">
        <w:t xml:space="preserve">, </w:t>
      </w:r>
      <w:r w:rsidR="009166D4">
        <w:t>Aislada</w:t>
      </w:r>
      <w:r w:rsidR="008B1E38">
        <w:t>. Texto: “</w:t>
      </w:r>
      <w:r w:rsidR="009166D4">
        <w:t>Para el efecto de su validez o nulidad, se consideran actuaciones judiciales, no solamente las propiamente dichas, o sean las razones, acuerdos, diligencias y determinaciones, todas referentes a un procedimiento judicial, sino también las promociones, peritajes, ratificaciones y, en general, cuanto se refiere al procedimiento</w:t>
      </w:r>
      <w:r w:rsidR="008B1E38">
        <w:t>”</w:t>
      </w:r>
      <w:r w:rsidR="009166D4">
        <w:t>.</w:t>
      </w:r>
    </w:p>
  </w:footnote>
  <w:footnote w:id="12">
    <w:p w14:paraId="189EBEB2" w14:textId="6CE48E0F" w:rsidR="002F3EA5" w:rsidRPr="009E7D17" w:rsidRDefault="002F3EA5" w:rsidP="00D52774">
      <w:pPr>
        <w:pStyle w:val="corte4fondo"/>
        <w:spacing w:line="240" w:lineRule="auto"/>
        <w:ind w:firstLine="0"/>
        <w:rPr>
          <w:lang w:val="es-MX"/>
        </w:rPr>
      </w:pPr>
      <w:r>
        <w:rPr>
          <w:rStyle w:val="Refdenotaalpie"/>
        </w:rPr>
        <w:footnoteRef/>
      </w:r>
      <w:r>
        <w:t xml:space="preserve"> </w:t>
      </w:r>
      <w:r w:rsidRPr="002F3EA5">
        <w:rPr>
          <w:rFonts w:cs="Arial"/>
          <w:bCs/>
          <w:sz w:val="20"/>
        </w:rPr>
        <w:t>Semanario Judicial de la Federación y su Gaceta</w:t>
      </w:r>
      <w:r w:rsidR="001D1DD3">
        <w:rPr>
          <w:rFonts w:cs="Arial"/>
          <w:bCs/>
          <w:sz w:val="20"/>
        </w:rPr>
        <w:t xml:space="preserve">, </w:t>
      </w:r>
      <w:r w:rsidRPr="002F3EA5">
        <w:rPr>
          <w:rFonts w:cs="Arial"/>
          <w:bCs/>
          <w:sz w:val="20"/>
        </w:rPr>
        <w:t>Novena Época</w:t>
      </w:r>
      <w:r w:rsidR="001D1DD3">
        <w:rPr>
          <w:rFonts w:cs="Arial"/>
          <w:bCs/>
          <w:sz w:val="20"/>
        </w:rPr>
        <w:t xml:space="preserve">, Registro </w:t>
      </w:r>
      <w:r w:rsidRPr="002F3EA5">
        <w:rPr>
          <w:rFonts w:cs="Arial"/>
          <w:bCs/>
          <w:sz w:val="20"/>
        </w:rPr>
        <w:t>200234</w:t>
      </w:r>
      <w:r w:rsidR="001D1DD3">
        <w:rPr>
          <w:rFonts w:cs="Arial"/>
          <w:bCs/>
          <w:sz w:val="20"/>
        </w:rPr>
        <w:t xml:space="preserve">, </w:t>
      </w:r>
      <w:r w:rsidRPr="002F3EA5">
        <w:rPr>
          <w:rFonts w:cs="Arial"/>
          <w:bCs/>
          <w:sz w:val="20"/>
        </w:rPr>
        <w:t>Tomo II,</w:t>
      </w:r>
      <w:r w:rsidR="001D1DD3">
        <w:rPr>
          <w:rFonts w:cs="Arial"/>
          <w:bCs/>
          <w:sz w:val="20"/>
        </w:rPr>
        <w:t xml:space="preserve"> </w:t>
      </w:r>
      <w:r w:rsidRPr="002F3EA5">
        <w:rPr>
          <w:rFonts w:cs="Arial"/>
          <w:bCs/>
          <w:sz w:val="20"/>
        </w:rPr>
        <w:t>Diciembre de 1995</w:t>
      </w:r>
      <w:r w:rsidR="00D52774">
        <w:rPr>
          <w:rFonts w:cs="Arial"/>
          <w:bCs/>
          <w:sz w:val="20"/>
        </w:rPr>
        <w:t xml:space="preserve">, </w:t>
      </w:r>
      <w:r w:rsidRPr="002F3EA5">
        <w:rPr>
          <w:rFonts w:cs="Arial"/>
          <w:bCs/>
          <w:sz w:val="20"/>
        </w:rPr>
        <w:t>Pág. 13</w:t>
      </w:r>
      <w:r w:rsidR="00D52774">
        <w:rPr>
          <w:rFonts w:cs="Arial"/>
          <w:bCs/>
          <w:sz w:val="20"/>
        </w:rPr>
        <w:t xml:space="preserve">3. </w:t>
      </w:r>
    </w:p>
  </w:footnote>
  <w:footnote w:id="13">
    <w:p w14:paraId="36B063F5" w14:textId="0C29E031" w:rsidR="00C5087C" w:rsidRPr="00C5087C" w:rsidRDefault="00C5087C" w:rsidP="00C5087C">
      <w:pPr>
        <w:pStyle w:val="Textonotapie"/>
        <w:rPr>
          <w:lang w:val="es-MX"/>
        </w:rPr>
      </w:pPr>
      <w:r>
        <w:rPr>
          <w:rStyle w:val="Refdenotaalpie"/>
        </w:rPr>
        <w:footnoteRef/>
      </w:r>
      <w:r>
        <w:t xml:space="preserve"> Registro digital: 341917</w:t>
      </w:r>
      <w:r w:rsidR="00B2789A">
        <w:t xml:space="preserve">, </w:t>
      </w:r>
      <w:r>
        <w:t>Tercera Sala</w:t>
      </w:r>
      <w:r w:rsidR="00B2789A">
        <w:t xml:space="preserve">, </w:t>
      </w:r>
      <w:r>
        <w:t>Quinta Época</w:t>
      </w:r>
      <w:r w:rsidR="00B2789A">
        <w:t xml:space="preserve">, </w:t>
      </w:r>
      <w:r>
        <w:t>Semanario Judicial de la Federación. Tomo CXIV, página 32</w:t>
      </w:r>
      <w:r w:rsidR="00B2789A">
        <w:t xml:space="preserve">, </w:t>
      </w:r>
      <w:r>
        <w:t>Aislada</w:t>
      </w:r>
      <w:r w:rsidR="00C147CB">
        <w:t xml:space="preserve">. </w:t>
      </w:r>
    </w:p>
  </w:footnote>
  <w:footnote w:id="14">
    <w:p w14:paraId="72335FCF" w14:textId="77777777" w:rsidR="00E8427B" w:rsidRPr="00464397" w:rsidRDefault="00E8427B" w:rsidP="00E8427B">
      <w:pPr>
        <w:pStyle w:val="Textonotapie"/>
        <w:rPr>
          <w:lang w:val="es-MX"/>
        </w:rPr>
      </w:pPr>
      <w:r>
        <w:rPr>
          <w:rStyle w:val="Refdenotaalpie"/>
        </w:rPr>
        <w:footnoteRef/>
      </w:r>
      <w:r>
        <w:t xml:space="preserve"> Registro digital: 177921, Primera Sala, Novena Época, Semanario Judicial de la Federación y su Gaceta, Tomo XXII, Julio de 2005, página 438, Aislada. </w:t>
      </w:r>
    </w:p>
  </w:footnote>
  <w:footnote w:id="15">
    <w:p w14:paraId="3DCFA5CE" w14:textId="59765EEC" w:rsidR="00AD141C" w:rsidRPr="00AD141C" w:rsidRDefault="00AD141C">
      <w:pPr>
        <w:pStyle w:val="Textonotapie"/>
        <w:rPr>
          <w:lang w:val="es-MX"/>
        </w:rPr>
      </w:pPr>
      <w:r>
        <w:rPr>
          <w:rStyle w:val="Refdenotaalpie"/>
        </w:rPr>
        <w:footnoteRef/>
      </w:r>
      <w:r>
        <w:t xml:space="preserve"> </w:t>
      </w:r>
      <w:r w:rsidR="005E73FE">
        <w:rPr>
          <w:lang w:val="es-MX"/>
        </w:rPr>
        <w:t>Al respecto, puede consultarse a Ruiz Charre, Omar Rafael, Juicios civiles y mercantiles</w:t>
      </w:r>
      <w:r w:rsidR="009B5452">
        <w:rPr>
          <w:lang w:val="es-MX"/>
        </w:rPr>
        <w:t xml:space="preserve">, manual de conceptos básicos, Porrúa, México, </w:t>
      </w:r>
      <w:r w:rsidR="00EF1CF4">
        <w:rPr>
          <w:lang w:val="es-MX"/>
        </w:rPr>
        <w:t xml:space="preserve">2009, pp. 20 a 28. </w:t>
      </w:r>
    </w:p>
  </w:footnote>
  <w:footnote w:id="16">
    <w:p w14:paraId="5E550450" w14:textId="704AB05C" w:rsidR="009B7DCE" w:rsidRDefault="009B7DCE">
      <w:pPr>
        <w:pStyle w:val="Textonotapie"/>
        <w:rPr>
          <w:lang w:val="es-MX"/>
        </w:rPr>
      </w:pPr>
      <w:r w:rsidRPr="001E6FE0">
        <w:rPr>
          <w:rStyle w:val="Refdenotaalpie"/>
        </w:rPr>
        <w:footnoteRef/>
      </w:r>
      <w:r w:rsidRPr="001E6FE0">
        <w:t xml:space="preserve"> </w:t>
      </w:r>
      <w:r w:rsidRPr="001E6FE0">
        <w:rPr>
          <w:lang w:val="es-MX"/>
        </w:rPr>
        <w:t>Al, respecto, resulta ilustrativo lo resuelto en el amparo directo en revisión 254/2015</w:t>
      </w:r>
      <w:r w:rsidR="003B05F3" w:rsidRPr="001E6FE0">
        <w:rPr>
          <w:lang w:val="es-MX"/>
        </w:rPr>
        <w:t xml:space="preserve"> por</w:t>
      </w:r>
      <w:r w:rsidR="003B05F3">
        <w:rPr>
          <w:lang w:val="es-MX"/>
        </w:rPr>
        <w:t xml:space="preserve"> esta Primera Sala, en sesión de </w:t>
      </w:r>
      <w:r w:rsidR="001E6FE0">
        <w:rPr>
          <w:lang w:val="es-MX"/>
        </w:rPr>
        <w:t xml:space="preserve">uno de julio de dos mil quince, por mayoría de cuatro votos. </w:t>
      </w:r>
    </w:p>
    <w:p w14:paraId="276BD6F2" w14:textId="5A0618C4" w:rsidR="000436D7" w:rsidRPr="009B7DCE" w:rsidRDefault="000436D7" w:rsidP="00503117">
      <w:pPr>
        <w:pStyle w:val="Textonotapie"/>
        <w:rPr>
          <w:lang w:val="es-MX"/>
        </w:rPr>
      </w:pPr>
      <w:r>
        <w:rPr>
          <w:lang w:val="es-MX"/>
        </w:rPr>
        <w:t xml:space="preserve">Asimismo, ejemplifica lo anterior, la tesis </w:t>
      </w:r>
      <w:r w:rsidR="00EF73BE" w:rsidRPr="00EF73BE">
        <w:rPr>
          <w:lang w:val="es-MX"/>
        </w:rPr>
        <w:t>1a./J. 23/2008</w:t>
      </w:r>
      <w:r w:rsidR="00EF73BE">
        <w:rPr>
          <w:lang w:val="es-MX"/>
        </w:rPr>
        <w:t xml:space="preserve">, de rubro: </w:t>
      </w:r>
      <w:r w:rsidR="00503117">
        <w:rPr>
          <w:lang w:val="es-MX"/>
        </w:rPr>
        <w:t>“</w:t>
      </w:r>
      <w:r w:rsidR="00503117" w:rsidRPr="00503117">
        <w:rPr>
          <w:lang w:val="es-MX"/>
        </w:rPr>
        <w:t>MEDIDAS DE APREMIO. PARA SU APLICACIÓN EN UN JUICIO EJECUTIVO MERCANTIL, DEBE ACUDIRSE A LA LEGISLACIÓN QUE EXPRESAMENTE DETERMINA EL CÓDIGO DE COMERCIO COMO SUPLETORIA Y NO A LAS DISPOSICIONES ESTABLECIDAS PARA UN DIVERSO JUICIO MERCANTIL, PREVISTO EN EL MISMO CÓDIGO</w:t>
      </w:r>
      <w:r w:rsidR="00503117">
        <w:rPr>
          <w:lang w:val="es-MX"/>
        </w:rPr>
        <w:t xml:space="preserve">”, consultable en: </w:t>
      </w:r>
      <w:r w:rsidR="00503117" w:rsidRPr="00503117">
        <w:rPr>
          <w:lang w:val="es-MX"/>
        </w:rPr>
        <w:t>Semanario Judicial de la Federación y su Gaceta</w:t>
      </w:r>
      <w:r w:rsidR="00503117">
        <w:rPr>
          <w:lang w:val="es-MX"/>
        </w:rPr>
        <w:t xml:space="preserve">, </w:t>
      </w:r>
      <w:r w:rsidR="00503117" w:rsidRPr="00503117">
        <w:rPr>
          <w:lang w:val="es-MX"/>
        </w:rPr>
        <w:t>Tomo XXVII, Abril de 2008, página 177</w:t>
      </w:r>
      <w:r w:rsidR="00503117">
        <w:rPr>
          <w:lang w:val="es-MX"/>
        </w:rPr>
        <w:t xml:space="preserve">, </w:t>
      </w:r>
      <w:r w:rsidR="00503117" w:rsidRPr="00503117">
        <w:rPr>
          <w:lang w:val="es-MX"/>
        </w:rPr>
        <w:t>Novena Época</w:t>
      </w:r>
      <w:r w:rsidR="00503117">
        <w:rPr>
          <w:lang w:val="es-MX"/>
        </w:rPr>
        <w:t xml:space="preserve">, </w:t>
      </w:r>
      <w:r w:rsidR="00503117" w:rsidRPr="00503117">
        <w:rPr>
          <w:lang w:val="es-MX"/>
        </w:rPr>
        <w:t>Primera Sala</w:t>
      </w:r>
      <w:r w:rsidR="00503117">
        <w:rPr>
          <w:lang w:val="es-MX"/>
        </w:rPr>
        <w:t>.</w:t>
      </w:r>
    </w:p>
  </w:footnote>
  <w:footnote w:id="17">
    <w:p w14:paraId="30C624E1" w14:textId="548AC158" w:rsidR="002222CF" w:rsidRPr="00D4275E" w:rsidRDefault="002222CF" w:rsidP="00D4275E">
      <w:pPr>
        <w:pStyle w:val="Textonotapie"/>
      </w:pPr>
      <w:r>
        <w:rPr>
          <w:rStyle w:val="Refdenotaalpie"/>
        </w:rPr>
        <w:footnoteRef/>
      </w:r>
      <w:r>
        <w:t xml:space="preserve"> </w:t>
      </w:r>
      <w:r w:rsidR="00D4275E">
        <w:t>Consultable en: Gaceta del Semanario Judicial de la Federación, Libro 35, Octubre de 2016, Tomo I, página 30, Pleno, Décima Época,</w:t>
      </w:r>
      <w:r w:rsidR="00D4275E" w:rsidRPr="00D4275E">
        <w:t xml:space="preserve"> </w:t>
      </w:r>
      <w:r w:rsidR="00D4275E">
        <w:t>Registro digital: 2012797.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77B5" w14:textId="77777777" w:rsidR="00BC2579" w:rsidRDefault="00BC2579" w:rsidP="00A20ED3">
    <w:pPr>
      <w:pStyle w:val="corte6cintilloypie"/>
      <w:jc w:val="left"/>
      <w:rPr>
        <w:szCs w:val="24"/>
        <w:lang w:val="es-MX"/>
      </w:rPr>
    </w:pPr>
    <w:r w:rsidRPr="0042621B">
      <w:rPr>
        <w:szCs w:val="24"/>
        <w:lang w:val="es-MX"/>
      </w:rPr>
      <w:t>AMPARO DIRECTO</w:t>
    </w:r>
    <w:r>
      <w:rPr>
        <w:szCs w:val="24"/>
        <w:lang w:val="es-MX"/>
      </w:rPr>
      <w:t xml:space="preserve"> EN REVISIÓN</w:t>
    </w:r>
    <w:r w:rsidRPr="0042621B">
      <w:rPr>
        <w:szCs w:val="24"/>
        <w:lang w:val="es-MX"/>
      </w:rPr>
      <w:t xml:space="preserve"> </w:t>
    </w:r>
    <w:r>
      <w:rPr>
        <w:szCs w:val="24"/>
        <w:lang w:val="es-MX"/>
      </w:rPr>
      <w:t>1279/2013</w:t>
    </w:r>
  </w:p>
  <w:p w14:paraId="66F503BD" w14:textId="77777777" w:rsidR="00BC2579" w:rsidRDefault="00BC2579" w:rsidP="00A20ED3">
    <w:pPr>
      <w:pStyle w:val="corte6cintilloypie"/>
      <w:jc w:val="left"/>
      <w:rPr>
        <w:szCs w:val="24"/>
        <w:lang w:val="es-MX"/>
      </w:rPr>
    </w:pPr>
  </w:p>
  <w:p w14:paraId="609D5136" w14:textId="77777777" w:rsidR="00BC2579" w:rsidRDefault="00BC2579" w:rsidP="00A20ED3">
    <w:pPr>
      <w:pStyle w:val="corte6cintilloypie"/>
      <w:jc w:val="left"/>
      <w:rPr>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BE5D" w14:textId="77777777" w:rsidR="00BC2579" w:rsidRDefault="00BC2579" w:rsidP="00A20ED3">
    <w:pPr>
      <w:pStyle w:val="corte6cintilloypie"/>
      <w:jc w:val="center"/>
      <w:rPr>
        <w:szCs w:val="24"/>
      </w:rPr>
    </w:pPr>
  </w:p>
  <w:p w14:paraId="1408E236" w14:textId="1179EB3A" w:rsidR="00BC2579" w:rsidRDefault="00BC2579" w:rsidP="00A20ED3">
    <w:pPr>
      <w:pStyle w:val="corte6cintilloypie"/>
      <w:jc w:val="center"/>
      <w:rPr>
        <w:szCs w:val="24"/>
      </w:rPr>
    </w:pPr>
    <w:r w:rsidRPr="0042621B">
      <w:rPr>
        <w:szCs w:val="24"/>
      </w:rPr>
      <w:t>A</w:t>
    </w:r>
    <w:r>
      <w:rPr>
        <w:szCs w:val="24"/>
      </w:rPr>
      <w:t xml:space="preserve">MPARO en revisión </w:t>
    </w:r>
    <w:r w:rsidR="001E190C">
      <w:rPr>
        <w:szCs w:val="24"/>
      </w:rPr>
      <w:t>97</w:t>
    </w:r>
    <w:r>
      <w:rPr>
        <w:szCs w:val="24"/>
      </w:rPr>
      <w:t>/202</w:t>
    </w:r>
    <w:r w:rsidR="001E190C">
      <w:rPr>
        <w:szCs w:val="24"/>
      </w:rPr>
      <w:t>2</w:t>
    </w:r>
  </w:p>
  <w:p w14:paraId="33DADECD" w14:textId="0D41CF63" w:rsidR="00BC2579" w:rsidRDefault="00BC2579" w:rsidP="00A20ED3">
    <w:pPr>
      <w:pStyle w:val="corte6cintilloypie"/>
      <w:jc w:val="center"/>
      <w:rPr>
        <w:szCs w:val="24"/>
      </w:rPr>
    </w:pPr>
  </w:p>
  <w:p w14:paraId="30BDCF19" w14:textId="77777777" w:rsidR="001E190C" w:rsidRDefault="001E190C" w:rsidP="00A20ED3">
    <w:pPr>
      <w:pStyle w:val="corte6cintilloypie"/>
      <w:jc w:val="center"/>
      <w:rPr>
        <w:szCs w:val="24"/>
      </w:rPr>
    </w:pPr>
  </w:p>
  <w:p w14:paraId="6EA22640" w14:textId="77777777" w:rsidR="00BC2579" w:rsidRDefault="00BC2579" w:rsidP="00A20ED3">
    <w:pPr>
      <w:pStyle w:val="corte6cintilloypie"/>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8D0"/>
    <w:multiLevelType w:val="multilevel"/>
    <w:tmpl w:val="54800318"/>
    <w:lvl w:ilvl="0">
      <w:start w:val="1"/>
      <w:numFmt w:val="decimal"/>
      <w:lvlText w:val="%1."/>
      <w:lvlJc w:val="left"/>
      <w:pPr>
        <w:ind w:left="502" w:hanging="360"/>
      </w:pPr>
      <w:rPr>
        <w:rFonts w:ascii="Arial" w:hAnsi="Arial" w:cs="Arial" w:hint="default"/>
        <w:b w:val="0"/>
        <w:i w:val="0"/>
        <w:color w:val="000000" w:themeColor="text1"/>
        <w:sz w:val="26"/>
        <w:szCs w:val="26"/>
      </w:rPr>
    </w:lvl>
    <w:lvl w:ilvl="1">
      <w:start w:val="1"/>
      <w:numFmt w:val="lowerRoman"/>
      <w:isLgl/>
      <w:lvlText w:val="%2)"/>
      <w:lvlJc w:val="left"/>
      <w:pPr>
        <w:ind w:left="1004" w:hanging="720"/>
      </w:pPr>
      <w:rPr>
        <w:rFonts w:ascii="Arial" w:eastAsia="Times New Roman" w:hAnsi="Arial" w:cs="Arial"/>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9420B5"/>
    <w:multiLevelType w:val="hybridMultilevel"/>
    <w:tmpl w:val="D25CA4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C300B"/>
    <w:multiLevelType w:val="hybridMultilevel"/>
    <w:tmpl w:val="CD70DAE4"/>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55F38"/>
    <w:multiLevelType w:val="hybridMultilevel"/>
    <w:tmpl w:val="5234F6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64FF7"/>
    <w:multiLevelType w:val="hybridMultilevel"/>
    <w:tmpl w:val="4A6EE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9401E3"/>
    <w:multiLevelType w:val="hybridMultilevel"/>
    <w:tmpl w:val="CD70DAE4"/>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B697F"/>
    <w:multiLevelType w:val="multilevel"/>
    <w:tmpl w:val="54800318"/>
    <w:lvl w:ilvl="0">
      <w:start w:val="1"/>
      <w:numFmt w:val="decimal"/>
      <w:lvlText w:val="%1."/>
      <w:lvlJc w:val="left"/>
      <w:pPr>
        <w:ind w:left="502" w:hanging="360"/>
      </w:pPr>
      <w:rPr>
        <w:rFonts w:ascii="Arial" w:hAnsi="Arial" w:cs="Arial" w:hint="default"/>
        <w:b w:val="0"/>
        <w:i w:val="0"/>
        <w:color w:val="000000" w:themeColor="text1"/>
        <w:sz w:val="26"/>
        <w:szCs w:val="26"/>
      </w:rPr>
    </w:lvl>
    <w:lvl w:ilvl="1">
      <w:start w:val="1"/>
      <w:numFmt w:val="lowerRoman"/>
      <w:isLgl/>
      <w:lvlText w:val="%2)"/>
      <w:lvlJc w:val="left"/>
      <w:pPr>
        <w:ind w:left="1004" w:hanging="720"/>
      </w:pPr>
      <w:rPr>
        <w:rFonts w:ascii="Arial" w:eastAsia="Times New Roman" w:hAnsi="Arial" w:cs="Arial"/>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36622C"/>
    <w:multiLevelType w:val="hybridMultilevel"/>
    <w:tmpl w:val="FBFCA4F4"/>
    <w:lvl w:ilvl="0" w:tplc="7F9ABD76">
      <w:start w:val="1"/>
      <w:numFmt w:val="bullet"/>
      <w:lvlText w:val=""/>
      <w:lvlJc w:val="left"/>
      <w:pPr>
        <w:ind w:left="720" w:hanging="360"/>
      </w:pPr>
      <w:rPr>
        <w:rFonts w:ascii="Symbol" w:hAnsi="Symbol"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BAC42D5"/>
    <w:multiLevelType w:val="hybridMultilevel"/>
    <w:tmpl w:val="4F4454B0"/>
    <w:lvl w:ilvl="0" w:tplc="585E6CC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3439A"/>
    <w:multiLevelType w:val="hybridMultilevel"/>
    <w:tmpl w:val="7D9E7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512B8"/>
    <w:multiLevelType w:val="hybridMultilevel"/>
    <w:tmpl w:val="F21A83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A4C97"/>
    <w:multiLevelType w:val="hybridMultilevel"/>
    <w:tmpl w:val="672A10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8C78FA"/>
    <w:multiLevelType w:val="hybridMultilevel"/>
    <w:tmpl w:val="AC9C6DE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3F23E9"/>
    <w:multiLevelType w:val="hybridMultilevel"/>
    <w:tmpl w:val="D3DC45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3B1CAF"/>
    <w:multiLevelType w:val="hybridMultilevel"/>
    <w:tmpl w:val="1EA87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9B1EAD"/>
    <w:multiLevelType w:val="hybridMultilevel"/>
    <w:tmpl w:val="1B70064A"/>
    <w:lvl w:ilvl="0" w:tplc="0C2073E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DA4AC2"/>
    <w:multiLevelType w:val="hybridMultilevel"/>
    <w:tmpl w:val="0C8EEDE0"/>
    <w:lvl w:ilvl="0" w:tplc="7F9ABD76">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3ED18ED"/>
    <w:multiLevelType w:val="hybridMultilevel"/>
    <w:tmpl w:val="2488C45C"/>
    <w:lvl w:ilvl="0" w:tplc="ACBC4780">
      <w:start w:val="1"/>
      <w:numFmt w:val="decimal"/>
      <w:lvlText w:val="%1."/>
      <w:lvlJc w:val="left"/>
      <w:pPr>
        <w:ind w:left="1920" w:hanging="360"/>
      </w:pPr>
      <w:rPr>
        <w:rFonts w:ascii="Arial" w:hAnsi="Arial" w:cs="Arial" w:hint="default"/>
        <w:b w:val="0"/>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8D7ECA"/>
    <w:multiLevelType w:val="hybridMultilevel"/>
    <w:tmpl w:val="631A4C10"/>
    <w:lvl w:ilvl="0" w:tplc="75A4802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2313C4"/>
    <w:multiLevelType w:val="hybridMultilevel"/>
    <w:tmpl w:val="F8B870EC"/>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01">
      <w:start w:val="1"/>
      <w:numFmt w:val="bullet"/>
      <w:lvlText w:val=""/>
      <w:lvlJc w:val="left"/>
      <w:pPr>
        <w:ind w:left="2340" w:hanging="36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F63ACC"/>
    <w:multiLevelType w:val="multilevel"/>
    <w:tmpl w:val="54800318"/>
    <w:lvl w:ilvl="0">
      <w:start w:val="1"/>
      <w:numFmt w:val="decimal"/>
      <w:lvlText w:val="%1."/>
      <w:lvlJc w:val="left"/>
      <w:pPr>
        <w:ind w:left="1070" w:hanging="360"/>
      </w:pPr>
      <w:rPr>
        <w:rFonts w:ascii="Arial" w:hAnsi="Arial" w:cs="Arial" w:hint="default"/>
        <w:b w:val="0"/>
        <w:i w:val="0"/>
        <w:color w:val="000000" w:themeColor="text1"/>
        <w:sz w:val="26"/>
        <w:szCs w:val="26"/>
      </w:rPr>
    </w:lvl>
    <w:lvl w:ilvl="1">
      <w:start w:val="1"/>
      <w:numFmt w:val="lowerRoman"/>
      <w:isLgl/>
      <w:lvlText w:val="%2)"/>
      <w:lvlJc w:val="left"/>
      <w:pPr>
        <w:ind w:left="1004" w:hanging="720"/>
      </w:pPr>
      <w:rPr>
        <w:rFonts w:ascii="Arial" w:eastAsia="Times New Roman" w:hAnsi="Arial" w:cs="Arial"/>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77B55A8"/>
    <w:multiLevelType w:val="hybridMultilevel"/>
    <w:tmpl w:val="9946A566"/>
    <w:lvl w:ilvl="0" w:tplc="B6C8AC18">
      <w:start w:val="1"/>
      <w:numFmt w:val="lowerLetter"/>
      <w:lvlText w:val="%1)"/>
      <w:lvlJc w:val="left"/>
      <w:pPr>
        <w:ind w:left="1068" w:hanging="360"/>
      </w:pPr>
      <w:rPr>
        <w:rFonts w:hint="default"/>
        <w:b w:val="0"/>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B0B064A"/>
    <w:multiLevelType w:val="hybridMultilevel"/>
    <w:tmpl w:val="C35ADF36"/>
    <w:lvl w:ilvl="0" w:tplc="080A0015">
      <w:start w:val="1"/>
      <w:numFmt w:val="upp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3" w15:restartNumberingAfterBreak="0">
    <w:nsid w:val="6FE8791C"/>
    <w:multiLevelType w:val="hybridMultilevel"/>
    <w:tmpl w:val="F8B870EC"/>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01">
      <w:start w:val="1"/>
      <w:numFmt w:val="bullet"/>
      <w:lvlText w:val=""/>
      <w:lvlJc w:val="left"/>
      <w:pPr>
        <w:ind w:left="2340" w:hanging="36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E148B6"/>
    <w:multiLevelType w:val="hybridMultilevel"/>
    <w:tmpl w:val="AAD40B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13314D1"/>
    <w:multiLevelType w:val="hybridMultilevel"/>
    <w:tmpl w:val="AAD40B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1B04E0A"/>
    <w:multiLevelType w:val="hybridMultilevel"/>
    <w:tmpl w:val="1EB09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064BF4"/>
    <w:multiLevelType w:val="hybridMultilevel"/>
    <w:tmpl w:val="1AD47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6DD5169"/>
    <w:multiLevelType w:val="hybridMultilevel"/>
    <w:tmpl w:val="95823DCE"/>
    <w:lvl w:ilvl="0" w:tplc="607CF37E">
      <w:start w:val="1"/>
      <w:numFmt w:val="upperRoman"/>
      <w:lvlText w:val="%1."/>
      <w:lvlJc w:val="left"/>
      <w:pPr>
        <w:ind w:left="2869" w:hanging="720"/>
      </w:pPr>
      <w:rPr>
        <w:rFonts w:hint="default"/>
        <w:b/>
        <w:bCs/>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29" w15:restartNumberingAfterBreak="0">
    <w:nsid w:val="78273734"/>
    <w:multiLevelType w:val="hybridMultilevel"/>
    <w:tmpl w:val="00925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A827C2"/>
    <w:multiLevelType w:val="hybridMultilevel"/>
    <w:tmpl w:val="F0D495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E556B1"/>
    <w:multiLevelType w:val="hybridMultilevel"/>
    <w:tmpl w:val="A880D5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CC2F7A"/>
    <w:multiLevelType w:val="hybridMultilevel"/>
    <w:tmpl w:val="E05CB6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8230292">
    <w:abstractNumId w:val="28"/>
  </w:num>
  <w:num w:numId="2" w16cid:durableId="585501117">
    <w:abstractNumId w:val="20"/>
  </w:num>
  <w:num w:numId="3" w16cid:durableId="495344574">
    <w:abstractNumId w:val="21"/>
  </w:num>
  <w:num w:numId="4" w16cid:durableId="1687753313">
    <w:abstractNumId w:val="12"/>
  </w:num>
  <w:num w:numId="5" w16cid:durableId="762183920">
    <w:abstractNumId w:val="8"/>
  </w:num>
  <w:num w:numId="6" w16cid:durableId="698312007">
    <w:abstractNumId w:val="30"/>
  </w:num>
  <w:num w:numId="7" w16cid:durableId="1342975555">
    <w:abstractNumId w:val="26"/>
  </w:num>
  <w:num w:numId="8" w16cid:durableId="1360158332">
    <w:abstractNumId w:val="10"/>
  </w:num>
  <w:num w:numId="9" w16cid:durableId="1079718398">
    <w:abstractNumId w:val="32"/>
  </w:num>
  <w:num w:numId="10" w16cid:durableId="1147362619">
    <w:abstractNumId w:val="5"/>
  </w:num>
  <w:num w:numId="11" w16cid:durableId="1137146720">
    <w:abstractNumId w:val="23"/>
  </w:num>
  <w:num w:numId="12" w16cid:durableId="569510498">
    <w:abstractNumId w:val="29"/>
  </w:num>
  <w:num w:numId="13" w16cid:durableId="701907905">
    <w:abstractNumId w:val="16"/>
  </w:num>
  <w:num w:numId="14" w16cid:durableId="880242995">
    <w:abstractNumId w:val="7"/>
  </w:num>
  <w:num w:numId="15" w16cid:durableId="1125267739">
    <w:abstractNumId w:val="22"/>
  </w:num>
  <w:num w:numId="16" w16cid:durableId="744688961">
    <w:abstractNumId w:val="25"/>
  </w:num>
  <w:num w:numId="17" w16cid:durableId="469061191">
    <w:abstractNumId w:val="18"/>
  </w:num>
  <w:num w:numId="18" w16cid:durableId="4871663">
    <w:abstractNumId w:val="2"/>
  </w:num>
  <w:num w:numId="19" w16cid:durableId="1700888446">
    <w:abstractNumId w:val="19"/>
  </w:num>
  <w:num w:numId="20" w16cid:durableId="952663783">
    <w:abstractNumId w:val="24"/>
  </w:num>
  <w:num w:numId="21" w16cid:durableId="1759328862">
    <w:abstractNumId w:val="27"/>
  </w:num>
  <w:num w:numId="22" w16cid:durableId="326178703">
    <w:abstractNumId w:val="3"/>
  </w:num>
  <w:num w:numId="23" w16cid:durableId="1762601003">
    <w:abstractNumId w:val="13"/>
  </w:num>
  <w:num w:numId="24" w16cid:durableId="1529101662">
    <w:abstractNumId w:val="1"/>
  </w:num>
  <w:num w:numId="25" w16cid:durableId="876426728">
    <w:abstractNumId w:val="15"/>
  </w:num>
  <w:num w:numId="26" w16cid:durableId="1728450102">
    <w:abstractNumId w:val="17"/>
  </w:num>
  <w:num w:numId="27" w16cid:durableId="1744449213">
    <w:abstractNumId w:val="11"/>
  </w:num>
  <w:num w:numId="28" w16cid:durableId="404499782">
    <w:abstractNumId w:val="0"/>
  </w:num>
  <w:num w:numId="29" w16cid:durableId="1990088933">
    <w:abstractNumId w:val="6"/>
  </w:num>
  <w:num w:numId="30" w16cid:durableId="1007249722">
    <w:abstractNumId w:val="4"/>
  </w:num>
  <w:num w:numId="31" w16cid:durableId="1570532149">
    <w:abstractNumId w:val="9"/>
  </w:num>
  <w:num w:numId="32" w16cid:durableId="481434539">
    <w:abstractNumId w:val="14"/>
  </w:num>
  <w:num w:numId="33" w16cid:durableId="134238809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D3"/>
    <w:rsid w:val="000005ED"/>
    <w:rsid w:val="00000758"/>
    <w:rsid w:val="00000EA4"/>
    <w:rsid w:val="000013B9"/>
    <w:rsid w:val="0000264D"/>
    <w:rsid w:val="00003269"/>
    <w:rsid w:val="0000361B"/>
    <w:rsid w:val="00003729"/>
    <w:rsid w:val="00004299"/>
    <w:rsid w:val="0000464B"/>
    <w:rsid w:val="000049E5"/>
    <w:rsid w:val="00004DED"/>
    <w:rsid w:val="00004E1E"/>
    <w:rsid w:val="000057E5"/>
    <w:rsid w:val="000058DE"/>
    <w:rsid w:val="00005CE1"/>
    <w:rsid w:val="000060A8"/>
    <w:rsid w:val="00006529"/>
    <w:rsid w:val="000069B2"/>
    <w:rsid w:val="00006A2F"/>
    <w:rsid w:val="00006C22"/>
    <w:rsid w:val="00006CCE"/>
    <w:rsid w:val="00006FFA"/>
    <w:rsid w:val="0000746D"/>
    <w:rsid w:val="00007479"/>
    <w:rsid w:val="0000769A"/>
    <w:rsid w:val="00007D72"/>
    <w:rsid w:val="00007EAE"/>
    <w:rsid w:val="0001005B"/>
    <w:rsid w:val="00010AE3"/>
    <w:rsid w:val="00011B5A"/>
    <w:rsid w:val="00011DDC"/>
    <w:rsid w:val="00011DEE"/>
    <w:rsid w:val="00011F3B"/>
    <w:rsid w:val="000120CB"/>
    <w:rsid w:val="00012420"/>
    <w:rsid w:val="000139A9"/>
    <w:rsid w:val="0001403B"/>
    <w:rsid w:val="000141CD"/>
    <w:rsid w:val="000147B1"/>
    <w:rsid w:val="00014AA8"/>
    <w:rsid w:val="00014B9C"/>
    <w:rsid w:val="00015049"/>
    <w:rsid w:val="000156D4"/>
    <w:rsid w:val="000159BB"/>
    <w:rsid w:val="00015C95"/>
    <w:rsid w:val="00015DE4"/>
    <w:rsid w:val="0001631C"/>
    <w:rsid w:val="00016778"/>
    <w:rsid w:val="00016F78"/>
    <w:rsid w:val="000170C7"/>
    <w:rsid w:val="000172D3"/>
    <w:rsid w:val="0001798F"/>
    <w:rsid w:val="00020121"/>
    <w:rsid w:val="000205A8"/>
    <w:rsid w:val="000205E4"/>
    <w:rsid w:val="00020718"/>
    <w:rsid w:val="00020757"/>
    <w:rsid w:val="00020D3F"/>
    <w:rsid w:val="000213B4"/>
    <w:rsid w:val="00021730"/>
    <w:rsid w:val="00021851"/>
    <w:rsid w:val="0002195F"/>
    <w:rsid w:val="00021965"/>
    <w:rsid w:val="000227FD"/>
    <w:rsid w:val="00022A2F"/>
    <w:rsid w:val="00022A88"/>
    <w:rsid w:val="00022C18"/>
    <w:rsid w:val="000230A1"/>
    <w:rsid w:val="000236A9"/>
    <w:rsid w:val="00023E8A"/>
    <w:rsid w:val="000248D1"/>
    <w:rsid w:val="00024A39"/>
    <w:rsid w:val="000250FC"/>
    <w:rsid w:val="0002530B"/>
    <w:rsid w:val="00025796"/>
    <w:rsid w:val="000265BA"/>
    <w:rsid w:val="00026C8A"/>
    <w:rsid w:val="00026FFE"/>
    <w:rsid w:val="00027710"/>
    <w:rsid w:val="00027912"/>
    <w:rsid w:val="0003041C"/>
    <w:rsid w:val="0003124C"/>
    <w:rsid w:val="000314CF"/>
    <w:rsid w:val="00032143"/>
    <w:rsid w:val="0003237F"/>
    <w:rsid w:val="0003280A"/>
    <w:rsid w:val="00032822"/>
    <w:rsid w:val="00032E71"/>
    <w:rsid w:val="000338E2"/>
    <w:rsid w:val="000340B1"/>
    <w:rsid w:val="00034C51"/>
    <w:rsid w:val="000352A0"/>
    <w:rsid w:val="00035555"/>
    <w:rsid w:val="00035616"/>
    <w:rsid w:val="0003574C"/>
    <w:rsid w:val="00035C5B"/>
    <w:rsid w:val="00035FBB"/>
    <w:rsid w:val="00036418"/>
    <w:rsid w:val="000365B0"/>
    <w:rsid w:val="00036FC3"/>
    <w:rsid w:val="000373A6"/>
    <w:rsid w:val="00037526"/>
    <w:rsid w:val="0003759A"/>
    <w:rsid w:val="000400C5"/>
    <w:rsid w:val="00040F37"/>
    <w:rsid w:val="0004135E"/>
    <w:rsid w:val="0004177A"/>
    <w:rsid w:val="00042C9F"/>
    <w:rsid w:val="0004306D"/>
    <w:rsid w:val="000436D7"/>
    <w:rsid w:val="00043B91"/>
    <w:rsid w:val="00043BFF"/>
    <w:rsid w:val="00044279"/>
    <w:rsid w:val="000449F0"/>
    <w:rsid w:val="00045801"/>
    <w:rsid w:val="00045AF3"/>
    <w:rsid w:val="00046984"/>
    <w:rsid w:val="000476DF"/>
    <w:rsid w:val="00047C26"/>
    <w:rsid w:val="00047E61"/>
    <w:rsid w:val="000501D7"/>
    <w:rsid w:val="0005049A"/>
    <w:rsid w:val="00050CF4"/>
    <w:rsid w:val="00050F03"/>
    <w:rsid w:val="00050FE4"/>
    <w:rsid w:val="000512F8"/>
    <w:rsid w:val="00051CA3"/>
    <w:rsid w:val="00051E59"/>
    <w:rsid w:val="00052A8C"/>
    <w:rsid w:val="00052C0F"/>
    <w:rsid w:val="00052C56"/>
    <w:rsid w:val="00052DA4"/>
    <w:rsid w:val="00052F9E"/>
    <w:rsid w:val="000536A3"/>
    <w:rsid w:val="000539EA"/>
    <w:rsid w:val="00053D76"/>
    <w:rsid w:val="00054608"/>
    <w:rsid w:val="00054C34"/>
    <w:rsid w:val="00054EE2"/>
    <w:rsid w:val="000550CC"/>
    <w:rsid w:val="00055259"/>
    <w:rsid w:val="00055790"/>
    <w:rsid w:val="00055B17"/>
    <w:rsid w:val="00056C00"/>
    <w:rsid w:val="0005738D"/>
    <w:rsid w:val="000573E4"/>
    <w:rsid w:val="00057803"/>
    <w:rsid w:val="00057963"/>
    <w:rsid w:val="00057A1A"/>
    <w:rsid w:val="00057FCF"/>
    <w:rsid w:val="0006020D"/>
    <w:rsid w:val="0006038D"/>
    <w:rsid w:val="00060902"/>
    <w:rsid w:val="00061032"/>
    <w:rsid w:val="000616B7"/>
    <w:rsid w:val="00061B41"/>
    <w:rsid w:val="00062390"/>
    <w:rsid w:val="00062A85"/>
    <w:rsid w:val="00062B9D"/>
    <w:rsid w:val="00062F5F"/>
    <w:rsid w:val="00063446"/>
    <w:rsid w:val="000634EB"/>
    <w:rsid w:val="00064547"/>
    <w:rsid w:val="00064DE9"/>
    <w:rsid w:val="000653AA"/>
    <w:rsid w:val="00065A65"/>
    <w:rsid w:val="00066FD6"/>
    <w:rsid w:val="00067140"/>
    <w:rsid w:val="00067390"/>
    <w:rsid w:val="00067E73"/>
    <w:rsid w:val="00070370"/>
    <w:rsid w:val="000706DF"/>
    <w:rsid w:val="00070C9D"/>
    <w:rsid w:val="00070FCF"/>
    <w:rsid w:val="0007172D"/>
    <w:rsid w:val="00071AF3"/>
    <w:rsid w:val="00071D8E"/>
    <w:rsid w:val="0007203C"/>
    <w:rsid w:val="000720DE"/>
    <w:rsid w:val="00072687"/>
    <w:rsid w:val="00072E05"/>
    <w:rsid w:val="00073240"/>
    <w:rsid w:val="00073ACC"/>
    <w:rsid w:val="00073DFC"/>
    <w:rsid w:val="00073E3D"/>
    <w:rsid w:val="00074481"/>
    <w:rsid w:val="000755B3"/>
    <w:rsid w:val="00075786"/>
    <w:rsid w:val="00075804"/>
    <w:rsid w:val="00075E94"/>
    <w:rsid w:val="00076C45"/>
    <w:rsid w:val="00076EE4"/>
    <w:rsid w:val="00076FC4"/>
    <w:rsid w:val="00077300"/>
    <w:rsid w:val="00077831"/>
    <w:rsid w:val="00077ABF"/>
    <w:rsid w:val="00077D90"/>
    <w:rsid w:val="00077F53"/>
    <w:rsid w:val="00077FF7"/>
    <w:rsid w:val="0008012A"/>
    <w:rsid w:val="00080283"/>
    <w:rsid w:val="00080365"/>
    <w:rsid w:val="0008055E"/>
    <w:rsid w:val="000814EE"/>
    <w:rsid w:val="00081AB2"/>
    <w:rsid w:val="00081E33"/>
    <w:rsid w:val="00082376"/>
    <w:rsid w:val="000823D4"/>
    <w:rsid w:val="0008251D"/>
    <w:rsid w:val="000825F7"/>
    <w:rsid w:val="00082B2C"/>
    <w:rsid w:val="00082C73"/>
    <w:rsid w:val="00082E2B"/>
    <w:rsid w:val="0008366D"/>
    <w:rsid w:val="00083C6B"/>
    <w:rsid w:val="000842A9"/>
    <w:rsid w:val="00084E34"/>
    <w:rsid w:val="00084F51"/>
    <w:rsid w:val="00084FA6"/>
    <w:rsid w:val="00085194"/>
    <w:rsid w:val="0008557E"/>
    <w:rsid w:val="00085A85"/>
    <w:rsid w:val="00086167"/>
    <w:rsid w:val="00086872"/>
    <w:rsid w:val="0008687F"/>
    <w:rsid w:val="000868B3"/>
    <w:rsid w:val="000869F3"/>
    <w:rsid w:val="00086D9D"/>
    <w:rsid w:val="00086E38"/>
    <w:rsid w:val="000871FD"/>
    <w:rsid w:val="000873BB"/>
    <w:rsid w:val="000877FA"/>
    <w:rsid w:val="00087C75"/>
    <w:rsid w:val="00087CBD"/>
    <w:rsid w:val="000904A8"/>
    <w:rsid w:val="00090605"/>
    <w:rsid w:val="0009090A"/>
    <w:rsid w:val="00090939"/>
    <w:rsid w:val="0009169B"/>
    <w:rsid w:val="0009254C"/>
    <w:rsid w:val="000925D5"/>
    <w:rsid w:val="00093016"/>
    <w:rsid w:val="000932BE"/>
    <w:rsid w:val="000933CA"/>
    <w:rsid w:val="00093518"/>
    <w:rsid w:val="00093880"/>
    <w:rsid w:val="00093E8A"/>
    <w:rsid w:val="000940AF"/>
    <w:rsid w:val="00094459"/>
    <w:rsid w:val="000944DE"/>
    <w:rsid w:val="00094B29"/>
    <w:rsid w:val="00094C15"/>
    <w:rsid w:val="00094E15"/>
    <w:rsid w:val="0009538B"/>
    <w:rsid w:val="000955DD"/>
    <w:rsid w:val="00095964"/>
    <w:rsid w:val="000966DD"/>
    <w:rsid w:val="00096EF8"/>
    <w:rsid w:val="00097CCC"/>
    <w:rsid w:val="000A0171"/>
    <w:rsid w:val="000A0301"/>
    <w:rsid w:val="000A11B9"/>
    <w:rsid w:val="000A14E8"/>
    <w:rsid w:val="000A1682"/>
    <w:rsid w:val="000A1991"/>
    <w:rsid w:val="000A19EB"/>
    <w:rsid w:val="000A1DE6"/>
    <w:rsid w:val="000A20E4"/>
    <w:rsid w:val="000A2175"/>
    <w:rsid w:val="000A2697"/>
    <w:rsid w:val="000A2737"/>
    <w:rsid w:val="000A2A61"/>
    <w:rsid w:val="000A2C17"/>
    <w:rsid w:val="000A2D84"/>
    <w:rsid w:val="000A32E1"/>
    <w:rsid w:val="000A349C"/>
    <w:rsid w:val="000A44A6"/>
    <w:rsid w:val="000A55BF"/>
    <w:rsid w:val="000A6D94"/>
    <w:rsid w:val="000A72C3"/>
    <w:rsid w:val="000A7BD1"/>
    <w:rsid w:val="000A7D3A"/>
    <w:rsid w:val="000A7F2F"/>
    <w:rsid w:val="000B008C"/>
    <w:rsid w:val="000B022F"/>
    <w:rsid w:val="000B0722"/>
    <w:rsid w:val="000B0844"/>
    <w:rsid w:val="000B0EA6"/>
    <w:rsid w:val="000B0F95"/>
    <w:rsid w:val="000B1541"/>
    <w:rsid w:val="000B19F9"/>
    <w:rsid w:val="000B21BA"/>
    <w:rsid w:val="000B2674"/>
    <w:rsid w:val="000B2841"/>
    <w:rsid w:val="000B29BD"/>
    <w:rsid w:val="000B2B74"/>
    <w:rsid w:val="000B2FD3"/>
    <w:rsid w:val="000B327A"/>
    <w:rsid w:val="000B40FF"/>
    <w:rsid w:val="000B41EF"/>
    <w:rsid w:val="000B42FD"/>
    <w:rsid w:val="000B57A4"/>
    <w:rsid w:val="000B5957"/>
    <w:rsid w:val="000B5DD9"/>
    <w:rsid w:val="000B64EC"/>
    <w:rsid w:val="000B68E5"/>
    <w:rsid w:val="000B6A5B"/>
    <w:rsid w:val="000B73CA"/>
    <w:rsid w:val="000B73DD"/>
    <w:rsid w:val="000C06AE"/>
    <w:rsid w:val="000C0DEE"/>
    <w:rsid w:val="000C1E68"/>
    <w:rsid w:val="000C1F9F"/>
    <w:rsid w:val="000C2021"/>
    <w:rsid w:val="000C2A2F"/>
    <w:rsid w:val="000C2D90"/>
    <w:rsid w:val="000C32BD"/>
    <w:rsid w:val="000C3A3E"/>
    <w:rsid w:val="000C3ABD"/>
    <w:rsid w:val="000C3CAD"/>
    <w:rsid w:val="000C3DEC"/>
    <w:rsid w:val="000C3FD3"/>
    <w:rsid w:val="000C435D"/>
    <w:rsid w:val="000C4404"/>
    <w:rsid w:val="000C45BC"/>
    <w:rsid w:val="000C4B0C"/>
    <w:rsid w:val="000C5486"/>
    <w:rsid w:val="000C625A"/>
    <w:rsid w:val="000C713D"/>
    <w:rsid w:val="000C742E"/>
    <w:rsid w:val="000C7B92"/>
    <w:rsid w:val="000C7C7D"/>
    <w:rsid w:val="000D0094"/>
    <w:rsid w:val="000D0167"/>
    <w:rsid w:val="000D0210"/>
    <w:rsid w:val="000D0370"/>
    <w:rsid w:val="000D05C8"/>
    <w:rsid w:val="000D0F5B"/>
    <w:rsid w:val="000D149C"/>
    <w:rsid w:val="000D167C"/>
    <w:rsid w:val="000D16CC"/>
    <w:rsid w:val="000D1882"/>
    <w:rsid w:val="000D1C13"/>
    <w:rsid w:val="000D20ED"/>
    <w:rsid w:val="000D2219"/>
    <w:rsid w:val="000D23A0"/>
    <w:rsid w:val="000D27F3"/>
    <w:rsid w:val="000D2B98"/>
    <w:rsid w:val="000D2EE3"/>
    <w:rsid w:val="000D2FEE"/>
    <w:rsid w:val="000D411A"/>
    <w:rsid w:val="000D4573"/>
    <w:rsid w:val="000D4E4A"/>
    <w:rsid w:val="000D5C92"/>
    <w:rsid w:val="000D5EB3"/>
    <w:rsid w:val="000D608E"/>
    <w:rsid w:val="000D6E0D"/>
    <w:rsid w:val="000D6F63"/>
    <w:rsid w:val="000D7431"/>
    <w:rsid w:val="000D7616"/>
    <w:rsid w:val="000D786A"/>
    <w:rsid w:val="000D7885"/>
    <w:rsid w:val="000E02A4"/>
    <w:rsid w:val="000E031E"/>
    <w:rsid w:val="000E0DD4"/>
    <w:rsid w:val="000E0F4B"/>
    <w:rsid w:val="000E111F"/>
    <w:rsid w:val="000E1459"/>
    <w:rsid w:val="000E1544"/>
    <w:rsid w:val="000E1B02"/>
    <w:rsid w:val="000E25ED"/>
    <w:rsid w:val="000E3531"/>
    <w:rsid w:val="000E36BD"/>
    <w:rsid w:val="000E39B7"/>
    <w:rsid w:val="000E3DDF"/>
    <w:rsid w:val="000E4C00"/>
    <w:rsid w:val="000E5100"/>
    <w:rsid w:val="000E5477"/>
    <w:rsid w:val="000E5CDD"/>
    <w:rsid w:val="000E5EA5"/>
    <w:rsid w:val="000E67C8"/>
    <w:rsid w:val="000E711A"/>
    <w:rsid w:val="000E7B20"/>
    <w:rsid w:val="000F028E"/>
    <w:rsid w:val="000F03CB"/>
    <w:rsid w:val="000F0708"/>
    <w:rsid w:val="000F0CF3"/>
    <w:rsid w:val="000F1321"/>
    <w:rsid w:val="000F14F1"/>
    <w:rsid w:val="000F19D1"/>
    <w:rsid w:val="000F1F65"/>
    <w:rsid w:val="000F1F6E"/>
    <w:rsid w:val="000F1FD6"/>
    <w:rsid w:val="000F2710"/>
    <w:rsid w:val="000F2FAA"/>
    <w:rsid w:val="000F30A1"/>
    <w:rsid w:val="000F3BBB"/>
    <w:rsid w:val="000F3E71"/>
    <w:rsid w:val="000F4078"/>
    <w:rsid w:val="000F407C"/>
    <w:rsid w:val="000F4CD8"/>
    <w:rsid w:val="000F4DE3"/>
    <w:rsid w:val="000F4E36"/>
    <w:rsid w:val="000F5084"/>
    <w:rsid w:val="000F5655"/>
    <w:rsid w:val="000F5EE2"/>
    <w:rsid w:val="000F60C2"/>
    <w:rsid w:val="000F6112"/>
    <w:rsid w:val="000F6C9A"/>
    <w:rsid w:val="000F6E14"/>
    <w:rsid w:val="000F7370"/>
    <w:rsid w:val="000F7CC4"/>
    <w:rsid w:val="000F7ECA"/>
    <w:rsid w:val="000F7F5E"/>
    <w:rsid w:val="0010013F"/>
    <w:rsid w:val="001004A8"/>
    <w:rsid w:val="00100BF2"/>
    <w:rsid w:val="001011F6"/>
    <w:rsid w:val="00101368"/>
    <w:rsid w:val="0010136A"/>
    <w:rsid w:val="0010141B"/>
    <w:rsid w:val="001014B7"/>
    <w:rsid w:val="001016D1"/>
    <w:rsid w:val="0010173B"/>
    <w:rsid w:val="00101FE6"/>
    <w:rsid w:val="001022BF"/>
    <w:rsid w:val="001022EA"/>
    <w:rsid w:val="00102386"/>
    <w:rsid w:val="0010286F"/>
    <w:rsid w:val="001032A7"/>
    <w:rsid w:val="001032F0"/>
    <w:rsid w:val="0010356B"/>
    <w:rsid w:val="00103B8D"/>
    <w:rsid w:val="00103CC6"/>
    <w:rsid w:val="00104346"/>
    <w:rsid w:val="0010476B"/>
    <w:rsid w:val="001047EF"/>
    <w:rsid w:val="00104C0D"/>
    <w:rsid w:val="00104FB0"/>
    <w:rsid w:val="001055DB"/>
    <w:rsid w:val="00105615"/>
    <w:rsid w:val="00105926"/>
    <w:rsid w:val="00105946"/>
    <w:rsid w:val="00105CB2"/>
    <w:rsid w:val="00106022"/>
    <w:rsid w:val="00106B12"/>
    <w:rsid w:val="00106E7F"/>
    <w:rsid w:val="0010707A"/>
    <w:rsid w:val="00107878"/>
    <w:rsid w:val="00110A56"/>
    <w:rsid w:val="00110F2F"/>
    <w:rsid w:val="0011195F"/>
    <w:rsid w:val="00111B86"/>
    <w:rsid w:val="00111C62"/>
    <w:rsid w:val="00112157"/>
    <w:rsid w:val="00112F76"/>
    <w:rsid w:val="0011352E"/>
    <w:rsid w:val="00113805"/>
    <w:rsid w:val="00113846"/>
    <w:rsid w:val="00113A78"/>
    <w:rsid w:val="00113D2E"/>
    <w:rsid w:val="00113EEC"/>
    <w:rsid w:val="0011441E"/>
    <w:rsid w:val="001168A9"/>
    <w:rsid w:val="00116AB7"/>
    <w:rsid w:val="001172C7"/>
    <w:rsid w:val="001172E6"/>
    <w:rsid w:val="00120022"/>
    <w:rsid w:val="00120399"/>
    <w:rsid w:val="00120C8C"/>
    <w:rsid w:val="0012109A"/>
    <w:rsid w:val="001221DD"/>
    <w:rsid w:val="00122609"/>
    <w:rsid w:val="00122681"/>
    <w:rsid w:val="00122AAE"/>
    <w:rsid w:val="00122B76"/>
    <w:rsid w:val="001232FA"/>
    <w:rsid w:val="001236E2"/>
    <w:rsid w:val="00123F05"/>
    <w:rsid w:val="00124082"/>
    <w:rsid w:val="00124FCF"/>
    <w:rsid w:val="001251EE"/>
    <w:rsid w:val="001259E8"/>
    <w:rsid w:val="00125F43"/>
    <w:rsid w:val="00126828"/>
    <w:rsid w:val="00126F17"/>
    <w:rsid w:val="0012717C"/>
    <w:rsid w:val="001274AF"/>
    <w:rsid w:val="001275B6"/>
    <w:rsid w:val="001275F0"/>
    <w:rsid w:val="001278B7"/>
    <w:rsid w:val="00127B5E"/>
    <w:rsid w:val="00130178"/>
    <w:rsid w:val="001306F9"/>
    <w:rsid w:val="00130776"/>
    <w:rsid w:val="001310C8"/>
    <w:rsid w:val="001310ED"/>
    <w:rsid w:val="00131562"/>
    <w:rsid w:val="00131A1C"/>
    <w:rsid w:val="00131A4E"/>
    <w:rsid w:val="001320FF"/>
    <w:rsid w:val="001324A3"/>
    <w:rsid w:val="0013332C"/>
    <w:rsid w:val="00133734"/>
    <w:rsid w:val="00133D4F"/>
    <w:rsid w:val="00134349"/>
    <w:rsid w:val="00134A5A"/>
    <w:rsid w:val="00136657"/>
    <w:rsid w:val="00136DA6"/>
    <w:rsid w:val="00137610"/>
    <w:rsid w:val="00137A30"/>
    <w:rsid w:val="00137A94"/>
    <w:rsid w:val="001402FF"/>
    <w:rsid w:val="00140703"/>
    <w:rsid w:val="0014074E"/>
    <w:rsid w:val="0014095D"/>
    <w:rsid w:val="00140E35"/>
    <w:rsid w:val="00141058"/>
    <w:rsid w:val="001411F8"/>
    <w:rsid w:val="00141457"/>
    <w:rsid w:val="001419F9"/>
    <w:rsid w:val="0014226A"/>
    <w:rsid w:val="001427FC"/>
    <w:rsid w:val="0014327C"/>
    <w:rsid w:val="001438C3"/>
    <w:rsid w:val="00143C30"/>
    <w:rsid w:val="001440BB"/>
    <w:rsid w:val="0014513D"/>
    <w:rsid w:val="00145DBA"/>
    <w:rsid w:val="001462D3"/>
    <w:rsid w:val="001463CC"/>
    <w:rsid w:val="00146575"/>
    <w:rsid w:val="00146736"/>
    <w:rsid w:val="00146883"/>
    <w:rsid w:val="00146BA5"/>
    <w:rsid w:val="00146DAA"/>
    <w:rsid w:val="00147607"/>
    <w:rsid w:val="0014788D"/>
    <w:rsid w:val="001478D7"/>
    <w:rsid w:val="00147A96"/>
    <w:rsid w:val="00147C09"/>
    <w:rsid w:val="00147F4F"/>
    <w:rsid w:val="00150305"/>
    <w:rsid w:val="00150DF5"/>
    <w:rsid w:val="0015105D"/>
    <w:rsid w:val="001513C4"/>
    <w:rsid w:val="00151DCB"/>
    <w:rsid w:val="00152171"/>
    <w:rsid w:val="00152217"/>
    <w:rsid w:val="00152327"/>
    <w:rsid w:val="00152EAD"/>
    <w:rsid w:val="001534B9"/>
    <w:rsid w:val="001544B5"/>
    <w:rsid w:val="0015480C"/>
    <w:rsid w:val="00154E60"/>
    <w:rsid w:val="00155434"/>
    <w:rsid w:val="0015667A"/>
    <w:rsid w:val="00157900"/>
    <w:rsid w:val="00157A10"/>
    <w:rsid w:val="00157D56"/>
    <w:rsid w:val="00157D72"/>
    <w:rsid w:val="001606CA"/>
    <w:rsid w:val="0016079F"/>
    <w:rsid w:val="0016107D"/>
    <w:rsid w:val="00161326"/>
    <w:rsid w:val="001615AF"/>
    <w:rsid w:val="00161788"/>
    <w:rsid w:val="00161DDE"/>
    <w:rsid w:val="00162176"/>
    <w:rsid w:val="0016291B"/>
    <w:rsid w:val="00162C54"/>
    <w:rsid w:val="00163404"/>
    <w:rsid w:val="00163405"/>
    <w:rsid w:val="00163628"/>
    <w:rsid w:val="0016362D"/>
    <w:rsid w:val="001636FC"/>
    <w:rsid w:val="00163772"/>
    <w:rsid w:val="001639EC"/>
    <w:rsid w:val="00163FE8"/>
    <w:rsid w:val="001643A7"/>
    <w:rsid w:val="00164900"/>
    <w:rsid w:val="00164FD4"/>
    <w:rsid w:val="00165000"/>
    <w:rsid w:val="001656CC"/>
    <w:rsid w:val="001660D8"/>
    <w:rsid w:val="0016618F"/>
    <w:rsid w:val="001663B7"/>
    <w:rsid w:val="0016674E"/>
    <w:rsid w:val="00166D34"/>
    <w:rsid w:val="001671CC"/>
    <w:rsid w:val="00167DE3"/>
    <w:rsid w:val="00167F95"/>
    <w:rsid w:val="00167FF7"/>
    <w:rsid w:val="001703A7"/>
    <w:rsid w:val="00170845"/>
    <w:rsid w:val="00170A63"/>
    <w:rsid w:val="00170BBE"/>
    <w:rsid w:val="00170D13"/>
    <w:rsid w:val="00170D20"/>
    <w:rsid w:val="00170DEF"/>
    <w:rsid w:val="00171174"/>
    <w:rsid w:val="001713E1"/>
    <w:rsid w:val="0017145A"/>
    <w:rsid w:val="00171630"/>
    <w:rsid w:val="001719E6"/>
    <w:rsid w:val="00171ADC"/>
    <w:rsid w:val="0017222E"/>
    <w:rsid w:val="00172460"/>
    <w:rsid w:val="001725A8"/>
    <w:rsid w:val="001726E8"/>
    <w:rsid w:val="001732A9"/>
    <w:rsid w:val="00173D3A"/>
    <w:rsid w:val="00173EC0"/>
    <w:rsid w:val="00174118"/>
    <w:rsid w:val="0017493D"/>
    <w:rsid w:val="00174F7D"/>
    <w:rsid w:val="0017555B"/>
    <w:rsid w:val="00175657"/>
    <w:rsid w:val="00175773"/>
    <w:rsid w:val="00176563"/>
    <w:rsid w:val="00176B08"/>
    <w:rsid w:val="00177113"/>
    <w:rsid w:val="001774C5"/>
    <w:rsid w:val="00177E41"/>
    <w:rsid w:val="001800F6"/>
    <w:rsid w:val="001802E5"/>
    <w:rsid w:val="00180359"/>
    <w:rsid w:val="00180D48"/>
    <w:rsid w:val="00180EC8"/>
    <w:rsid w:val="001811F6"/>
    <w:rsid w:val="00181840"/>
    <w:rsid w:val="00181A59"/>
    <w:rsid w:val="00181E56"/>
    <w:rsid w:val="00181F99"/>
    <w:rsid w:val="00181FFF"/>
    <w:rsid w:val="001822B4"/>
    <w:rsid w:val="00182459"/>
    <w:rsid w:val="0018258C"/>
    <w:rsid w:val="00182698"/>
    <w:rsid w:val="00183351"/>
    <w:rsid w:val="001837FC"/>
    <w:rsid w:val="00183937"/>
    <w:rsid w:val="00183BEC"/>
    <w:rsid w:val="0018427C"/>
    <w:rsid w:val="001845D1"/>
    <w:rsid w:val="0018473C"/>
    <w:rsid w:val="00184D7B"/>
    <w:rsid w:val="00184FF6"/>
    <w:rsid w:val="00185103"/>
    <w:rsid w:val="00185164"/>
    <w:rsid w:val="0018520C"/>
    <w:rsid w:val="00185FA8"/>
    <w:rsid w:val="00186464"/>
    <w:rsid w:val="00186475"/>
    <w:rsid w:val="00186A71"/>
    <w:rsid w:val="001870F3"/>
    <w:rsid w:val="00187212"/>
    <w:rsid w:val="001873DA"/>
    <w:rsid w:val="001879A1"/>
    <w:rsid w:val="00187C60"/>
    <w:rsid w:val="00190ADA"/>
    <w:rsid w:val="001912B8"/>
    <w:rsid w:val="00191C5A"/>
    <w:rsid w:val="001923FC"/>
    <w:rsid w:val="001928C0"/>
    <w:rsid w:val="00192C99"/>
    <w:rsid w:val="00192E1C"/>
    <w:rsid w:val="001943AA"/>
    <w:rsid w:val="00195A6C"/>
    <w:rsid w:val="00195E32"/>
    <w:rsid w:val="00195F00"/>
    <w:rsid w:val="001967F2"/>
    <w:rsid w:val="0019700E"/>
    <w:rsid w:val="0019746B"/>
    <w:rsid w:val="00197783"/>
    <w:rsid w:val="00197B29"/>
    <w:rsid w:val="00197C55"/>
    <w:rsid w:val="00197F06"/>
    <w:rsid w:val="001A0867"/>
    <w:rsid w:val="001A0C51"/>
    <w:rsid w:val="001A0D7F"/>
    <w:rsid w:val="001A13E0"/>
    <w:rsid w:val="001A1F93"/>
    <w:rsid w:val="001A240D"/>
    <w:rsid w:val="001A24BE"/>
    <w:rsid w:val="001A254B"/>
    <w:rsid w:val="001A34E7"/>
    <w:rsid w:val="001A36E2"/>
    <w:rsid w:val="001A3B34"/>
    <w:rsid w:val="001A40F2"/>
    <w:rsid w:val="001A4325"/>
    <w:rsid w:val="001A4BF4"/>
    <w:rsid w:val="001A4D7D"/>
    <w:rsid w:val="001A4F8E"/>
    <w:rsid w:val="001A5622"/>
    <w:rsid w:val="001A564C"/>
    <w:rsid w:val="001A5A6E"/>
    <w:rsid w:val="001A6011"/>
    <w:rsid w:val="001A61AE"/>
    <w:rsid w:val="001A7F71"/>
    <w:rsid w:val="001B03C0"/>
    <w:rsid w:val="001B0431"/>
    <w:rsid w:val="001B0475"/>
    <w:rsid w:val="001B136D"/>
    <w:rsid w:val="001B1461"/>
    <w:rsid w:val="001B15C6"/>
    <w:rsid w:val="001B25EC"/>
    <w:rsid w:val="001B282A"/>
    <w:rsid w:val="001B28D7"/>
    <w:rsid w:val="001B2D0A"/>
    <w:rsid w:val="001B30BA"/>
    <w:rsid w:val="001B3745"/>
    <w:rsid w:val="001B5021"/>
    <w:rsid w:val="001B5485"/>
    <w:rsid w:val="001B5679"/>
    <w:rsid w:val="001B5765"/>
    <w:rsid w:val="001B5939"/>
    <w:rsid w:val="001B5A69"/>
    <w:rsid w:val="001B5BAD"/>
    <w:rsid w:val="001B5BE9"/>
    <w:rsid w:val="001B5EFC"/>
    <w:rsid w:val="001B6C92"/>
    <w:rsid w:val="001B6DFA"/>
    <w:rsid w:val="001B71B1"/>
    <w:rsid w:val="001B7231"/>
    <w:rsid w:val="001B7917"/>
    <w:rsid w:val="001B7B3E"/>
    <w:rsid w:val="001B7E8A"/>
    <w:rsid w:val="001C02CF"/>
    <w:rsid w:val="001C058C"/>
    <w:rsid w:val="001C0B0B"/>
    <w:rsid w:val="001C1F3C"/>
    <w:rsid w:val="001C3066"/>
    <w:rsid w:val="001C347C"/>
    <w:rsid w:val="001C3868"/>
    <w:rsid w:val="001C3B32"/>
    <w:rsid w:val="001C4710"/>
    <w:rsid w:val="001C4D5A"/>
    <w:rsid w:val="001C4D9E"/>
    <w:rsid w:val="001C51F6"/>
    <w:rsid w:val="001C59FC"/>
    <w:rsid w:val="001C62A3"/>
    <w:rsid w:val="001C6A2E"/>
    <w:rsid w:val="001C6B0C"/>
    <w:rsid w:val="001C6E40"/>
    <w:rsid w:val="001C78DF"/>
    <w:rsid w:val="001C79E0"/>
    <w:rsid w:val="001C7EE2"/>
    <w:rsid w:val="001D042D"/>
    <w:rsid w:val="001D0752"/>
    <w:rsid w:val="001D07E1"/>
    <w:rsid w:val="001D0B31"/>
    <w:rsid w:val="001D10B2"/>
    <w:rsid w:val="001D120A"/>
    <w:rsid w:val="001D1DAB"/>
    <w:rsid w:val="001D1DD3"/>
    <w:rsid w:val="001D1E81"/>
    <w:rsid w:val="001D2432"/>
    <w:rsid w:val="001D24F9"/>
    <w:rsid w:val="001D27D5"/>
    <w:rsid w:val="001D3BC1"/>
    <w:rsid w:val="001D4011"/>
    <w:rsid w:val="001D40BB"/>
    <w:rsid w:val="001D47D6"/>
    <w:rsid w:val="001D4D2E"/>
    <w:rsid w:val="001D514B"/>
    <w:rsid w:val="001D5A68"/>
    <w:rsid w:val="001D7061"/>
    <w:rsid w:val="001D743B"/>
    <w:rsid w:val="001D7529"/>
    <w:rsid w:val="001D75A5"/>
    <w:rsid w:val="001D77F8"/>
    <w:rsid w:val="001D79E6"/>
    <w:rsid w:val="001E09F2"/>
    <w:rsid w:val="001E0A56"/>
    <w:rsid w:val="001E190C"/>
    <w:rsid w:val="001E24FB"/>
    <w:rsid w:val="001E2CB4"/>
    <w:rsid w:val="001E325E"/>
    <w:rsid w:val="001E32D6"/>
    <w:rsid w:val="001E3989"/>
    <w:rsid w:val="001E3F05"/>
    <w:rsid w:val="001E4033"/>
    <w:rsid w:val="001E4471"/>
    <w:rsid w:val="001E4835"/>
    <w:rsid w:val="001E4BF2"/>
    <w:rsid w:val="001E4C62"/>
    <w:rsid w:val="001E518D"/>
    <w:rsid w:val="001E53F9"/>
    <w:rsid w:val="001E5594"/>
    <w:rsid w:val="001E5C5B"/>
    <w:rsid w:val="001E5C7F"/>
    <w:rsid w:val="001E5D30"/>
    <w:rsid w:val="001E61D7"/>
    <w:rsid w:val="001E64C4"/>
    <w:rsid w:val="001E6741"/>
    <w:rsid w:val="001E690C"/>
    <w:rsid w:val="001E6FE0"/>
    <w:rsid w:val="001E7067"/>
    <w:rsid w:val="001E75C1"/>
    <w:rsid w:val="001E7998"/>
    <w:rsid w:val="001F0227"/>
    <w:rsid w:val="001F0686"/>
    <w:rsid w:val="001F0B6D"/>
    <w:rsid w:val="001F0D59"/>
    <w:rsid w:val="001F1256"/>
    <w:rsid w:val="001F16E2"/>
    <w:rsid w:val="001F1812"/>
    <w:rsid w:val="001F186F"/>
    <w:rsid w:val="001F1A4A"/>
    <w:rsid w:val="001F1B48"/>
    <w:rsid w:val="001F21D3"/>
    <w:rsid w:val="001F372B"/>
    <w:rsid w:val="001F39DD"/>
    <w:rsid w:val="001F4225"/>
    <w:rsid w:val="001F4599"/>
    <w:rsid w:val="001F45A9"/>
    <w:rsid w:val="001F4884"/>
    <w:rsid w:val="001F4D82"/>
    <w:rsid w:val="001F509A"/>
    <w:rsid w:val="001F53A2"/>
    <w:rsid w:val="001F5BD4"/>
    <w:rsid w:val="001F5F19"/>
    <w:rsid w:val="001F6076"/>
    <w:rsid w:val="001F61B4"/>
    <w:rsid w:val="001F61E6"/>
    <w:rsid w:val="001F670B"/>
    <w:rsid w:val="001F6E01"/>
    <w:rsid w:val="001F7526"/>
    <w:rsid w:val="001F77E4"/>
    <w:rsid w:val="002002F7"/>
    <w:rsid w:val="002007A5"/>
    <w:rsid w:val="00200978"/>
    <w:rsid w:val="002009D9"/>
    <w:rsid w:val="00200C3A"/>
    <w:rsid w:val="00201A29"/>
    <w:rsid w:val="00201C42"/>
    <w:rsid w:val="00201CD5"/>
    <w:rsid w:val="00201FE2"/>
    <w:rsid w:val="00202386"/>
    <w:rsid w:val="00202B4E"/>
    <w:rsid w:val="00202D0C"/>
    <w:rsid w:val="002042AA"/>
    <w:rsid w:val="002045E2"/>
    <w:rsid w:val="00204C9C"/>
    <w:rsid w:val="00204CAF"/>
    <w:rsid w:val="00204CDE"/>
    <w:rsid w:val="00205DDF"/>
    <w:rsid w:val="002061FC"/>
    <w:rsid w:val="00206F48"/>
    <w:rsid w:val="00210292"/>
    <w:rsid w:val="00210679"/>
    <w:rsid w:val="00210BBB"/>
    <w:rsid w:val="00210C68"/>
    <w:rsid w:val="00210CAC"/>
    <w:rsid w:val="00210FCD"/>
    <w:rsid w:val="00211052"/>
    <w:rsid w:val="00211786"/>
    <w:rsid w:val="00211974"/>
    <w:rsid w:val="00213C5D"/>
    <w:rsid w:val="00213F6E"/>
    <w:rsid w:val="0021464B"/>
    <w:rsid w:val="00216270"/>
    <w:rsid w:val="00216958"/>
    <w:rsid w:val="00216D06"/>
    <w:rsid w:val="002174BE"/>
    <w:rsid w:val="002175B0"/>
    <w:rsid w:val="00217651"/>
    <w:rsid w:val="00217ACE"/>
    <w:rsid w:val="00217C91"/>
    <w:rsid w:val="00220143"/>
    <w:rsid w:val="002206F7"/>
    <w:rsid w:val="00220791"/>
    <w:rsid w:val="00220863"/>
    <w:rsid w:val="00220A83"/>
    <w:rsid w:val="002222CF"/>
    <w:rsid w:val="00223365"/>
    <w:rsid w:val="0022356D"/>
    <w:rsid w:val="00223C5E"/>
    <w:rsid w:val="002250E6"/>
    <w:rsid w:val="002261E4"/>
    <w:rsid w:val="00226406"/>
    <w:rsid w:val="00226D40"/>
    <w:rsid w:val="002272B8"/>
    <w:rsid w:val="002274D7"/>
    <w:rsid w:val="00227625"/>
    <w:rsid w:val="00227CF0"/>
    <w:rsid w:val="00230314"/>
    <w:rsid w:val="00230630"/>
    <w:rsid w:val="00230EF3"/>
    <w:rsid w:val="002315E5"/>
    <w:rsid w:val="00231BBA"/>
    <w:rsid w:val="002325DB"/>
    <w:rsid w:val="002329BB"/>
    <w:rsid w:val="00232F0B"/>
    <w:rsid w:val="0023337A"/>
    <w:rsid w:val="00233C48"/>
    <w:rsid w:val="00233ED1"/>
    <w:rsid w:val="002340C9"/>
    <w:rsid w:val="0023512E"/>
    <w:rsid w:val="00235AB7"/>
    <w:rsid w:val="00235F4A"/>
    <w:rsid w:val="00236008"/>
    <w:rsid w:val="00236600"/>
    <w:rsid w:val="00236ACC"/>
    <w:rsid w:val="00236D63"/>
    <w:rsid w:val="00237317"/>
    <w:rsid w:val="00237603"/>
    <w:rsid w:val="002406F5"/>
    <w:rsid w:val="00240BE4"/>
    <w:rsid w:val="00241DF4"/>
    <w:rsid w:val="00241F93"/>
    <w:rsid w:val="002421E7"/>
    <w:rsid w:val="0024240B"/>
    <w:rsid w:val="0024241D"/>
    <w:rsid w:val="00242729"/>
    <w:rsid w:val="00242B28"/>
    <w:rsid w:val="00243D84"/>
    <w:rsid w:val="00244004"/>
    <w:rsid w:val="00244634"/>
    <w:rsid w:val="002449B0"/>
    <w:rsid w:val="00244E86"/>
    <w:rsid w:val="00245B75"/>
    <w:rsid w:val="00245D4F"/>
    <w:rsid w:val="00245F3A"/>
    <w:rsid w:val="002460D8"/>
    <w:rsid w:val="002464FA"/>
    <w:rsid w:val="00246590"/>
    <w:rsid w:val="00246AA6"/>
    <w:rsid w:val="0024732C"/>
    <w:rsid w:val="002477AB"/>
    <w:rsid w:val="0025034D"/>
    <w:rsid w:val="00250A1D"/>
    <w:rsid w:val="00251070"/>
    <w:rsid w:val="002510EF"/>
    <w:rsid w:val="00251182"/>
    <w:rsid w:val="0025155B"/>
    <w:rsid w:val="002517C9"/>
    <w:rsid w:val="00251976"/>
    <w:rsid w:val="0025207E"/>
    <w:rsid w:val="00252D32"/>
    <w:rsid w:val="00252D5F"/>
    <w:rsid w:val="0025315D"/>
    <w:rsid w:val="00253622"/>
    <w:rsid w:val="00253648"/>
    <w:rsid w:val="00253AEA"/>
    <w:rsid w:val="00254403"/>
    <w:rsid w:val="00254D9E"/>
    <w:rsid w:val="00255099"/>
    <w:rsid w:val="002556EF"/>
    <w:rsid w:val="00255CA7"/>
    <w:rsid w:val="00255CCB"/>
    <w:rsid w:val="00255E73"/>
    <w:rsid w:val="00255F75"/>
    <w:rsid w:val="002565CF"/>
    <w:rsid w:val="0025693E"/>
    <w:rsid w:val="002569EC"/>
    <w:rsid w:val="00257160"/>
    <w:rsid w:val="002579EB"/>
    <w:rsid w:val="002603F7"/>
    <w:rsid w:val="0026055E"/>
    <w:rsid w:val="0026071B"/>
    <w:rsid w:val="00260880"/>
    <w:rsid w:val="00260D4A"/>
    <w:rsid w:val="00260E51"/>
    <w:rsid w:val="00260EC9"/>
    <w:rsid w:val="00260EF8"/>
    <w:rsid w:val="00261043"/>
    <w:rsid w:val="002610F7"/>
    <w:rsid w:val="00261368"/>
    <w:rsid w:val="00261CCB"/>
    <w:rsid w:val="0026228F"/>
    <w:rsid w:val="00262372"/>
    <w:rsid w:val="00262A44"/>
    <w:rsid w:val="00262C38"/>
    <w:rsid w:val="00263310"/>
    <w:rsid w:val="00263621"/>
    <w:rsid w:val="00263B0F"/>
    <w:rsid w:val="00265518"/>
    <w:rsid w:val="002657EF"/>
    <w:rsid w:val="00265A9C"/>
    <w:rsid w:val="00265EDA"/>
    <w:rsid w:val="0026633F"/>
    <w:rsid w:val="00266826"/>
    <w:rsid w:val="00266A70"/>
    <w:rsid w:val="00266B7E"/>
    <w:rsid w:val="002671EA"/>
    <w:rsid w:val="00267499"/>
    <w:rsid w:val="00270653"/>
    <w:rsid w:val="002706B0"/>
    <w:rsid w:val="00270B92"/>
    <w:rsid w:val="00270D9B"/>
    <w:rsid w:val="00270FD2"/>
    <w:rsid w:val="002715E9"/>
    <w:rsid w:val="0027205C"/>
    <w:rsid w:val="002735B0"/>
    <w:rsid w:val="00273661"/>
    <w:rsid w:val="00274196"/>
    <w:rsid w:val="0027421D"/>
    <w:rsid w:val="00274C58"/>
    <w:rsid w:val="00274E77"/>
    <w:rsid w:val="0027557F"/>
    <w:rsid w:val="002757E6"/>
    <w:rsid w:val="00275C77"/>
    <w:rsid w:val="00275F8B"/>
    <w:rsid w:val="00275FE9"/>
    <w:rsid w:val="002763E4"/>
    <w:rsid w:val="00276436"/>
    <w:rsid w:val="00277A3F"/>
    <w:rsid w:val="00277A6F"/>
    <w:rsid w:val="00277B3F"/>
    <w:rsid w:val="0028056E"/>
    <w:rsid w:val="0028069B"/>
    <w:rsid w:val="00281461"/>
    <w:rsid w:val="00281D7F"/>
    <w:rsid w:val="00281E62"/>
    <w:rsid w:val="00282459"/>
    <w:rsid w:val="0028268D"/>
    <w:rsid w:val="00282826"/>
    <w:rsid w:val="00282EE4"/>
    <w:rsid w:val="002830DE"/>
    <w:rsid w:val="002832C4"/>
    <w:rsid w:val="002832EB"/>
    <w:rsid w:val="00283D18"/>
    <w:rsid w:val="0028462D"/>
    <w:rsid w:val="002846FD"/>
    <w:rsid w:val="00284D77"/>
    <w:rsid w:val="00286032"/>
    <w:rsid w:val="00286155"/>
    <w:rsid w:val="002864D0"/>
    <w:rsid w:val="002866EF"/>
    <w:rsid w:val="00286939"/>
    <w:rsid w:val="00286A11"/>
    <w:rsid w:val="00287D9E"/>
    <w:rsid w:val="00287DD9"/>
    <w:rsid w:val="0029006D"/>
    <w:rsid w:val="0029058F"/>
    <w:rsid w:val="00290814"/>
    <w:rsid w:val="00290CD9"/>
    <w:rsid w:val="00291E18"/>
    <w:rsid w:val="002929AC"/>
    <w:rsid w:val="00293175"/>
    <w:rsid w:val="0029346D"/>
    <w:rsid w:val="002944CF"/>
    <w:rsid w:val="00294CFF"/>
    <w:rsid w:val="00294D6D"/>
    <w:rsid w:val="00294DE1"/>
    <w:rsid w:val="00294E43"/>
    <w:rsid w:val="002950D5"/>
    <w:rsid w:val="002954DF"/>
    <w:rsid w:val="00295846"/>
    <w:rsid w:val="00296465"/>
    <w:rsid w:val="00296AFA"/>
    <w:rsid w:val="00296CC0"/>
    <w:rsid w:val="00296FAC"/>
    <w:rsid w:val="002A0512"/>
    <w:rsid w:val="002A05C4"/>
    <w:rsid w:val="002A06AD"/>
    <w:rsid w:val="002A06B8"/>
    <w:rsid w:val="002A09CB"/>
    <w:rsid w:val="002A0C77"/>
    <w:rsid w:val="002A104A"/>
    <w:rsid w:val="002A1095"/>
    <w:rsid w:val="002A121C"/>
    <w:rsid w:val="002A129E"/>
    <w:rsid w:val="002A1506"/>
    <w:rsid w:val="002A1827"/>
    <w:rsid w:val="002A1F7A"/>
    <w:rsid w:val="002A2118"/>
    <w:rsid w:val="002A2994"/>
    <w:rsid w:val="002A2AFD"/>
    <w:rsid w:val="002A3093"/>
    <w:rsid w:val="002A341D"/>
    <w:rsid w:val="002A3663"/>
    <w:rsid w:val="002A4025"/>
    <w:rsid w:val="002A41DE"/>
    <w:rsid w:val="002A421D"/>
    <w:rsid w:val="002A4430"/>
    <w:rsid w:val="002A4669"/>
    <w:rsid w:val="002A51AA"/>
    <w:rsid w:val="002A574D"/>
    <w:rsid w:val="002A58FC"/>
    <w:rsid w:val="002A59AB"/>
    <w:rsid w:val="002A5E53"/>
    <w:rsid w:val="002A632E"/>
    <w:rsid w:val="002A6443"/>
    <w:rsid w:val="002A6B77"/>
    <w:rsid w:val="002A6BD6"/>
    <w:rsid w:val="002A6EB6"/>
    <w:rsid w:val="002A73B3"/>
    <w:rsid w:val="002A7434"/>
    <w:rsid w:val="002A7581"/>
    <w:rsid w:val="002A78FA"/>
    <w:rsid w:val="002A7A92"/>
    <w:rsid w:val="002A7B2D"/>
    <w:rsid w:val="002A7C69"/>
    <w:rsid w:val="002A7E07"/>
    <w:rsid w:val="002B012C"/>
    <w:rsid w:val="002B057D"/>
    <w:rsid w:val="002B0DFA"/>
    <w:rsid w:val="002B0F71"/>
    <w:rsid w:val="002B1418"/>
    <w:rsid w:val="002B14B1"/>
    <w:rsid w:val="002B14D6"/>
    <w:rsid w:val="002B2DF8"/>
    <w:rsid w:val="002B3B73"/>
    <w:rsid w:val="002B3C14"/>
    <w:rsid w:val="002B3E72"/>
    <w:rsid w:val="002B416D"/>
    <w:rsid w:val="002B42AA"/>
    <w:rsid w:val="002B4A3C"/>
    <w:rsid w:val="002B4BCE"/>
    <w:rsid w:val="002B52A0"/>
    <w:rsid w:val="002B5541"/>
    <w:rsid w:val="002B5B6B"/>
    <w:rsid w:val="002B5BDC"/>
    <w:rsid w:val="002B5E74"/>
    <w:rsid w:val="002B6036"/>
    <w:rsid w:val="002B6389"/>
    <w:rsid w:val="002B68C8"/>
    <w:rsid w:val="002B6F20"/>
    <w:rsid w:val="002B7119"/>
    <w:rsid w:val="002B74F3"/>
    <w:rsid w:val="002B7B35"/>
    <w:rsid w:val="002B7D28"/>
    <w:rsid w:val="002C0264"/>
    <w:rsid w:val="002C05A5"/>
    <w:rsid w:val="002C0702"/>
    <w:rsid w:val="002C0A66"/>
    <w:rsid w:val="002C0A69"/>
    <w:rsid w:val="002C0AF1"/>
    <w:rsid w:val="002C1A6E"/>
    <w:rsid w:val="002C1FD7"/>
    <w:rsid w:val="002C2175"/>
    <w:rsid w:val="002C23FF"/>
    <w:rsid w:val="002C25D3"/>
    <w:rsid w:val="002C2EDE"/>
    <w:rsid w:val="002C2FA9"/>
    <w:rsid w:val="002C3664"/>
    <w:rsid w:val="002C3898"/>
    <w:rsid w:val="002C3AD7"/>
    <w:rsid w:val="002C3E66"/>
    <w:rsid w:val="002C3E96"/>
    <w:rsid w:val="002C4262"/>
    <w:rsid w:val="002C4B15"/>
    <w:rsid w:val="002C5230"/>
    <w:rsid w:val="002C5A33"/>
    <w:rsid w:val="002C5B73"/>
    <w:rsid w:val="002C5BB8"/>
    <w:rsid w:val="002C6021"/>
    <w:rsid w:val="002C631A"/>
    <w:rsid w:val="002C6556"/>
    <w:rsid w:val="002C6FF4"/>
    <w:rsid w:val="002C7170"/>
    <w:rsid w:val="002C726C"/>
    <w:rsid w:val="002C76A9"/>
    <w:rsid w:val="002C771A"/>
    <w:rsid w:val="002D005A"/>
    <w:rsid w:val="002D0251"/>
    <w:rsid w:val="002D02A2"/>
    <w:rsid w:val="002D0475"/>
    <w:rsid w:val="002D0EAC"/>
    <w:rsid w:val="002D0EBD"/>
    <w:rsid w:val="002D13E8"/>
    <w:rsid w:val="002D1AF0"/>
    <w:rsid w:val="002D1EFC"/>
    <w:rsid w:val="002D23B2"/>
    <w:rsid w:val="002D2B18"/>
    <w:rsid w:val="002D35CD"/>
    <w:rsid w:val="002D3828"/>
    <w:rsid w:val="002D385B"/>
    <w:rsid w:val="002D3C4F"/>
    <w:rsid w:val="002D3E04"/>
    <w:rsid w:val="002D3E0E"/>
    <w:rsid w:val="002D3E90"/>
    <w:rsid w:val="002D3EA4"/>
    <w:rsid w:val="002D4443"/>
    <w:rsid w:val="002D5061"/>
    <w:rsid w:val="002D5075"/>
    <w:rsid w:val="002D5577"/>
    <w:rsid w:val="002D5AA6"/>
    <w:rsid w:val="002D5CB4"/>
    <w:rsid w:val="002D5FDF"/>
    <w:rsid w:val="002D6321"/>
    <w:rsid w:val="002D6644"/>
    <w:rsid w:val="002D6C04"/>
    <w:rsid w:val="002D7043"/>
    <w:rsid w:val="002D7093"/>
    <w:rsid w:val="002D714A"/>
    <w:rsid w:val="002E009C"/>
    <w:rsid w:val="002E05EF"/>
    <w:rsid w:val="002E0AF6"/>
    <w:rsid w:val="002E0B37"/>
    <w:rsid w:val="002E0FE7"/>
    <w:rsid w:val="002E1BC4"/>
    <w:rsid w:val="002E2748"/>
    <w:rsid w:val="002E28B7"/>
    <w:rsid w:val="002E2AE3"/>
    <w:rsid w:val="002E2E58"/>
    <w:rsid w:val="002E320E"/>
    <w:rsid w:val="002E331D"/>
    <w:rsid w:val="002E3919"/>
    <w:rsid w:val="002E3B6C"/>
    <w:rsid w:val="002E49EA"/>
    <w:rsid w:val="002E513E"/>
    <w:rsid w:val="002E5707"/>
    <w:rsid w:val="002E64BD"/>
    <w:rsid w:val="002E6ED8"/>
    <w:rsid w:val="002E7563"/>
    <w:rsid w:val="002E7ACA"/>
    <w:rsid w:val="002E7E25"/>
    <w:rsid w:val="002F0187"/>
    <w:rsid w:val="002F0205"/>
    <w:rsid w:val="002F025B"/>
    <w:rsid w:val="002F02E9"/>
    <w:rsid w:val="002F0401"/>
    <w:rsid w:val="002F18D6"/>
    <w:rsid w:val="002F221A"/>
    <w:rsid w:val="002F2316"/>
    <w:rsid w:val="002F2634"/>
    <w:rsid w:val="002F2E17"/>
    <w:rsid w:val="002F32D0"/>
    <w:rsid w:val="002F39D5"/>
    <w:rsid w:val="002F3EA5"/>
    <w:rsid w:val="002F413B"/>
    <w:rsid w:val="002F4C73"/>
    <w:rsid w:val="002F4F43"/>
    <w:rsid w:val="002F5190"/>
    <w:rsid w:val="002F52A3"/>
    <w:rsid w:val="002F5BEB"/>
    <w:rsid w:val="002F637F"/>
    <w:rsid w:val="002F65CE"/>
    <w:rsid w:val="002F785A"/>
    <w:rsid w:val="002F7A31"/>
    <w:rsid w:val="002F7A3D"/>
    <w:rsid w:val="00300929"/>
    <w:rsid w:val="00300B0A"/>
    <w:rsid w:val="00300B24"/>
    <w:rsid w:val="00300F1F"/>
    <w:rsid w:val="00301305"/>
    <w:rsid w:val="0030134C"/>
    <w:rsid w:val="00301541"/>
    <w:rsid w:val="003023FF"/>
    <w:rsid w:val="00303381"/>
    <w:rsid w:val="00303B18"/>
    <w:rsid w:val="00303C95"/>
    <w:rsid w:val="00303F8D"/>
    <w:rsid w:val="00304AFA"/>
    <w:rsid w:val="00304CD2"/>
    <w:rsid w:val="00304CF0"/>
    <w:rsid w:val="00305077"/>
    <w:rsid w:val="00305207"/>
    <w:rsid w:val="00305A3A"/>
    <w:rsid w:val="00305A89"/>
    <w:rsid w:val="00305E6C"/>
    <w:rsid w:val="003066E0"/>
    <w:rsid w:val="00306A84"/>
    <w:rsid w:val="00306C9C"/>
    <w:rsid w:val="003078CD"/>
    <w:rsid w:val="00307B2C"/>
    <w:rsid w:val="003102AA"/>
    <w:rsid w:val="00310476"/>
    <w:rsid w:val="00310A31"/>
    <w:rsid w:val="0031152B"/>
    <w:rsid w:val="00311B39"/>
    <w:rsid w:val="0031228D"/>
    <w:rsid w:val="00312377"/>
    <w:rsid w:val="00312605"/>
    <w:rsid w:val="003128C0"/>
    <w:rsid w:val="00312A33"/>
    <w:rsid w:val="00312B03"/>
    <w:rsid w:val="0031390D"/>
    <w:rsid w:val="00313C39"/>
    <w:rsid w:val="00313CCB"/>
    <w:rsid w:val="00314BD2"/>
    <w:rsid w:val="00314F43"/>
    <w:rsid w:val="0031560F"/>
    <w:rsid w:val="003156E2"/>
    <w:rsid w:val="0031591B"/>
    <w:rsid w:val="00315C75"/>
    <w:rsid w:val="00316578"/>
    <w:rsid w:val="00316C0A"/>
    <w:rsid w:val="00317077"/>
    <w:rsid w:val="0031768C"/>
    <w:rsid w:val="00317B55"/>
    <w:rsid w:val="00317B8C"/>
    <w:rsid w:val="00317CA2"/>
    <w:rsid w:val="00317ECB"/>
    <w:rsid w:val="0032062A"/>
    <w:rsid w:val="0032098A"/>
    <w:rsid w:val="00320E71"/>
    <w:rsid w:val="003215CD"/>
    <w:rsid w:val="00321E22"/>
    <w:rsid w:val="00322379"/>
    <w:rsid w:val="00322A28"/>
    <w:rsid w:val="00322CCC"/>
    <w:rsid w:val="00323373"/>
    <w:rsid w:val="003240D4"/>
    <w:rsid w:val="003256A8"/>
    <w:rsid w:val="003256E8"/>
    <w:rsid w:val="00325865"/>
    <w:rsid w:val="00325ACC"/>
    <w:rsid w:val="00326B19"/>
    <w:rsid w:val="0032728E"/>
    <w:rsid w:val="0032730E"/>
    <w:rsid w:val="0032798B"/>
    <w:rsid w:val="00327E1E"/>
    <w:rsid w:val="0033055E"/>
    <w:rsid w:val="00330BDE"/>
    <w:rsid w:val="00331364"/>
    <w:rsid w:val="00331557"/>
    <w:rsid w:val="00331802"/>
    <w:rsid w:val="00331828"/>
    <w:rsid w:val="0033276A"/>
    <w:rsid w:val="00332B0E"/>
    <w:rsid w:val="003334B4"/>
    <w:rsid w:val="00333C39"/>
    <w:rsid w:val="00333E95"/>
    <w:rsid w:val="003342E5"/>
    <w:rsid w:val="003354A2"/>
    <w:rsid w:val="00335F08"/>
    <w:rsid w:val="00336380"/>
    <w:rsid w:val="0033691F"/>
    <w:rsid w:val="00337CF1"/>
    <w:rsid w:val="00337D68"/>
    <w:rsid w:val="003401CD"/>
    <w:rsid w:val="0034071F"/>
    <w:rsid w:val="00340927"/>
    <w:rsid w:val="00340A87"/>
    <w:rsid w:val="0034156D"/>
    <w:rsid w:val="00341633"/>
    <w:rsid w:val="00341AFA"/>
    <w:rsid w:val="00341D47"/>
    <w:rsid w:val="00341FBB"/>
    <w:rsid w:val="00342450"/>
    <w:rsid w:val="003425F7"/>
    <w:rsid w:val="00342855"/>
    <w:rsid w:val="00342AE7"/>
    <w:rsid w:val="00342C50"/>
    <w:rsid w:val="00343208"/>
    <w:rsid w:val="0034345F"/>
    <w:rsid w:val="00343A51"/>
    <w:rsid w:val="00343C04"/>
    <w:rsid w:val="00344459"/>
    <w:rsid w:val="00344B73"/>
    <w:rsid w:val="00344DB0"/>
    <w:rsid w:val="0034514E"/>
    <w:rsid w:val="00346802"/>
    <w:rsid w:val="00346C88"/>
    <w:rsid w:val="00347013"/>
    <w:rsid w:val="00347CC0"/>
    <w:rsid w:val="00347CD7"/>
    <w:rsid w:val="00347D02"/>
    <w:rsid w:val="00347E49"/>
    <w:rsid w:val="00351560"/>
    <w:rsid w:val="003518A7"/>
    <w:rsid w:val="003519E2"/>
    <w:rsid w:val="00351F17"/>
    <w:rsid w:val="00352778"/>
    <w:rsid w:val="00352E40"/>
    <w:rsid w:val="00353175"/>
    <w:rsid w:val="00353179"/>
    <w:rsid w:val="003534A3"/>
    <w:rsid w:val="003536C0"/>
    <w:rsid w:val="00354492"/>
    <w:rsid w:val="00354B8D"/>
    <w:rsid w:val="00354FC6"/>
    <w:rsid w:val="003551A9"/>
    <w:rsid w:val="0035530E"/>
    <w:rsid w:val="003558E4"/>
    <w:rsid w:val="00356163"/>
    <w:rsid w:val="00356A30"/>
    <w:rsid w:val="00356C7E"/>
    <w:rsid w:val="00356F79"/>
    <w:rsid w:val="003570AE"/>
    <w:rsid w:val="003572C4"/>
    <w:rsid w:val="003573E8"/>
    <w:rsid w:val="0035792A"/>
    <w:rsid w:val="00357D0F"/>
    <w:rsid w:val="00360EA0"/>
    <w:rsid w:val="00361020"/>
    <w:rsid w:val="003631CF"/>
    <w:rsid w:val="003635A9"/>
    <w:rsid w:val="0036396E"/>
    <w:rsid w:val="00363C08"/>
    <w:rsid w:val="003642A1"/>
    <w:rsid w:val="0036447D"/>
    <w:rsid w:val="0036489A"/>
    <w:rsid w:val="003649D4"/>
    <w:rsid w:val="00364D71"/>
    <w:rsid w:val="0036547F"/>
    <w:rsid w:val="0036580D"/>
    <w:rsid w:val="0036581D"/>
    <w:rsid w:val="00365CC8"/>
    <w:rsid w:val="00366265"/>
    <w:rsid w:val="0036629E"/>
    <w:rsid w:val="003671A4"/>
    <w:rsid w:val="003673CE"/>
    <w:rsid w:val="003677F9"/>
    <w:rsid w:val="0036791A"/>
    <w:rsid w:val="00367AC4"/>
    <w:rsid w:val="00370A56"/>
    <w:rsid w:val="00370B1B"/>
    <w:rsid w:val="00371FDD"/>
    <w:rsid w:val="00372E27"/>
    <w:rsid w:val="0037308B"/>
    <w:rsid w:val="0037337B"/>
    <w:rsid w:val="00374009"/>
    <w:rsid w:val="00375207"/>
    <w:rsid w:val="0037550D"/>
    <w:rsid w:val="0037565F"/>
    <w:rsid w:val="003760B7"/>
    <w:rsid w:val="00376B22"/>
    <w:rsid w:val="00377128"/>
    <w:rsid w:val="00377D33"/>
    <w:rsid w:val="00377F6F"/>
    <w:rsid w:val="00380216"/>
    <w:rsid w:val="0038029B"/>
    <w:rsid w:val="00380512"/>
    <w:rsid w:val="00380AE1"/>
    <w:rsid w:val="00381249"/>
    <w:rsid w:val="0038168C"/>
    <w:rsid w:val="003816BD"/>
    <w:rsid w:val="003824D3"/>
    <w:rsid w:val="0038283A"/>
    <w:rsid w:val="003828F1"/>
    <w:rsid w:val="00382B63"/>
    <w:rsid w:val="00383680"/>
    <w:rsid w:val="00384111"/>
    <w:rsid w:val="0038446F"/>
    <w:rsid w:val="00384AA8"/>
    <w:rsid w:val="00385245"/>
    <w:rsid w:val="00385625"/>
    <w:rsid w:val="0038717A"/>
    <w:rsid w:val="00387E6E"/>
    <w:rsid w:val="003904E6"/>
    <w:rsid w:val="0039087A"/>
    <w:rsid w:val="00390BBF"/>
    <w:rsid w:val="00390E2C"/>
    <w:rsid w:val="00390F18"/>
    <w:rsid w:val="003916E5"/>
    <w:rsid w:val="00391835"/>
    <w:rsid w:val="00392362"/>
    <w:rsid w:val="00392737"/>
    <w:rsid w:val="003928B4"/>
    <w:rsid w:val="00392999"/>
    <w:rsid w:val="00392A44"/>
    <w:rsid w:val="00392D1C"/>
    <w:rsid w:val="00392E85"/>
    <w:rsid w:val="00393089"/>
    <w:rsid w:val="00393505"/>
    <w:rsid w:val="00393703"/>
    <w:rsid w:val="0039380F"/>
    <w:rsid w:val="00394F8F"/>
    <w:rsid w:val="00395477"/>
    <w:rsid w:val="00395DED"/>
    <w:rsid w:val="00395F92"/>
    <w:rsid w:val="003965BD"/>
    <w:rsid w:val="00396856"/>
    <w:rsid w:val="00396B9F"/>
    <w:rsid w:val="00396C0D"/>
    <w:rsid w:val="00396D96"/>
    <w:rsid w:val="00397C02"/>
    <w:rsid w:val="00397E97"/>
    <w:rsid w:val="003A00F4"/>
    <w:rsid w:val="003A05D3"/>
    <w:rsid w:val="003A0869"/>
    <w:rsid w:val="003A0A72"/>
    <w:rsid w:val="003A0B7B"/>
    <w:rsid w:val="003A0DA2"/>
    <w:rsid w:val="003A111C"/>
    <w:rsid w:val="003A1795"/>
    <w:rsid w:val="003A2161"/>
    <w:rsid w:val="003A2452"/>
    <w:rsid w:val="003A2AD7"/>
    <w:rsid w:val="003A305F"/>
    <w:rsid w:val="003A37DF"/>
    <w:rsid w:val="003A3968"/>
    <w:rsid w:val="003A398F"/>
    <w:rsid w:val="003A3E58"/>
    <w:rsid w:val="003A3E72"/>
    <w:rsid w:val="003A3F82"/>
    <w:rsid w:val="003A4856"/>
    <w:rsid w:val="003A50C8"/>
    <w:rsid w:val="003A51FC"/>
    <w:rsid w:val="003A528A"/>
    <w:rsid w:val="003A564A"/>
    <w:rsid w:val="003A5718"/>
    <w:rsid w:val="003A58F4"/>
    <w:rsid w:val="003A5CE8"/>
    <w:rsid w:val="003A6424"/>
    <w:rsid w:val="003A6D4E"/>
    <w:rsid w:val="003A76B5"/>
    <w:rsid w:val="003B01D2"/>
    <w:rsid w:val="003B0518"/>
    <w:rsid w:val="003B05F3"/>
    <w:rsid w:val="003B0FCC"/>
    <w:rsid w:val="003B1155"/>
    <w:rsid w:val="003B17C3"/>
    <w:rsid w:val="003B1AE8"/>
    <w:rsid w:val="003B236E"/>
    <w:rsid w:val="003B3031"/>
    <w:rsid w:val="003B3A9C"/>
    <w:rsid w:val="003B3C59"/>
    <w:rsid w:val="003B41EA"/>
    <w:rsid w:val="003B4512"/>
    <w:rsid w:val="003B45BF"/>
    <w:rsid w:val="003B465E"/>
    <w:rsid w:val="003B50AF"/>
    <w:rsid w:val="003B5A8E"/>
    <w:rsid w:val="003B66DB"/>
    <w:rsid w:val="003B7622"/>
    <w:rsid w:val="003B7DB0"/>
    <w:rsid w:val="003C0105"/>
    <w:rsid w:val="003C025E"/>
    <w:rsid w:val="003C0A8C"/>
    <w:rsid w:val="003C136D"/>
    <w:rsid w:val="003C1383"/>
    <w:rsid w:val="003C1BF3"/>
    <w:rsid w:val="003C1C52"/>
    <w:rsid w:val="003C1E54"/>
    <w:rsid w:val="003C298B"/>
    <w:rsid w:val="003C30C1"/>
    <w:rsid w:val="003C3172"/>
    <w:rsid w:val="003C3442"/>
    <w:rsid w:val="003C359D"/>
    <w:rsid w:val="003C3922"/>
    <w:rsid w:val="003C3BED"/>
    <w:rsid w:val="003C3C7B"/>
    <w:rsid w:val="003C4408"/>
    <w:rsid w:val="003C48EB"/>
    <w:rsid w:val="003C4DA9"/>
    <w:rsid w:val="003C554F"/>
    <w:rsid w:val="003C586C"/>
    <w:rsid w:val="003C591C"/>
    <w:rsid w:val="003C59B6"/>
    <w:rsid w:val="003C5B51"/>
    <w:rsid w:val="003C5C30"/>
    <w:rsid w:val="003C5E18"/>
    <w:rsid w:val="003C66F9"/>
    <w:rsid w:val="003C679F"/>
    <w:rsid w:val="003D04E0"/>
    <w:rsid w:val="003D1643"/>
    <w:rsid w:val="003D1758"/>
    <w:rsid w:val="003D1BFE"/>
    <w:rsid w:val="003D23D0"/>
    <w:rsid w:val="003D36D3"/>
    <w:rsid w:val="003D3879"/>
    <w:rsid w:val="003D38A5"/>
    <w:rsid w:val="003D3E90"/>
    <w:rsid w:val="003D41A8"/>
    <w:rsid w:val="003D4A04"/>
    <w:rsid w:val="003D4C17"/>
    <w:rsid w:val="003D4D38"/>
    <w:rsid w:val="003D4D3D"/>
    <w:rsid w:val="003D4FE4"/>
    <w:rsid w:val="003D50F7"/>
    <w:rsid w:val="003D57C5"/>
    <w:rsid w:val="003D5D41"/>
    <w:rsid w:val="003D5FEA"/>
    <w:rsid w:val="003D699B"/>
    <w:rsid w:val="003D6F53"/>
    <w:rsid w:val="003D7268"/>
    <w:rsid w:val="003D73FD"/>
    <w:rsid w:val="003D780C"/>
    <w:rsid w:val="003E00FD"/>
    <w:rsid w:val="003E0131"/>
    <w:rsid w:val="003E0859"/>
    <w:rsid w:val="003E0A36"/>
    <w:rsid w:val="003E12CB"/>
    <w:rsid w:val="003E1580"/>
    <w:rsid w:val="003E1976"/>
    <w:rsid w:val="003E1EBF"/>
    <w:rsid w:val="003E1FB7"/>
    <w:rsid w:val="003E27A8"/>
    <w:rsid w:val="003E2881"/>
    <w:rsid w:val="003E2C8D"/>
    <w:rsid w:val="003E30BA"/>
    <w:rsid w:val="003E30CD"/>
    <w:rsid w:val="003E33DC"/>
    <w:rsid w:val="003E3AED"/>
    <w:rsid w:val="003E3C78"/>
    <w:rsid w:val="003E4277"/>
    <w:rsid w:val="003E43E2"/>
    <w:rsid w:val="003E47EC"/>
    <w:rsid w:val="003E4E90"/>
    <w:rsid w:val="003E5058"/>
    <w:rsid w:val="003E5D7C"/>
    <w:rsid w:val="003E5ECA"/>
    <w:rsid w:val="003E63B1"/>
    <w:rsid w:val="003E6BB3"/>
    <w:rsid w:val="003E6BC9"/>
    <w:rsid w:val="003E6D7E"/>
    <w:rsid w:val="003E72AD"/>
    <w:rsid w:val="003E737A"/>
    <w:rsid w:val="003E773E"/>
    <w:rsid w:val="003E79B5"/>
    <w:rsid w:val="003E7CD6"/>
    <w:rsid w:val="003F010A"/>
    <w:rsid w:val="003F0296"/>
    <w:rsid w:val="003F02C7"/>
    <w:rsid w:val="003F07E8"/>
    <w:rsid w:val="003F0F00"/>
    <w:rsid w:val="003F20C6"/>
    <w:rsid w:val="003F23C4"/>
    <w:rsid w:val="003F2AD6"/>
    <w:rsid w:val="003F2DD3"/>
    <w:rsid w:val="003F360A"/>
    <w:rsid w:val="003F4661"/>
    <w:rsid w:val="003F4973"/>
    <w:rsid w:val="003F4E3C"/>
    <w:rsid w:val="003F510A"/>
    <w:rsid w:val="003F5150"/>
    <w:rsid w:val="003F517F"/>
    <w:rsid w:val="003F53D8"/>
    <w:rsid w:val="003F5419"/>
    <w:rsid w:val="003F5421"/>
    <w:rsid w:val="003F54D9"/>
    <w:rsid w:val="003F5A36"/>
    <w:rsid w:val="003F5A95"/>
    <w:rsid w:val="003F5E46"/>
    <w:rsid w:val="003F611C"/>
    <w:rsid w:val="003F770E"/>
    <w:rsid w:val="003F7897"/>
    <w:rsid w:val="003F79D5"/>
    <w:rsid w:val="003F7DA4"/>
    <w:rsid w:val="003F7EA0"/>
    <w:rsid w:val="004000D1"/>
    <w:rsid w:val="004001DF"/>
    <w:rsid w:val="004002AE"/>
    <w:rsid w:val="00400B11"/>
    <w:rsid w:val="004010ED"/>
    <w:rsid w:val="00401817"/>
    <w:rsid w:val="00401AA4"/>
    <w:rsid w:val="00401BC7"/>
    <w:rsid w:val="00401C3C"/>
    <w:rsid w:val="00401FF1"/>
    <w:rsid w:val="00402608"/>
    <w:rsid w:val="00402640"/>
    <w:rsid w:val="00403A11"/>
    <w:rsid w:val="00403AAE"/>
    <w:rsid w:val="0040442A"/>
    <w:rsid w:val="0040444F"/>
    <w:rsid w:val="00405812"/>
    <w:rsid w:val="00405853"/>
    <w:rsid w:val="004059BF"/>
    <w:rsid w:val="00405DEA"/>
    <w:rsid w:val="0040602B"/>
    <w:rsid w:val="00406296"/>
    <w:rsid w:val="00406CD6"/>
    <w:rsid w:val="00406DB1"/>
    <w:rsid w:val="0040748C"/>
    <w:rsid w:val="004076D4"/>
    <w:rsid w:val="00407A37"/>
    <w:rsid w:val="00407ECC"/>
    <w:rsid w:val="00407FA6"/>
    <w:rsid w:val="00410768"/>
    <w:rsid w:val="00410854"/>
    <w:rsid w:val="00410EE3"/>
    <w:rsid w:val="004112FC"/>
    <w:rsid w:val="004114DA"/>
    <w:rsid w:val="00411835"/>
    <w:rsid w:val="004118DC"/>
    <w:rsid w:val="004122D5"/>
    <w:rsid w:val="00412E86"/>
    <w:rsid w:val="00413D4C"/>
    <w:rsid w:val="004141AD"/>
    <w:rsid w:val="00414319"/>
    <w:rsid w:val="00414381"/>
    <w:rsid w:val="004146E7"/>
    <w:rsid w:val="00414EED"/>
    <w:rsid w:val="00414F1E"/>
    <w:rsid w:val="004154EA"/>
    <w:rsid w:val="004156A0"/>
    <w:rsid w:val="00415A33"/>
    <w:rsid w:val="00416426"/>
    <w:rsid w:val="00416793"/>
    <w:rsid w:val="004167A6"/>
    <w:rsid w:val="004171FC"/>
    <w:rsid w:val="00417625"/>
    <w:rsid w:val="004206E7"/>
    <w:rsid w:val="00420A43"/>
    <w:rsid w:val="004219B4"/>
    <w:rsid w:val="00421B11"/>
    <w:rsid w:val="004220BA"/>
    <w:rsid w:val="00422532"/>
    <w:rsid w:val="004225E9"/>
    <w:rsid w:val="00422A31"/>
    <w:rsid w:val="00422C00"/>
    <w:rsid w:val="0042316B"/>
    <w:rsid w:val="00423170"/>
    <w:rsid w:val="0042324C"/>
    <w:rsid w:val="00423891"/>
    <w:rsid w:val="00423B81"/>
    <w:rsid w:val="00424019"/>
    <w:rsid w:val="0042420D"/>
    <w:rsid w:val="00425077"/>
    <w:rsid w:val="00425421"/>
    <w:rsid w:val="00425885"/>
    <w:rsid w:val="0042592E"/>
    <w:rsid w:val="00425E05"/>
    <w:rsid w:val="00426339"/>
    <w:rsid w:val="004270BB"/>
    <w:rsid w:val="00427540"/>
    <w:rsid w:val="004276E7"/>
    <w:rsid w:val="00430292"/>
    <w:rsid w:val="004304D4"/>
    <w:rsid w:val="00430903"/>
    <w:rsid w:val="00430F97"/>
    <w:rsid w:val="0043107C"/>
    <w:rsid w:val="0043134A"/>
    <w:rsid w:val="004315FB"/>
    <w:rsid w:val="0043183E"/>
    <w:rsid w:val="0043260E"/>
    <w:rsid w:val="00432EC2"/>
    <w:rsid w:val="00433385"/>
    <w:rsid w:val="00433900"/>
    <w:rsid w:val="004339B0"/>
    <w:rsid w:val="00433B39"/>
    <w:rsid w:val="00433D63"/>
    <w:rsid w:val="00433EEC"/>
    <w:rsid w:val="00433F74"/>
    <w:rsid w:val="004342D9"/>
    <w:rsid w:val="00435285"/>
    <w:rsid w:val="00435361"/>
    <w:rsid w:val="00435B34"/>
    <w:rsid w:val="0043617F"/>
    <w:rsid w:val="004364A5"/>
    <w:rsid w:val="00436C62"/>
    <w:rsid w:val="004370E6"/>
    <w:rsid w:val="00437472"/>
    <w:rsid w:val="0043761F"/>
    <w:rsid w:val="00437D51"/>
    <w:rsid w:val="004403ED"/>
    <w:rsid w:val="004412AC"/>
    <w:rsid w:val="004418E7"/>
    <w:rsid w:val="00441C0C"/>
    <w:rsid w:val="00441E8C"/>
    <w:rsid w:val="00442FD2"/>
    <w:rsid w:val="004433DF"/>
    <w:rsid w:val="00443D73"/>
    <w:rsid w:val="004441F5"/>
    <w:rsid w:val="00444235"/>
    <w:rsid w:val="00444370"/>
    <w:rsid w:val="00444591"/>
    <w:rsid w:val="00444829"/>
    <w:rsid w:val="00444BE8"/>
    <w:rsid w:val="00445007"/>
    <w:rsid w:val="004455DD"/>
    <w:rsid w:val="00445823"/>
    <w:rsid w:val="00445E4C"/>
    <w:rsid w:val="004460E2"/>
    <w:rsid w:val="00446408"/>
    <w:rsid w:val="00446855"/>
    <w:rsid w:val="0044750E"/>
    <w:rsid w:val="00447AA9"/>
    <w:rsid w:val="00447F65"/>
    <w:rsid w:val="00450A92"/>
    <w:rsid w:val="004511C6"/>
    <w:rsid w:val="00452430"/>
    <w:rsid w:val="00453728"/>
    <w:rsid w:val="004539A7"/>
    <w:rsid w:val="00454726"/>
    <w:rsid w:val="00454971"/>
    <w:rsid w:val="00454972"/>
    <w:rsid w:val="004550E9"/>
    <w:rsid w:val="00455370"/>
    <w:rsid w:val="004556A2"/>
    <w:rsid w:val="004563DD"/>
    <w:rsid w:val="00456565"/>
    <w:rsid w:val="00456587"/>
    <w:rsid w:val="00456BBC"/>
    <w:rsid w:val="0045784D"/>
    <w:rsid w:val="00460943"/>
    <w:rsid w:val="004609BC"/>
    <w:rsid w:val="00460AF5"/>
    <w:rsid w:val="00460F07"/>
    <w:rsid w:val="0046116F"/>
    <w:rsid w:val="00461816"/>
    <w:rsid w:val="00461834"/>
    <w:rsid w:val="00461B0D"/>
    <w:rsid w:val="00461B71"/>
    <w:rsid w:val="00461C26"/>
    <w:rsid w:val="00461EC7"/>
    <w:rsid w:val="004627FC"/>
    <w:rsid w:val="00462949"/>
    <w:rsid w:val="00462DB4"/>
    <w:rsid w:val="00462E72"/>
    <w:rsid w:val="00463C73"/>
    <w:rsid w:val="00464397"/>
    <w:rsid w:val="004643A3"/>
    <w:rsid w:val="004643C2"/>
    <w:rsid w:val="004649F1"/>
    <w:rsid w:val="004658AC"/>
    <w:rsid w:val="00465AAA"/>
    <w:rsid w:val="00465D2F"/>
    <w:rsid w:val="00465FBC"/>
    <w:rsid w:val="00466606"/>
    <w:rsid w:val="00466AC7"/>
    <w:rsid w:val="00466AF9"/>
    <w:rsid w:val="00466C0C"/>
    <w:rsid w:val="00467003"/>
    <w:rsid w:val="004671C7"/>
    <w:rsid w:val="0046743F"/>
    <w:rsid w:val="00467837"/>
    <w:rsid w:val="00467A72"/>
    <w:rsid w:val="00467D91"/>
    <w:rsid w:val="0047037F"/>
    <w:rsid w:val="00470A90"/>
    <w:rsid w:val="004713CE"/>
    <w:rsid w:val="004716CF"/>
    <w:rsid w:val="00471933"/>
    <w:rsid w:val="00471C91"/>
    <w:rsid w:val="00471F8E"/>
    <w:rsid w:val="00472997"/>
    <w:rsid w:val="00472B2D"/>
    <w:rsid w:val="00473245"/>
    <w:rsid w:val="004741CB"/>
    <w:rsid w:val="004741F2"/>
    <w:rsid w:val="004747F8"/>
    <w:rsid w:val="0047497A"/>
    <w:rsid w:val="00474AE8"/>
    <w:rsid w:val="00474CA1"/>
    <w:rsid w:val="0047504C"/>
    <w:rsid w:val="0047529F"/>
    <w:rsid w:val="00475479"/>
    <w:rsid w:val="00475B5B"/>
    <w:rsid w:val="00475E77"/>
    <w:rsid w:val="00475E9E"/>
    <w:rsid w:val="00475F9F"/>
    <w:rsid w:val="0047627E"/>
    <w:rsid w:val="004762E0"/>
    <w:rsid w:val="00476830"/>
    <w:rsid w:val="004769EA"/>
    <w:rsid w:val="00476B91"/>
    <w:rsid w:val="00477170"/>
    <w:rsid w:val="00480412"/>
    <w:rsid w:val="00480852"/>
    <w:rsid w:val="0048099B"/>
    <w:rsid w:val="004810D4"/>
    <w:rsid w:val="00481247"/>
    <w:rsid w:val="0048126B"/>
    <w:rsid w:val="00482A8B"/>
    <w:rsid w:val="00483BBE"/>
    <w:rsid w:val="00483C83"/>
    <w:rsid w:val="00484043"/>
    <w:rsid w:val="004849A8"/>
    <w:rsid w:val="00484D7E"/>
    <w:rsid w:val="00484F63"/>
    <w:rsid w:val="00485557"/>
    <w:rsid w:val="00485D3D"/>
    <w:rsid w:val="00485F67"/>
    <w:rsid w:val="00485FA1"/>
    <w:rsid w:val="00486776"/>
    <w:rsid w:val="004867A3"/>
    <w:rsid w:val="004878F6"/>
    <w:rsid w:val="00490374"/>
    <w:rsid w:val="00490B11"/>
    <w:rsid w:val="004914D3"/>
    <w:rsid w:val="00491DF2"/>
    <w:rsid w:val="00492345"/>
    <w:rsid w:val="004927AC"/>
    <w:rsid w:val="004929AD"/>
    <w:rsid w:val="00492C5A"/>
    <w:rsid w:val="00493ABC"/>
    <w:rsid w:val="00494731"/>
    <w:rsid w:val="004949D2"/>
    <w:rsid w:val="00494A90"/>
    <w:rsid w:val="00494AAE"/>
    <w:rsid w:val="00494D83"/>
    <w:rsid w:val="00494E22"/>
    <w:rsid w:val="00494F8B"/>
    <w:rsid w:val="004958CB"/>
    <w:rsid w:val="00495F61"/>
    <w:rsid w:val="0049606C"/>
    <w:rsid w:val="004960CC"/>
    <w:rsid w:val="0049666A"/>
    <w:rsid w:val="00496C0A"/>
    <w:rsid w:val="00496D54"/>
    <w:rsid w:val="00497770"/>
    <w:rsid w:val="00497C68"/>
    <w:rsid w:val="00497D58"/>
    <w:rsid w:val="004A03EC"/>
    <w:rsid w:val="004A0487"/>
    <w:rsid w:val="004A0489"/>
    <w:rsid w:val="004A0F66"/>
    <w:rsid w:val="004A1536"/>
    <w:rsid w:val="004A158B"/>
    <w:rsid w:val="004A18FD"/>
    <w:rsid w:val="004A1E0E"/>
    <w:rsid w:val="004A2179"/>
    <w:rsid w:val="004A244C"/>
    <w:rsid w:val="004A26DF"/>
    <w:rsid w:val="004A33DF"/>
    <w:rsid w:val="004A44E8"/>
    <w:rsid w:val="004A4D2A"/>
    <w:rsid w:val="004A4D4F"/>
    <w:rsid w:val="004A4F9F"/>
    <w:rsid w:val="004A52F9"/>
    <w:rsid w:val="004A59D6"/>
    <w:rsid w:val="004A64DB"/>
    <w:rsid w:val="004A6BC2"/>
    <w:rsid w:val="004A770A"/>
    <w:rsid w:val="004A7A4C"/>
    <w:rsid w:val="004A7B7A"/>
    <w:rsid w:val="004A7C3A"/>
    <w:rsid w:val="004B0491"/>
    <w:rsid w:val="004B04FF"/>
    <w:rsid w:val="004B0A23"/>
    <w:rsid w:val="004B1724"/>
    <w:rsid w:val="004B17C3"/>
    <w:rsid w:val="004B17F9"/>
    <w:rsid w:val="004B1DC4"/>
    <w:rsid w:val="004B23E4"/>
    <w:rsid w:val="004B24C5"/>
    <w:rsid w:val="004B25B9"/>
    <w:rsid w:val="004B26E6"/>
    <w:rsid w:val="004B27C6"/>
    <w:rsid w:val="004B2E9C"/>
    <w:rsid w:val="004B3183"/>
    <w:rsid w:val="004B347B"/>
    <w:rsid w:val="004B41B3"/>
    <w:rsid w:val="004B4C5E"/>
    <w:rsid w:val="004B4F7E"/>
    <w:rsid w:val="004B5203"/>
    <w:rsid w:val="004B53F1"/>
    <w:rsid w:val="004B6217"/>
    <w:rsid w:val="004B6472"/>
    <w:rsid w:val="004B66E8"/>
    <w:rsid w:val="004B6849"/>
    <w:rsid w:val="004B6DCB"/>
    <w:rsid w:val="004B6EAB"/>
    <w:rsid w:val="004B70B7"/>
    <w:rsid w:val="004B74E4"/>
    <w:rsid w:val="004B792C"/>
    <w:rsid w:val="004B7BF0"/>
    <w:rsid w:val="004B7DA6"/>
    <w:rsid w:val="004C033E"/>
    <w:rsid w:val="004C0B1E"/>
    <w:rsid w:val="004C1C9A"/>
    <w:rsid w:val="004C1EB1"/>
    <w:rsid w:val="004C2182"/>
    <w:rsid w:val="004C255E"/>
    <w:rsid w:val="004C2A68"/>
    <w:rsid w:val="004C3214"/>
    <w:rsid w:val="004C41D0"/>
    <w:rsid w:val="004C4659"/>
    <w:rsid w:val="004C46D0"/>
    <w:rsid w:val="004C51D3"/>
    <w:rsid w:val="004C5834"/>
    <w:rsid w:val="004C5B07"/>
    <w:rsid w:val="004C5F1F"/>
    <w:rsid w:val="004C61CC"/>
    <w:rsid w:val="004C626A"/>
    <w:rsid w:val="004C6F06"/>
    <w:rsid w:val="004C7EF0"/>
    <w:rsid w:val="004D0142"/>
    <w:rsid w:val="004D01DB"/>
    <w:rsid w:val="004D05AC"/>
    <w:rsid w:val="004D0BED"/>
    <w:rsid w:val="004D0CEF"/>
    <w:rsid w:val="004D0CF2"/>
    <w:rsid w:val="004D0D0F"/>
    <w:rsid w:val="004D0E56"/>
    <w:rsid w:val="004D127B"/>
    <w:rsid w:val="004D1699"/>
    <w:rsid w:val="004D1A1F"/>
    <w:rsid w:val="004D1CC4"/>
    <w:rsid w:val="004D241D"/>
    <w:rsid w:val="004D243B"/>
    <w:rsid w:val="004D378C"/>
    <w:rsid w:val="004D3C7C"/>
    <w:rsid w:val="004D3DB3"/>
    <w:rsid w:val="004D3E59"/>
    <w:rsid w:val="004D43F6"/>
    <w:rsid w:val="004D44E5"/>
    <w:rsid w:val="004D4703"/>
    <w:rsid w:val="004D4EED"/>
    <w:rsid w:val="004D563A"/>
    <w:rsid w:val="004D5C3F"/>
    <w:rsid w:val="004D5C50"/>
    <w:rsid w:val="004D6443"/>
    <w:rsid w:val="004D6F72"/>
    <w:rsid w:val="004D71F2"/>
    <w:rsid w:val="004D77CD"/>
    <w:rsid w:val="004D7A59"/>
    <w:rsid w:val="004D7F83"/>
    <w:rsid w:val="004E037D"/>
    <w:rsid w:val="004E0E7A"/>
    <w:rsid w:val="004E135B"/>
    <w:rsid w:val="004E1487"/>
    <w:rsid w:val="004E178C"/>
    <w:rsid w:val="004E1CD4"/>
    <w:rsid w:val="004E1D03"/>
    <w:rsid w:val="004E2078"/>
    <w:rsid w:val="004E21D5"/>
    <w:rsid w:val="004E2246"/>
    <w:rsid w:val="004E260E"/>
    <w:rsid w:val="004E2891"/>
    <w:rsid w:val="004E2A0E"/>
    <w:rsid w:val="004E2AF0"/>
    <w:rsid w:val="004E2C6E"/>
    <w:rsid w:val="004E2E52"/>
    <w:rsid w:val="004E2ED3"/>
    <w:rsid w:val="004E39CF"/>
    <w:rsid w:val="004E446E"/>
    <w:rsid w:val="004E45AD"/>
    <w:rsid w:val="004E4DB5"/>
    <w:rsid w:val="004E4F0A"/>
    <w:rsid w:val="004E5D4C"/>
    <w:rsid w:val="004E622E"/>
    <w:rsid w:val="004E7471"/>
    <w:rsid w:val="004F010D"/>
    <w:rsid w:val="004F0143"/>
    <w:rsid w:val="004F0884"/>
    <w:rsid w:val="004F0914"/>
    <w:rsid w:val="004F17BC"/>
    <w:rsid w:val="004F189B"/>
    <w:rsid w:val="004F18AF"/>
    <w:rsid w:val="004F1C58"/>
    <w:rsid w:val="004F2136"/>
    <w:rsid w:val="004F28C1"/>
    <w:rsid w:val="004F2AA1"/>
    <w:rsid w:val="004F2E80"/>
    <w:rsid w:val="004F358F"/>
    <w:rsid w:val="004F3F29"/>
    <w:rsid w:val="004F48AE"/>
    <w:rsid w:val="004F4C5D"/>
    <w:rsid w:val="004F4E32"/>
    <w:rsid w:val="004F4EF2"/>
    <w:rsid w:val="004F5316"/>
    <w:rsid w:val="004F562C"/>
    <w:rsid w:val="004F5A92"/>
    <w:rsid w:val="004F5CAB"/>
    <w:rsid w:val="004F5EC0"/>
    <w:rsid w:val="004F669A"/>
    <w:rsid w:val="004F66F8"/>
    <w:rsid w:val="004F6EB0"/>
    <w:rsid w:val="004F755B"/>
    <w:rsid w:val="004F7EED"/>
    <w:rsid w:val="00500A83"/>
    <w:rsid w:val="00500C5A"/>
    <w:rsid w:val="005010BF"/>
    <w:rsid w:val="0050165F"/>
    <w:rsid w:val="0050190F"/>
    <w:rsid w:val="005019D7"/>
    <w:rsid w:val="00501F19"/>
    <w:rsid w:val="005020D6"/>
    <w:rsid w:val="0050213D"/>
    <w:rsid w:val="00502178"/>
    <w:rsid w:val="0050217A"/>
    <w:rsid w:val="00502BB9"/>
    <w:rsid w:val="00502D07"/>
    <w:rsid w:val="00502E7C"/>
    <w:rsid w:val="00502E97"/>
    <w:rsid w:val="00503117"/>
    <w:rsid w:val="005031D2"/>
    <w:rsid w:val="0050337B"/>
    <w:rsid w:val="0050488F"/>
    <w:rsid w:val="005048F9"/>
    <w:rsid w:val="005056A0"/>
    <w:rsid w:val="005057F6"/>
    <w:rsid w:val="0050598A"/>
    <w:rsid w:val="00505EEE"/>
    <w:rsid w:val="00506D45"/>
    <w:rsid w:val="005071A4"/>
    <w:rsid w:val="00507E01"/>
    <w:rsid w:val="00510CC6"/>
    <w:rsid w:val="005110F1"/>
    <w:rsid w:val="0051234E"/>
    <w:rsid w:val="00512875"/>
    <w:rsid w:val="005131A8"/>
    <w:rsid w:val="005137C3"/>
    <w:rsid w:val="00514122"/>
    <w:rsid w:val="005147A4"/>
    <w:rsid w:val="00514D21"/>
    <w:rsid w:val="00515339"/>
    <w:rsid w:val="005158F4"/>
    <w:rsid w:val="00516090"/>
    <w:rsid w:val="005167E8"/>
    <w:rsid w:val="00516AC2"/>
    <w:rsid w:val="00516CC4"/>
    <w:rsid w:val="00516D6E"/>
    <w:rsid w:val="0051727A"/>
    <w:rsid w:val="005172C1"/>
    <w:rsid w:val="0051789A"/>
    <w:rsid w:val="00517A39"/>
    <w:rsid w:val="00517DAC"/>
    <w:rsid w:val="00517F1C"/>
    <w:rsid w:val="00517FB1"/>
    <w:rsid w:val="0052000C"/>
    <w:rsid w:val="005201A1"/>
    <w:rsid w:val="005203D5"/>
    <w:rsid w:val="0052041E"/>
    <w:rsid w:val="0052065E"/>
    <w:rsid w:val="005207D7"/>
    <w:rsid w:val="00520B53"/>
    <w:rsid w:val="00521033"/>
    <w:rsid w:val="005212C9"/>
    <w:rsid w:val="005228E0"/>
    <w:rsid w:val="005251B9"/>
    <w:rsid w:val="0052536E"/>
    <w:rsid w:val="00525586"/>
    <w:rsid w:val="00525C22"/>
    <w:rsid w:val="00525EE5"/>
    <w:rsid w:val="0052646F"/>
    <w:rsid w:val="0052662C"/>
    <w:rsid w:val="005269F6"/>
    <w:rsid w:val="00526A2A"/>
    <w:rsid w:val="005270E4"/>
    <w:rsid w:val="0052780D"/>
    <w:rsid w:val="0053064D"/>
    <w:rsid w:val="00530925"/>
    <w:rsid w:val="005318AD"/>
    <w:rsid w:val="005324FC"/>
    <w:rsid w:val="00532649"/>
    <w:rsid w:val="00532B4A"/>
    <w:rsid w:val="00533322"/>
    <w:rsid w:val="005333E7"/>
    <w:rsid w:val="0053353B"/>
    <w:rsid w:val="00533625"/>
    <w:rsid w:val="00533B65"/>
    <w:rsid w:val="00533B83"/>
    <w:rsid w:val="0053410D"/>
    <w:rsid w:val="00534866"/>
    <w:rsid w:val="005349EC"/>
    <w:rsid w:val="0053593B"/>
    <w:rsid w:val="00535A83"/>
    <w:rsid w:val="00535FF6"/>
    <w:rsid w:val="005361EF"/>
    <w:rsid w:val="00536B05"/>
    <w:rsid w:val="00536BE8"/>
    <w:rsid w:val="00536C54"/>
    <w:rsid w:val="005373F0"/>
    <w:rsid w:val="005375D1"/>
    <w:rsid w:val="00537FCA"/>
    <w:rsid w:val="00540228"/>
    <w:rsid w:val="005404D2"/>
    <w:rsid w:val="005419EA"/>
    <w:rsid w:val="00542070"/>
    <w:rsid w:val="005421D6"/>
    <w:rsid w:val="00542CA6"/>
    <w:rsid w:val="00542FC0"/>
    <w:rsid w:val="0054370F"/>
    <w:rsid w:val="0054371B"/>
    <w:rsid w:val="00543754"/>
    <w:rsid w:val="005437FC"/>
    <w:rsid w:val="00543B82"/>
    <w:rsid w:val="00544492"/>
    <w:rsid w:val="00544728"/>
    <w:rsid w:val="00544AB5"/>
    <w:rsid w:val="00544C04"/>
    <w:rsid w:val="00544CC9"/>
    <w:rsid w:val="00545216"/>
    <w:rsid w:val="00545781"/>
    <w:rsid w:val="005459B9"/>
    <w:rsid w:val="00545A66"/>
    <w:rsid w:val="00545D13"/>
    <w:rsid w:val="00546384"/>
    <w:rsid w:val="0054714E"/>
    <w:rsid w:val="005473B2"/>
    <w:rsid w:val="00547B52"/>
    <w:rsid w:val="005502AE"/>
    <w:rsid w:val="00550898"/>
    <w:rsid w:val="00550B1C"/>
    <w:rsid w:val="00550ED4"/>
    <w:rsid w:val="00551179"/>
    <w:rsid w:val="005518A7"/>
    <w:rsid w:val="00551944"/>
    <w:rsid w:val="00551EA1"/>
    <w:rsid w:val="00551FA5"/>
    <w:rsid w:val="005522AF"/>
    <w:rsid w:val="00552333"/>
    <w:rsid w:val="00552646"/>
    <w:rsid w:val="00552810"/>
    <w:rsid w:val="00552F78"/>
    <w:rsid w:val="00553415"/>
    <w:rsid w:val="00553784"/>
    <w:rsid w:val="005537AB"/>
    <w:rsid w:val="00554662"/>
    <w:rsid w:val="005547FC"/>
    <w:rsid w:val="00554A81"/>
    <w:rsid w:val="00554B58"/>
    <w:rsid w:val="0055554A"/>
    <w:rsid w:val="00555718"/>
    <w:rsid w:val="00555726"/>
    <w:rsid w:val="005559ED"/>
    <w:rsid w:val="00555C15"/>
    <w:rsid w:val="005567FC"/>
    <w:rsid w:val="00556A0E"/>
    <w:rsid w:val="00556BB8"/>
    <w:rsid w:val="00556E3C"/>
    <w:rsid w:val="00557067"/>
    <w:rsid w:val="00557369"/>
    <w:rsid w:val="005576DC"/>
    <w:rsid w:val="00557946"/>
    <w:rsid w:val="00557978"/>
    <w:rsid w:val="00557B23"/>
    <w:rsid w:val="00557B37"/>
    <w:rsid w:val="00557C0A"/>
    <w:rsid w:val="00557E70"/>
    <w:rsid w:val="00557EFC"/>
    <w:rsid w:val="0056008D"/>
    <w:rsid w:val="00560334"/>
    <w:rsid w:val="005603F6"/>
    <w:rsid w:val="00560516"/>
    <w:rsid w:val="005605FF"/>
    <w:rsid w:val="00562060"/>
    <w:rsid w:val="005620A0"/>
    <w:rsid w:val="00562C59"/>
    <w:rsid w:val="00563AE9"/>
    <w:rsid w:val="00564095"/>
    <w:rsid w:val="00564732"/>
    <w:rsid w:val="00564A17"/>
    <w:rsid w:val="005651CE"/>
    <w:rsid w:val="005657D7"/>
    <w:rsid w:val="00565C5E"/>
    <w:rsid w:val="00565CFB"/>
    <w:rsid w:val="0056617D"/>
    <w:rsid w:val="005661A1"/>
    <w:rsid w:val="00566EAC"/>
    <w:rsid w:val="0056796F"/>
    <w:rsid w:val="005709BA"/>
    <w:rsid w:val="00570B3E"/>
    <w:rsid w:val="00570BB6"/>
    <w:rsid w:val="00570E6C"/>
    <w:rsid w:val="005716F0"/>
    <w:rsid w:val="00572118"/>
    <w:rsid w:val="005724CB"/>
    <w:rsid w:val="005727C7"/>
    <w:rsid w:val="00572889"/>
    <w:rsid w:val="00572E83"/>
    <w:rsid w:val="00573814"/>
    <w:rsid w:val="005747B5"/>
    <w:rsid w:val="00574D76"/>
    <w:rsid w:val="005750FA"/>
    <w:rsid w:val="005751D1"/>
    <w:rsid w:val="005753BE"/>
    <w:rsid w:val="00575455"/>
    <w:rsid w:val="00575C69"/>
    <w:rsid w:val="005764FC"/>
    <w:rsid w:val="005768B3"/>
    <w:rsid w:val="0057706B"/>
    <w:rsid w:val="0057718F"/>
    <w:rsid w:val="00577D12"/>
    <w:rsid w:val="0058034B"/>
    <w:rsid w:val="00580505"/>
    <w:rsid w:val="005808B1"/>
    <w:rsid w:val="00580D97"/>
    <w:rsid w:val="00580DB4"/>
    <w:rsid w:val="00580F58"/>
    <w:rsid w:val="00582BF9"/>
    <w:rsid w:val="00582DF7"/>
    <w:rsid w:val="00582E35"/>
    <w:rsid w:val="005835D6"/>
    <w:rsid w:val="0058374E"/>
    <w:rsid w:val="0058386E"/>
    <w:rsid w:val="0058405E"/>
    <w:rsid w:val="00584239"/>
    <w:rsid w:val="00584E7A"/>
    <w:rsid w:val="005861F8"/>
    <w:rsid w:val="00586E2A"/>
    <w:rsid w:val="0058701D"/>
    <w:rsid w:val="00587064"/>
    <w:rsid w:val="0058757F"/>
    <w:rsid w:val="005877BF"/>
    <w:rsid w:val="005905A7"/>
    <w:rsid w:val="00590AEA"/>
    <w:rsid w:val="0059117D"/>
    <w:rsid w:val="00591C57"/>
    <w:rsid w:val="00591EB6"/>
    <w:rsid w:val="00592639"/>
    <w:rsid w:val="00592E50"/>
    <w:rsid w:val="00593542"/>
    <w:rsid w:val="00593571"/>
    <w:rsid w:val="005944EC"/>
    <w:rsid w:val="00594A95"/>
    <w:rsid w:val="00594F21"/>
    <w:rsid w:val="00594F8E"/>
    <w:rsid w:val="005950F1"/>
    <w:rsid w:val="005955BF"/>
    <w:rsid w:val="005957A8"/>
    <w:rsid w:val="0059595A"/>
    <w:rsid w:val="00595EA1"/>
    <w:rsid w:val="00596466"/>
    <w:rsid w:val="005970D2"/>
    <w:rsid w:val="005974CF"/>
    <w:rsid w:val="005976CA"/>
    <w:rsid w:val="005A0E4F"/>
    <w:rsid w:val="005A10E3"/>
    <w:rsid w:val="005A125D"/>
    <w:rsid w:val="005A2036"/>
    <w:rsid w:val="005A2650"/>
    <w:rsid w:val="005A27F9"/>
    <w:rsid w:val="005A3299"/>
    <w:rsid w:val="005A3FC9"/>
    <w:rsid w:val="005A4251"/>
    <w:rsid w:val="005A43A1"/>
    <w:rsid w:val="005A43BF"/>
    <w:rsid w:val="005A4A1D"/>
    <w:rsid w:val="005A4B37"/>
    <w:rsid w:val="005A5124"/>
    <w:rsid w:val="005A55F6"/>
    <w:rsid w:val="005A5B28"/>
    <w:rsid w:val="005A62CD"/>
    <w:rsid w:val="005A63A4"/>
    <w:rsid w:val="005A656A"/>
    <w:rsid w:val="005A67FB"/>
    <w:rsid w:val="005A76A2"/>
    <w:rsid w:val="005A7FEF"/>
    <w:rsid w:val="005B0424"/>
    <w:rsid w:val="005B086E"/>
    <w:rsid w:val="005B0D58"/>
    <w:rsid w:val="005B1422"/>
    <w:rsid w:val="005B14A9"/>
    <w:rsid w:val="005B1BE7"/>
    <w:rsid w:val="005B2061"/>
    <w:rsid w:val="005B211C"/>
    <w:rsid w:val="005B224C"/>
    <w:rsid w:val="005B2375"/>
    <w:rsid w:val="005B2C7F"/>
    <w:rsid w:val="005B4431"/>
    <w:rsid w:val="005B47A3"/>
    <w:rsid w:val="005B4914"/>
    <w:rsid w:val="005B49CB"/>
    <w:rsid w:val="005B4DB6"/>
    <w:rsid w:val="005B5362"/>
    <w:rsid w:val="005B5782"/>
    <w:rsid w:val="005B5D74"/>
    <w:rsid w:val="005B6040"/>
    <w:rsid w:val="005B60B8"/>
    <w:rsid w:val="005B66EF"/>
    <w:rsid w:val="005B6DE6"/>
    <w:rsid w:val="005B6FBD"/>
    <w:rsid w:val="005B7018"/>
    <w:rsid w:val="005B7391"/>
    <w:rsid w:val="005B7B49"/>
    <w:rsid w:val="005B7F37"/>
    <w:rsid w:val="005B7FDD"/>
    <w:rsid w:val="005C0022"/>
    <w:rsid w:val="005C02D5"/>
    <w:rsid w:val="005C06AA"/>
    <w:rsid w:val="005C0DD6"/>
    <w:rsid w:val="005C113D"/>
    <w:rsid w:val="005C15EE"/>
    <w:rsid w:val="005C1735"/>
    <w:rsid w:val="005C1AA2"/>
    <w:rsid w:val="005C2351"/>
    <w:rsid w:val="005C27C9"/>
    <w:rsid w:val="005C28D8"/>
    <w:rsid w:val="005C2E17"/>
    <w:rsid w:val="005C3045"/>
    <w:rsid w:val="005C32FC"/>
    <w:rsid w:val="005C336A"/>
    <w:rsid w:val="005C34BB"/>
    <w:rsid w:val="005C3E51"/>
    <w:rsid w:val="005C423B"/>
    <w:rsid w:val="005C4A8C"/>
    <w:rsid w:val="005C526A"/>
    <w:rsid w:val="005C592A"/>
    <w:rsid w:val="005C5CA7"/>
    <w:rsid w:val="005C6031"/>
    <w:rsid w:val="005C6138"/>
    <w:rsid w:val="005C6352"/>
    <w:rsid w:val="005C68E7"/>
    <w:rsid w:val="005C6CC8"/>
    <w:rsid w:val="005C6DAE"/>
    <w:rsid w:val="005C6DEE"/>
    <w:rsid w:val="005C6EC8"/>
    <w:rsid w:val="005C7B7F"/>
    <w:rsid w:val="005C7CF6"/>
    <w:rsid w:val="005D0149"/>
    <w:rsid w:val="005D01C3"/>
    <w:rsid w:val="005D1F98"/>
    <w:rsid w:val="005D2ACE"/>
    <w:rsid w:val="005D31BD"/>
    <w:rsid w:val="005D3F84"/>
    <w:rsid w:val="005D439B"/>
    <w:rsid w:val="005D463A"/>
    <w:rsid w:val="005D4E63"/>
    <w:rsid w:val="005D5051"/>
    <w:rsid w:val="005D505C"/>
    <w:rsid w:val="005D53EB"/>
    <w:rsid w:val="005D5AF7"/>
    <w:rsid w:val="005D6588"/>
    <w:rsid w:val="005D6DD7"/>
    <w:rsid w:val="005D7085"/>
    <w:rsid w:val="005D78A0"/>
    <w:rsid w:val="005D7B29"/>
    <w:rsid w:val="005E0752"/>
    <w:rsid w:val="005E0865"/>
    <w:rsid w:val="005E0980"/>
    <w:rsid w:val="005E10DE"/>
    <w:rsid w:val="005E2411"/>
    <w:rsid w:val="005E2517"/>
    <w:rsid w:val="005E265E"/>
    <w:rsid w:val="005E300C"/>
    <w:rsid w:val="005E4091"/>
    <w:rsid w:val="005E40D7"/>
    <w:rsid w:val="005E42CB"/>
    <w:rsid w:val="005E4607"/>
    <w:rsid w:val="005E462A"/>
    <w:rsid w:val="005E4931"/>
    <w:rsid w:val="005E50AF"/>
    <w:rsid w:val="005E5856"/>
    <w:rsid w:val="005E585A"/>
    <w:rsid w:val="005E59F1"/>
    <w:rsid w:val="005E5DA9"/>
    <w:rsid w:val="005E615A"/>
    <w:rsid w:val="005E6510"/>
    <w:rsid w:val="005E6742"/>
    <w:rsid w:val="005E6954"/>
    <w:rsid w:val="005E6B2F"/>
    <w:rsid w:val="005E7011"/>
    <w:rsid w:val="005E73FE"/>
    <w:rsid w:val="005E7588"/>
    <w:rsid w:val="005E77D8"/>
    <w:rsid w:val="005E7852"/>
    <w:rsid w:val="005E79C9"/>
    <w:rsid w:val="005F0822"/>
    <w:rsid w:val="005F0A2B"/>
    <w:rsid w:val="005F0E04"/>
    <w:rsid w:val="005F1496"/>
    <w:rsid w:val="005F1815"/>
    <w:rsid w:val="005F18A7"/>
    <w:rsid w:val="005F1BF7"/>
    <w:rsid w:val="005F2AF0"/>
    <w:rsid w:val="005F2E77"/>
    <w:rsid w:val="005F3974"/>
    <w:rsid w:val="005F3A63"/>
    <w:rsid w:val="005F43D8"/>
    <w:rsid w:val="005F4741"/>
    <w:rsid w:val="005F4829"/>
    <w:rsid w:val="005F4BE3"/>
    <w:rsid w:val="005F59D0"/>
    <w:rsid w:val="005F6547"/>
    <w:rsid w:val="005F6915"/>
    <w:rsid w:val="005F69C8"/>
    <w:rsid w:val="005F6A16"/>
    <w:rsid w:val="005F70FE"/>
    <w:rsid w:val="005F7D3D"/>
    <w:rsid w:val="005F7DA3"/>
    <w:rsid w:val="006003EE"/>
    <w:rsid w:val="00600B74"/>
    <w:rsid w:val="00600EAA"/>
    <w:rsid w:val="00601346"/>
    <w:rsid w:val="00601455"/>
    <w:rsid w:val="00601586"/>
    <w:rsid w:val="0060187A"/>
    <w:rsid w:val="00602F20"/>
    <w:rsid w:val="006032B3"/>
    <w:rsid w:val="0060350F"/>
    <w:rsid w:val="006037BE"/>
    <w:rsid w:val="006043A0"/>
    <w:rsid w:val="00604EFA"/>
    <w:rsid w:val="00605448"/>
    <w:rsid w:val="00605656"/>
    <w:rsid w:val="00605ECB"/>
    <w:rsid w:val="00605F41"/>
    <w:rsid w:val="00606616"/>
    <w:rsid w:val="00606980"/>
    <w:rsid w:val="0060781B"/>
    <w:rsid w:val="00607B6B"/>
    <w:rsid w:val="00607BF8"/>
    <w:rsid w:val="006100CC"/>
    <w:rsid w:val="00610B27"/>
    <w:rsid w:val="00610F87"/>
    <w:rsid w:val="006110F9"/>
    <w:rsid w:val="00611BA0"/>
    <w:rsid w:val="00612C77"/>
    <w:rsid w:val="006130B1"/>
    <w:rsid w:val="0061314B"/>
    <w:rsid w:val="00613701"/>
    <w:rsid w:val="00613C0C"/>
    <w:rsid w:val="00614DE7"/>
    <w:rsid w:val="006152C5"/>
    <w:rsid w:val="0061542D"/>
    <w:rsid w:val="006169A3"/>
    <w:rsid w:val="00616BC2"/>
    <w:rsid w:val="00616C0A"/>
    <w:rsid w:val="0061724B"/>
    <w:rsid w:val="00617895"/>
    <w:rsid w:val="00617957"/>
    <w:rsid w:val="006179B3"/>
    <w:rsid w:val="00617A1B"/>
    <w:rsid w:val="006200E4"/>
    <w:rsid w:val="0062029B"/>
    <w:rsid w:val="006202F4"/>
    <w:rsid w:val="0062161E"/>
    <w:rsid w:val="006221E7"/>
    <w:rsid w:val="006227BA"/>
    <w:rsid w:val="006228FF"/>
    <w:rsid w:val="006237D3"/>
    <w:rsid w:val="00623888"/>
    <w:rsid w:val="006246C7"/>
    <w:rsid w:val="0062493E"/>
    <w:rsid w:val="00625054"/>
    <w:rsid w:val="006252A3"/>
    <w:rsid w:val="00625C6C"/>
    <w:rsid w:val="00626889"/>
    <w:rsid w:val="006269D8"/>
    <w:rsid w:val="00626CD7"/>
    <w:rsid w:val="0063056C"/>
    <w:rsid w:val="00630761"/>
    <w:rsid w:val="00630BA5"/>
    <w:rsid w:val="006311E0"/>
    <w:rsid w:val="0063186A"/>
    <w:rsid w:val="00631988"/>
    <w:rsid w:val="0063262F"/>
    <w:rsid w:val="0063277E"/>
    <w:rsid w:val="00632F34"/>
    <w:rsid w:val="00634105"/>
    <w:rsid w:val="00634207"/>
    <w:rsid w:val="00634BB8"/>
    <w:rsid w:val="0063631F"/>
    <w:rsid w:val="00636343"/>
    <w:rsid w:val="006365EE"/>
    <w:rsid w:val="00636A10"/>
    <w:rsid w:val="00636D5A"/>
    <w:rsid w:val="00637139"/>
    <w:rsid w:val="00637A5D"/>
    <w:rsid w:val="006401E0"/>
    <w:rsid w:val="0064044F"/>
    <w:rsid w:val="00640ABA"/>
    <w:rsid w:val="00640E79"/>
    <w:rsid w:val="00641393"/>
    <w:rsid w:val="00641713"/>
    <w:rsid w:val="0064181E"/>
    <w:rsid w:val="00641A51"/>
    <w:rsid w:val="00641A61"/>
    <w:rsid w:val="00641AE2"/>
    <w:rsid w:val="00641C82"/>
    <w:rsid w:val="00642547"/>
    <w:rsid w:val="00642A3F"/>
    <w:rsid w:val="0064313E"/>
    <w:rsid w:val="00644D4A"/>
    <w:rsid w:val="00644FD9"/>
    <w:rsid w:val="0064526F"/>
    <w:rsid w:val="006457B9"/>
    <w:rsid w:val="006457EB"/>
    <w:rsid w:val="006458AD"/>
    <w:rsid w:val="00645A67"/>
    <w:rsid w:val="00645BD5"/>
    <w:rsid w:val="006467C3"/>
    <w:rsid w:val="00646E1A"/>
    <w:rsid w:val="00646F69"/>
    <w:rsid w:val="00646FAC"/>
    <w:rsid w:val="006474F8"/>
    <w:rsid w:val="00650508"/>
    <w:rsid w:val="00652359"/>
    <w:rsid w:val="006523FA"/>
    <w:rsid w:val="00652636"/>
    <w:rsid w:val="006527D1"/>
    <w:rsid w:val="00652ACD"/>
    <w:rsid w:val="00653596"/>
    <w:rsid w:val="00653835"/>
    <w:rsid w:val="006547E0"/>
    <w:rsid w:val="0065492B"/>
    <w:rsid w:val="00655C91"/>
    <w:rsid w:val="00655F58"/>
    <w:rsid w:val="00656008"/>
    <w:rsid w:val="00657237"/>
    <w:rsid w:val="006600F0"/>
    <w:rsid w:val="00660670"/>
    <w:rsid w:val="00660937"/>
    <w:rsid w:val="00661309"/>
    <w:rsid w:val="006617A0"/>
    <w:rsid w:val="006617DA"/>
    <w:rsid w:val="0066188C"/>
    <w:rsid w:val="00661E49"/>
    <w:rsid w:val="006623B3"/>
    <w:rsid w:val="006625D2"/>
    <w:rsid w:val="00662EE9"/>
    <w:rsid w:val="00663051"/>
    <w:rsid w:val="0066334A"/>
    <w:rsid w:val="00663D86"/>
    <w:rsid w:val="006647C3"/>
    <w:rsid w:val="00664895"/>
    <w:rsid w:val="00664A5B"/>
    <w:rsid w:val="00664FAB"/>
    <w:rsid w:val="00665091"/>
    <w:rsid w:val="00665E3C"/>
    <w:rsid w:val="0066717F"/>
    <w:rsid w:val="006672E5"/>
    <w:rsid w:val="006673E1"/>
    <w:rsid w:val="00667890"/>
    <w:rsid w:val="006705C2"/>
    <w:rsid w:val="006706E8"/>
    <w:rsid w:val="00670BA8"/>
    <w:rsid w:val="00671638"/>
    <w:rsid w:val="00671C0F"/>
    <w:rsid w:val="006720CA"/>
    <w:rsid w:val="00673391"/>
    <w:rsid w:val="006736FD"/>
    <w:rsid w:val="0067458F"/>
    <w:rsid w:val="006749CF"/>
    <w:rsid w:val="00674A04"/>
    <w:rsid w:val="006757C5"/>
    <w:rsid w:val="00675EAC"/>
    <w:rsid w:val="00676085"/>
    <w:rsid w:val="006760DA"/>
    <w:rsid w:val="006762EB"/>
    <w:rsid w:val="00676530"/>
    <w:rsid w:val="00676CE0"/>
    <w:rsid w:val="00676EA3"/>
    <w:rsid w:val="00677385"/>
    <w:rsid w:val="00677619"/>
    <w:rsid w:val="00677AC6"/>
    <w:rsid w:val="00677B8F"/>
    <w:rsid w:val="00677C77"/>
    <w:rsid w:val="00677D82"/>
    <w:rsid w:val="0068099A"/>
    <w:rsid w:val="00680F4D"/>
    <w:rsid w:val="006815E3"/>
    <w:rsid w:val="00681B5F"/>
    <w:rsid w:val="00682167"/>
    <w:rsid w:val="006821B3"/>
    <w:rsid w:val="006823D5"/>
    <w:rsid w:val="006826C6"/>
    <w:rsid w:val="0068280D"/>
    <w:rsid w:val="00682A07"/>
    <w:rsid w:val="00682EF5"/>
    <w:rsid w:val="006835A3"/>
    <w:rsid w:val="00683783"/>
    <w:rsid w:val="006837AD"/>
    <w:rsid w:val="00684B3C"/>
    <w:rsid w:val="006851E7"/>
    <w:rsid w:val="0068575A"/>
    <w:rsid w:val="00686255"/>
    <w:rsid w:val="0068651F"/>
    <w:rsid w:val="00686CD4"/>
    <w:rsid w:val="00686E03"/>
    <w:rsid w:val="006871EC"/>
    <w:rsid w:val="0068754A"/>
    <w:rsid w:val="00690080"/>
    <w:rsid w:val="006901A5"/>
    <w:rsid w:val="006901F0"/>
    <w:rsid w:val="00690AE0"/>
    <w:rsid w:val="00690B4A"/>
    <w:rsid w:val="00691151"/>
    <w:rsid w:val="0069166E"/>
    <w:rsid w:val="00691913"/>
    <w:rsid w:val="00691F18"/>
    <w:rsid w:val="006922A7"/>
    <w:rsid w:val="0069267C"/>
    <w:rsid w:val="0069316A"/>
    <w:rsid w:val="0069318F"/>
    <w:rsid w:val="006933EF"/>
    <w:rsid w:val="006939E1"/>
    <w:rsid w:val="00693FCD"/>
    <w:rsid w:val="00694593"/>
    <w:rsid w:val="006946F3"/>
    <w:rsid w:val="00694B8B"/>
    <w:rsid w:val="0069527D"/>
    <w:rsid w:val="00695372"/>
    <w:rsid w:val="00695944"/>
    <w:rsid w:val="00695A52"/>
    <w:rsid w:val="00695FEF"/>
    <w:rsid w:val="00696FAB"/>
    <w:rsid w:val="00697236"/>
    <w:rsid w:val="006975AA"/>
    <w:rsid w:val="006A03D9"/>
    <w:rsid w:val="006A04D1"/>
    <w:rsid w:val="006A0779"/>
    <w:rsid w:val="006A197C"/>
    <w:rsid w:val="006A1B15"/>
    <w:rsid w:val="006A22BD"/>
    <w:rsid w:val="006A2DFF"/>
    <w:rsid w:val="006A311E"/>
    <w:rsid w:val="006A3B05"/>
    <w:rsid w:val="006A3DF1"/>
    <w:rsid w:val="006A3E70"/>
    <w:rsid w:val="006A4CAB"/>
    <w:rsid w:val="006A4EA1"/>
    <w:rsid w:val="006A54CA"/>
    <w:rsid w:val="006A55FD"/>
    <w:rsid w:val="006A56C7"/>
    <w:rsid w:val="006A56E7"/>
    <w:rsid w:val="006A5A60"/>
    <w:rsid w:val="006A5BC3"/>
    <w:rsid w:val="006A64E0"/>
    <w:rsid w:val="006A735E"/>
    <w:rsid w:val="006A7597"/>
    <w:rsid w:val="006A796F"/>
    <w:rsid w:val="006B0159"/>
    <w:rsid w:val="006B0F76"/>
    <w:rsid w:val="006B1670"/>
    <w:rsid w:val="006B168B"/>
    <w:rsid w:val="006B1992"/>
    <w:rsid w:val="006B20A4"/>
    <w:rsid w:val="006B20B7"/>
    <w:rsid w:val="006B23C6"/>
    <w:rsid w:val="006B27BE"/>
    <w:rsid w:val="006B2FED"/>
    <w:rsid w:val="006B359A"/>
    <w:rsid w:val="006B3761"/>
    <w:rsid w:val="006B3777"/>
    <w:rsid w:val="006B3C56"/>
    <w:rsid w:val="006B3FBE"/>
    <w:rsid w:val="006B44C3"/>
    <w:rsid w:val="006B463C"/>
    <w:rsid w:val="006B472E"/>
    <w:rsid w:val="006B492E"/>
    <w:rsid w:val="006B4EF6"/>
    <w:rsid w:val="006B5018"/>
    <w:rsid w:val="006B538D"/>
    <w:rsid w:val="006B60F6"/>
    <w:rsid w:val="006B627E"/>
    <w:rsid w:val="006B710F"/>
    <w:rsid w:val="006B77DC"/>
    <w:rsid w:val="006B7808"/>
    <w:rsid w:val="006B7E2B"/>
    <w:rsid w:val="006B7FEE"/>
    <w:rsid w:val="006C1670"/>
    <w:rsid w:val="006C19FC"/>
    <w:rsid w:val="006C1BC1"/>
    <w:rsid w:val="006C21C5"/>
    <w:rsid w:val="006C26CA"/>
    <w:rsid w:val="006C2735"/>
    <w:rsid w:val="006C2922"/>
    <w:rsid w:val="006C36A2"/>
    <w:rsid w:val="006C393E"/>
    <w:rsid w:val="006C3A0A"/>
    <w:rsid w:val="006C3D41"/>
    <w:rsid w:val="006C3F01"/>
    <w:rsid w:val="006C4152"/>
    <w:rsid w:val="006C4409"/>
    <w:rsid w:val="006C455F"/>
    <w:rsid w:val="006C46FF"/>
    <w:rsid w:val="006C4803"/>
    <w:rsid w:val="006C5807"/>
    <w:rsid w:val="006C5C9F"/>
    <w:rsid w:val="006C5D2C"/>
    <w:rsid w:val="006C6AE7"/>
    <w:rsid w:val="006C733E"/>
    <w:rsid w:val="006C7E29"/>
    <w:rsid w:val="006D000B"/>
    <w:rsid w:val="006D005A"/>
    <w:rsid w:val="006D0A20"/>
    <w:rsid w:val="006D0D2F"/>
    <w:rsid w:val="006D0D77"/>
    <w:rsid w:val="006D0E2A"/>
    <w:rsid w:val="006D15D6"/>
    <w:rsid w:val="006D15EF"/>
    <w:rsid w:val="006D198F"/>
    <w:rsid w:val="006D2F6E"/>
    <w:rsid w:val="006D2F9A"/>
    <w:rsid w:val="006D31CF"/>
    <w:rsid w:val="006D3277"/>
    <w:rsid w:val="006D351A"/>
    <w:rsid w:val="006D37A6"/>
    <w:rsid w:val="006D3AE7"/>
    <w:rsid w:val="006D3C81"/>
    <w:rsid w:val="006D4514"/>
    <w:rsid w:val="006D59F9"/>
    <w:rsid w:val="006D5C33"/>
    <w:rsid w:val="006D5EE0"/>
    <w:rsid w:val="006D5F45"/>
    <w:rsid w:val="006D61C0"/>
    <w:rsid w:val="006D62AB"/>
    <w:rsid w:val="006D6D54"/>
    <w:rsid w:val="006D6F6D"/>
    <w:rsid w:val="006D704F"/>
    <w:rsid w:val="006D7146"/>
    <w:rsid w:val="006D72DE"/>
    <w:rsid w:val="006D73DB"/>
    <w:rsid w:val="006D7633"/>
    <w:rsid w:val="006E0108"/>
    <w:rsid w:val="006E0143"/>
    <w:rsid w:val="006E04FB"/>
    <w:rsid w:val="006E05D1"/>
    <w:rsid w:val="006E0767"/>
    <w:rsid w:val="006E0A9B"/>
    <w:rsid w:val="006E123A"/>
    <w:rsid w:val="006E1520"/>
    <w:rsid w:val="006E1601"/>
    <w:rsid w:val="006E1897"/>
    <w:rsid w:val="006E1A68"/>
    <w:rsid w:val="006E1B06"/>
    <w:rsid w:val="006E1BAB"/>
    <w:rsid w:val="006E255A"/>
    <w:rsid w:val="006E2FFC"/>
    <w:rsid w:val="006E302C"/>
    <w:rsid w:val="006E30AD"/>
    <w:rsid w:val="006E3F95"/>
    <w:rsid w:val="006E3FC5"/>
    <w:rsid w:val="006E4349"/>
    <w:rsid w:val="006E4F5B"/>
    <w:rsid w:val="006E5447"/>
    <w:rsid w:val="006E5453"/>
    <w:rsid w:val="006E54E2"/>
    <w:rsid w:val="006E5513"/>
    <w:rsid w:val="006E558A"/>
    <w:rsid w:val="006E6018"/>
    <w:rsid w:val="006F0027"/>
    <w:rsid w:val="006F0652"/>
    <w:rsid w:val="006F0FD5"/>
    <w:rsid w:val="006F1278"/>
    <w:rsid w:val="006F12C6"/>
    <w:rsid w:val="006F139E"/>
    <w:rsid w:val="006F1CD1"/>
    <w:rsid w:val="006F255F"/>
    <w:rsid w:val="006F2BA5"/>
    <w:rsid w:val="006F3025"/>
    <w:rsid w:val="006F3261"/>
    <w:rsid w:val="006F365C"/>
    <w:rsid w:val="006F3880"/>
    <w:rsid w:val="006F39E4"/>
    <w:rsid w:val="006F562B"/>
    <w:rsid w:val="006F5718"/>
    <w:rsid w:val="006F582F"/>
    <w:rsid w:val="006F5938"/>
    <w:rsid w:val="006F5BA1"/>
    <w:rsid w:val="006F5BCE"/>
    <w:rsid w:val="006F5C73"/>
    <w:rsid w:val="006F6D58"/>
    <w:rsid w:val="006F6DF1"/>
    <w:rsid w:val="006F7223"/>
    <w:rsid w:val="006F72C6"/>
    <w:rsid w:val="006F731B"/>
    <w:rsid w:val="006F73F9"/>
    <w:rsid w:val="006F747D"/>
    <w:rsid w:val="006F792B"/>
    <w:rsid w:val="00700E98"/>
    <w:rsid w:val="00701844"/>
    <w:rsid w:val="00701921"/>
    <w:rsid w:val="00701976"/>
    <w:rsid w:val="00701C0E"/>
    <w:rsid w:val="00701D56"/>
    <w:rsid w:val="00702482"/>
    <w:rsid w:val="007027A9"/>
    <w:rsid w:val="00702938"/>
    <w:rsid w:val="00703C56"/>
    <w:rsid w:val="00703EBA"/>
    <w:rsid w:val="0070415A"/>
    <w:rsid w:val="00704975"/>
    <w:rsid w:val="00704E47"/>
    <w:rsid w:val="00704F17"/>
    <w:rsid w:val="007051A1"/>
    <w:rsid w:val="0070540E"/>
    <w:rsid w:val="007061A7"/>
    <w:rsid w:val="0070624B"/>
    <w:rsid w:val="007066B2"/>
    <w:rsid w:val="00707610"/>
    <w:rsid w:val="00707AAC"/>
    <w:rsid w:val="007101AC"/>
    <w:rsid w:val="007102D1"/>
    <w:rsid w:val="00710F5A"/>
    <w:rsid w:val="00711203"/>
    <w:rsid w:val="00711378"/>
    <w:rsid w:val="00711680"/>
    <w:rsid w:val="0071175E"/>
    <w:rsid w:val="007118D6"/>
    <w:rsid w:val="00711A96"/>
    <w:rsid w:val="00711C50"/>
    <w:rsid w:val="00711CF8"/>
    <w:rsid w:val="00711F05"/>
    <w:rsid w:val="00712A02"/>
    <w:rsid w:val="00713341"/>
    <w:rsid w:val="007136BC"/>
    <w:rsid w:val="00713A9E"/>
    <w:rsid w:val="00713D8F"/>
    <w:rsid w:val="00713F60"/>
    <w:rsid w:val="00714368"/>
    <w:rsid w:val="0071467F"/>
    <w:rsid w:val="007147EA"/>
    <w:rsid w:val="00714EB6"/>
    <w:rsid w:val="00715712"/>
    <w:rsid w:val="00715B77"/>
    <w:rsid w:val="00715E7A"/>
    <w:rsid w:val="00716C1C"/>
    <w:rsid w:val="00716E36"/>
    <w:rsid w:val="00720392"/>
    <w:rsid w:val="007205D3"/>
    <w:rsid w:val="00720773"/>
    <w:rsid w:val="00720CD4"/>
    <w:rsid w:val="00720DF1"/>
    <w:rsid w:val="00721729"/>
    <w:rsid w:val="00721D0E"/>
    <w:rsid w:val="00721DFB"/>
    <w:rsid w:val="00722249"/>
    <w:rsid w:val="00722988"/>
    <w:rsid w:val="00722AB9"/>
    <w:rsid w:val="007237AB"/>
    <w:rsid w:val="00724F86"/>
    <w:rsid w:val="00724FEA"/>
    <w:rsid w:val="00725006"/>
    <w:rsid w:val="0072522A"/>
    <w:rsid w:val="007253D4"/>
    <w:rsid w:val="00725403"/>
    <w:rsid w:val="00725D5E"/>
    <w:rsid w:val="0072629E"/>
    <w:rsid w:val="007264E9"/>
    <w:rsid w:val="007276DF"/>
    <w:rsid w:val="00727851"/>
    <w:rsid w:val="00727B5A"/>
    <w:rsid w:val="00727D4B"/>
    <w:rsid w:val="00730552"/>
    <w:rsid w:val="007308F3"/>
    <w:rsid w:val="00730F62"/>
    <w:rsid w:val="007311EF"/>
    <w:rsid w:val="00731602"/>
    <w:rsid w:val="00731C2F"/>
    <w:rsid w:val="00732C0E"/>
    <w:rsid w:val="00732C8C"/>
    <w:rsid w:val="00732D23"/>
    <w:rsid w:val="007331A3"/>
    <w:rsid w:val="00733451"/>
    <w:rsid w:val="007334F0"/>
    <w:rsid w:val="007334F5"/>
    <w:rsid w:val="00733BA7"/>
    <w:rsid w:val="0073495F"/>
    <w:rsid w:val="0073577D"/>
    <w:rsid w:val="00736B4F"/>
    <w:rsid w:val="00736C0E"/>
    <w:rsid w:val="00737529"/>
    <w:rsid w:val="0073759D"/>
    <w:rsid w:val="00737901"/>
    <w:rsid w:val="00740047"/>
    <w:rsid w:val="00740150"/>
    <w:rsid w:val="0074045C"/>
    <w:rsid w:val="00740A66"/>
    <w:rsid w:val="00740A95"/>
    <w:rsid w:val="0074182B"/>
    <w:rsid w:val="0074183A"/>
    <w:rsid w:val="00741B31"/>
    <w:rsid w:val="00742598"/>
    <w:rsid w:val="007425F4"/>
    <w:rsid w:val="007428FB"/>
    <w:rsid w:val="007433A4"/>
    <w:rsid w:val="007434D6"/>
    <w:rsid w:val="00743ECA"/>
    <w:rsid w:val="00744D0B"/>
    <w:rsid w:val="00744D2D"/>
    <w:rsid w:val="00745241"/>
    <w:rsid w:val="00745D46"/>
    <w:rsid w:val="00745E56"/>
    <w:rsid w:val="00746101"/>
    <w:rsid w:val="007462E3"/>
    <w:rsid w:val="00746738"/>
    <w:rsid w:val="00746B9B"/>
    <w:rsid w:val="007474C0"/>
    <w:rsid w:val="007479C8"/>
    <w:rsid w:val="00747FE8"/>
    <w:rsid w:val="007501BA"/>
    <w:rsid w:val="00750896"/>
    <w:rsid w:val="007509AB"/>
    <w:rsid w:val="00750AA9"/>
    <w:rsid w:val="00750BA8"/>
    <w:rsid w:val="007512AD"/>
    <w:rsid w:val="0075161B"/>
    <w:rsid w:val="0075178A"/>
    <w:rsid w:val="007517C3"/>
    <w:rsid w:val="0075194D"/>
    <w:rsid w:val="00752066"/>
    <w:rsid w:val="00752160"/>
    <w:rsid w:val="007521D1"/>
    <w:rsid w:val="007524EE"/>
    <w:rsid w:val="00752A80"/>
    <w:rsid w:val="00752B8E"/>
    <w:rsid w:val="00752C7B"/>
    <w:rsid w:val="00753110"/>
    <w:rsid w:val="007537AB"/>
    <w:rsid w:val="0075391D"/>
    <w:rsid w:val="00753AF6"/>
    <w:rsid w:val="00753CED"/>
    <w:rsid w:val="00753F8A"/>
    <w:rsid w:val="00753FD8"/>
    <w:rsid w:val="00754439"/>
    <w:rsid w:val="00754600"/>
    <w:rsid w:val="00754962"/>
    <w:rsid w:val="00754C3F"/>
    <w:rsid w:val="007551EE"/>
    <w:rsid w:val="007559A9"/>
    <w:rsid w:val="00755C57"/>
    <w:rsid w:val="00756090"/>
    <w:rsid w:val="0075622E"/>
    <w:rsid w:val="007562CB"/>
    <w:rsid w:val="007563DA"/>
    <w:rsid w:val="007565A2"/>
    <w:rsid w:val="00756D71"/>
    <w:rsid w:val="00757AC9"/>
    <w:rsid w:val="00757DD5"/>
    <w:rsid w:val="00760538"/>
    <w:rsid w:val="00760A20"/>
    <w:rsid w:val="00760A54"/>
    <w:rsid w:val="00761059"/>
    <w:rsid w:val="00761323"/>
    <w:rsid w:val="00761582"/>
    <w:rsid w:val="007615B2"/>
    <w:rsid w:val="00761CC6"/>
    <w:rsid w:val="007629EF"/>
    <w:rsid w:val="00762B7A"/>
    <w:rsid w:val="00762F00"/>
    <w:rsid w:val="007631D8"/>
    <w:rsid w:val="007631DC"/>
    <w:rsid w:val="00763373"/>
    <w:rsid w:val="0076379C"/>
    <w:rsid w:val="007638BB"/>
    <w:rsid w:val="007638C3"/>
    <w:rsid w:val="00763C76"/>
    <w:rsid w:val="007643A7"/>
    <w:rsid w:val="00764844"/>
    <w:rsid w:val="00764F01"/>
    <w:rsid w:val="00765157"/>
    <w:rsid w:val="00765238"/>
    <w:rsid w:val="007653BB"/>
    <w:rsid w:val="0076551B"/>
    <w:rsid w:val="00765605"/>
    <w:rsid w:val="00765B2D"/>
    <w:rsid w:val="007663CA"/>
    <w:rsid w:val="007664C3"/>
    <w:rsid w:val="007666AF"/>
    <w:rsid w:val="0076674B"/>
    <w:rsid w:val="0076721F"/>
    <w:rsid w:val="00767D12"/>
    <w:rsid w:val="00770E3C"/>
    <w:rsid w:val="00770EF7"/>
    <w:rsid w:val="0077142C"/>
    <w:rsid w:val="00771E63"/>
    <w:rsid w:val="00772436"/>
    <w:rsid w:val="00772BE2"/>
    <w:rsid w:val="00773755"/>
    <w:rsid w:val="0077395C"/>
    <w:rsid w:val="00774269"/>
    <w:rsid w:val="0077519B"/>
    <w:rsid w:val="007753AC"/>
    <w:rsid w:val="0077589F"/>
    <w:rsid w:val="00775C05"/>
    <w:rsid w:val="00775C8B"/>
    <w:rsid w:val="00776A0F"/>
    <w:rsid w:val="00776A25"/>
    <w:rsid w:val="0077700B"/>
    <w:rsid w:val="00777A42"/>
    <w:rsid w:val="00777C0F"/>
    <w:rsid w:val="00777ED7"/>
    <w:rsid w:val="00777F75"/>
    <w:rsid w:val="00780009"/>
    <w:rsid w:val="00780022"/>
    <w:rsid w:val="007810AF"/>
    <w:rsid w:val="00781CDA"/>
    <w:rsid w:val="00781D3C"/>
    <w:rsid w:val="0078211A"/>
    <w:rsid w:val="007821A0"/>
    <w:rsid w:val="00782679"/>
    <w:rsid w:val="007828D3"/>
    <w:rsid w:val="00783099"/>
    <w:rsid w:val="0078329F"/>
    <w:rsid w:val="00783CB6"/>
    <w:rsid w:val="0078490D"/>
    <w:rsid w:val="00784CCC"/>
    <w:rsid w:val="00785217"/>
    <w:rsid w:val="007853CD"/>
    <w:rsid w:val="00785622"/>
    <w:rsid w:val="00785D37"/>
    <w:rsid w:val="00785D52"/>
    <w:rsid w:val="007862D8"/>
    <w:rsid w:val="0078635A"/>
    <w:rsid w:val="00786516"/>
    <w:rsid w:val="00786BB9"/>
    <w:rsid w:val="00787336"/>
    <w:rsid w:val="0078734F"/>
    <w:rsid w:val="0078781F"/>
    <w:rsid w:val="007879A4"/>
    <w:rsid w:val="0079012F"/>
    <w:rsid w:val="00790370"/>
    <w:rsid w:val="007903D9"/>
    <w:rsid w:val="00790513"/>
    <w:rsid w:val="00791139"/>
    <w:rsid w:val="007911EF"/>
    <w:rsid w:val="00791219"/>
    <w:rsid w:val="007915D7"/>
    <w:rsid w:val="00792280"/>
    <w:rsid w:val="00792630"/>
    <w:rsid w:val="00792CDD"/>
    <w:rsid w:val="00793154"/>
    <w:rsid w:val="007936A5"/>
    <w:rsid w:val="007936A9"/>
    <w:rsid w:val="0079371F"/>
    <w:rsid w:val="00793836"/>
    <w:rsid w:val="00793CAB"/>
    <w:rsid w:val="00794340"/>
    <w:rsid w:val="007948B5"/>
    <w:rsid w:val="00794C0E"/>
    <w:rsid w:val="00795278"/>
    <w:rsid w:val="0079535C"/>
    <w:rsid w:val="0079567B"/>
    <w:rsid w:val="00795699"/>
    <w:rsid w:val="00795DF0"/>
    <w:rsid w:val="00795F89"/>
    <w:rsid w:val="00796327"/>
    <w:rsid w:val="00797156"/>
    <w:rsid w:val="00797277"/>
    <w:rsid w:val="007976AF"/>
    <w:rsid w:val="007977AE"/>
    <w:rsid w:val="007977B7"/>
    <w:rsid w:val="00797C80"/>
    <w:rsid w:val="00797D14"/>
    <w:rsid w:val="007A0636"/>
    <w:rsid w:val="007A07B1"/>
    <w:rsid w:val="007A0CEF"/>
    <w:rsid w:val="007A0F08"/>
    <w:rsid w:val="007A0FAC"/>
    <w:rsid w:val="007A0FD5"/>
    <w:rsid w:val="007A1005"/>
    <w:rsid w:val="007A14F3"/>
    <w:rsid w:val="007A185C"/>
    <w:rsid w:val="007A1C7C"/>
    <w:rsid w:val="007A1D25"/>
    <w:rsid w:val="007A1E2A"/>
    <w:rsid w:val="007A2A02"/>
    <w:rsid w:val="007A3028"/>
    <w:rsid w:val="007A32C7"/>
    <w:rsid w:val="007A3789"/>
    <w:rsid w:val="007A39B9"/>
    <w:rsid w:val="007A3D32"/>
    <w:rsid w:val="007A3DEC"/>
    <w:rsid w:val="007A4258"/>
    <w:rsid w:val="007A4754"/>
    <w:rsid w:val="007A481D"/>
    <w:rsid w:val="007A5346"/>
    <w:rsid w:val="007A542D"/>
    <w:rsid w:val="007A562A"/>
    <w:rsid w:val="007A68DF"/>
    <w:rsid w:val="007A75E8"/>
    <w:rsid w:val="007A7D6C"/>
    <w:rsid w:val="007B0787"/>
    <w:rsid w:val="007B0A15"/>
    <w:rsid w:val="007B0AA3"/>
    <w:rsid w:val="007B120C"/>
    <w:rsid w:val="007B12AD"/>
    <w:rsid w:val="007B14CB"/>
    <w:rsid w:val="007B1624"/>
    <w:rsid w:val="007B1B8A"/>
    <w:rsid w:val="007B23BF"/>
    <w:rsid w:val="007B2450"/>
    <w:rsid w:val="007B2484"/>
    <w:rsid w:val="007B25EB"/>
    <w:rsid w:val="007B25FA"/>
    <w:rsid w:val="007B2F44"/>
    <w:rsid w:val="007B3633"/>
    <w:rsid w:val="007B3A89"/>
    <w:rsid w:val="007B3A9C"/>
    <w:rsid w:val="007B3DAE"/>
    <w:rsid w:val="007B4038"/>
    <w:rsid w:val="007B425C"/>
    <w:rsid w:val="007B42E9"/>
    <w:rsid w:val="007B4671"/>
    <w:rsid w:val="007B4BA2"/>
    <w:rsid w:val="007B56A3"/>
    <w:rsid w:val="007B592F"/>
    <w:rsid w:val="007B599D"/>
    <w:rsid w:val="007B60FA"/>
    <w:rsid w:val="007B6933"/>
    <w:rsid w:val="007B773E"/>
    <w:rsid w:val="007B776D"/>
    <w:rsid w:val="007B7CCE"/>
    <w:rsid w:val="007B7F56"/>
    <w:rsid w:val="007C01A8"/>
    <w:rsid w:val="007C0745"/>
    <w:rsid w:val="007C08E5"/>
    <w:rsid w:val="007C1C0B"/>
    <w:rsid w:val="007C1EEA"/>
    <w:rsid w:val="007C22DE"/>
    <w:rsid w:val="007C246A"/>
    <w:rsid w:val="007C25A7"/>
    <w:rsid w:val="007C30BF"/>
    <w:rsid w:val="007C33C0"/>
    <w:rsid w:val="007C344C"/>
    <w:rsid w:val="007C3C5F"/>
    <w:rsid w:val="007C3D42"/>
    <w:rsid w:val="007C4171"/>
    <w:rsid w:val="007C46C9"/>
    <w:rsid w:val="007C538C"/>
    <w:rsid w:val="007C5D93"/>
    <w:rsid w:val="007C6171"/>
    <w:rsid w:val="007C6A12"/>
    <w:rsid w:val="007C6D8A"/>
    <w:rsid w:val="007C7B4B"/>
    <w:rsid w:val="007C7BB7"/>
    <w:rsid w:val="007D0056"/>
    <w:rsid w:val="007D0448"/>
    <w:rsid w:val="007D05D0"/>
    <w:rsid w:val="007D0AF4"/>
    <w:rsid w:val="007D1352"/>
    <w:rsid w:val="007D25F8"/>
    <w:rsid w:val="007D33FB"/>
    <w:rsid w:val="007D3CD5"/>
    <w:rsid w:val="007D3E40"/>
    <w:rsid w:val="007D49FB"/>
    <w:rsid w:val="007D4F91"/>
    <w:rsid w:val="007D5401"/>
    <w:rsid w:val="007D5949"/>
    <w:rsid w:val="007D5A15"/>
    <w:rsid w:val="007D5D54"/>
    <w:rsid w:val="007D6196"/>
    <w:rsid w:val="007D63CC"/>
    <w:rsid w:val="007D6743"/>
    <w:rsid w:val="007D696B"/>
    <w:rsid w:val="007D6C9F"/>
    <w:rsid w:val="007D6DD1"/>
    <w:rsid w:val="007D7866"/>
    <w:rsid w:val="007D7936"/>
    <w:rsid w:val="007D7E02"/>
    <w:rsid w:val="007E07C9"/>
    <w:rsid w:val="007E1407"/>
    <w:rsid w:val="007E16CA"/>
    <w:rsid w:val="007E182A"/>
    <w:rsid w:val="007E1A9B"/>
    <w:rsid w:val="007E2F8A"/>
    <w:rsid w:val="007E2F90"/>
    <w:rsid w:val="007E3CDA"/>
    <w:rsid w:val="007E3F66"/>
    <w:rsid w:val="007E4594"/>
    <w:rsid w:val="007E482B"/>
    <w:rsid w:val="007E486B"/>
    <w:rsid w:val="007E48D2"/>
    <w:rsid w:val="007E4B55"/>
    <w:rsid w:val="007E5344"/>
    <w:rsid w:val="007E550F"/>
    <w:rsid w:val="007E5FF2"/>
    <w:rsid w:val="007E65E9"/>
    <w:rsid w:val="007E6AB2"/>
    <w:rsid w:val="007E6B1F"/>
    <w:rsid w:val="007E6FA5"/>
    <w:rsid w:val="007E707C"/>
    <w:rsid w:val="007E7336"/>
    <w:rsid w:val="007E7649"/>
    <w:rsid w:val="007E77AE"/>
    <w:rsid w:val="007E7EFE"/>
    <w:rsid w:val="007F0F1D"/>
    <w:rsid w:val="007F0FF6"/>
    <w:rsid w:val="007F142D"/>
    <w:rsid w:val="007F1613"/>
    <w:rsid w:val="007F1BEF"/>
    <w:rsid w:val="007F1D86"/>
    <w:rsid w:val="007F216F"/>
    <w:rsid w:val="007F22F2"/>
    <w:rsid w:val="007F24C0"/>
    <w:rsid w:val="007F254E"/>
    <w:rsid w:val="007F2C90"/>
    <w:rsid w:val="007F2E36"/>
    <w:rsid w:val="007F3195"/>
    <w:rsid w:val="007F3419"/>
    <w:rsid w:val="007F35A6"/>
    <w:rsid w:val="007F361F"/>
    <w:rsid w:val="007F36C8"/>
    <w:rsid w:val="007F3959"/>
    <w:rsid w:val="007F3A43"/>
    <w:rsid w:val="007F3D80"/>
    <w:rsid w:val="007F469F"/>
    <w:rsid w:val="007F477C"/>
    <w:rsid w:val="007F4E93"/>
    <w:rsid w:val="007F5AB4"/>
    <w:rsid w:val="007F5DFD"/>
    <w:rsid w:val="007F6068"/>
    <w:rsid w:val="007F655F"/>
    <w:rsid w:val="007F6DD8"/>
    <w:rsid w:val="007F6FF0"/>
    <w:rsid w:val="007F709D"/>
    <w:rsid w:val="007F7950"/>
    <w:rsid w:val="007F7D92"/>
    <w:rsid w:val="007F7F83"/>
    <w:rsid w:val="0080021D"/>
    <w:rsid w:val="0080083B"/>
    <w:rsid w:val="00800957"/>
    <w:rsid w:val="008012BB"/>
    <w:rsid w:val="008015A0"/>
    <w:rsid w:val="008019A3"/>
    <w:rsid w:val="00801DDC"/>
    <w:rsid w:val="00801F71"/>
    <w:rsid w:val="0080279C"/>
    <w:rsid w:val="0080299A"/>
    <w:rsid w:val="008030CC"/>
    <w:rsid w:val="0080310D"/>
    <w:rsid w:val="00803276"/>
    <w:rsid w:val="008038DB"/>
    <w:rsid w:val="00803A0E"/>
    <w:rsid w:val="00803CA1"/>
    <w:rsid w:val="008050F7"/>
    <w:rsid w:val="008057B7"/>
    <w:rsid w:val="00805868"/>
    <w:rsid w:val="008059FF"/>
    <w:rsid w:val="00805D5F"/>
    <w:rsid w:val="008060E2"/>
    <w:rsid w:val="0080636C"/>
    <w:rsid w:val="00806880"/>
    <w:rsid w:val="00806D46"/>
    <w:rsid w:val="008071C8"/>
    <w:rsid w:val="00810D30"/>
    <w:rsid w:val="00810F5B"/>
    <w:rsid w:val="008124F3"/>
    <w:rsid w:val="008125D2"/>
    <w:rsid w:val="00812ACB"/>
    <w:rsid w:val="00812BAB"/>
    <w:rsid w:val="0081388A"/>
    <w:rsid w:val="00813919"/>
    <w:rsid w:val="00813BE1"/>
    <w:rsid w:val="008140FF"/>
    <w:rsid w:val="008144CA"/>
    <w:rsid w:val="00814581"/>
    <w:rsid w:val="00814F96"/>
    <w:rsid w:val="00815239"/>
    <w:rsid w:val="00815AA9"/>
    <w:rsid w:val="00815CB8"/>
    <w:rsid w:val="00815D4A"/>
    <w:rsid w:val="00815F49"/>
    <w:rsid w:val="008161D9"/>
    <w:rsid w:val="008168E2"/>
    <w:rsid w:val="008169B1"/>
    <w:rsid w:val="00816B34"/>
    <w:rsid w:val="00817096"/>
    <w:rsid w:val="00817129"/>
    <w:rsid w:val="00817952"/>
    <w:rsid w:val="00817CCF"/>
    <w:rsid w:val="0082043E"/>
    <w:rsid w:val="00820489"/>
    <w:rsid w:val="008207C3"/>
    <w:rsid w:val="00820855"/>
    <w:rsid w:val="008210A2"/>
    <w:rsid w:val="00821616"/>
    <w:rsid w:val="00821911"/>
    <w:rsid w:val="00821A4E"/>
    <w:rsid w:val="00821ACF"/>
    <w:rsid w:val="00821FE2"/>
    <w:rsid w:val="00822B43"/>
    <w:rsid w:val="008234E2"/>
    <w:rsid w:val="008234F4"/>
    <w:rsid w:val="00823B6C"/>
    <w:rsid w:val="00824077"/>
    <w:rsid w:val="00824745"/>
    <w:rsid w:val="00825526"/>
    <w:rsid w:val="00825ED5"/>
    <w:rsid w:val="008262F8"/>
    <w:rsid w:val="00826359"/>
    <w:rsid w:val="008272A0"/>
    <w:rsid w:val="00827AA0"/>
    <w:rsid w:val="0083013E"/>
    <w:rsid w:val="0083048B"/>
    <w:rsid w:val="0083065A"/>
    <w:rsid w:val="00830D8F"/>
    <w:rsid w:val="00832529"/>
    <w:rsid w:val="00832A54"/>
    <w:rsid w:val="00832ED5"/>
    <w:rsid w:val="0083351A"/>
    <w:rsid w:val="00833BBC"/>
    <w:rsid w:val="008341C3"/>
    <w:rsid w:val="0083447D"/>
    <w:rsid w:val="00834516"/>
    <w:rsid w:val="00834FEB"/>
    <w:rsid w:val="00835CB8"/>
    <w:rsid w:val="008363F7"/>
    <w:rsid w:val="00836475"/>
    <w:rsid w:val="008364B0"/>
    <w:rsid w:val="0083658A"/>
    <w:rsid w:val="00836A18"/>
    <w:rsid w:val="008371D1"/>
    <w:rsid w:val="008372AE"/>
    <w:rsid w:val="0083732D"/>
    <w:rsid w:val="00837B13"/>
    <w:rsid w:val="00837B9D"/>
    <w:rsid w:val="00840262"/>
    <w:rsid w:val="00840598"/>
    <w:rsid w:val="0084072A"/>
    <w:rsid w:val="0084164B"/>
    <w:rsid w:val="0084183F"/>
    <w:rsid w:val="008418D5"/>
    <w:rsid w:val="00841AF1"/>
    <w:rsid w:val="00841B07"/>
    <w:rsid w:val="0084219A"/>
    <w:rsid w:val="0084298C"/>
    <w:rsid w:val="00843E41"/>
    <w:rsid w:val="0084400F"/>
    <w:rsid w:val="0084435A"/>
    <w:rsid w:val="00844488"/>
    <w:rsid w:val="00844833"/>
    <w:rsid w:val="00844A78"/>
    <w:rsid w:val="00844C22"/>
    <w:rsid w:val="00844F62"/>
    <w:rsid w:val="008452B1"/>
    <w:rsid w:val="00845AC6"/>
    <w:rsid w:val="00845F9C"/>
    <w:rsid w:val="0084651E"/>
    <w:rsid w:val="00846A69"/>
    <w:rsid w:val="00846D00"/>
    <w:rsid w:val="008478C8"/>
    <w:rsid w:val="00847ABE"/>
    <w:rsid w:val="00847F9F"/>
    <w:rsid w:val="008501E8"/>
    <w:rsid w:val="00850465"/>
    <w:rsid w:val="00850852"/>
    <w:rsid w:val="00850B4F"/>
    <w:rsid w:val="00850BA4"/>
    <w:rsid w:val="008515AC"/>
    <w:rsid w:val="008519A1"/>
    <w:rsid w:val="00851D99"/>
    <w:rsid w:val="008521B2"/>
    <w:rsid w:val="008528B9"/>
    <w:rsid w:val="00852A2E"/>
    <w:rsid w:val="00853F7F"/>
    <w:rsid w:val="008544EE"/>
    <w:rsid w:val="008549A2"/>
    <w:rsid w:val="00854DB3"/>
    <w:rsid w:val="0085501E"/>
    <w:rsid w:val="0085525F"/>
    <w:rsid w:val="00855407"/>
    <w:rsid w:val="00855BB2"/>
    <w:rsid w:val="00855D77"/>
    <w:rsid w:val="00855E92"/>
    <w:rsid w:val="00856C17"/>
    <w:rsid w:val="008574D1"/>
    <w:rsid w:val="00857CE9"/>
    <w:rsid w:val="008601ED"/>
    <w:rsid w:val="00860EA4"/>
    <w:rsid w:val="00860F1E"/>
    <w:rsid w:val="008614F1"/>
    <w:rsid w:val="0086214A"/>
    <w:rsid w:val="008627D3"/>
    <w:rsid w:val="00862D79"/>
    <w:rsid w:val="00862E03"/>
    <w:rsid w:val="00863165"/>
    <w:rsid w:val="00863887"/>
    <w:rsid w:val="00863D11"/>
    <w:rsid w:val="00863DF7"/>
    <w:rsid w:val="00863E3E"/>
    <w:rsid w:val="00863E74"/>
    <w:rsid w:val="00864000"/>
    <w:rsid w:val="0086426F"/>
    <w:rsid w:val="00864788"/>
    <w:rsid w:val="0086483A"/>
    <w:rsid w:val="00865923"/>
    <w:rsid w:val="00865FB7"/>
    <w:rsid w:val="0086604A"/>
    <w:rsid w:val="008660A8"/>
    <w:rsid w:val="008662D6"/>
    <w:rsid w:val="00866360"/>
    <w:rsid w:val="008664E2"/>
    <w:rsid w:val="00866822"/>
    <w:rsid w:val="0086689F"/>
    <w:rsid w:val="00866BE0"/>
    <w:rsid w:val="00866C26"/>
    <w:rsid w:val="008674FD"/>
    <w:rsid w:val="0087069D"/>
    <w:rsid w:val="0087073F"/>
    <w:rsid w:val="0087086E"/>
    <w:rsid w:val="00870BF2"/>
    <w:rsid w:val="00871089"/>
    <w:rsid w:val="0087142B"/>
    <w:rsid w:val="00872FCE"/>
    <w:rsid w:val="008731A1"/>
    <w:rsid w:val="00873945"/>
    <w:rsid w:val="00873EEF"/>
    <w:rsid w:val="00873F19"/>
    <w:rsid w:val="008750BF"/>
    <w:rsid w:val="008752D7"/>
    <w:rsid w:val="0087596F"/>
    <w:rsid w:val="00875E6E"/>
    <w:rsid w:val="0087648E"/>
    <w:rsid w:val="0087663A"/>
    <w:rsid w:val="00876718"/>
    <w:rsid w:val="00876A98"/>
    <w:rsid w:val="00876AB6"/>
    <w:rsid w:val="00876EA1"/>
    <w:rsid w:val="00877324"/>
    <w:rsid w:val="008773D1"/>
    <w:rsid w:val="0087774E"/>
    <w:rsid w:val="00877B40"/>
    <w:rsid w:val="00877C04"/>
    <w:rsid w:val="00880150"/>
    <w:rsid w:val="00880227"/>
    <w:rsid w:val="008808A1"/>
    <w:rsid w:val="00881674"/>
    <w:rsid w:val="00881853"/>
    <w:rsid w:val="00881AE4"/>
    <w:rsid w:val="00881B25"/>
    <w:rsid w:val="00882616"/>
    <w:rsid w:val="00882F5F"/>
    <w:rsid w:val="008830DA"/>
    <w:rsid w:val="00883127"/>
    <w:rsid w:val="008833B5"/>
    <w:rsid w:val="00883581"/>
    <w:rsid w:val="00883914"/>
    <w:rsid w:val="00883F0F"/>
    <w:rsid w:val="008847A7"/>
    <w:rsid w:val="00885B8A"/>
    <w:rsid w:val="00886626"/>
    <w:rsid w:val="008867CE"/>
    <w:rsid w:val="00886887"/>
    <w:rsid w:val="008877A1"/>
    <w:rsid w:val="008879D7"/>
    <w:rsid w:val="00887C32"/>
    <w:rsid w:val="00887C7C"/>
    <w:rsid w:val="00887F3F"/>
    <w:rsid w:val="00890D3F"/>
    <w:rsid w:val="00890F12"/>
    <w:rsid w:val="00891130"/>
    <w:rsid w:val="00891A7B"/>
    <w:rsid w:val="00891E35"/>
    <w:rsid w:val="00892E63"/>
    <w:rsid w:val="008938BE"/>
    <w:rsid w:val="00893AFD"/>
    <w:rsid w:val="00894769"/>
    <w:rsid w:val="00894809"/>
    <w:rsid w:val="00894B14"/>
    <w:rsid w:val="00894B2B"/>
    <w:rsid w:val="00895032"/>
    <w:rsid w:val="00895A1B"/>
    <w:rsid w:val="00896C4E"/>
    <w:rsid w:val="0089745A"/>
    <w:rsid w:val="00897466"/>
    <w:rsid w:val="0089756B"/>
    <w:rsid w:val="008976E3"/>
    <w:rsid w:val="008A047A"/>
    <w:rsid w:val="008A12BF"/>
    <w:rsid w:val="008A1A0F"/>
    <w:rsid w:val="008A2FFE"/>
    <w:rsid w:val="008A3656"/>
    <w:rsid w:val="008A3865"/>
    <w:rsid w:val="008A40CC"/>
    <w:rsid w:val="008A41FB"/>
    <w:rsid w:val="008A432F"/>
    <w:rsid w:val="008A4EE2"/>
    <w:rsid w:val="008A5055"/>
    <w:rsid w:val="008A5CC7"/>
    <w:rsid w:val="008A5E43"/>
    <w:rsid w:val="008A67D2"/>
    <w:rsid w:val="008A6FD1"/>
    <w:rsid w:val="008A716E"/>
    <w:rsid w:val="008A78DA"/>
    <w:rsid w:val="008B00BA"/>
    <w:rsid w:val="008B0292"/>
    <w:rsid w:val="008B042B"/>
    <w:rsid w:val="008B05CE"/>
    <w:rsid w:val="008B078F"/>
    <w:rsid w:val="008B0C93"/>
    <w:rsid w:val="008B0EC9"/>
    <w:rsid w:val="008B1399"/>
    <w:rsid w:val="008B1CDA"/>
    <w:rsid w:val="008B1D29"/>
    <w:rsid w:val="008B1E38"/>
    <w:rsid w:val="008B201B"/>
    <w:rsid w:val="008B23F9"/>
    <w:rsid w:val="008B2906"/>
    <w:rsid w:val="008B2E5F"/>
    <w:rsid w:val="008B33F0"/>
    <w:rsid w:val="008B3806"/>
    <w:rsid w:val="008B38D5"/>
    <w:rsid w:val="008B3A22"/>
    <w:rsid w:val="008B3C01"/>
    <w:rsid w:val="008B408F"/>
    <w:rsid w:val="008B40CC"/>
    <w:rsid w:val="008B40FE"/>
    <w:rsid w:val="008B4679"/>
    <w:rsid w:val="008B4698"/>
    <w:rsid w:val="008B49D1"/>
    <w:rsid w:val="008B4F54"/>
    <w:rsid w:val="008B5FC3"/>
    <w:rsid w:val="008B6126"/>
    <w:rsid w:val="008B696C"/>
    <w:rsid w:val="008B6EED"/>
    <w:rsid w:val="008B712C"/>
    <w:rsid w:val="008B76A5"/>
    <w:rsid w:val="008B77BE"/>
    <w:rsid w:val="008B77C7"/>
    <w:rsid w:val="008B7C84"/>
    <w:rsid w:val="008B7EC3"/>
    <w:rsid w:val="008B7F5C"/>
    <w:rsid w:val="008B7FFC"/>
    <w:rsid w:val="008C0316"/>
    <w:rsid w:val="008C03D4"/>
    <w:rsid w:val="008C1179"/>
    <w:rsid w:val="008C12A1"/>
    <w:rsid w:val="008C1C1D"/>
    <w:rsid w:val="008C21DC"/>
    <w:rsid w:val="008C258C"/>
    <w:rsid w:val="008C2760"/>
    <w:rsid w:val="008C2E04"/>
    <w:rsid w:val="008C394C"/>
    <w:rsid w:val="008C4051"/>
    <w:rsid w:val="008C433D"/>
    <w:rsid w:val="008C448A"/>
    <w:rsid w:val="008C49B6"/>
    <w:rsid w:val="008C4B7E"/>
    <w:rsid w:val="008C5388"/>
    <w:rsid w:val="008C5768"/>
    <w:rsid w:val="008C591C"/>
    <w:rsid w:val="008C5933"/>
    <w:rsid w:val="008C5D1B"/>
    <w:rsid w:val="008C643C"/>
    <w:rsid w:val="008C6E85"/>
    <w:rsid w:val="008C72A6"/>
    <w:rsid w:val="008C7542"/>
    <w:rsid w:val="008C7C24"/>
    <w:rsid w:val="008D000C"/>
    <w:rsid w:val="008D0940"/>
    <w:rsid w:val="008D19E4"/>
    <w:rsid w:val="008D1C76"/>
    <w:rsid w:val="008D27A5"/>
    <w:rsid w:val="008D2CBC"/>
    <w:rsid w:val="008D2CE1"/>
    <w:rsid w:val="008D2D19"/>
    <w:rsid w:val="008D3EDD"/>
    <w:rsid w:val="008D4B16"/>
    <w:rsid w:val="008D4B7A"/>
    <w:rsid w:val="008D4C34"/>
    <w:rsid w:val="008D4C79"/>
    <w:rsid w:val="008D4D88"/>
    <w:rsid w:val="008D4EB8"/>
    <w:rsid w:val="008D508F"/>
    <w:rsid w:val="008D5237"/>
    <w:rsid w:val="008D5776"/>
    <w:rsid w:val="008D5BB9"/>
    <w:rsid w:val="008D5EEB"/>
    <w:rsid w:val="008D6453"/>
    <w:rsid w:val="008D672A"/>
    <w:rsid w:val="008D6968"/>
    <w:rsid w:val="008D6D51"/>
    <w:rsid w:val="008D74D9"/>
    <w:rsid w:val="008D7C94"/>
    <w:rsid w:val="008D7FCD"/>
    <w:rsid w:val="008E0428"/>
    <w:rsid w:val="008E09C8"/>
    <w:rsid w:val="008E09F6"/>
    <w:rsid w:val="008E0C18"/>
    <w:rsid w:val="008E0C57"/>
    <w:rsid w:val="008E10C0"/>
    <w:rsid w:val="008E126A"/>
    <w:rsid w:val="008E158C"/>
    <w:rsid w:val="008E1F22"/>
    <w:rsid w:val="008E1F62"/>
    <w:rsid w:val="008E2062"/>
    <w:rsid w:val="008E222E"/>
    <w:rsid w:val="008E2749"/>
    <w:rsid w:val="008E29E1"/>
    <w:rsid w:val="008E4734"/>
    <w:rsid w:val="008E4906"/>
    <w:rsid w:val="008E53C6"/>
    <w:rsid w:val="008E5452"/>
    <w:rsid w:val="008E54D2"/>
    <w:rsid w:val="008E566C"/>
    <w:rsid w:val="008E59BE"/>
    <w:rsid w:val="008E6263"/>
    <w:rsid w:val="008E6379"/>
    <w:rsid w:val="008E6AEE"/>
    <w:rsid w:val="008E6C67"/>
    <w:rsid w:val="008E6D34"/>
    <w:rsid w:val="008E6E35"/>
    <w:rsid w:val="008E72AA"/>
    <w:rsid w:val="008E74CF"/>
    <w:rsid w:val="008E76C6"/>
    <w:rsid w:val="008E7957"/>
    <w:rsid w:val="008E79CA"/>
    <w:rsid w:val="008E7C92"/>
    <w:rsid w:val="008E7E5D"/>
    <w:rsid w:val="008F006C"/>
    <w:rsid w:val="008F03DC"/>
    <w:rsid w:val="008F04FB"/>
    <w:rsid w:val="008F06D9"/>
    <w:rsid w:val="008F0AA3"/>
    <w:rsid w:val="008F1BD9"/>
    <w:rsid w:val="008F2088"/>
    <w:rsid w:val="008F2176"/>
    <w:rsid w:val="008F2330"/>
    <w:rsid w:val="008F23A8"/>
    <w:rsid w:val="008F399E"/>
    <w:rsid w:val="008F3CB5"/>
    <w:rsid w:val="008F3EF7"/>
    <w:rsid w:val="008F41B1"/>
    <w:rsid w:val="008F4311"/>
    <w:rsid w:val="008F4D2B"/>
    <w:rsid w:val="008F4D7C"/>
    <w:rsid w:val="008F63C0"/>
    <w:rsid w:val="008F6BEC"/>
    <w:rsid w:val="008F6C87"/>
    <w:rsid w:val="008F7E76"/>
    <w:rsid w:val="0090002D"/>
    <w:rsid w:val="00900A66"/>
    <w:rsid w:val="00901E8A"/>
    <w:rsid w:val="009020BC"/>
    <w:rsid w:val="0090222F"/>
    <w:rsid w:val="009022F3"/>
    <w:rsid w:val="009028E6"/>
    <w:rsid w:val="00903124"/>
    <w:rsid w:val="009034CF"/>
    <w:rsid w:val="0090351C"/>
    <w:rsid w:val="00904116"/>
    <w:rsid w:val="009044B2"/>
    <w:rsid w:val="00904676"/>
    <w:rsid w:val="0090484C"/>
    <w:rsid w:val="00905579"/>
    <w:rsid w:val="0090596B"/>
    <w:rsid w:val="0090604F"/>
    <w:rsid w:val="009062BB"/>
    <w:rsid w:val="0090632D"/>
    <w:rsid w:val="0090642B"/>
    <w:rsid w:val="00906AAB"/>
    <w:rsid w:val="00906BB0"/>
    <w:rsid w:val="00907B8E"/>
    <w:rsid w:val="00910227"/>
    <w:rsid w:val="00910B0B"/>
    <w:rsid w:val="00910D4E"/>
    <w:rsid w:val="0091106E"/>
    <w:rsid w:val="00911600"/>
    <w:rsid w:val="0091171A"/>
    <w:rsid w:val="00911C3D"/>
    <w:rsid w:val="00911E3B"/>
    <w:rsid w:val="00912A27"/>
    <w:rsid w:val="00912D0B"/>
    <w:rsid w:val="00913995"/>
    <w:rsid w:val="00913F69"/>
    <w:rsid w:val="009140EF"/>
    <w:rsid w:val="009143AA"/>
    <w:rsid w:val="00914FDD"/>
    <w:rsid w:val="00915547"/>
    <w:rsid w:val="0091590D"/>
    <w:rsid w:val="009163D1"/>
    <w:rsid w:val="009165A8"/>
    <w:rsid w:val="009166D4"/>
    <w:rsid w:val="00916764"/>
    <w:rsid w:val="00916F44"/>
    <w:rsid w:val="009173A5"/>
    <w:rsid w:val="00917C34"/>
    <w:rsid w:val="009205B4"/>
    <w:rsid w:val="00920E43"/>
    <w:rsid w:val="00920E7C"/>
    <w:rsid w:val="00920F9C"/>
    <w:rsid w:val="009213A4"/>
    <w:rsid w:val="00921403"/>
    <w:rsid w:val="0092146B"/>
    <w:rsid w:val="0092173F"/>
    <w:rsid w:val="00921A9E"/>
    <w:rsid w:val="00921E2A"/>
    <w:rsid w:val="00922EA9"/>
    <w:rsid w:val="00922F05"/>
    <w:rsid w:val="00922F54"/>
    <w:rsid w:val="009233B1"/>
    <w:rsid w:val="0092389A"/>
    <w:rsid w:val="00924341"/>
    <w:rsid w:val="00924CBF"/>
    <w:rsid w:val="00924CE9"/>
    <w:rsid w:val="00924D7F"/>
    <w:rsid w:val="00925015"/>
    <w:rsid w:val="00926564"/>
    <w:rsid w:val="00926D09"/>
    <w:rsid w:val="00926D1F"/>
    <w:rsid w:val="00926EE4"/>
    <w:rsid w:val="00926FFA"/>
    <w:rsid w:val="0092708A"/>
    <w:rsid w:val="00927110"/>
    <w:rsid w:val="009273BB"/>
    <w:rsid w:val="00927BE8"/>
    <w:rsid w:val="00927EB5"/>
    <w:rsid w:val="00927F83"/>
    <w:rsid w:val="0093054A"/>
    <w:rsid w:val="009306E8"/>
    <w:rsid w:val="00930B05"/>
    <w:rsid w:val="009313C8"/>
    <w:rsid w:val="00931A50"/>
    <w:rsid w:val="00931B6D"/>
    <w:rsid w:val="00931C5B"/>
    <w:rsid w:val="00932096"/>
    <w:rsid w:val="00932171"/>
    <w:rsid w:val="009323BE"/>
    <w:rsid w:val="009325F5"/>
    <w:rsid w:val="0093280C"/>
    <w:rsid w:val="00932EB4"/>
    <w:rsid w:val="009341EF"/>
    <w:rsid w:val="009353C0"/>
    <w:rsid w:val="009358BD"/>
    <w:rsid w:val="00936039"/>
    <w:rsid w:val="009361AB"/>
    <w:rsid w:val="00936F1E"/>
    <w:rsid w:val="00936F42"/>
    <w:rsid w:val="00937137"/>
    <w:rsid w:val="00937238"/>
    <w:rsid w:val="00937F4B"/>
    <w:rsid w:val="00940109"/>
    <w:rsid w:val="0094122D"/>
    <w:rsid w:val="00941BD5"/>
    <w:rsid w:val="00942A0D"/>
    <w:rsid w:val="00942A9F"/>
    <w:rsid w:val="0094314E"/>
    <w:rsid w:val="00943309"/>
    <w:rsid w:val="0094390F"/>
    <w:rsid w:val="00943B57"/>
    <w:rsid w:val="00943F72"/>
    <w:rsid w:val="00945498"/>
    <w:rsid w:val="00945737"/>
    <w:rsid w:val="00945D6C"/>
    <w:rsid w:val="00945D70"/>
    <w:rsid w:val="009464F3"/>
    <w:rsid w:val="009465B2"/>
    <w:rsid w:val="009468E1"/>
    <w:rsid w:val="009469D2"/>
    <w:rsid w:val="00946EF7"/>
    <w:rsid w:val="00946F70"/>
    <w:rsid w:val="00947C4E"/>
    <w:rsid w:val="00947D9D"/>
    <w:rsid w:val="00950396"/>
    <w:rsid w:val="009504A0"/>
    <w:rsid w:val="009505F6"/>
    <w:rsid w:val="00950B9B"/>
    <w:rsid w:val="009514C3"/>
    <w:rsid w:val="009515B2"/>
    <w:rsid w:val="00951804"/>
    <w:rsid w:val="0095203B"/>
    <w:rsid w:val="009527C3"/>
    <w:rsid w:val="00952E9C"/>
    <w:rsid w:val="00953112"/>
    <w:rsid w:val="00953226"/>
    <w:rsid w:val="0095338B"/>
    <w:rsid w:val="0095386C"/>
    <w:rsid w:val="00953A06"/>
    <w:rsid w:val="00953B0D"/>
    <w:rsid w:val="00953BBF"/>
    <w:rsid w:val="00953D08"/>
    <w:rsid w:val="00954425"/>
    <w:rsid w:val="00954995"/>
    <w:rsid w:val="009549A8"/>
    <w:rsid w:val="00954F32"/>
    <w:rsid w:val="0095534F"/>
    <w:rsid w:val="009553CC"/>
    <w:rsid w:val="00955CBC"/>
    <w:rsid w:val="0095600D"/>
    <w:rsid w:val="00956779"/>
    <w:rsid w:val="009568E8"/>
    <w:rsid w:val="00956930"/>
    <w:rsid w:val="00956E96"/>
    <w:rsid w:val="00957299"/>
    <w:rsid w:val="00957481"/>
    <w:rsid w:val="0095772A"/>
    <w:rsid w:val="00957EAF"/>
    <w:rsid w:val="009608D0"/>
    <w:rsid w:val="009609FC"/>
    <w:rsid w:val="00960DF1"/>
    <w:rsid w:val="00960F8B"/>
    <w:rsid w:val="0096132E"/>
    <w:rsid w:val="0096149B"/>
    <w:rsid w:val="0096162A"/>
    <w:rsid w:val="009617ED"/>
    <w:rsid w:val="00961897"/>
    <w:rsid w:val="0096193C"/>
    <w:rsid w:val="0096255E"/>
    <w:rsid w:val="0096311A"/>
    <w:rsid w:val="00963234"/>
    <w:rsid w:val="00963880"/>
    <w:rsid w:val="009639F9"/>
    <w:rsid w:val="00963E7F"/>
    <w:rsid w:val="009642E5"/>
    <w:rsid w:val="0096467B"/>
    <w:rsid w:val="009653F0"/>
    <w:rsid w:val="009657EA"/>
    <w:rsid w:val="00965DDE"/>
    <w:rsid w:val="009660C8"/>
    <w:rsid w:val="009660D6"/>
    <w:rsid w:val="009665B0"/>
    <w:rsid w:val="009666D2"/>
    <w:rsid w:val="009669BA"/>
    <w:rsid w:val="00966DD4"/>
    <w:rsid w:val="00966FE8"/>
    <w:rsid w:val="009673D2"/>
    <w:rsid w:val="0096785D"/>
    <w:rsid w:val="00967919"/>
    <w:rsid w:val="0097059F"/>
    <w:rsid w:val="00970BA3"/>
    <w:rsid w:val="00970D12"/>
    <w:rsid w:val="00970D76"/>
    <w:rsid w:val="009710C1"/>
    <w:rsid w:val="009714A4"/>
    <w:rsid w:val="009715B3"/>
    <w:rsid w:val="00971DB8"/>
    <w:rsid w:val="00971FA1"/>
    <w:rsid w:val="009724D4"/>
    <w:rsid w:val="00972F63"/>
    <w:rsid w:val="00973223"/>
    <w:rsid w:val="00973264"/>
    <w:rsid w:val="00973789"/>
    <w:rsid w:val="00974771"/>
    <w:rsid w:val="00974AE5"/>
    <w:rsid w:val="00974C42"/>
    <w:rsid w:val="00975352"/>
    <w:rsid w:val="009756A7"/>
    <w:rsid w:val="00976A72"/>
    <w:rsid w:val="00976E0F"/>
    <w:rsid w:val="00976E71"/>
    <w:rsid w:val="00976F19"/>
    <w:rsid w:val="0097747A"/>
    <w:rsid w:val="00977E26"/>
    <w:rsid w:val="00977EC0"/>
    <w:rsid w:val="00981738"/>
    <w:rsid w:val="00981A08"/>
    <w:rsid w:val="00982040"/>
    <w:rsid w:val="0098267F"/>
    <w:rsid w:val="00982685"/>
    <w:rsid w:val="0098277B"/>
    <w:rsid w:val="00982EAA"/>
    <w:rsid w:val="00983DC6"/>
    <w:rsid w:val="00983F68"/>
    <w:rsid w:val="009840E6"/>
    <w:rsid w:val="00984414"/>
    <w:rsid w:val="00984425"/>
    <w:rsid w:val="00984CCF"/>
    <w:rsid w:val="00984E1A"/>
    <w:rsid w:val="00984F2D"/>
    <w:rsid w:val="00985282"/>
    <w:rsid w:val="0098538D"/>
    <w:rsid w:val="00985612"/>
    <w:rsid w:val="00985FA7"/>
    <w:rsid w:val="00986152"/>
    <w:rsid w:val="00986A13"/>
    <w:rsid w:val="00987234"/>
    <w:rsid w:val="009872E1"/>
    <w:rsid w:val="00987510"/>
    <w:rsid w:val="009878AA"/>
    <w:rsid w:val="00990839"/>
    <w:rsid w:val="00991672"/>
    <w:rsid w:val="00991764"/>
    <w:rsid w:val="00991839"/>
    <w:rsid w:val="00991A00"/>
    <w:rsid w:val="00991E34"/>
    <w:rsid w:val="00991E36"/>
    <w:rsid w:val="009921BE"/>
    <w:rsid w:val="00992315"/>
    <w:rsid w:val="0099235D"/>
    <w:rsid w:val="009923E1"/>
    <w:rsid w:val="0099285A"/>
    <w:rsid w:val="009929DC"/>
    <w:rsid w:val="00992C42"/>
    <w:rsid w:val="00993061"/>
    <w:rsid w:val="00993E51"/>
    <w:rsid w:val="00994E15"/>
    <w:rsid w:val="00994E26"/>
    <w:rsid w:val="00995588"/>
    <w:rsid w:val="00995B84"/>
    <w:rsid w:val="0099670E"/>
    <w:rsid w:val="00996EA0"/>
    <w:rsid w:val="00996F1E"/>
    <w:rsid w:val="009A0188"/>
    <w:rsid w:val="009A03DA"/>
    <w:rsid w:val="009A06C6"/>
    <w:rsid w:val="009A0F5A"/>
    <w:rsid w:val="009A15D7"/>
    <w:rsid w:val="009A18B5"/>
    <w:rsid w:val="009A1A1B"/>
    <w:rsid w:val="009A234E"/>
    <w:rsid w:val="009A24CF"/>
    <w:rsid w:val="009A329B"/>
    <w:rsid w:val="009A33DD"/>
    <w:rsid w:val="009A3437"/>
    <w:rsid w:val="009A421F"/>
    <w:rsid w:val="009A46D3"/>
    <w:rsid w:val="009A47E1"/>
    <w:rsid w:val="009A4B6C"/>
    <w:rsid w:val="009A528E"/>
    <w:rsid w:val="009A5583"/>
    <w:rsid w:val="009A5814"/>
    <w:rsid w:val="009A614A"/>
    <w:rsid w:val="009A6166"/>
    <w:rsid w:val="009A622C"/>
    <w:rsid w:val="009A63C9"/>
    <w:rsid w:val="009A6C4B"/>
    <w:rsid w:val="009A6CBF"/>
    <w:rsid w:val="009A6DA0"/>
    <w:rsid w:val="009A7C76"/>
    <w:rsid w:val="009B0889"/>
    <w:rsid w:val="009B09CB"/>
    <w:rsid w:val="009B151E"/>
    <w:rsid w:val="009B1B84"/>
    <w:rsid w:val="009B2070"/>
    <w:rsid w:val="009B22FD"/>
    <w:rsid w:val="009B24BA"/>
    <w:rsid w:val="009B280F"/>
    <w:rsid w:val="009B2BC0"/>
    <w:rsid w:val="009B2CAF"/>
    <w:rsid w:val="009B360F"/>
    <w:rsid w:val="009B3747"/>
    <w:rsid w:val="009B3765"/>
    <w:rsid w:val="009B3A00"/>
    <w:rsid w:val="009B3A77"/>
    <w:rsid w:val="009B3BCD"/>
    <w:rsid w:val="009B44D3"/>
    <w:rsid w:val="009B4932"/>
    <w:rsid w:val="009B4BDA"/>
    <w:rsid w:val="009B53C8"/>
    <w:rsid w:val="009B53CC"/>
    <w:rsid w:val="009B541D"/>
    <w:rsid w:val="009B5452"/>
    <w:rsid w:val="009B5614"/>
    <w:rsid w:val="009B62C1"/>
    <w:rsid w:val="009B6889"/>
    <w:rsid w:val="009B6A74"/>
    <w:rsid w:val="009B6EFE"/>
    <w:rsid w:val="009B72DF"/>
    <w:rsid w:val="009B779D"/>
    <w:rsid w:val="009B7DCE"/>
    <w:rsid w:val="009C0697"/>
    <w:rsid w:val="009C0A13"/>
    <w:rsid w:val="009C1A49"/>
    <w:rsid w:val="009C1E39"/>
    <w:rsid w:val="009C21C0"/>
    <w:rsid w:val="009C230D"/>
    <w:rsid w:val="009C2A49"/>
    <w:rsid w:val="009C324D"/>
    <w:rsid w:val="009C3387"/>
    <w:rsid w:val="009C340A"/>
    <w:rsid w:val="009C3A90"/>
    <w:rsid w:val="009C3E44"/>
    <w:rsid w:val="009C40FF"/>
    <w:rsid w:val="009C49C4"/>
    <w:rsid w:val="009C4CBB"/>
    <w:rsid w:val="009C4FC5"/>
    <w:rsid w:val="009C5042"/>
    <w:rsid w:val="009C53C2"/>
    <w:rsid w:val="009C54A7"/>
    <w:rsid w:val="009C56C2"/>
    <w:rsid w:val="009C65D2"/>
    <w:rsid w:val="009C65F6"/>
    <w:rsid w:val="009C6873"/>
    <w:rsid w:val="009C70A5"/>
    <w:rsid w:val="009C7E3F"/>
    <w:rsid w:val="009D0C8B"/>
    <w:rsid w:val="009D100B"/>
    <w:rsid w:val="009D10A2"/>
    <w:rsid w:val="009D1138"/>
    <w:rsid w:val="009D11B9"/>
    <w:rsid w:val="009D152E"/>
    <w:rsid w:val="009D1BC9"/>
    <w:rsid w:val="009D2C47"/>
    <w:rsid w:val="009D2E63"/>
    <w:rsid w:val="009D3964"/>
    <w:rsid w:val="009D3B1C"/>
    <w:rsid w:val="009D3B60"/>
    <w:rsid w:val="009D43DE"/>
    <w:rsid w:val="009D4D26"/>
    <w:rsid w:val="009D5114"/>
    <w:rsid w:val="009D554F"/>
    <w:rsid w:val="009D5C8B"/>
    <w:rsid w:val="009D5C91"/>
    <w:rsid w:val="009D5F06"/>
    <w:rsid w:val="009D649F"/>
    <w:rsid w:val="009D6A3C"/>
    <w:rsid w:val="009D7067"/>
    <w:rsid w:val="009D72E0"/>
    <w:rsid w:val="009D749F"/>
    <w:rsid w:val="009D74F1"/>
    <w:rsid w:val="009D766F"/>
    <w:rsid w:val="009D7992"/>
    <w:rsid w:val="009D7A2E"/>
    <w:rsid w:val="009E02BE"/>
    <w:rsid w:val="009E039E"/>
    <w:rsid w:val="009E0B77"/>
    <w:rsid w:val="009E0FBB"/>
    <w:rsid w:val="009E203B"/>
    <w:rsid w:val="009E2103"/>
    <w:rsid w:val="009E2205"/>
    <w:rsid w:val="009E2399"/>
    <w:rsid w:val="009E2904"/>
    <w:rsid w:val="009E2C08"/>
    <w:rsid w:val="009E2F68"/>
    <w:rsid w:val="009E3230"/>
    <w:rsid w:val="009E37D2"/>
    <w:rsid w:val="009E3A01"/>
    <w:rsid w:val="009E3D08"/>
    <w:rsid w:val="009E3D74"/>
    <w:rsid w:val="009E3E92"/>
    <w:rsid w:val="009E4972"/>
    <w:rsid w:val="009E5085"/>
    <w:rsid w:val="009E5689"/>
    <w:rsid w:val="009E5E86"/>
    <w:rsid w:val="009E6223"/>
    <w:rsid w:val="009E64A5"/>
    <w:rsid w:val="009E6ED8"/>
    <w:rsid w:val="009E6F99"/>
    <w:rsid w:val="009E706C"/>
    <w:rsid w:val="009E72D4"/>
    <w:rsid w:val="009E73A8"/>
    <w:rsid w:val="009E7990"/>
    <w:rsid w:val="009E7D17"/>
    <w:rsid w:val="009F0CE0"/>
    <w:rsid w:val="009F116E"/>
    <w:rsid w:val="009F1B56"/>
    <w:rsid w:val="009F20DB"/>
    <w:rsid w:val="009F248C"/>
    <w:rsid w:val="009F263E"/>
    <w:rsid w:val="009F2ECC"/>
    <w:rsid w:val="009F30AF"/>
    <w:rsid w:val="009F3162"/>
    <w:rsid w:val="009F320E"/>
    <w:rsid w:val="009F4181"/>
    <w:rsid w:val="009F4920"/>
    <w:rsid w:val="009F4B18"/>
    <w:rsid w:val="009F5FE5"/>
    <w:rsid w:val="009F6065"/>
    <w:rsid w:val="009F60D9"/>
    <w:rsid w:val="009F61E2"/>
    <w:rsid w:val="009F62B7"/>
    <w:rsid w:val="009F64A5"/>
    <w:rsid w:val="009F65B3"/>
    <w:rsid w:val="009F7095"/>
    <w:rsid w:val="009F74CA"/>
    <w:rsid w:val="009F7B04"/>
    <w:rsid w:val="009F7F95"/>
    <w:rsid w:val="00A00393"/>
    <w:rsid w:val="00A00414"/>
    <w:rsid w:val="00A004AC"/>
    <w:rsid w:val="00A013E3"/>
    <w:rsid w:val="00A015E4"/>
    <w:rsid w:val="00A015E5"/>
    <w:rsid w:val="00A01713"/>
    <w:rsid w:val="00A02216"/>
    <w:rsid w:val="00A022D5"/>
    <w:rsid w:val="00A03452"/>
    <w:rsid w:val="00A03C02"/>
    <w:rsid w:val="00A03DEC"/>
    <w:rsid w:val="00A044BE"/>
    <w:rsid w:val="00A0468D"/>
    <w:rsid w:val="00A04CEF"/>
    <w:rsid w:val="00A05920"/>
    <w:rsid w:val="00A0593E"/>
    <w:rsid w:val="00A05BC6"/>
    <w:rsid w:val="00A05DFC"/>
    <w:rsid w:val="00A05F4A"/>
    <w:rsid w:val="00A06224"/>
    <w:rsid w:val="00A063DA"/>
    <w:rsid w:val="00A06B2A"/>
    <w:rsid w:val="00A076F9"/>
    <w:rsid w:val="00A07BB2"/>
    <w:rsid w:val="00A10062"/>
    <w:rsid w:val="00A108CF"/>
    <w:rsid w:val="00A11081"/>
    <w:rsid w:val="00A110F7"/>
    <w:rsid w:val="00A116B0"/>
    <w:rsid w:val="00A126D8"/>
    <w:rsid w:val="00A12BE9"/>
    <w:rsid w:val="00A12F79"/>
    <w:rsid w:val="00A13600"/>
    <w:rsid w:val="00A13B45"/>
    <w:rsid w:val="00A1409C"/>
    <w:rsid w:val="00A14412"/>
    <w:rsid w:val="00A14949"/>
    <w:rsid w:val="00A149EE"/>
    <w:rsid w:val="00A14AB2"/>
    <w:rsid w:val="00A14CE0"/>
    <w:rsid w:val="00A14F68"/>
    <w:rsid w:val="00A15282"/>
    <w:rsid w:val="00A15772"/>
    <w:rsid w:val="00A15783"/>
    <w:rsid w:val="00A15886"/>
    <w:rsid w:val="00A15B32"/>
    <w:rsid w:val="00A16FF2"/>
    <w:rsid w:val="00A17669"/>
    <w:rsid w:val="00A17988"/>
    <w:rsid w:val="00A17E85"/>
    <w:rsid w:val="00A20ED3"/>
    <w:rsid w:val="00A21393"/>
    <w:rsid w:val="00A218B5"/>
    <w:rsid w:val="00A21E11"/>
    <w:rsid w:val="00A21F09"/>
    <w:rsid w:val="00A22459"/>
    <w:rsid w:val="00A22594"/>
    <w:rsid w:val="00A23BB8"/>
    <w:rsid w:val="00A24083"/>
    <w:rsid w:val="00A243D6"/>
    <w:rsid w:val="00A249E1"/>
    <w:rsid w:val="00A24D38"/>
    <w:rsid w:val="00A24E36"/>
    <w:rsid w:val="00A2558F"/>
    <w:rsid w:val="00A25C3C"/>
    <w:rsid w:val="00A2652B"/>
    <w:rsid w:val="00A26B8B"/>
    <w:rsid w:val="00A26C55"/>
    <w:rsid w:val="00A2709E"/>
    <w:rsid w:val="00A270DF"/>
    <w:rsid w:val="00A27191"/>
    <w:rsid w:val="00A273CE"/>
    <w:rsid w:val="00A277AD"/>
    <w:rsid w:val="00A277E4"/>
    <w:rsid w:val="00A300FC"/>
    <w:rsid w:val="00A30338"/>
    <w:rsid w:val="00A3074E"/>
    <w:rsid w:val="00A31225"/>
    <w:rsid w:val="00A31345"/>
    <w:rsid w:val="00A313D4"/>
    <w:rsid w:val="00A313E3"/>
    <w:rsid w:val="00A3148D"/>
    <w:rsid w:val="00A31975"/>
    <w:rsid w:val="00A31C1C"/>
    <w:rsid w:val="00A33640"/>
    <w:rsid w:val="00A346DF"/>
    <w:rsid w:val="00A34A4D"/>
    <w:rsid w:val="00A34A95"/>
    <w:rsid w:val="00A34C84"/>
    <w:rsid w:val="00A353BF"/>
    <w:rsid w:val="00A35934"/>
    <w:rsid w:val="00A35C8B"/>
    <w:rsid w:val="00A3676C"/>
    <w:rsid w:val="00A36869"/>
    <w:rsid w:val="00A370D2"/>
    <w:rsid w:val="00A40A2A"/>
    <w:rsid w:val="00A40D96"/>
    <w:rsid w:val="00A413E8"/>
    <w:rsid w:val="00A4181A"/>
    <w:rsid w:val="00A42207"/>
    <w:rsid w:val="00A426AC"/>
    <w:rsid w:val="00A428BF"/>
    <w:rsid w:val="00A42BFF"/>
    <w:rsid w:val="00A42F54"/>
    <w:rsid w:val="00A439D3"/>
    <w:rsid w:val="00A44353"/>
    <w:rsid w:val="00A444F7"/>
    <w:rsid w:val="00A4482F"/>
    <w:rsid w:val="00A45083"/>
    <w:rsid w:val="00A45723"/>
    <w:rsid w:val="00A458B6"/>
    <w:rsid w:val="00A45B5A"/>
    <w:rsid w:val="00A45F45"/>
    <w:rsid w:val="00A46036"/>
    <w:rsid w:val="00A46206"/>
    <w:rsid w:val="00A46E42"/>
    <w:rsid w:val="00A470FD"/>
    <w:rsid w:val="00A50347"/>
    <w:rsid w:val="00A51135"/>
    <w:rsid w:val="00A51D67"/>
    <w:rsid w:val="00A51DD6"/>
    <w:rsid w:val="00A52457"/>
    <w:rsid w:val="00A52800"/>
    <w:rsid w:val="00A528CD"/>
    <w:rsid w:val="00A535CC"/>
    <w:rsid w:val="00A53AA3"/>
    <w:rsid w:val="00A548A3"/>
    <w:rsid w:val="00A54ECB"/>
    <w:rsid w:val="00A54F8E"/>
    <w:rsid w:val="00A554C9"/>
    <w:rsid w:val="00A556BF"/>
    <w:rsid w:val="00A561DC"/>
    <w:rsid w:val="00A5688F"/>
    <w:rsid w:val="00A56CAA"/>
    <w:rsid w:val="00A56D23"/>
    <w:rsid w:val="00A574CC"/>
    <w:rsid w:val="00A57945"/>
    <w:rsid w:val="00A6033F"/>
    <w:rsid w:val="00A606B4"/>
    <w:rsid w:val="00A6186E"/>
    <w:rsid w:val="00A61C96"/>
    <w:rsid w:val="00A61F67"/>
    <w:rsid w:val="00A62252"/>
    <w:rsid w:val="00A62622"/>
    <w:rsid w:val="00A628DA"/>
    <w:rsid w:val="00A63355"/>
    <w:rsid w:val="00A63E12"/>
    <w:rsid w:val="00A6400A"/>
    <w:rsid w:val="00A6433B"/>
    <w:rsid w:val="00A6486C"/>
    <w:rsid w:val="00A64D59"/>
    <w:rsid w:val="00A6537D"/>
    <w:rsid w:val="00A659A2"/>
    <w:rsid w:val="00A66A8A"/>
    <w:rsid w:val="00A672BE"/>
    <w:rsid w:val="00A6773C"/>
    <w:rsid w:val="00A67894"/>
    <w:rsid w:val="00A67BD7"/>
    <w:rsid w:val="00A67DD5"/>
    <w:rsid w:val="00A70025"/>
    <w:rsid w:val="00A7028D"/>
    <w:rsid w:val="00A70310"/>
    <w:rsid w:val="00A704B5"/>
    <w:rsid w:val="00A705E3"/>
    <w:rsid w:val="00A706DE"/>
    <w:rsid w:val="00A70AD5"/>
    <w:rsid w:val="00A70B72"/>
    <w:rsid w:val="00A70ECE"/>
    <w:rsid w:val="00A71A54"/>
    <w:rsid w:val="00A71E5F"/>
    <w:rsid w:val="00A7201C"/>
    <w:rsid w:val="00A72068"/>
    <w:rsid w:val="00A72074"/>
    <w:rsid w:val="00A720B7"/>
    <w:rsid w:val="00A72418"/>
    <w:rsid w:val="00A72676"/>
    <w:rsid w:val="00A7272A"/>
    <w:rsid w:val="00A72DDF"/>
    <w:rsid w:val="00A733E1"/>
    <w:rsid w:val="00A73943"/>
    <w:rsid w:val="00A7444F"/>
    <w:rsid w:val="00A74915"/>
    <w:rsid w:val="00A74B76"/>
    <w:rsid w:val="00A74D72"/>
    <w:rsid w:val="00A750C8"/>
    <w:rsid w:val="00A75119"/>
    <w:rsid w:val="00A75419"/>
    <w:rsid w:val="00A755CB"/>
    <w:rsid w:val="00A75693"/>
    <w:rsid w:val="00A75E81"/>
    <w:rsid w:val="00A76026"/>
    <w:rsid w:val="00A76029"/>
    <w:rsid w:val="00A76396"/>
    <w:rsid w:val="00A76892"/>
    <w:rsid w:val="00A76DC4"/>
    <w:rsid w:val="00A776DD"/>
    <w:rsid w:val="00A8040C"/>
    <w:rsid w:val="00A80495"/>
    <w:rsid w:val="00A8071E"/>
    <w:rsid w:val="00A80917"/>
    <w:rsid w:val="00A80B68"/>
    <w:rsid w:val="00A80CF3"/>
    <w:rsid w:val="00A81324"/>
    <w:rsid w:val="00A81325"/>
    <w:rsid w:val="00A814BD"/>
    <w:rsid w:val="00A825B5"/>
    <w:rsid w:val="00A82911"/>
    <w:rsid w:val="00A83A1A"/>
    <w:rsid w:val="00A84386"/>
    <w:rsid w:val="00A844CD"/>
    <w:rsid w:val="00A845AA"/>
    <w:rsid w:val="00A847BC"/>
    <w:rsid w:val="00A84C56"/>
    <w:rsid w:val="00A853BA"/>
    <w:rsid w:val="00A85554"/>
    <w:rsid w:val="00A85A42"/>
    <w:rsid w:val="00A865C9"/>
    <w:rsid w:val="00A86ADF"/>
    <w:rsid w:val="00A86C35"/>
    <w:rsid w:val="00A87A2E"/>
    <w:rsid w:val="00A902E0"/>
    <w:rsid w:val="00A9058F"/>
    <w:rsid w:val="00A90E75"/>
    <w:rsid w:val="00A910F1"/>
    <w:rsid w:val="00A91219"/>
    <w:rsid w:val="00A9130F"/>
    <w:rsid w:val="00A916DD"/>
    <w:rsid w:val="00A91E6E"/>
    <w:rsid w:val="00A91EE6"/>
    <w:rsid w:val="00A91FFC"/>
    <w:rsid w:val="00A925CD"/>
    <w:rsid w:val="00A92B29"/>
    <w:rsid w:val="00A9311F"/>
    <w:rsid w:val="00A93190"/>
    <w:rsid w:val="00A93439"/>
    <w:rsid w:val="00A9389E"/>
    <w:rsid w:val="00A93AE6"/>
    <w:rsid w:val="00A93D56"/>
    <w:rsid w:val="00A93FAC"/>
    <w:rsid w:val="00A93FE7"/>
    <w:rsid w:val="00A94106"/>
    <w:rsid w:val="00A9462F"/>
    <w:rsid w:val="00A9470A"/>
    <w:rsid w:val="00A9543F"/>
    <w:rsid w:val="00A955FB"/>
    <w:rsid w:val="00A95C0C"/>
    <w:rsid w:val="00A95E93"/>
    <w:rsid w:val="00A96183"/>
    <w:rsid w:val="00A970E0"/>
    <w:rsid w:val="00A970F7"/>
    <w:rsid w:val="00A97369"/>
    <w:rsid w:val="00A97859"/>
    <w:rsid w:val="00A97A88"/>
    <w:rsid w:val="00A97C3E"/>
    <w:rsid w:val="00A97EE3"/>
    <w:rsid w:val="00AA0B5F"/>
    <w:rsid w:val="00AA197E"/>
    <w:rsid w:val="00AA2C59"/>
    <w:rsid w:val="00AA2D38"/>
    <w:rsid w:val="00AA3BFD"/>
    <w:rsid w:val="00AA3D3D"/>
    <w:rsid w:val="00AA44D2"/>
    <w:rsid w:val="00AA4C8E"/>
    <w:rsid w:val="00AA5301"/>
    <w:rsid w:val="00AA5527"/>
    <w:rsid w:val="00AA5E31"/>
    <w:rsid w:val="00AA60D1"/>
    <w:rsid w:val="00AA6237"/>
    <w:rsid w:val="00AA6480"/>
    <w:rsid w:val="00AA6A82"/>
    <w:rsid w:val="00AA6DA1"/>
    <w:rsid w:val="00AA75A5"/>
    <w:rsid w:val="00AA7B9E"/>
    <w:rsid w:val="00AB07C1"/>
    <w:rsid w:val="00AB08FC"/>
    <w:rsid w:val="00AB0B46"/>
    <w:rsid w:val="00AB12AD"/>
    <w:rsid w:val="00AB130C"/>
    <w:rsid w:val="00AB1584"/>
    <w:rsid w:val="00AB19A2"/>
    <w:rsid w:val="00AB19E9"/>
    <w:rsid w:val="00AB1B97"/>
    <w:rsid w:val="00AB1D19"/>
    <w:rsid w:val="00AB1E98"/>
    <w:rsid w:val="00AB20F5"/>
    <w:rsid w:val="00AB2349"/>
    <w:rsid w:val="00AB24D1"/>
    <w:rsid w:val="00AB2668"/>
    <w:rsid w:val="00AB289E"/>
    <w:rsid w:val="00AB2BA4"/>
    <w:rsid w:val="00AB30F1"/>
    <w:rsid w:val="00AB448E"/>
    <w:rsid w:val="00AB466C"/>
    <w:rsid w:val="00AB4B7B"/>
    <w:rsid w:val="00AB4DD9"/>
    <w:rsid w:val="00AB53AB"/>
    <w:rsid w:val="00AB53B1"/>
    <w:rsid w:val="00AB5CE6"/>
    <w:rsid w:val="00AB62A8"/>
    <w:rsid w:val="00AB6812"/>
    <w:rsid w:val="00AB7381"/>
    <w:rsid w:val="00AB74A1"/>
    <w:rsid w:val="00AB7F1D"/>
    <w:rsid w:val="00AC05FA"/>
    <w:rsid w:val="00AC1067"/>
    <w:rsid w:val="00AC18A1"/>
    <w:rsid w:val="00AC1C3E"/>
    <w:rsid w:val="00AC1CA0"/>
    <w:rsid w:val="00AC235E"/>
    <w:rsid w:val="00AC2375"/>
    <w:rsid w:val="00AC34DC"/>
    <w:rsid w:val="00AC3660"/>
    <w:rsid w:val="00AC3938"/>
    <w:rsid w:val="00AC3DAE"/>
    <w:rsid w:val="00AC4229"/>
    <w:rsid w:val="00AC4244"/>
    <w:rsid w:val="00AC4549"/>
    <w:rsid w:val="00AC4905"/>
    <w:rsid w:val="00AC514E"/>
    <w:rsid w:val="00AC5174"/>
    <w:rsid w:val="00AC563D"/>
    <w:rsid w:val="00AC5DC3"/>
    <w:rsid w:val="00AC61B2"/>
    <w:rsid w:val="00AC61C8"/>
    <w:rsid w:val="00AC621C"/>
    <w:rsid w:val="00AC6957"/>
    <w:rsid w:val="00AC6F81"/>
    <w:rsid w:val="00AC70EF"/>
    <w:rsid w:val="00AC71CF"/>
    <w:rsid w:val="00AC7AFD"/>
    <w:rsid w:val="00AC7D8D"/>
    <w:rsid w:val="00AC7E8B"/>
    <w:rsid w:val="00AC7FDA"/>
    <w:rsid w:val="00AD0C23"/>
    <w:rsid w:val="00AD0EA1"/>
    <w:rsid w:val="00AD101C"/>
    <w:rsid w:val="00AD11A3"/>
    <w:rsid w:val="00AD13C7"/>
    <w:rsid w:val="00AD141C"/>
    <w:rsid w:val="00AD14E4"/>
    <w:rsid w:val="00AD1E71"/>
    <w:rsid w:val="00AD2113"/>
    <w:rsid w:val="00AD275D"/>
    <w:rsid w:val="00AD3513"/>
    <w:rsid w:val="00AD3A17"/>
    <w:rsid w:val="00AD3BE0"/>
    <w:rsid w:val="00AD3EB0"/>
    <w:rsid w:val="00AD3FFA"/>
    <w:rsid w:val="00AD4DD9"/>
    <w:rsid w:val="00AD4F71"/>
    <w:rsid w:val="00AD5ECA"/>
    <w:rsid w:val="00AD5F96"/>
    <w:rsid w:val="00AD6098"/>
    <w:rsid w:val="00AD7664"/>
    <w:rsid w:val="00AD7B21"/>
    <w:rsid w:val="00AE0558"/>
    <w:rsid w:val="00AE0A40"/>
    <w:rsid w:val="00AE0AA5"/>
    <w:rsid w:val="00AE0C79"/>
    <w:rsid w:val="00AE1E23"/>
    <w:rsid w:val="00AE218F"/>
    <w:rsid w:val="00AE26A4"/>
    <w:rsid w:val="00AE2D51"/>
    <w:rsid w:val="00AE3BF0"/>
    <w:rsid w:val="00AE4241"/>
    <w:rsid w:val="00AE47BD"/>
    <w:rsid w:val="00AE4C76"/>
    <w:rsid w:val="00AE4E46"/>
    <w:rsid w:val="00AE53F4"/>
    <w:rsid w:val="00AE5BA5"/>
    <w:rsid w:val="00AE689F"/>
    <w:rsid w:val="00AE6BEA"/>
    <w:rsid w:val="00AE6C5D"/>
    <w:rsid w:val="00AE6F86"/>
    <w:rsid w:val="00AE7084"/>
    <w:rsid w:val="00AE7225"/>
    <w:rsid w:val="00AE79A4"/>
    <w:rsid w:val="00AF00DC"/>
    <w:rsid w:val="00AF03A1"/>
    <w:rsid w:val="00AF04BD"/>
    <w:rsid w:val="00AF0A79"/>
    <w:rsid w:val="00AF0DF2"/>
    <w:rsid w:val="00AF0F21"/>
    <w:rsid w:val="00AF1397"/>
    <w:rsid w:val="00AF1848"/>
    <w:rsid w:val="00AF18F1"/>
    <w:rsid w:val="00AF1CE7"/>
    <w:rsid w:val="00AF2209"/>
    <w:rsid w:val="00AF2AE5"/>
    <w:rsid w:val="00AF323F"/>
    <w:rsid w:val="00AF35F1"/>
    <w:rsid w:val="00AF3F34"/>
    <w:rsid w:val="00AF42C2"/>
    <w:rsid w:val="00AF43F2"/>
    <w:rsid w:val="00AF4645"/>
    <w:rsid w:val="00AF47CE"/>
    <w:rsid w:val="00AF48AC"/>
    <w:rsid w:val="00AF5428"/>
    <w:rsid w:val="00AF548F"/>
    <w:rsid w:val="00AF5C75"/>
    <w:rsid w:val="00AF5DE5"/>
    <w:rsid w:val="00AF5EF8"/>
    <w:rsid w:val="00AF63DD"/>
    <w:rsid w:val="00AF68E2"/>
    <w:rsid w:val="00AF6CC4"/>
    <w:rsid w:val="00AF79E3"/>
    <w:rsid w:val="00AF7A54"/>
    <w:rsid w:val="00AF7C37"/>
    <w:rsid w:val="00AF7DE5"/>
    <w:rsid w:val="00AF7FF5"/>
    <w:rsid w:val="00B00439"/>
    <w:rsid w:val="00B0089F"/>
    <w:rsid w:val="00B00931"/>
    <w:rsid w:val="00B00D81"/>
    <w:rsid w:val="00B014D8"/>
    <w:rsid w:val="00B01861"/>
    <w:rsid w:val="00B01995"/>
    <w:rsid w:val="00B02049"/>
    <w:rsid w:val="00B02280"/>
    <w:rsid w:val="00B035AE"/>
    <w:rsid w:val="00B03B40"/>
    <w:rsid w:val="00B042C1"/>
    <w:rsid w:val="00B05038"/>
    <w:rsid w:val="00B05318"/>
    <w:rsid w:val="00B05E06"/>
    <w:rsid w:val="00B063E4"/>
    <w:rsid w:val="00B06526"/>
    <w:rsid w:val="00B067E5"/>
    <w:rsid w:val="00B06C77"/>
    <w:rsid w:val="00B07B3D"/>
    <w:rsid w:val="00B106EB"/>
    <w:rsid w:val="00B10737"/>
    <w:rsid w:val="00B10964"/>
    <w:rsid w:val="00B11072"/>
    <w:rsid w:val="00B11703"/>
    <w:rsid w:val="00B11E73"/>
    <w:rsid w:val="00B12296"/>
    <w:rsid w:val="00B139D7"/>
    <w:rsid w:val="00B13DF1"/>
    <w:rsid w:val="00B13F27"/>
    <w:rsid w:val="00B14800"/>
    <w:rsid w:val="00B15064"/>
    <w:rsid w:val="00B15330"/>
    <w:rsid w:val="00B166EA"/>
    <w:rsid w:val="00B16985"/>
    <w:rsid w:val="00B16C49"/>
    <w:rsid w:val="00B16FD0"/>
    <w:rsid w:val="00B172DA"/>
    <w:rsid w:val="00B174E0"/>
    <w:rsid w:val="00B17ADE"/>
    <w:rsid w:val="00B17B89"/>
    <w:rsid w:val="00B17BC9"/>
    <w:rsid w:val="00B17C07"/>
    <w:rsid w:val="00B17C34"/>
    <w:rsid w:val="00B201EF"/>
    <w:rsid w:val="00B20282"/>
    <w:rsid w:val="00B20F7B"/>
    <w:rsid w:val="00B2154E"/>
    <w:rsid w:val="00B225D2"/>
    <w:rsid w:val="00B23121"/>
    <w:rsid w:val="00B24001"/>
    <w:rsid w:val="00B24545"/>
    <w:rsid w:val="00B24602"/>
    <w:rsid w:val="00B24715"/>
    <w:rsid w:val="00B248CD"/>
    <w:rsid w:val="00B254C8"/>
    <w:rsid w:val="00B265B5"/>
    <w:rsid w:val="00B268AC"/>
    <w:rsid w:val="00B26AE1"/>
    <w:rsid w:val="00B2745D"/>
    <w:rsid w:val="00B2789A"/>
    <w:rsid w:val="00B27D83"/>
    <w:rsid w:val="00B27DBD"/>
    <w:rsid w:val="00B27EE5"/>
    <w:rsid w:val="00B30021"/>
    <w:rsid w:val="00B302E3"/>
    <w:rsid w:val="00B31393"/>
    <w:rsid w:val="00B31736"/>
    <w:rsid w:val="00B32DA1"/>
    <w:rsid w:val="00B32F3E"/>
    <w:rsid w:val="00B33765"/>
    <w:rsid w:val="00B33D8A"/>
    <w:rsid w:val="00B3407B"/>
    <w:rsid w:val="00B3517B"/>
    <w:rsid w:val="00B35F9A"/>
    <w:rsid w:val="00B3698B"/>
    <w:rsid w:val="00B36BEF"/>
    <w:rsid w:val="00B3795E"/>
    <w:rsid w:val="00B37EDF"/>
    <w:rsid w:val="00B40357"/>
    <w:rsid w:val="00B40562"/>
    <w:rsid w:val="00B41409"/>
    <w:rsid w:val="00B42029"/>
    <w:rsid w:val="00B4243C"/>
    <w:rsid w:val="00B4332C"/>
    <w:rsid w:val="00B43B78"/>
    <w:rsid w:val="00B43CB0"/>
    <w:rsid w:val="00B44151"/>
    <w:rsid w:val="00B448FB"/>
    <w:rsid w:val="00B451C5"/>
    <w:rsid w:val="00B45519"/>
    <w:rsid w:val="00B456DA"/>
    <w:rsid w:val="00B45866"/>
    <w:rsid w:val="00B459F8"/>
    <w:rsid w:val="00B45C26"/>
    <w:rsid w:val="00B45D81"/>
    <w:rsid w:val="00B4621F"/>
    <w:rsid w:val="00B463A5"/>
    <w:rsid w:val="00B46782"/>
    <w:rsid w:val="00B468FE"/>
    <w:rsid w:val="00B46F37"/>
    <w:rsid w:val="00B47492"/>
    <w:rsid w:val="00B47783"/>
    <w:rsid w:val="00B47C36"/>
    <w:rsid w:val="00B47E4D"/>
    <w:rsid w:val="00B50341"/>
    <w:rsid w:val="00B509A8"/>
    <w:rsid w:val="00B50E77"/>
    <w:rsid w:val="00B5154C"/>
    <w:rsid w:val="00B5183F"/>
    <w:rsid w:val="00B5190E"/>
    <w:rsid w:val="00B51967"/>
    <w:rsid w:val="00B51C6D"/>
    <w:rsid w:val="00B51CF5"/>
    <w:rsid w:val="00B52251"/>
    <w:rsid w:val="00B5250B"/>
    <w:rsid w:val="00B52ADA"/>
    <w:rsid w:val="00B52BA6"/>
    <w:rsid w:val="00B52BFE"/>
    <w:rsid w:val="00B5312C"/>
    <w:rsid w:val="00B53282"/>
    <w:rsid w:val="00B53348"/>
    <w:rsid w:val="00B53402"/>
    <w:rsid w:val="00B537E5"/>
    <w:rsid w:val="00B539B0"/>
    <w:rsid w:val="00B544E8"/>
    <w:rsid w:val="00B54EA2"/>
    <w:rsid w:val="00B551C3"/>
    <w:rsid w:val="00B55316"/>
    <w:rsid w:val="00B5564C"/>
    <w:rsid w:val="00B55686"/>
    <w:rsid w:val="00B55B67"/>
    <w:rsid w:val="00B5615F"/>
    <w:rsid w:val="00B564ED"/>
    <w:rsid w:val="00B565FC"/>
    <w:rsid w:val="00B56A86"/>
    <w:rsid w:val="00B5770C"/>
    <w:rsid w:val="00B57F1E"/>
    <w:rsid w:val="00B601F3"/>
    <w:rsid w:val="00B602FB"/>
    <w:rsid w:val="00B60729"/>
    <w:rsid w:val="00B60929"/>
    <w:rsid w:val="00B60E85"/>
    <w:rsid w:val="00B6116B"/>
    <w:rsid w:val="00B61347"/>
    <w:rsid w:val="00B6207D"/>
    <w:rsid w:val="00B62130"/>
    <w:rsid w:val="00B62526"/>
    <w:rsid w:val="00B62553"/>
    <w:rsid w:val="00B62A5D"/>
    <w:rsid w:val="00B62C64"/>
    <w:rsid w:val="00B63424"/>
    <w:rsid w:val="00B6349C"/>
    <w:rsid w:val="00B637F1"/>
    <w:rsid w:val="00B63988"/>
    <w:rsid w:val="00B63A24"/>
    <w:rsid w:val="00B63A7D"/>
    <w:rsid w:val="00B63C17"/>
    <w:rsid w:val="00B64297"/>
    <w:rsid w:val="00B643F9"/>
    <w:rsid w:val="00B6445A"/>
    <w:rsid w:val="00B64630"/>
    <w:rsid w:val="00B6523E"/>
    <w:rsid w:val="00B653DD"/>
    <w:rsid w:val="00B65944"/>
    <w:rsid w:val="00B65CF2"/>
    <w:rsid w:val="00B65DAE"/>
    <w:rsid w:val="00B65FBD"/>
    <w:rsid w:val="00B674E9"/>
    <w:rsid w:val="00B67E47"/>
    <w:rsid w:val="00B70907"/>
    <w:rsid w:val="00B717AC"/>
    <w:rsid w:val="00B71AEE"/>
    <w:rsid w:val="00B71CD2"/>
    <w:rsid w:val="00B7201F"/>
    <w:rsid w:val="00B725DE"/>
    <w:rsid w:val="00B72E7D"/>
    <w:rsid w:val="00B73291"/>
    <w:rsid w:val="00B732CD"/>
    <w:rsid w:val="00B73528"/>
    <w:rsid w:val="00B7356B"/>
    <w:rsid w:val="00B7365C"/>
    <w:rsid w:val="00B73C41"/>
    <w:rsid w:val="00B741F4"/>
    <w:rsid w:val="00B743B8"/>
    <w:rsid w:val="00B74679"/>
    <w:rsid w:val="00B7519F"/>
    <w:rsid w:val="00B75322"/>
    <w:rsid w:val="00B755B2"/>
    <w:rsid w:val="00B767FD"/>
    <w:rsid w:val="00B768DB"/>
    <w:rsid w:val="00B76C98"/>
    <w:rsid w:val="00B76DE4"/>
    <w:rsid w:val="00B77248"/>
    <w:rsid w:val="00B777B1"/>
    <w:rsid w:val="00B77B4C"/>
    <w:rsid w:val="00B77E38"/>
    <w:rsid w:val="00B77F43"/>
    <w:rsid w:val="00B80FB1"/>
    <w:rsid w:val="00B8129B"/>
    <w:rsid w:val="00B8131A"/>
    <w:rsid w:val="00B8139A"/>
    <w:rsid w:val="00B81489"/>
    <w:rsid w:val="00B824E9"/>
    <w:rsid w:val="00B8251E"/>
    <w:rsid w:val="00B827A9"/>
    <w:rsid w:val="00B82AA6"/>
    <w:rsid w:val="00B82ED1"/>
    <w:rsid w:val="00B8302B"/>
    <w:rsid w:val="00B837C4"/>
    <w:rsid w:val="00B83F1D"/>
    <w:rsid w:val="00B84181"/>
    <w:rsid w:val="00B84457"/>
    <w:rsid w:val="00B845A6"/>
    <w:rsid w:val="00B848FF"/>
    <w:rsid w:val="00B84922"/>
    <w:rsid w:val="00B85892"/>
    <w:rsid w:val="00B85C3D"/>
    <w:rsid w:val="00B86B86"/>
    <w:rsid w:val="00B86C82"/>
    <w:rsid w:val="00B86D48"/>
    <w:rsid w:val="00B87263"/>
    <w:rsid w:val="00B879C7"/>
    <w:rsid w:val="00B907A9"/>
    <w:rsid w:val="00B9139F"/>
    <w:rsid w:val="00B91A56"/>
    <w:rsid w:val="00B91DC8"/>
    <w:rsid w:val="00B91E89"/>
    <w:rsid w:val="00B91F20"/>
    <w:rsid w:val="00B92191"/>
    <w:rsid w:val="00B9240A"/>
    <w:rsid w:val="00B924CF"/>
    <w:rsid w:val="00B9264D"/>
    <w:rsid w:val="00B92779"/>
    <w:rsid w:val="00B927F2"/>
    <w:rsid w:val="00B92C06"/>
    <w:rsid w:val="00B9330D"/>
    <w:rsid w:val="00B93968"/>
    <w:rsid w:val="00B93D7F"/>
    <w:rsid w:val="00B93E3A"/>
    <w:rsid w:val="00B93E72"/>
    <w:rsid w:val="00B94430"/>
    <w:rsid w:val="00B945C5"/>
    <w:rsid w:val="00B9487A"/>
    <w:rsid w:val="00B94D44"/>
    <w:rsid w:val="00B94F58"/>
    <w:rsid w:val="00B94F9F"/>
    <w:rsid w:val="00B94FFA"/>
    <w:rsid w:val="00B95535"/>
    <w:rsid w:val="00B95B7A"/>
    <w:rsid w:val="00B95BE4"/>
    <w:rsid w:val="00B95D8B"/>
    <w:rsid w:val="00B962E3"/>
    <w:rsid w:val="00B96507"/>
    <w:rsid w:val="00B96898"/>
    <w:rsid w:val="00B96A11"/>
    <w:rsid w:val="00B96C1E"/>
    <w:rsid w:val="00B96F57"/>
    <w:rsid w:val="00B976CC"/>
    <w:rsid w:val="00B977C7"/>
    <w:rsid w:val="00B97D0A"/>
    <w:rsid w:val="00BA007B"/>
    <w:rsid w:val="00BA0DB9"/>
    <w:rsid w:val="00BA1195"/>
    <w:rsid w:val="00BA14A2"/>
    <w:rsid w:val="00BA15C9"/>
    <w:rsid w:val="00BA2DC7"/>
    <w:rsid w:val="00BA2E3E"/>
    <w:rsid w:val="00BA3004"/>
    <w:rsid w:val="00BA3434"/>
    <w:rsid w:val="00BA3466"/>
    <w:rsid w:val="00BA3831"/>
    <w:rsid w:val="00BA4635"/>
    <w:rsid w:val="00BA47C3"/>
    <w:rsid w:val="00BA5A29"/>
    <w:rsid w:val="00BA5E33"/>
    <w:rsid w:val="00BA66B3"/>
    <w:rsid w:val="00BA6DA3"/>
    <w:rsid w:val="00BA6FF8"/>
    <w:rsid w:val="00BA7513"/>
    <w:rsid w:val="00BA7C61"/>
    <w:rsid w:val="00BB079C"/>
    <w:rsid w:val="00BB092C"/>
    <w:rsid w:val="00BB0A8B"/>
    <w:rsid w:val="00BB0B96"/>
    <w:rsid w:val="00BB19D1"/>
    <w:rsid w:val="00BB1D53"/>
    <w:rsid w:val="00BB2C76"/>
    <w:rsid w:val="00BB37A6"/>
    <w:rsid w:val="00BB531D"/>
    <w:rsid w:val="00BB55DF"/>
    <w:rsid w:val="00BB584E"/>
    <w:rsid w:val="00BB58B5"/>
    <w:rsid w:val="00BB5C4A"/>
    <w:rsid w:val="00BB5E1B"/>
    <w:rsid w:val="00BB6A87"/>
    <w:rsid w:val="00BB73AE"/>
    <w:rsid w:val="00BB7687"/>
    <w:rsid w:val="00BB797E"/>
    <w:rsid w:val="00BB7CB1"/>
    <w:rsid w:val="00BB7D82"/>
    <w:rsid w:val="00BC063D"/>
    <w:rsid w:val="00BC123C"/>
    <w:rsid w:val="00BC1307"/>
    <w:rsid w:val="00BC1328"/>
    <w:rsid w:val="00BC23AA"/>
    <w:rsid w:val="00BC2579"/>
    <w:rsid w:val="00BC261A"/>
    <w:rsid w:val="00BC2645"/>
    <w:rsid w:val="00BC2721"/>
    <w:rsid w:val="00BC2DF5"/>
    <w:rsid w:val="00BC2F7B"/>
    <w:rsid w:val="00BC33B5"/>
    <w:rsid w:val="00BC381D"/>
    <w:rsid w:val="00BC39B2"/>
    <w:rsid w:val="00BC41A1"/>
    <w:rsid w:val="00BC5C69"/>
    <w:rsid w:val="00BC5D58"/>
    <w:rsid w:val="00BC5E5A"/>
    <w:rsid w:val="00BC636F"/>
    <w:rsid w:val="00BC6771"/>
    <w:rsid w:val="00BC6CA8"/>
    <w:rsid w:val="00BC7019"/>
    <w:rsid w:val="00BC7069"/>
    <w:rsid w:val="00BC7639"/>
    <w:rsid w:val="00BC79B9"/>
    <w:rsid w:val="00BD033F"/>
    <w:rsid w:val="00BD10B7"/>
    <w:rsid w:val="00BD11DC"/>
    <w:rsid w:val="00BD1922"/>
    <w:rsid w:val="00BD2466"/>
    <w:rsid w:val="00BD2D1C"/>
    <w:rsid w:val="00BD3288"/>
    <w:rsid w:val="00BD36A9"/>
    <w:rsid w:val="00BD3BE5"/>
    <w:rsid w:val="00BD3CB7"/>
    <w:rsid w:val="00BD4052"/>
    <w:rsid w:val="00BD4613"/>
    <w:rsid w:val="00BD4638"/>
    <w:rsid w:val="00BD5054"/>
    <w:rsid w:val="00BD51B7"/>
    <w:rsid w:val="00BD5597"/>
    <w:rsid w:val="00BD5C85"/>
    <w:rsid w:val="00BD6013"/>
    <w:rsid w:val="00BD606E"/>
    <w:rsid w:val="00BD69D2"/>
    <w:rsid w:val="00BD6AB3"/>
    <w:rsid w:val="00BD6B7F"/>
    <w:rsid w:val="00BD7E6E"/>
    <w:rsid w:val="00BE0025"/>
    <w:rsid w:val="00BE018C"/>
    <w:rsid w:val="00BE0223"/>
    <w:rsid w:val="00BE0742"/>
    <w:rsid w:val="00BE0C15"/>
    <w:rsid w:val="00BE1031"/>
    <w:rsid w:val="00BE1CF6"/>
    <w:rsid w:val="00BE1E4C"/>
    <w:rsid w:val="00BE2CE2"/>
    <w:rsid w:val="00BE32A2"/>
    <w:rsid w:val="00BE37A4"/>
    <w:rsid w:val="00BE3D79"/>
    <w:rsid w:val="00BE461E"/>
    <w:rsid w:val="00BE49D2"/>
    <w:rsid w:val="00BE4CBC"/>
    <w:rsid w:val="00BE4FC9"/>
    <w:rsid w:val="00BE58C2"/>
    <w:rsid w:val="00BE5B6A"/>
    <w:rsid w:val="00BE5E42"/>
    <w:rsid w:val="00BE6A86"/>
    <w:rsid w:val="00BE6A95"/>
    <w:rsid w:val="00BE7291"/>
    <w:rsid w:val="00BE767D"/>
    <w:rsid w:val="00BE789D"/>
    <w:rsid w:val="00BE78B9"/>
    <w:rsid w:val="00BF0033"/>
    <w:rsid w:val="00BF01AD"/>
    <w:rsid w:val="00BF15EA"/>
    <w:rsid w:val="00BF2050"/>
    <w:rsid w:val="00BF221C"/>
    <w:rsid w:val="00BF23CA"/>
    <w:rsid w:val="00BF2656"/>
    <w:rsid w:val="00BF2955"/>
    <w:rsid w:val="00BF310A"/>
    <w:rsid w:val="00BF35F8"/>
    <w:rsid w:val="00BF3804"/>
    <w:rsid w:val="00BF3858"/>
    <w:rsid w:val="00BF3E7F"/>
    <w:rsid w:val="00BF4208"/>
    <w:rsid w:val="00BF43B4"/>
    <w:rsid w:val="00BF4EAD"/>
    <w:rsid w:val="00BF4FAE"/>
    <w:rsid w:val="00BF5681"/>
    <w:rsid w:val="00BF597A"/>
    <w:rsid w:val="00BF606F"/>
    <w:rsid w:val="00BF66A2"/>
    <w:rsid w:val="00BF66DD"/>
    <w:rsid w:val="00BF7791"/>
    <w:rsid w:val="00BF78E8"/>
    <w:rsid w:val="00C00509"/>
    <w:rsid w:val="00C009C5"/>
    <w:rsid w:val="00C018C4"/>
    <w:rsid w:val="00C01A82"/>
    <w:rsid w:val="00C02126"/>
    <w:rsid w:val="00C027F5"/>
    <w:rsid w:val="00C02969"/>
    <w:rsid w:val="00C02C0F"/>
    <w:rsid w:val="00C02DB1"/>
    <w:rsid w:val="00C03072"/>
    <w:rsid w:val="00C03684"/>
    <w:rsid w:val="00C036FA"/>
    <w:rsid w:val="00C039AB"/>
    <w:rsid w:val="00C04CEE"/>
    <w:rsid w:val="00C05C99"/>
    <w:rsid w:val="00C0611C"/>
    <w:rsid w:val="00C06839"/>
    <w:rsid w:val="00C06DA7"/>
    <w:rsid w:val="00C074E2"/>
    <w:rsid w:val="00C0758C"/>
    <w:rsid w:val="00C07A6B"/>
    <w:rsid w:val="00C07A9A"/>
    <w:rsid w:val="00C07BE8"/>
    <w:rsid w:val="00C07BFF"/>
    <w:rsid w:val="00C07C84"/>
    <w:rsid w:val="00C100CF"/>
    <w:rsid w:val="00C104CD"/>
    <w:rsid w:val="00C10624"/>
    <w:rsid w:val="00C10D0D"/>
    <w:rsid w:val="00C10EB2"/>
    <w:rsid w:val="00C11550"/>
    <w:rsid w:val="00C1172B"/>
    <w:rsid w:val="00C119A1"/>
    <w:rsid w:val="00C12597"/>
    <w:rsid w:val="00C13898"/>
    <w:rsid w:val="00C13B7C"/>
    <w:rsid w:val="00C13FBC"/>
    <w:rsid w:val="00C144B5"/>
    <w:rsid w:val="00C147CB"/>
    <w:rsid w:val="00C14AF6"/>
    <w:rsid w:val="00C15008"/>
    <w:rsid w:val="00C15032"/>
    <w:rsid w:val="00C15134"/>
    <w:rsid w:val="00C15544"/>
    <w:rsid w:val="00C15952"/>
    <w:rsid w:val="00C15AE2"/>
    <w:rsid w:val="00C15B07"/>
    <w:rsid w:val="00C166F8"/>
    <w:rsid w:val="00C169C3"/>
    <w:rsid w:val="00C1718A"/>
    <w:rsid w:val="00C174BA"/>
    <w:rsid w:val="00C20380"/>
    <w:rsid w:val="00C20409"/>
    <w:rsid w:val="00C20705"/>
    <w:rsid w:val="00C20883"/>
    <w:rsid w:val="00C214CB"/>
    <w:rsid w:val="00C21A9D"/>
    <w:rsid w:val="00C221C8"/>
    <w:rsid w:val="00C221F4"/>
    <w:rsid w:val="00C22389"/>
    <w:rsid w:val="00C225BC"/>
    <w:rsid w:val="00C22665"/>
    <w:rsid w:val="00C229CB"/>
    <w:rsid w:val="00C22EA0"/>
    <w:rsid w:val="00C23635"/>
    <w:rsid w:val="00C248C4"/>
    <w:rsid w:val="00C24906"/>
    <w:rsid w:val="00C25816"/>
    <w:rsid w:val="00C25AED"/>
    <w:rsid w:val="00C25D3B"/>
    <w:rsid w:val="00C25D94"/>
    <w:rsid w:val="00C25DF6"/>
    <w:rsid w:val="00C260B1"/>
    <w:rsid w:val="00C26490"/>
    <w:rsid w:val="00C26590"/>
    <w:rsid w:val="00C26C30"/>
    <w:rsid w:val="00C271B5"/>
    <w:rsid w:val="00C272E7"/>
    <w:rsid w:val="00C27441"/>
    <w:rsid w:val="00C277AB"/>
    <w:rsid w:val="00C27918"/>
    <w:rsid w:val="00C27CA4"/>
    <w:rsid w:val="00C3072B"/>
    <w:rsid w:val="00C30742"/>
    <w:rsid w:val="00C307C9"/>
    <w:rsid w:val="00C30CEE"/>
    <w:rsid w:val="00C31473"/>
    <w:rsid w:val="00C31CDB"/>
    <w:rsid w:val="00C31EC2"/>
    <w:rsid w:val="00C322F5"/>
    <w:rsid w:val="00C322FD"/>
    <w:rsid w:val="00C3252A"/>
    <w:rsid w:val="00C32A3D"/>
    <w:rsid w:val="00C32CB6"/>
    <w:rsid w:val="00C338D8"/>
    <w:rsid w:val="00C3422E"/>
    <w:rsid w:val="00C343E3"/>
    <w:rsid w:val="00C344E8"/>
    <w:rsid w:val="00C34731"/>
    <w:rsid w:val="00C348EF"/>
    <w:rsid w:val="00C353CD"/>
    <w:rsid w:val="00C353E8"/>
    <w:rsid w:val="00C35484"/>
    <w:rsid w:val="00C356B1"/>
    <w:rsid w:val="00C363AD"/>
    <w:rsid w:val="00C364E1"/>
    <w:rsid w:val="00C368F2"/>
    <w:rsid w:val="00C370BB"/>
    <w:rsid w:val="00C37181"/>
    <w:rsid w:val="00C37863"/>
    <w:rsid w:val="00C37C6A"/>
    <w:rsid w:val="00C37CAA"/>
    <w:rsid w:val="00C40251"/>
    <w:rsid w:val="00C40B2C"/>
    <w:rsid w:val="00C40B39"/>
    <w:rsid w:val="00C41218"/>
    <w:rsid w:val="00C41244"/>
    <w:rsid w:val="00C412D6"/>
    <w:rsid w:val="00C412EA"/>
    <w:rsid w:val="00C416CE"/>
    <w:rsid w:val="00C418D7"/>
    <w:rsid w:val="00C425C8"/>
    <w:rsid w:val="00C42CA1"/>
    <w:rsid w:val="00C42D5F"/>
    <w:rsid w:val="00C42F9C"/>
    <w:rsid w:val="00C4337E"/>
    <w:rsid w:val="00C43A32"/>
    <w:rsid w:val="00C4419D"/>
    <w:rsid w:val="00C4447E"/>
    <w:rsid w:val="00C44C95"/>
    <w:rsid w:val="00C44F9D"/>
    <w:rsid w:val="00C454BA"/>
    <w:rsid w:val="00C45C75"/>
    <w:rsid w:val="00C463E9"/>
    <w:rsid w:val="00C46747"/>
    <w:rsid w:val="00C46A7B"/>
    <w:rsid w:val="00C46C10"/>
    <w:rsid w:val="00C4732F"/>
    <w:rsid w:val="00C4744D"/>
    <w:rsid w:val="00C4752C"/>
    <w:rsid w:val="00C47BC4"/>
    <w:rsid w:val="00C507FE"/>
    <w:rsid w:val="00C5087C"/>
    <w:rsid w:val="00C50B21"/>
    <w:rsid w:val="00C50EFB"/>
    <w:rsid w:val="00C510F9"/>
    <w:rsid w:val="00C51DFE"/>
    <w:rsid w:val="00C51FEB"/>
    <w:rsid w:val="00C520D8"/>
    <w:rsid w:val="00C5237D"/>
    <w:rsid w:val="00C5239A"/>
    <w:rsid w:val="00C52E25"/>
    <w:rsid w:val="00C53D98"/>
    <w:rsid w:val="00C53FE8"/>
    <w:rsid w:val="00C54352"/>
    <w:rsid w:val="00C54896"/>
    <w:rsid w:val="00C56392"/>
    <w:rsid w:val="00C56C55"/>
    <w:rsid w:val="00C56CA0"/>
    <w:rsid w:val="00C57450"/>
    <w:rsid w:val="00C57FBF"/>
    <w:rsid w:val="00C6096D"/>
    <w:rsid w:val="00C60A14"/>
    <w:rsid w:val="00C60A19"/>
    <w:rsid w:val="00C60B21"/>
    <w:rsid w:val="00C60CEE"/>
    <w:rsid w:val="00C61204"/>
    <w:rsid w:val="00C6141A"/>
    <w:rsid w:val="00C616A2"/>
    <w:rsid w:val="00C61D9F"/>
    <w:rsid w:val="00C61E21"/>
    <w:rsid w:val="00C620F8"/>
    <w:rsid w:val="00C62238"/>
    <w:rsid w:val="00C6248C"/>
    <w:rsid w:val="00C6273C"/>
    <w:rsid w:val="00C63321"/>
    <w:rsid w:val="00C63565"/>
    <w:rsid w:val="00C636F2"/>
    <w:rsid w:val="00C644BE"/>
    <w:rsid w:val="00C6451D"/>
    <w:rsid w:val="00C648AA"/>
    <w:rsid w:val="00C64B85"/>
    <w:rsid w:val="00C64EC0"/>
    <w:rsid w:val="00C650F9"/>
    <w:rsid w:val="00C65237"/>
    <w:rsid w:val="00C6533B"/>
    <w:rsid w:val="00C656D7"/>
    <w:rsid w:val="00C6686A"/>
    <w:rsid w:val="00C6697A"/>
    <w:rsid w:val="00C66C91"/>
    <w:rsid w:val="00C6790C"/>
    <w:rsid w:val="00C7087D"/>
    <w:rsid w:val="00C728BB"/>
    <w:rsid w:val="00C72C92"/>
    <w:rsid w:val="00C736E7"/>
    <w:rsid w:val="00C7391A"/>
    <w:rsid w:val="00C73CE9"/>
    <w:rsid w:val="00C73D51"/>
    <w:rsid w:val="00C743D7"/>
    <w:rsid w:val="00C7563A"/>
    <w:rsid w:val="00C75F0A"/>
    <w:rsid w:val="00C76621"/>
    <w:rsid w:val="00C76673"/>
    <w:rsid w:val="00C7707C"/>
    <w:rsid w:val="00C779A0"/>
    <w:rsid w:val="00C77C36"/>
    <w:rsid w:val="00C77F6E"/>
    <w:rsid w:val="00C80057"/>
    <w:rsid w:val="00C80275"/>
    <w:rsid w:val="00C80394"/>
    <w:rsid w:val="00C804E7"/>
    <w:rsid w:val="00C80B00"/>
    <w:rsid w:val="00C82074"/>
    <w:rsid w:val="00C82617"/>
    <w:rsid w:val="00C826D5"/>
    <w:rsid w:val="00C82DEE"/>
    <w:rsid w:val="00C835D2"/>
    <w:rsid w:val="00C84857"/>
    <w:rsid w:val="00C84E85"/>
    <w:rsid w:val="00C85602"/>
    <w:rsid w:val="00C85DDC"/>
    <w:rsid w:val="00C86405"/>
    <w:rsid w:val="00C87339"/>
    <w:rsid w:val="00C87413"/>
    <w:rsid w:val="00C87545"/>
    <w:rsid w:val="00C9019C"/>
    <w:rsid w:val="00C903F5"/>
    <w:rsid w:val="00C90718"/>
    <w:rsid w:val="00C91925"/>
    <w:rsid w:val="00C91B3D"/>
    <w:rsid w:val="00C9259B"/>
    <w:rsid w:val="00C927E3"/>
    <w:rsid w:val="00C92ACE"/>
    <w:rsid w:val="00C92AE0"/>
    <w:rsid w:val="00C931F6"/>
    <w:rsid w:val="00C9336F"/>
    <w:rsid w:val="00C93698"/>
    <w:rsid w:val="00C936B5"/>
    <w:rsid w:val="00C93A5F"/>
    <w:rsid w:val="00C94456"/>
    <w:rsid w:val="00C94816"/>
    <w:rsid w:val="00C948B9"/>
    <w:rsid w:val="00C955A9"/>
    <w:rsid w:val="00C95603"/>
    <w:rsid w:val="00C95DF9"/>
    <w:rsid w:val="00C96127"/>
    <w:rsid w:val="00C96643"/>
    <w:rsid w:val="00C96F3D"/>
    <w:rsid w:val="00C97ADB"/>
    <w:rsid w:val="00CA09EC"/>
    <w:rsid w:val="00CA0BDC"/>
    <w:rsid w:val="00CA0C37"/>
    <w:rsid w:val="00CA14A6"/>
    <w:rsid w:val="00CA18B4"/>
    <w:rsid w:val="00CA2690"/>
    <w:rsid w:val="00CA2BB0"/>
    <w:rsid w:val="00CA3673"/>
    <w:rsid w:val="00CA3744"/>
    <w:rsid w:val="00CA39E0"/>
    <w:rsid w:val="00CA3F20"/>
    <w:rsid w:val="00CA4B61"/>
    <w:rsid w:val="00CA4EDB"/>
    <w:rsid w:val="00CA5586"/>
    <w:rsid w:val="00CA5EDC"/>
    <w:rsid w:val="00CA6013"/>
    <w:rsid w:val="00CA66A6"/>
    <w:rsid w:val="00CA6969"/>
    <w:rsid w:val="00CA696A"/>
    <w:rsid w:val="00CA69D3"/>
    <w:rsid w:val="00CA6E05"/>
    <w:rsid w:val="00CA769A"/>
    <w:rsid w:val="00CA77B7"/>
    <w:rsid w:val="00CA7E2E"/>
    <w:rsid w:val="00CA7E77"/>
    <w:rsid w:val="00CA7E88"/>
    <w:rsid w:val="00CB0037"/>
    <w:rsid w:val="00CB0763"/>
    <w:rsid w:val="00CB2430"/>
    <w:rsid w:val="00CB24EC"/>
    <w:rsid w:val="00CB26EF"/>
    <w:rsid w:val="00CB2A11"/>
    <w:rsid w:val="00CB2AAC"/>
    <w:rsid w:val="00CB2F94"/>
    <w:rsid w:val="00CB3778"/>
    <w:rsid w:val="00CB39BF"/>
    <w:rsid w:val="00CB3B15"/>
    <w:rsid w:val="00CB4487"/>
    <w:rsid w:val="00CB44B7"/>
    <w:rsid w:val="00CB44DB"/>
    <w:rsid w:val="00CB5915"/>
    <w:rsid w:val="00CB5B89"/>
    <w:rsid w:val="00CB6141"/>
    <w:rsid w:val="00CB7567"/>
    <w:rsid w:val="00CB7603"/>
    <w:rsid w:val="00CC0CA9"/>
    <w:rsid w:val="00CC1669"/>
    <w:rsid w:val="00CC18B4"/>
    <w:rsid w:val="00CC1CC1"/>
    <w:rsid w:val="00CC223B"/>
    <w:rsid w:val="00CC22E2"/>
    <w:rsid w:val="00CC29F5"/>
    <w:rsid w:val="00CC2AB7"/>
    <w:rsid w:val="00CC3C32"/>
    <w:rsid w:val="00CC3DA4"/>
    <w:rsid w:val="00CC46EB"/>
    <w:rsid w:val="00CC4851"/>
    <w:rsid w:val="00CC53E3"/>
    <w:rsid w:val="00CC5D43"/>
    <w:rsid w:val="00CC5DD1"/>
    <w:rsid w:val="00CC5EF0"/>
    <w:rsid w:val="00CC6522"/>
    <w:rsid w:val="00CC7574"/>
    <w:rsid w:val="00CD0109"/>
    <w:rsid w:val="00CD0466"/>
    <w:rsid w:val="00CD0C50"/>
    <w:rsid w:val="00CD0EDE"/>
    <w:rsid w:val="00CD0FF1"/>
    <w:rsid w:val="00CD1603"/>
    <w:rsid w:val="00CD1C78"/>
    <w:rsid w:val="00CD2519"/>
    <w:rsid w:val="00CD3312"/>
    <w:rsid w:val="00CD38E3"/>
    <w:rsid w:val="00CD3D9A"/>
    <w:rsid w:val="00CD482C"/>
    <w:rsid w:val="00CD4C29"/>
    <w:rsid w:val="00CD52A5"/>
    <w:rsid w:val="00CD5C2E"/>
    <w:rsid w:val="00CD5F54"/>
    <w:rsid w:val="00CD6CCE"/>
    <w:rsid w:val="00CD6E02"/>
    <w:rsid w:val="00CD7746"/>
    <w:rsid w:val="00CD7F52"/>
    <w:rsid w:val="00CE0720"/>
    <w:rsid w:val="00CE078D"/>
    <w:rsid w:val="00CE1452"/>
    <w:rsid w:val="00CE17F0"/>
    <w:rsid w:val="00CE1B33"/>
    <w:rsid w:val="00CE2321"/>
    <w:rsid w:val="00CE24E7"/>
    <w:rsid w:val="00CE3003"/>
    <w:rsid w:val="00CE335B"/>
    <w:rsid w:val="00CE386F"/>
    <w:rsid w:val="00CE3BAF"/>
    <w:rsid w:val="00CE4F9B"/>
    <w:rsid w:val="00CE5555"/>
    <w:rsid w:val="00CE5AF4"/>
    <w:rsid w:val="00CE6019"/>
    <w:rsid w:val="00CE63D9"/>
    <w:rsid w:val="00CE66D3"/>
    <w:rsid w:val="00CE69C3"/>
    <w:rsid w:val="00CE6D5B"/>
    <w:rsid w:val="00CE707F"/>
    <w:rsid w:val="00CE7C7F"/>
    <w:rsid w:val="00CE7F6C"/>
    <w:rsid w:val="00CF0AC0"/>
    <w:rsid w:val="00CF0E09"/>
    <w:rsid w:val="00CF0EBA"/>
    <w:rsid w:val="00CF0F5A"/>
    <w:rsid w:val="00CF1E71"/>
    <w:rsid w:val="00CF2183"/>
    <w:rsid w:val="00CF21A8"/>
    <w:rsid w:val="00CF2591"/>
    <w:rsid w:val="00CF2A18"/>
    <w:rsid w:val="00CF2B79"/>
    <w:rsid w:val="00CF2DAD"/>
    <w:rsid w:val="00CF3752"/>
    <w:rsid w:val="00CF394D"/>
    <w:rsid w:val="00CF3AF7"/>
    <w:rsid w:val="00CF3CCF"/>
    <w:rsid w:val="00CF3DE9"/>
    <w:rsid w:val="00CF49B1"/>
    <w:rsid w:val="00CF4E08"/>
    <w:rsid w:val="00CF5509"/>
    <w:rsid w:val="00CF56BF"/>
    <w:rsid w:val="00CF5BF8"/>
    <w:rsid w:val="00CF5CD4"/>
    <w:rsid w:val="00CF6474"/>
    <w:rsid w:val="00CF66DB"/>
    <w:rsid w:val="00CF6945"/>
    <w:rsid w:val="00CF746F"/>
    <w:rsid w:val="00CF7535"/>
    <w:rsid w:val="00CF755C"/>
    <w:rsid w:val="00CF7E8B"/>
    <w:rsid w:val="00D0001B"/>
    <w:rsid w:val="00D009AF"/>
    <w:rsid w:val="00D00DC2"/>
    <w:rsid w:val="00D01027"/>
    <w:rsid w:val="00D01D9F"/>
    <w:rsid w:val="00D01E56"/>
    <w:rsid w:val="00D02042"/>
    <w:rsid w:val="00D021F2"/>
    <w:rsid w:val="00D03013"/>
    <w:rsid w:val="00D032CE"/>
    <w:rsid w:val="00D03463"/>
    <w:rsid w:val="00D038ED"/>
    <w:rsid w:val="00D04307"/>
    <w:rsid w:val="00D044D9"/>
    <w:rsid w:val="00D0485C"/>
    <w:rsid w:val="00D04904"/>
    <w:rsid w:val="00D04927"/>
    <w:rsid w:val="00D04B3F"/>
    <w:rsid w:val="00D04D86"/>
    <w:rsid w:val="00D0508A"/>
    <w:rsid w:val="00D052C4"/>
    <w:rsid w:val="00D055F4"/>
    <w:rsid w:val="00D056AB"/>
    <w:rsid w:val="00D05B4B"/>
    <w:rsid w:val="00D05D19"/>
    <w:rsid w:val="00D05FEF"/>
    <w:rsid w:val="00D060D4"/>
    <w:rsid w:val="00D06A24"/>
    <w:rsid w:val="00D06CA5"/>
    <w:rsid w:val="00D06F50"/>
    <w:rsid w:val="00D0720C"/>
    <w:rsid w:val="00D0743F"/>
    <w:rsid w:val="00D07471"/>
    <w:rsid w:val="00D075B7"/>
    <w:rsid w:val="00D07D00"/>
    <w:rsid w:val="00D10196"/>
    <w:rsid w:val="00D107C9"/>
    <w:rsid w:val="00D107F2"/>
    <w:rsid w:val="00D1090E"/>
    <w:rsid w:val="00D10AD0"/>
    <w:rsid w:val="00D10AFD"/>
    <w:rsid w:val="00D10B16"/>
    <w:rsid w:val="00D11840"/>
    <w:rsid w:val="00D11DAA"/>
    <w:rsid w:val="00D13EBA"/>
    <w:rsid w:val="00D14C6B"/>
    <w:rsid w:val="00D14D92"/>
    <w:rsid w:val="00D14E7C"/>
    <w:rsid w:val="00D155BB"/>
    <w:rsid w:val="00D16248"/>
    <w:rsid w:val="00D16592"/>
    <w:rsid w:val="00D1666A"/>
    <w:rsid w:val="00D17442"/>
    <w:rsid w:val="00D1762A"/>
    <w:rsid w:val="00D2007B"/>
    <w:rsid w:val="00D2022F"/>
    <w:rsid w:val="00D205FB"/>
    <w:rsid w:val="00D2073A"/>
    <w:rsid w:val="00D20A69"/>
    <w:rsid w:val="00D2135A"/>
    <w:rsid w:val="00D21677"/>
    <w:rsid w:val="00D21850"/>
    <w:rsid w:val="00D2199A"/>
    <w:rsid w:val="00D21CCC"/>
    <w:rsid w:val="00D21D3F"/>
    <w:rsid w:val="00D21E8C"/>
    <w:rsid w:val="00D21F0C"/>
    <w:rsid w:val="00D2236C"/>
    <w:rsid w:val="00D22C86"/>
    <w:rsid w:val="00D23014"/>
    <w:rsid w:val="00D23634"/>
    <w:rsid w:val="00D23E0A"/>
    <w:rsid w:val="00D24086"/>
    <w:rsid w:val="00D25562"/>
    <w:rsid w:val="00D25AC3"/>
    <w:rsid w:val="00D25BA3"/>
    <w:rsid w:val="00D26573"/>
    <w:rsid w:val="00D26F22"/>
    <w:rsid w:val="00D274EC"/>
    <w:rsid w:val="00D2754D"/>
    <w:rsid w:val="00D27D4C"/>
    <w:rsid w:val="00D27D7E"/>
    <w:rsid w:val="00D27F70"/>
    <w:rsid w:val="00D304A8"/>
    <w:rsid w:val="00D30BA5"/>
    <w:rsid w:val="00D30F48"/>
    <w:rsid w:val="00D31108"/>
    <w:rsid w:val="00D31214"/>
    <w:rsid w:val="00D31639"/>
    <w:rsid w:val="00D3226E"/>
    <w:rsid w:val="00D3289C"/>
    <w:rsid w:val="00D328C3"/>
    <w:rsid w:val="00D32EE3"/>
    <w:rsid w:val="00D33214"/>
    <w:rsid w:val="00D34089"/>
    <w:rsid w:val="00D340DD"/>
    <w:rsid w:val="00D3444D"/>
    <w:rsid w:val="00D34EEE"/>
    <w:rsid w:val="00D3501F"/>
    <w:rsid w:val="00D3541C"/>
    <w:rsid w:val="00D35478"/>
    <w:rsid w:val="00D35BBD"/>
    <w:rsid w:val="00D35FB6"/>
    <w:rsid w:val="00D36508"/>
    <w:rsid w:val="00D365AD"/>
    <w:rsid w:val="00D36DC1"/>
    <w:rsid w:val="00D37A01"/>
    <w:rsid w:val="00D37F2C"/>
    <w:rsid w:val="00D404AE"/>
    <w:rsid w:val="00D40712"/>
    <w:rsid w:val="00D40F99"/>
    <w:rsid w:val="00D4123F"/>
    <w:rsid w:val="00D4160E"/>
    <w:rsid w:val="00D4275E"/>
    <w:rsid w:val="00D42AAF"/>
    <w:rsid w:val="00D42E7D"/>
    <w:rsid w:val="00D42F87"/>
    <w:rsid w:val="00D43FAD"/>
    <w:rsid w:val="00D44CA8"/>
    <w:rsid w:val="00D4566C"/>
    <w:rsid w:val="00D4574B"/>
    <w:rsid w:val="00D45793"/>
    <w:rsid w:val="00D46371"/>
    <w:rsid w:val="00D4720B"/>
    <w:rsid w:val="00D47DCD"/>
    <w:rsid w:val="00D47F03"/>
    <w:rsid w:val="00D501BA"/>
    <w:rsid w:val="00D50398"/>
    <w:rsid w:val="00D503B7"/>
    <w:rsid w:val="00D5075D"/>
    <w:rsid w:val="00D508CB"/>
    <w:rsid w:val="00D50930"/>
    <w:rsid w:val="00D51401"/>
    <w:rsid w:val="00D515D2"/>
    <w:rsid w:val="00D518A2"/>
    <w:rsid w:val="00D52774"/>
    <w:rsid w:val="00D52A06"/>
    <w:rsid w:val="00D52A6E"/>
    <w:rsid w:val="00D52C10"/>
    <w:rsid w:val="00D52D13"/>
    <w:rsid w:val="00D5305E"/>
    <w:rsid w:val="00D53680"/>
    <w:rsid w:val="00D5369A"/>
    <w:rsid w:val="00D536B8"/>
    <w:rsid w:val="00D53962"/>
    <w:rsid w:val="00D53A22"/>
    <w:rsid w:val="00D54384"/>
    <w:rsid w:val="00D544C8"/>
    <w:rsid w:val="00D545F0"/>
    <w:rsid w:val="00D5484E"/>
    <w:rsid w:val="00D5551B"/>
    <w:rsid w:val="00D558A9"/>
    <w:rsid w:val="00D55D37"/>
    <w:rsid w:val="00D5645B"/>
    <w:rsid w:val="00D56B8A"/>
    <w:rsid w:val="00D56D98"/>
    <w:rsid w:val="00D5770C"/>
    <w:rsid w:val="00D57935"/>
    <w:rsid w:val="00D60334"/>
    <w:rsid w:val="00D6092B"/>
    <w:rsid w:val="00D60AF5"/>
    <w:rsid w:val="00D60D61"/>
    <w:rsid w:val="00D611DA"/>
    <w:rsid w:val="00D613B4"/>
    <w:rsid w:val="00D616A8"/>
    <w:rsid w:val="00D621A9"/>
    <w:rsid w:val="00D62633"/>
    <w:rsid w:val="00D62CAA"/>
    <w:rsid w:val="00D62D64"/>
    <w:rsid w:val="00D62EF0"/>
    <w:rsid w:val="00D63D07"/>
    <w:rsid w:val="00D6438B"/>
    <w:rsid w:val="00D644A0"/>
    <w:rsid w:val="00D64907"/>
    <w:rsid w:val="00D64F5C"/>
    <w:rsid w:val="00D652A5"/>
    <w:rsid w:val="00D6534D"/>
    <w:rsid w:val="00D66708"/>
    <w:rsid w:val="00D66F97"/>
    <w:rsid w:val="00D7069C"/>
    <w:rsid w:val="00D70808"/>
    <w:rsid w:val="00D70F20"/>
    <w:rsid w:val="00D7104A"/>
    <w:rsid w:val="00D7119A"/>
    <w:rsid w:val="00D72183"/>
    <w:rsid w:val="00D72701"/>
    <w:rsid w:val="00D72A85"/>
    <w:rsid w:val="00D73235"/>
    <w:rsid w:val="00D733D1"/>
    <w:rsid w:val="00D73652"/>
    <w:rsid w:val="00D737A4"/>
    <w:rsid w:val="00D73A57"/>
    <w:rsid w:val="00D74131"/>
    <w:rsid w:val="00D7422A"/>
    <w:rsid w:val="00D74CFF"/>
    <w:rsid w:val="00D76505"/>
    <w:rsid w:val="00D765E4"/>
    <w:rsid w:val="00D76600"/>
    <w:rsid w:val="00D76796"/>
    <w:rsid w:val="00D769A2"/>
    <w:rsid w:val="00D76D4E"/>
    <w:rsid w:val="00D77704"/>
    <w:rsid w:val="00D7784A"/>
    <w:rsid w:val="00D779B3"/>
    <w:rsid w:val="00D77FE4"/>
    <w:rsid w:val="00D77FF0"/>
    <w:rsid w:val="00D80384"/>
    <w:rsid w:val="00D8139D"/>
    <w:rsid w:val="00D81901"/>
    <w:rsid w:val="00D81958"/>
    <w:rsid w:val="00D82978"/>
    <w:rsid w:val="00D82A38"/>
    <w:rsid w:val="00D82E35"/>
    <w:rsid w:val="00D83452"/>
    <w:rsid w:val="00D836E4"/>
    <w:rsid w:val="00D83770"/>
    <w:rsid w:val="00D837FE"/>
    <w:rsid w:val="00D83823"/>
    <w:rsid w:val="00D841CF"/>
    <w:rsid w:val="00D8455B"/>
    <w:rsid w:val="00D845CA"/>
    <w:rsid w:val="00D84B32"/>
    <w:rsid w:val="00D8537A"/>
    <w:rsid w:val="00D855D5"/>
    <w:rsid w:val="00D856AA"/>
    <w:rsid w:val="00D85B0B"/>
    <w:rsid w:val="00D85CEE"/>
    <w:rsid w:val="00D8617F"/>
    <w:rsid w:val="00D86BE6"/>
    <w:rsid w:val="00D87AE0"/>
    <w:rsid w:val="00D90255"/>
    <w:rsid w:val="00D90378"/>
    <w:rsid w:val="00D90455"/>
    <w:rsid w:val="00D904A5"/>
    <w:rsid w:val="00D9108D"/>
    <w:rsid w:val="00D9163C"/>
    <w:rsid w:val="00D91773"/>
    <w:rsid w:val="00D917D7"/>
    <w:rsid w:val="00D91BC8"/>
    <w:rsid w:val="00D9270E"/>
    <w:rsid w:val="00D93A81"/>
    <w:rsid w:val="00D93BEC"/>
    <w:rsid w:val="00D94E30"/>
    <w:rsid w:val="00D94FE7"/>
    <w:rsid w:val="00D951EC"/>
    <w:rsid w:val="00D9572B"/>
    <w:rsid w:val="00D95923"/>
    <w:rsid w:val="00D959D4"/>
    <w:rsid w:val="00D95B74"/>
    <w:rsid w:val="00D95D45"/>
    <w:rsid w:val="00D963B3"/>
    <w:rsid w:val="00D964ED"/>
    <w:rsid w:val="00D96CF1"/>
    <w:rsid w:val="00D97151"/>
    <w:rsid w:val="00D97A31"/>
    <w:rsid w:val="00D97B2A"/>
    <w:rsid w:val="00D97D6D"/>
    <w:rsid w:val="00DA00C1"/>
    <w:rsid w:val="00DA0302"/>
    <w:rsid w:val="00DA0998"/>
    <w:rsid w:val="00DA10C4"/>
    <w:rsid w:val="00DA11F2"/>
    <w:rsid w:val="00DA15E9"/>
    <w:rsid w:val="00DA1784"/>
    <w:rsid w:val="00DA1C4A"/>
    <w:rsid w:val="00DA1CDF"/>
    <w:rsid w:val="00DA2078"/>
    <w:rsid w:val="00DA2821"/>
    <w:rsid w:val="00DA28B6"/>
    <w:rsid w:val="00DA316B"/>
    <w:rsid w:val="00DA3978"/>
    <w:rsid w:val="00DA39E2"/>
    <w:rsid w:val="00DA3A62"/>
    <w:rsid w:val="00DA3A9E"/>
    <w:rsid w:val="00DA3CC8"/>
    <w:rsid w:val="00DA4326"/>
    <w:rsid w:val="00DA441E"/>
    <w:rsid w:val="00DA5602"/>
    <w:rsid w:val="00DA5775"/>
    <w:rsid w:val="00DA57DD"/>
    <w:rsid w:val="00DA593D"/>
    <w:rsid w:val="00DA5A14"/>
    <w:rsid w:val="00DA639D"/>
    <w:rsid w:val="00DA6642"/>
    <w:rsid w:val="00DA68C6"/>
    <w:rsid w:val="00DA6C38"/>
    <w:rsid w:val="00DA7001"/>
    <w:rsid w:val="00DA734E"/>
    <w:rsid w:val="00DA7692"/>
    <w:rsid w:val="00DA7885"/>
    <w:rsid w:val="00DB00B7"/>
    <w:rsid w:val="00DB08B8"/>
    <w:rsid w:val="00DB13C4"/>
    <w:rsid w:val="00DB19E6"/>
    <w:rsid w:val="00DB1D6A"/>
    <w:rsid w:val="00DB1F3D"/>
    <w:rsid w:val="00DB2238"/>
    <w:rsid w:val="00DB3C42"/>
    <w:rsid w:val="00DB473C"/>
    <w:rsid w:val="00DB47A2"/>
    <w:rsid w:val="00DB488D"/>
    <w:rsid w:val="00DB496F"/>
    <w:rsid w:val="00DB4974"/>
    <w:rsid w:val="00DB5A28"/>
    <w:rsid w:val="00DB5B2C"/>
    <w:rsid w:val="00DB61C2"/>
    <w:rsid w:val="00DB6AA1"/>
    <w:rsid w:val="00DB731E"/>
    <w:rsid w:val="00DB7ADD"/>
    <w:rsid w:val="00DB7E62"/>
    <w:rsid w:val="00DC01EB"/>
    <w:rsid w:val="00DC023C"/>
    <w:rsid w:val="00DC03C2"/>
    <w:rsid w:val="00DC05EA"/>
    <w:rsid w:val="00DC09B9"/>
    <w:rsid w:val="00DC0C44"/>
    <w:rsid w:val="00DC1064"/>
    <w:rsid w:val="00DC1594"/>
    <w:rsid w:val="00DC189D"/>
    <w:rsid w:val="00DC1D99"/>
    <w:rsid w:val="00DC1E58"/>
    <w:rsid w:val="00DC1E5A"/>
    <w:rsid w:val="00DC1EA5"/>
    <w:rsid w:val="00DC1F49"/>
    <w:rsid w:val="00DC2B1C"/>
    <w:rsid w:val="00DC2BAA"/>
    <w:rsid w:val="00DC2C7A"/>
    <w:rsid w:val="00DC2DB0"/>
    <w:rsid w:val="00DC32D9"/>
    <w:rsid w:val="00DC3F6D"/>
    <w:rsid w:val="00DC3F84"/>
    <w:rsid w:val="00DC4646"/>
    <w:rsid w:val="00DC4BC1"/>
    <w:rsid w:val="00DC4F2B"/>
    <w:rsid w:val="00DC4F81"/>
    <w:rsid w:val="00DC5848"/>
    <w:rsid w:val="00DC5A81"/>
    <w:rsid w:val="00DC5BBA"/>
    <w:rsid w:val="00DC68B2"/>
    <w:rsid w:val="00DC7D47"/>
    <w:rsid w:val="00DD0591"/>
    <w:rsid w:val="00DD0740"/>
    <w:rsid w:val="00DD089C"/>
    <w:rsid w:val="00DD0CD9"/>
    <w:rsid w:val="00DD1AAD"/>
    <w:rsid w:val="00DD1BA9"/>
    <w:rsid w:val="00DD21D8"/>
    <w:rsid w:val="00DD26EE"/>
    <w:rsid w:val="00DD2B2C"/>
    <w:rsid w:val="00DD2D45"/>
    <w:rsid w:val="00DD2E35"/>
    <w:rsid w:val="00DD3012"/>
    <w:rsid w:val="00DD319E"/>
    <w:rsid w:val="00DD31DB"/>
    <w:rsid w:val="00DD39E6"/>
    <w:rsid w:val="00DD503B"/>
    <w:rsid w:val="00DD534D"/>
    <w:rsid w:val="00DD5AA6"/>
    <w:rsid w:val="00DD63B2"/>
    <w:rsid w:val="00DD6937"/>
    <w:rsid w:val="00DD6985"/>
    <w:rsid w:val="00DD774F"/>
    <w:rsid w:val="00DE030D"/>
    <w:rsid w:val="00DE03EC"/>
    <w:rsid w:val="00DE08BF"/>
    <w:rsid w:val="00DE15BF"/>
    <w:rsid w:val="00DE165C"/>
    <w:rsid w:val="00DE222B"/>
    <w:rsid w:val="00DE25B6"/>
    <w:rsid w:val="00DE34F2"/>
    <w:rsid w:val="00DE462F"/>
    <w:rsid w:val="00DE483E"/>
    <w:rsid w:val="00DE58F5"/>
    <w:rsid w:val="00DE58FF"/>
    <w:rsid w:val="00DE5BD9"/>
    <w:rsid w:val="00DE6593"/>
    <w:rsid w:val="00DE6F1B"/>
    <w:rsid w:val="00DE714F"/>
    <w:rsid w:val="00DE73D7"/>
    <w:rsid w:val="00DE76AA"/>
    <w:rsid w:val="00DF03F6"/>
    <w:rsid w:val="00DF07C4"/>
    <w:rsid w:val="00DF136A"/>
    <w:rsid w:val="00DF1FD4"/>
    <w:rsid w:val="00DF2138"/>
    <w:rsid w:val="00DF259A"/>
    <w:rsid w:val="00DF2E2C"/>
    <w:rsid w:val="00DF2FFB"/>
    <w:rsid w:val="00DF3440"/>
    <w:rsid w:val="00DF3BFB"/>
    <w:rsid w:val="00DF3C66"/>
    <w:rsid w:val="00DF3DA7"/>
    <w:rsid w:val="00DF4AB1"/>
    <w:rsid w:val="00DF57D7"/>
    <w:rsid w:val="00DF598B"/>
    <w:rsid w:val="00DF5F88"/>
    <w:rsid w:val="00DF63CE"/>
    <w:rsid w:val="00DF65B4"/>
    <w:rsid w:val="00DF6A33"/>
    <w:rsid w:val="00DF6B5A"/>
    <w:rsid w:val="00DF747F"/>
    <w:rsid w:val="00DF79BD"/>
    <w:rsid w:val="00DF7E49"/>
    <w:rsid w:val="00E00326"/>
    <w:rsid w:val="00E0047D"/>
    <w:rsid w:val="00E00591"/>
    <w:rsid w:val="00E006DE"/>
    <w:rsid w:val="00E00969"/>
    <w:rsid w:val="00E00B2F"/>
    <w:rsid w:val="00E01810"/>
    <w:rsid w:val="00E018F7"/>
    <w:rsid w:val="00E01B30"/>
    <w:rsid w:val="00E01FE2"/>
    <w:rsid w:val="00E02138"/>
    <w:rsid w:val="00E0221D"/>
    <w:rsid w:val="00E022B2"/>
    <w:rsid w:val="00E038D9"/>
    <w:rsid w:val="00E03A77"/>
    <w:rsid w:val="00E042BE"/>
    <w:rsid w:val="00E043F5"/>
    <w:rsid w:val="00E04D4D"/>
    <w:rsid w:val="00E05086"/>
    <w:rsid w:val="00E05449"/>
    <w:rsid w:val="00E05497"/>
    <w:rsid w:val="00E05771"/>
    <w:rsid w:val="00E0596A"/>
    <w:rsid w:val="00E05A87"/>
    <w:rsid w:val="00E05A92"/>
    <w:rsid w:val="00E05E94"/>
    <w:rsid w:val="00E068BE"/>
    <w:rsid w:val="00E06A2B"/>
    <w:rsid w:val="00E06F6F"/>
    <w:rsid w:val="00E07D9D"/>
    <w:rsid w:val="00E102A0"/>
    <w:rsid w:val="00E1087C"/>
    <w:rsid w:val="00E108CB"/>
    <w:rsid w:val="00E10B4C"/>
    <w:rsid w:val="00E10CE9"/>
    <w:rsid w:val="00E10D43"/>
    <w:rsid w:val="00E10DCF"/>
    <w:rsid w:val="00E10DFA"/>
    <w:rsid w:val="00E11028"/>
    <w:rsid w:val="00E11216"/>
    <w:rsid w:val="00E1187F"/>
    <w:rsid w:val="00E11B20"/>
    <w:rsid w:val="00E11B3F"/>
    <w:rsid w:val="00E13A2A"/>
    <w:rsid w:val="00E13B2A"/>
    <w:rsid w:val="00E13BD9"/>
    <w:rsid w:val="00E140B1"/>
    <w:rsid w:val="00E1424A"/>
    <w:rsid w:val="00E15522"/>
    <w:rsid w:val="00E16034"/>
    <w:rsid w:val="00E1613C"/>
    <w:rsid w:val="00E164F3"/>
    <w:rsid w:val="00E16D07"/>
    <w:rsid w:val="00E173B5"/>
    <w:rsid w:val="00E1784E"/>
    <w:rsid w:val="00E178B6"/>
    <w:rsid w:val="00E20053"/>
    <w:rsid w:val="00E2112B"/>
    <w:rsid w:val="00E22090"/>
    <w:rsid w:val="00E221AF"/>
    <w:rsid w:val="00E22340"/>
    <w:rsid w:val="00E227BC"/>
    <w:rsid w:val="00E22D5E"/>
    <w:rsid w:val="00E22D66"/>
    <w:rsid w:val="00E22E5A"/>
    <w:rsid w:val="00E23382"/>
    <w:rsid w:val="00E236EF"/>
    <w:rsid w:val="00E236F8"/>
    <w:rsid w:val="00E23B16"/>
    <w:rsid w:val="00E242AA"/>
    <w:rsid w:val="00E245E2"/>
    <w:rsid w:val="00E247D9"/>
    <w:rsid w:val="00E24835"/>
    <w:rsid w:val="00E24C05"/>
    <w:rsid w:val="00E24C4A"/>
    <w:rsid w:val="00E24FA4"/>
    <w:rsid w:val="00E25678"/>
    <w:rsid w:val="00E256CA"/>
    <w:rsid w:val="00E2592F"/>
    <w:rsid w:val="00E25A39"/>
    <w:rsid w:val="00E25C1F"/>
    <w:rsid w:val="00E25F33"/>
    <w:rsid w:val="00E26364"/>
    <w:rsid w:val="00E26729"/>
    <w:rsid w:val="00E268CC"/>
    <w:rsid w:val="00E277C1"/>
    <w:rsid w:val="00E27C1C"/>
    <w:rsid w:val="00E301C9"/>
    <w:rsid w:val="00E30573"/>
    <w:rsid w:val="00E30762"/>
    <w:rsid w:val="00E309E3"/>
    <w:rsid w:val="00E30AEE"/>
    <w:rsid w:val="00E3232A"/>
    <w:rsid w:val="00E328E8"/>
    <w:rsid w:val="00E3291D"/>
    <w:rsid w:val="00E33725"/>
    <w:rsid w:val="00E33740"/>
    <w:rsid w:val="00E354A0"/>
    <w:rsid w:val="00E35965"/>
    <w:rsid w:val="00E35F9D"/>
    <w:rsid w:val="00E3626B"/>
    <w:rsid w:val="00E363A8"/>
    <w:rsid w:val="00E37342"/>
    <w:rsid w:val="00E37811"/>
    <w:rsid w:val="00E37DC7"/>
    <w:rsid w:val="00E37FB1"/>
    <w:rsid w:val="00E4005B"/>
    <w:rsid w:val="00E4097C"/>
    <w:rsid w:val="00E40A0E"/>
    <w:rsid w:val="00E410A2"/>
    <w:rsid w:val="00E4121E"/>
    <w:rsid w:val="00E41284"/>
    <w:rsid w:val="00E415FC"/>
    <w:rsid w:val="00E41777"/>
    <w:rsid w:val="00E4205A"/>
    <w:rsid w:val="00E4271E"/>
    <w:rsid w:val="00E42794"/>
    <w:rsid w:val="00E42AE2"/>
    <w:rsid w:val="00E42B4B"/>
    <w:rsid w:val="00E42BD7"/>
    <w:rsid w:val="00E42FF8"/>
    <w:rsid w:val="00E4340F"/>
    <w:rsid w:val="00E43A4D"/>
    <w:rsid w:val="00E44347"/>
    <w:rsid w:val="00E44811"/>
    <w:rsid w:val="00E450A6"/>
    <w:rsid w:val="00E462D6"/>
    <w:rsid w:val="00E469A1"/>
    <w:rsid w:val="00E46AD2"/>
    <w:rsid w:val="00E471CE"/>
    <w:rsid w:val="00E47D50"/>
    <w:rsid w:val="00E47E19"/>
    <w:rsid w:val="00E5022A"/>
    <w:rsid w:val="00E50661"/>
    <w:rsid w:val="00E50AB5"/>
    <w:rsid w:val="00E51BF0"/>
    <w:rsid w:val="00E523A3"/>
    <w:rsid w:val="00E5281C"/>
    <w:rsid w:val="00E52B82"/>
    <w:rsid w:val="00E52FAE"/>
    <w:rsid w:val="00E5324C"/>
    <w:rsid w:val="00E532C6"/>
    <w:rsid w:val="00E5391B"/>
    <w:rsid w:val="00E53A14"/>
    <w:rsid w:val="00E53B0F"/>
    <w:rsid w:val="00E53B9A"/>
    <w:rsid w:val="00E53F27"/>
    <w:rsid w:val="00E542CA"/>
    <w:rsid w:val="00E54A90"/>
    <w:rsid w:val="00E54BF6"/>
    <w:rsid w:val="00E54C1C"/>
    <w:rsid w:val="00E54FF9"/>
    <w:rsid w:val="00E551C3"/>
    <w:rsid w:val="00E5573F"/>
    <w:rsid w:val="00E55AA6"/>
    <w:rsid w:val="00E55AB8"/>
    <w:rsid w:val="00E55D59"/>
    <w:rsid w:val="00E560A4"/>
    <w:rsid w:val="00E56447"/>
    <w:rsid w:val="00E5690B"/>
    <w:rsid w:val="00E5703E"/>
    <w:rsid w:val="00E57AF7"/>
    <w:rsid w:val="00E601E9"/>
    <w:rsid w:val="00E603D8"/>
    <w:rsid w:val="00E6121E"/>
    <w:rsid w:val="00E61726"/>
    <w:rsid w:val="00E61990"/>
    <w:rsid w:val="00E619EE"/>
    <w:rsid w:val="00E61B6A"/>
    <w:rsid w:val="00E63759"/>
    <w:rsid w:val="00E642B9"/>
    <w:rsid w:val="00E64C8A"/>
    <w:rsid w:val="00E64F1F"/>
    <w:rsid w:val="00E6503D"/>
    <w:rsid w:val="00E65258"/>
    <w:rsid w:val="00E6536E"/>
    <w:rsid w:val="00E653FB"/>
    <w:rsid w:val="00E657D8"/>
    <w:rsid w:val="00E65E2A"/>
    <w:rsid w:val="00E662A2"/>
    <w:rsid w:val="00E6638C"/>
    <w:rsid w:val="00E66767"/>
    <w:rsid w:val="00E66FBE"/>
    <w:rsid w:val="00E674F9"/>
    <w:rsid w:val="00E6789C"/>
    <w:rsid w:val="00E67AE5"/>
    <w:rsid w:val="00E70DC8"/>
    <w:rsid w:val="00E70E68"/>
    <w:rsid w:val="00E71104"/>
    <w:rsid w:val="00E71318"/>
    <w:rsid w:val="00E71765"/>
    <w:rsid w:val="00E72218"/>
    <w:rsid w:val="00E72895"/>
    <w:rsid w:val="00E72C2F"/>
    <w:rsid w:val="00E732DB"/>
    <w:rsid w:val="00E737CD"/>
    <w:rsid w:val="00E739A8"/>
    <w:rsid w:val="00E73EC8"/>
    <w:rsid w:val="00E73ECB"/>
    <w:rsid w:val="00E74121"/>
    <w:rsid w:val="00E7460E"/>
    <w:rsid w:val="00E74660"/>
    <w:rsid w:val="00E749C7"/>
    <w:rsid w:val="00E7527F"/>
    <w:rsid w:val="00E7554E"/>
    <w:rsid w:val="00E75747"/>
    <w:rsid w:val="00E7584B"/>
    <w:rsid w:val="00E76035"/>
    <w:rsid w:val="00E764D3"/>
    <w:rsid w:val="00E77172"/>
    <w:rsid w:val="00E77A01"/>
    <w:rsid w:val="00E80256"/>
    <w:rsid w:val="00E809AC"/>
    <w:rsid w:val="00E80CFD"/>
    <w:rsid w:val="00E820E4"/>
    <w:rsid w:val="00E822CE"/>
    <w:rsid w:val="00E8254E"/>
    <w:rsid w:val="00E8269D"/>
    <w:rsid w:val="00E826FF"/>
    <w:rsid w:val="00E82841"/>
    <w:rsid w:val="00E82D6B"/>
    <w:rsid w:val="00E833BD"/>
    <w:rsid w:val="00E838DA"/>
    <w:rsid w:val="00E8427B"/>
    <w:rsid w:val="00E84847"/>
    <w:rsid w:val="00E849A8"/>
    <w:rsid w:val="00E84A03"/>
    <w:rsid w:val="00E85254"/>
    <w:rsid w:val="00E858E8"/>
    <w:rsid w:val="00E8605F"/>
    <w:rsid w:val="00E863AF"/>
    <w:rsid w:val="00E873D4"/>
    <w:rsid w:val="00E8775B"/>
    <w:rsid w:val="00E87C90"/>
    <w:rsid w:val="00E90964"/>
    <w:rsid w:val="00E90BE0"/>
    <w:rsid w:val="00E90DC1"/>
    <w:rsid w:val="00E92070"/>
    <w:rsid w:val="00E92110"/>
    <w:rsid w:val="00E9222A"/>
    <w:rsid w:val="00E92762"/>
    <w:rsid w:val="00E92A9E"/>
    <w:rsid w:val="00E92DCF"/>
    <w:rsid w:val="00E93237"/>
    <w:rsid w:val="00E9348A"/>
    <w:rsid w:val="00E93662"/>
    <w:rsid w:val="00E938D4"/>
    <w:rsid w:val="00E938F7"/>
    <w:rsid w:val="00E9412B"/>
    <w:rsid w:val="00E941DC"/>
    <w:rsid w:val="00E944EB"/>
    <w:rsid w:val="00E946EE"/>
    <w:rsid w:val="00E948B0"/>
    <w:rsid w:val="00E94950"/>
    <w:rsid w:val="00E94CD5"/>
    <w:rsid w:val="00E94EC8"/>
    <w:rsid w:val="00E9511E"/>
    <w:rsid w:val="00E95581"/>
    <w:rsid w:val="00E95AE1"/>
    <w:rsid w:val="00E9633C"/>
    <w:rsid w:val="00E96482"/>
    <w:rsid w:val="00E96902"/>
    <w:rsid w:val="00E96913"/>
    <w:rsid w:val="00E96F97"/>
    <w:rsid w:val="00E97528"/>
    <w:rsid w:val="00E97545"/>
    <w:rsid w:val="00E977AC"/>
    <w:rsid w:val="00E97887"/>
    <w:rsid w:val="00E97C35"/>
    <w:rsid w:val="00EA0465"/>
    <w:rsid w:val="00EA0522"/>
    <w:rsid w:val="00EA0B41"/>
    <w:rsid w:val="00EA1023"/>
    <w:rsid w:val="00EA1595"/>
    <w:rsid w:val="00EA16AC"/>
    <w:rsid w:val="00EA1C8B"/>
    <w:rsid w:val="00EA1EF3"/>
    <w:rsid w:val="00EA250C"/>
    <w:rsid w:val="00EA2826"/>
    <w:rsid w:val="00EA2E6F"/>
    <w:rsid w:val="00EA3242"/>
    <w:rsid w:val="00EA3375"/>
    <w:rsid w:val="00EA338B"/>
    <w:rsid w:val="00EA49A9"/>
    <w:rsid w:val="00EA4B17"/>
    <w:rsid w:val="00EA54D5"/>
    <w:rsid w:val="00EA55C7"/>
    <w:rsid w:val="00EA5905"/>
    <w:rsid w:val="00EA5DD2"/>
    <w:rsid w:val="00EA6263"/>
    <w:rsid w:val="00EA66A7"/>
    <w:rsid w:val="00EA6731"/>
    <w:rsid w:val="00EA701D"/>
    <w:rsid w:val="00EA78F6"/>
    <w:rsid w:val="00EA7EB0"/>
    <w:rsid w:val="00EB01B6"/>
    <w:rsid w:val="00EB0A5D"/>
    <w:rsid w:val="00EB0E9B"/>
    <w:rsid w:val="00EB1C2E"/>
    <w:rsid w:val="00EB1FDE"/>
    <w:rsid w:val="00EB214E"/>
    <w:rsid w:val="00EB24FD"/>
    <w:rsid w:val="00EB2EDD"/>
    <w:rsid w:val="00EB2FE4"/>
    <w:rsid w:val="00EB37E1"/>
    <w:rsid w:val="00EB3C4B"/>
    <w:rsid w:val="00EB3F15"/>
    <w:rsid w:val="00EB453E"/>
    <w:rsid w:val="00EB4BBB"/>
    <w:rsid w:val="00EB4F24"/>
    <w:rsid w:val="00EB5970"/>
    <w:rsid w:val="00EB5F6A"/>
    <w:rsid w:val="00EB639F"/>
    <w:rsid w:val="00EB6CCD"/>
    <w:rsid w:val="00EB705C"/>
    <w:rsid w:val="00EB7587"/>
    <w:rsid w:val="00EB7AD3"/>
    <w:rsid w:val="00EC012A"/>
    <w:rsid w:val="00EC05A4"/>
    <w:rsid w:val="00EC07B1"/>
    <w:rsid w:val="00EC0A46"/>
    <w:rsid w:val="00EC17EA"/>
    <w:rsid w:val="00EC2A17"/>
    <w:rsid w:val="00EC2A8E"/>
    <w:rsid w:val="00EC3783"/>
    <w:rsid w:val="00EC3FC2"/>
    <w:rsid w:val="00EC476F"/>
    <w:rsid w:val="00EC4D57"/>
    <w:rsid w:val="00EC552F"/>
    <w:rsid w:val="00EC5846"/>
    <w:rsid w:val="00EC599B"/>
    <w:rsid w:val="00EC59B2"/>
    <w:rsid w:val="00EC6084"/>
    <w:rsid w:val="00EC645E"/>
    <w:rsid w:val="00EC6876"/>
    <w:rsid w:val="00EC69A7"/>
    <w:rsid w:val="00EC6A13"/>
    <w:rsid w:val="00EC7161"/>
    <w:rsid w:val="00EC73E7"/>
    <w:rsid w:val="00EC77C7"/>
    <w:rsid w:val="00EC7854"/>
    <w:rsid w:val="00EC78E6"/>
    <w:rsid w:val="00EC7C5F"/>
    <w:rsid w:val="00ED0117"/>
    <w:rsid w:val="00ED0435"/>
    <w:rsid w:val="00ED1130"/>
    <w:rsid w:val="00ED125F"/>
    <w:rsid w:val="00ED14F8"/>
    <w:rsid w:val="00ED1615"/>
    <w:rsid w:val="00ED1B3F"/>
    <w:rsid w:val="00ED1FC6"/>
    <w:rsid w:val="00ED2418"/>
    <w:rsid w:val="00ED2A94"/>
    <w:rsid w:val="00ED3712"/>
    <w:rsid w:val="00ED3719"/>
    <w:rsid w:val="00ED3740"/>
    <w:rsid w:val="00ED3792"/>
    <w:rsid w:val="00ED3959"/>
    <w:rsid w:val="00ED40C7"/>
    <w:rsid w:val="00ED4BEA"/>
    <w:rsid w:val="00ED4E70"/>
    <w:rsid w:val="00ED5154"/>
    <w:rsid w:val="00ED5A8D"/>
    <w:rsid w:val="00ED5AAA"/>
    <w:rsid w:val="00ED6026"/>
    <w:rsid w:val="00ED65A4"/>
    <w:rsid w:val="00ED6A1A"/>
    <w:rsid w:val="00ED76E6"/>
    <w:rsid w:val="00ED77DA"/>
    <w:rsid w:val="00ED7959"/>
    <w:rsid w:val="00ED7ABB"/>
    <w:rsid w:val="00ED7B7C"/>
    <w:rsid w:val="00ED7D47"/>
    <w:rsid w:val="00ED7F9E"/>
    <w:rsid w:val="00EE0073"/>
    <w:rsid w:val="00EE04C5"/>
    <w:rsid w:val="00EE0593"/>
    <w:rsid w:val="00EE0FB0"/>
    <w:rsid w:val="00EE12FD"/>
    <w:rsid w:val="00EE15AF"/>
    <w:rsid w:val="00EE1A56"/>
    <w:rsid w:val="00EE1BBC"/>
    <w:rsid w:val="00EE23CF"/>
    <w:rsid w:val="00EE23D9"/>
    <w:rsid w:val="00EE2737"/>
    <w:rsid w:val="00EE29A5"/>
    <w:rsid w:val="00EE2B58"/>
    <w:rsid w:val="00EE2D16"/>
    <w:rsid w:val="00EE3545"/>
    <w:rsid w:val="00EE361E"/>
    <w:rsid w:val="00EE3706"/>
    <w:rsid w:val="00EE38A8"/>
    <w:rsid w:val="00EE3A77"/>
    <w:rsid w:val="00EE41ED"/>
    <w:rsid w:val="00EE5055"/>
    <w:rsid w:val="00EE52B9"/>
    <w:rsid w:val="00EE5632"/>
    <w:rsid w:val="00EE58E5"/>
    <w:rsid w:val="00EE5F43"/>
    <w:rsid w:val="00EE69D6"/>
    <w:rsid w:val="00EE69E9"/>
    <w:rsid w:val="00EE6A1F"/>
    <w:rsid w:val="00EE6ACB"/>
    <w:rsid w:val="00EE7977"/>
    <w:rsid w:val="00EF0111"/>
    <w:rsid w:val="00EF0B13"/>
    <w:rsid w:val="00EF106E"/>
    <w:rsid w:val="00EF1110"/>
    <w:rsid w:val="00EF12F7"/>
    <w:rsid w:val="00EF138A"/>
    <w:rsid w:val="00EF1664"/>
    <w:rsid w:val="00EF1CF4"/>
    <w:rsid w:val="00EF202A"/>
    <w:rsid w:val="00EF20F5"/>
    <w:rsid w:val="00EF2106"/>
    <w:rsid w:val="00EF284B"/>
    <w:rsid w:val="00EF2A08"/>
    <w:rsid w:val="00EF2C0C"/>
    <w:rsid w:val="00EF2C5D"/>
    <w:rsid w:val="00EF3603"/>
    <w:rsid w:val="00EF3966"/>
    <w:rsid w:val="00EF39E7"/>
    <w:rsid w:val="00EF3B8E"/>
    <w:rsid w:val="00EF3D6D"/>
    <w:rsid w:val="00EF3E23"/>
    <w:rsid w:val="00EF3E85"/>
    <w:rsid w:val="00EF40DC"/>
    <w:rsid w:val="00EF487F"/>
    <w:rsid w:val="00EF53D6"/>
    <w:rsid w:val="00EF54CB"/>
    <w:rsid w:val="00EF550C"/>
    <w:rsid w:val="00EF586A"/>
    <w:rsid w:val="00EF5CA3"/>
    <w:rsid w:val="00EF5E83"/>
    <w:rsid w:val="00EF6CB1"/>
    <w:rsid w:val="00EF73BE"/>
    <w:rsid w:val="00EF764B"/>
    <w:rsid w:val="00EF7B16"/>
    <w:rsid w:val="00EF7D5D"/>
    <w:rsid w:val="00EF7FD5"/>
    <w:rsid w:val="00F0050A"/>
    <w:rsid w:val="00F00665"/>
    <w:rsid w:val="00F00FD8"/>
    <w:rsid w:val="00F013B5"/>
    <w:rsid w:val="00F01D56"/>
    <w:rsid w:val="00F01EA7"/>
    <w:rsid w:val="00F02319"/>
    <w:rsid w:val="00F02AFB"/>
    <w:rsid w:val="00F02F91"/>
    <w:rsid w:val="00F03155"/>
    <w:rsid w:val="00F032CC"/>
    <w:rsid w:val="00F034D2"/>
    <w:rsid w:val="00F035B4"/>
    <w:rsid w:val="00F03672"/>
    <w:rsid w:val="00F03702"/>
    <w:rsid w:val="00F038E1"/>
    <w:rsid w:val="00F03CB3"/>
    <w:rsid w:val="00F0419D"/>
    <w:rsid w:val="00F042CB"/>
    <w:rsid w:val="00F04348"/>
    <w:rsid w:val="00F04424"/>
    <w:rsid w:val="00F04517"/>
    <w:rsid w:val="00F05562"/>
    <w:rsid w:val="00F05B03"/>
    <w:rsid w:val="00F05B78"/>
    <w:rsid w:val="00F05C22"/>
    <w:rsid w:val="00F06618"/>
    <w:rsid w:val="00F0689E"/>
    <w:rsid w:val="00F07083"/>
    <w:rsid w:val="00F07338"/>
    <w:rsid w:val="00F1004B"/>
    <w:rsid w:val="00F10397"/>
    <w:rsid w:val="00F109BC"/>
    <w:rsid w:val="00F11176"/>
    <w:rsid w:val="00F1169D"/>
    <w:rsid w:val="00F12173"/>
    <w:rsid w:val="00F12B4C"/>
    <w:rsid w:val="00F12D95"/>
    <w:rsid w:val="00F130CC"/>
    <w:rsid w:val="00F13381"/>
    <w:rsid w:val="00F14012"/>
    <w:rsid w:val="00F141A1"/>
    <w:rsid w:val="00F15048"/>
    <w:rsid w:val="00F1564A"/>
    <w:rsid w:val="00F15C4B"/>
    <w:rsid w:val="00F15CA4"/>
    <w:rsid w:val="00F15D10"/>
    <w:rsid w:val="00F1626E"/>
    <w:rsid w:val="00F163F0"/>
    <w:rsid w:val="00F16A88"/>
    <w:rsid w:val="00F16B21"/>
    <w:rsid w:val="00F16C1C"/>
    <w:rsid w:val="00F16D3E"/>
    <w:rsid w:val="00F17362"/>
    <w:rsid w:val="00F17770"/>
    <w:rsid w:val="00F20111"/>
    <w:rsid w:val="00F205A1"/>
    <w:rsid w:val="00F208BB"/>
    <w:rsid w:val="00F2090D"/>
    <w:rsid w:val="00F209BA"/>
    <w:rsid w:val="00F20A50"/>
    <w:rsid w:val="00F21060"/>
    <w:rsid w:val="00F2161E"/>
    <w:rsid w:val="00F217C0"/>
    <w:rsid w:val="00F21959"/>
    <w:rsid w:val="00F21C10"/>
    <w:rsid w:val="00F21DEB"/>
    <w:rsid w:val="00F226E6"/>
    <w:rsid w:val="00F22724"/>
    <w:rsid w:val="00F2330F"/>
    <w:rsid w:val="00F23394"/>
    <w:rsid w:val="00F23B69"/>
    <w:rsid w:val="00F23D36"/>
    <w:rsid w:val="00F244DF"/>
    <w:rsid w:val="00F24A45"/>
    <w:rsid w:val="00F24F30"/>
    <w:rsid w:val="00F25539"/>
    <w:rsid w:val="00F2553E"/>
    <w:rsid w:val="00F25A69"/>
    <w:rsid w:val="00F25B8C"/>
    <w:rsid w:val="00F25EA5"/>
    <w:rsid w:val="00F27082"/>
    <w:rsid w:val="00F278F0"/>
    <w:rsid w:val="00F27A4A"/>
    <w:rsid w:val="00F27BE5"/>
    <w:rsid w:val="00F27FD4"/>
    <w:rsid w:val="00F30AE1"/>
    <w:rsid w:val="00F310AD"/>
    <w:rsid w:val="00F3154E"/>
    <w:rsid w:val="00F31882"/>
    <w:rsid w:val="00F31CA3"/>
    <w:rsid w:val="00F31D79"/>
    <w:rsid w:val="00F33003"/>
    <w:rsid w:val="00F33863"/>
    <w:rsid w:val="00F3391D"/>
    <w:rsid w:val="00F33B0A"/>
    <w:rsid w:val="00F34380"/>
    <w:rsid w:val="00F34709"/>
    <w:rsid w:val="00F34BA4"/>
    <w:rsid w:val="00F35047"/>
    <w:rsid w:val="00F355D9"/>
    <w:rsid w:val="00F35778"/>
    <w:rsid w:val="00F35EAB"/>
    <w:rsid w:val="00F364AB"/>
    <w:rsid w:val="00F36D99"/>
    <w:rsid w:val="00F36F0E"/>
    <w:rsid w:val="00F3718B"/>
    <w:rsid w:val="00F3719C"/>
    <w:rsid w:val="00F37ABF"/>
    <w:rsid w:val="00F4014B"/>
    <w:rsid w:val="00F409EF"/>
    <w:rsid w:val="00F40B0C"/>
    <w:rsid w:val="00F41149"/>
    <w:rsid w:val="00F413E1"/>
    <w:rsid w:val="00F41CEB"/>
    <w:rsid w:val="00F41E50"/>
    <w:rsid w:val="00F42F75"/>
    <w:rsid w:val="00F43714"/>
    <w:rsid w:val="00F43D87"/>
    <w:rsid w:val="00F447BD"/>
    <w:rsid w:val="00F450E2"/>
    <w:rsid w:val="00F454A6"/>
    <w:rsid w:val="00F4572E"/>
    <w:rsid w:val="00F45844"/>
    <w:rsid w:val="00F46F7F"/>
    <w:rsid w:val="00F47CEC"/>
    <w:rsid w:val="00F47DE9"/>
    <w:rsid w:val="00F50270"/>
    <w:rsid w:val="00F50BA1"/>
    <w:rsid w:val="00F511B3"/>
    <w:rsid w:val="00F512AD"/>
    <w:rsid w:val="00F5142F"/>
    <w:rsid w:val="00F517A8"/>
    <w:rsid w:val="00F51A6A"/>
    <w:rsid w:val="00F51C74"/>
    <w:rsid w:val="00F5262F"/>
    <w:rsid w:val="00F535F1"/>
    <w:rsid w:val="00F546B7"/>
    <w:rsid w:val="00F54BEB"/>
    <w:rsid w:val="00F54C1A"/>
    <w:rsid w:val="00F54FE8"/>
    <w:rsid w:val="00F55BFD"/>
    <w:rsid w:val="00F55CBC"/>
    <w:rsid w:val="00F5642B"/>
    <w:rsid w:val="00F56E99"/>
    <w:rsid w:val="00F57233"/>
    <w:rsid w:val="00F57AC6"/>
    <w:rsid w:val="00F57DC3"/>
    <w:rsid w:val="00F6025C"/>
    <w:rsid w:val="00F61202"/>
    <w:rsid w:val="00F6144E"/>
    <w:rsid w:val="00F6171F"/>
    <w:rsid w:val="00F617FF"/>
    <w:rsid w:val="00F622B3"/>
    <w:rsid w:val="00F62ECE"/>
    <w:rsid w:val="00F6314E"/>
    <w:rsid w:val="00F6315B"/>
    <w:rsid w:val="00F636EF"/>
    <w:rsid w:val="00F638E3"/>
    <w:rsid w:val="00F63A75"/>
    <w:rsid w:val="00F63B24"/>
    <w:rsid w:val="00F63BF9"/>
    <w:rsid w:val="00F63CC3"/>
    <w:rsid w:val="00F645CA"/>
    <w:rsid w:val="00F64778"/>
    <w:rsid w:val="00F64AFD"/>
    <w:rsid w:val="00F64BAC"/>
    <w:rsid w:val="00F65C69"/>
    <w:rsid w:val="00F6671D"/>
    <w:rsid w:val="00F66D0F"/>
    <w:rsid w:val="00F6730A"/>
    <w:rsid w:val="00F678E5"/>
    <w:rsid w:val="00F67BC8"/>
    <w:rsid w:val="00F7004C"/>
    <w:rsid w:val="00F70369"/>
    <w:rsid w:val="00F706B3"/>
    <w:rsid w:val="00F70C5F"/>
    <w:rsid w:val="00F70FBC"/>
    <w:rsid w:val="00F711F2"/>
    <w:rsid w:val="00F71684"/>
    <w:rsid w:val="00F71914"/>
    <w:rsid w:val="00F71946"/>
    <w:rsid w:val="00F71D37"/>
    <w:rsid w:val="00F71F5A"/>
    <w:rsid w:val="00F72064"/>
    <w:rsid w:val="00F72068"/>
    <w:rsid w:val="00F723BF"/>
    <w:rsid w:val="00F72689"/>
    <w:rsid w:val="00F72825"/>
    <w:rsid w:val="00F72FC8"/>
    <w:rsid w:val="00F730A9"/>
    <w:rsid w:val="00F73F2C"/>
    <w:rsid w:val="00F74319"/>
    <w:rsid w:val="00F7496B"/>
    <w:rsid w:val="00F74994"/>
    <w:rsid w:val="00F74C7F"/>
    <w:rsid w:val="00F7512F"/>
    <w:rsid w:val="00F75B03"/>
    <w:rsid w:val="00F75FE6"/>
    <w:rsid w:val="00F76A97"/>
    <w:rsid w:val="00F775D7"/>
    <w:rsid w:val="00F77650"/>
    <w:rsid w:val="00F77774"/>
    <w:rsid w:val="00F80293"/>
    <w:rsid w:val="00F80D37"/>
    <w:rsid w:val="00F80EE8"/>
    <w:rsid w:val="00F81956"/>
    <w:rsid w:val="00F82296"/>
    <w:rsid w:val="00F82704"/>
    <w:rsid w:val="00F82CEF"/>
    <w:rsid w:val="00F8319B"/>
    <w:rsid w:val="00F83382"/>
    <w:rsid w:val="00F83428"/>
    <w:rsid w:val="00F83885"/>
    <w:rsid w:val="00F84196"/>
    <w:rsid w:val="00F84D4B"/>
    <w:rsid w:val="00F8592B"/>
    <w:rsid w:val="00F85A97"/>
    <w:rsid w:val="00F85B2A"/>
    <w:rsid w:val="00F85C71"/>
    <w:rsid w:val="00F8624B"/>
    <w:rsid w:val="00F86A53"/>
    <w:rsid w:val="00F86D77"/>
    <w:rsid w:val="00F8727D"/>
    <w:rsid w:val="00F8772E"/>
    <w:rsid w:val="00F87FD5"/>
    <w:rsid w:val="00F905D8"/>
    <w:rsid w:val="00F908B6"/>
    <w:rsid w:val="00F90E9D"/>
    <w:rsid w:val="00F90FA3"/>
    <w:rsid w:val="00F91186"/>
    <w:rsid w:val="00F91301"/>
    <w:rsid w:val="00F914E2"/>
    <w:rsid w:val="00F91B1B"/>
    <w:rsid w:val="00F92728"/>
    <w:rsid w:val="00F92F86"/>
    <w:rsid w:val="00F92FC2"/>
    <w:rsid w:val="00F92FED"/>
    <w:rsid w:val="00F92FF0"/>
    <w:rsid w:val="00F93057"/>
    <w:rsid w:val="00F934BB"/>
    <w:rsid w:val="00F934EC"/>
    <w:rsid w:val="00F93811"/>
    <w:rsid w:val="00F93ADA"/>
    <w:rsid w:val="00F93C07"/>
    <w:rsid w:val="00F9422D"/>
    <w:rsid w:val="00F943C7"/>
    <w:rsid w:val="00F94BA1"/>
    <w:rsid w:val="00F94FFA"/>
    <w:rsid w:val="00F951ED"/>
    <w:rsid w:val="00F95381"/>
    <w:rsid w:val="00F9544D"/>
    <w:rsid w:val="00F95DFE"/>
    <w:rsid w:val="00F962AF"/>
    <w:rsid w:val="00F96809"/>
    <w:rsid w:val="00F96DA9"/>
    <w:rsid w:val="00F96DDB"/>
    <w:rsid w:val="00F97A5F"/>
    <w:rsid w:val="00F97DFC"/>
    <w:rsid w:val="00FA0173"/>
    <w:rsid w:val="00FA0333"/>
    <w:rsid w:val="00FA043D"/>
    <w:rsid w:val="00FA07A7"/>
    <w:rsid w:val="00FA08BB"/>
    <w:rsid w:val="00FA0C1A"/>
    <w:rsid w:val="00FA131B"/>
    <w:rsid w:val="00FA1572"/>
    <w:rsid w:val="00FA1845"/>
    <w:rsid w:val="00FA1AF8"/>
    <w:rsid w:val="00FA1B32"/>
    <w:rsid w:val="00FA1B83"/>
    <w:rsid w:val="00FA1DE5"/>
    <w:rsid w:val="00FA2251"/>
    <w:rsid w:val="00FA24DC"/>
    <w:rsid w:val="00FA2AF6"/>
    <w:rsid w:val="00FA2F3A"/>
    <w:rsid w:val="00FA4241"/>
    <w:rsid w:val="00FA4307"/>
    <w:rsid w:val="00FA4683"/>
    <w:rsid w:val="00FA544E"/>
    <w:rsid w:val="00FA5838"/>
    <w:rsid w:val="00FA60A3"/>
    <w:rsid w:val="00FA63A4"/>
    <w:rsid w:val="00FA648C"/>
    <w:rsid w:val="00FA67C8"/>
    <w:rsid w:val="00FA6AA3"/>
    <w:rsid w:val="00FA6AD7"/>
    <w:rsid w:val="00FA6C11"/>
    <w:rsid w:val="00FA762A"/>
    <w:rsid w:val="00FA7CC4"/>
    <w:rsid w:val="00FA7DDF"/>
    <w:rsid w:val="00FA7E5E"/>
    <w:rsid w:val="00FB00D7"/>
    <w:rsid w:val="00FB0367"/>
    <w:rsid w:val="00FB04C2"/>
    <w:rsid w:val="00FB0BFD"/>
    <w:rsid w:val="00FB0D0D"/>
    <w:rsid w:val="00FB146A"/>
    <w:rsid w:val="00FB19C9"/>
    <w:rsid w:val="00FB1C83"/>
    <w:rsid w:val="00FB1D63"/>
    <w:rsid w:val="00FB4016"/>
    <w:rsid w:val="00FB4D2E"/>
    <w:rsid w:val="00FB50E8"/>
    <w:rsid w:val="00FB5206"/>
    <w:rsid w:val="00FB54BB"/>
    <w:rsid w:val="00FB58B3"/>
    <w:rsid w:val="00FB7277"/>
    <w:rsid w:val="00FB7292"/>
    <w:rsid w:val="00FB73C6"/>
    <w:rsid w:val="00FB73FD"/>
    <w:rsid w:val="00FB7431"/>
    <w:rsid w:val="00FB75C5"/>
    <w:rsid w:val="00FB79AF"/>
    <w:rsid w:val="00FB7B11"/>
    <w:rsid w:val="00FB7F0C"/>
    <w:rsid w:val="00FC0085"/>
    <w:rsid w:val="00FC031C"/>
    <w:rsid w:val="00FC04B1"/>
    <w:rsid w:val="00FC0E50"/>
    <w:rsid w:val="00FC1522"/>
    <w:rsid w:val="00FC1924"/>
    <w:rsid w:val="00FC1BAF"/>
    <w:rsid w:val="00FC1CD6"/>
    <w:rsid w:val="00FC2583"/>
    <w:rsid w:val="00FC265E"/>
    <w:rsid w:val="00FC27E7"/>
    <w:rsid w:val="00FC2E44"/>
    <w:rsid w:val="00FC3C39"/>
    <w:rsid w:val="00FC3E06"/>
    <w:rsid w:val="00FC410E"/>
    <w:rsid w:val="00FC41B2"/>
    <w:rsid w:val="00FC4BF1"/>
    <w:rsid w:val="00FC4C45"/>
    <w:rsid w:val="00FC511C"/>
    <w:rsid w:val="00FC52CA"/>
    <w:rsid w:val="00FC5BAB"/>
    <w:rsid w:val="00FC5BF1"/>
    <w:rsid w:val="00FC5F80"/>
    <w:rsid w:val="00FC62C1"/>
    <w:rsid w:val="00FC6E4C"/>
    <w:rsid w:val="00FC7DD2"/>
    <w:rsid w:val="00FD043D"/>
    <w:rsid w:val="00FD08E7"/>
    <w:rsid w:val="00FD1089"/>
    <w:rsid w:val="00FD123D"/>
    <w:rsid w:val="00FD126A"/>
    <w:rsid w:val="00FD138D"/>
    <w:rsid w:val="00FD181B"/>
    <w:rsid w:val="00FD1986"/>
    <w:rsid w:val="00FD29B5"/>
    <w:rsid w:val="00FD2D18"/>
    <w:rsid w:val="00FD316C"/>
    <w:rsid w:val="00FD3B77"/>
    <w:rsid w:val="00FD3BA0"/>
    <w:rsid w:val="00FD3E30"/>
    <w:rsid w:val="00FD416C"/>
    <w:rsid w:val="00FD494F"/>
    <w:rsid w:val="00FD5717"/>
    <w:rsid w:val="00FD58D0"/>
    <w:rsid w:val="00FD6654"/>
    <w:rsid w:val="00FD6B4E"/>
    <w:rsid w:val="00FE0077"/>
    <w:rsid w:val="00FE01D5"/>
    <w:rsid w:val="00FE078A"/>
    <w:rsid w:val="00FE1945"/>
    <w:rsid w:val="00FE2D9D"/>
    <w:rsid w:val="00FE2F32"/>
    <w:rsid w:val="00FE318C"/>
    <w:rsid w:val="00FE3596"/>
    <w:rsid w:val="00FE39A1"/>
    <w:rsid w:val="00FE39F7"/>
    <w:rsid w:val="00FE3BCC"/>
    <w:rsid w:val="00FE3F93"/>
    <w:rsid w:val="00FE4879"/>
    <w:rsid w:val="00FE4D80"/>
    <w:rsid w:val="00FE5308"/>
    <w:rsid w:val="00FE59D8"/>
    <w:rsid w:val="00FE5AF9"/>
    <w:rsid w:val="00FE5B02"/>
    <w:rsid w:val="00FE6128"/>
    <w:rsid w:val="00FE6AA7"/>
    <w:rsid w:val="00FE6DE6"/>
    <w:rsid w:val="00FE6FD5"/>
    <w:rsid w:val="00FE7C87"/>
    <w:rsid w:val="00FE7FBB"/>
    <w:rsid w:val="00FF002C"/>
    <w:rsid w:val="00FF0759"/>
    <w:rsid w:val="00FF0F9A"/>
    <w:rsid w:val="00FF1101"/>
    <w:rsid w:val="00FF1570"/>
    <w:rsid w:val="00FF16B2"/>
    <w:rsid w:val="00FF18F6"/>
    <w:rsid w:val="00FF1F9F"/>
    <w:rsid w:val="00FF2852"/>
    <w:rsid w:val="00FF2E07"/>
    <w:rsid w:val="00FF31AB"/>
    <w:rsid w:val="00FF3360"/>
    <w:rsid w:val="00FF3EB3"/>
    <w:rsid w:val="00FF4AC7"/>
    <w:rsid w:val="00FF4ACC"/>
    <w:rsid w:val="00FF4C50"/>
    <w:rsid w:val="00FF54E3"/>
    <w:rsid w:val="00FF5602"/>
    <w:rsid w:val="00FF5711"/>
    <w:rsid w:val="00FF5D87"/>
    <w:rsid w:val="00FF5E85"/>
    <w:rsid w:val="00FF6C2D"/>
    <w:rsid w:val="00FF6E0F"/>
    <w:rsid w:val="00FF7097"/>
    <w:rsid w:val="00FF7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6F181"/>
  <w15:chartTrackingRefBased/>
  <w15:docId w15:val="{80151D30-073A-44DD-AFC4-59909126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43"/>
    <w:pPr>
      <w:spacing w:after="0" w:line="240" w:lineRule="auto"/>
      <w:jc w:val="both"/>
    </w:pPr>
    <w:rPr>
      <w:rFonts w:ascii="Arial" w:eastAsia="Times New Roman" w:hAnsi="Arial" w:cs="Times New Roman"/>
      <w:sz w:val="26"/>
      <w:szCs w:val="20"/>
      <w:lang w:val="es-ES_tradnl" w:eastAsia="es-MX"/>
    </w:rPr>
  </w:style>
  <w:style w:type="paragraph" w:styleId="Ttulo1">
    <w:name w:val="heading 1"/>
    <w:basedOn w:val="Normal"/>
    <w:next w:val="Normal"/>
    <w:link w:val="Ttulo1Car"/>
    <w:uiPriority w:val="9"/>
    <w:qFormat/>
    <w:rsid w:val="00FE39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57EFC"/>
    <w:pPr>
      <w:keepNext/>
      <w:keepLines/>
      <w:spacing w:before="40"/>
      <w:outlineLvl w:val="1"/>
    </w:pPr>
    <w:rPr>
      <w:rFonts w:asciiTheme="majorHAnsi" w:eastAsiaTheme="majorEastAsia" w:hAnsiTheme="majorHAnsi" w:cstheme="majorBidi"/>
      <w:color w:val="2E74B5" w:themeColor="accent1" w:themeShade="BF"/>
      <w:szCs w:val="26"/>
    </w:rPr>
  </w:style>
  <w:style w:type="paragraph" w:styleId="Ttulo3">
    <w:name w:val="heading 3"/>
    <w:basedOn w:val="Normal"/>
    <w:next w:val="Normal"/>
    <w:link w:val="Ttulo3Car"/>
    <w:uiPriority w:val="9"/>
    <w:semiHidden/>
    <w:unhideWhenUsed/>
    <w:qFormat/>
    <w:rsid w:val="00A20ED3"/>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A20ED3"/>
    <w:rPr>
      <w:rFonts w:asciiTheme="majorHAnsi" w:eastAsiaTheme="majorEastAsia" w:hAnsiTheme="majorHAnsi" w:cstheme="majorBidi"/>
      <w:b/>
      <w:bCs/>
      <w:color w:val="5B9BD5" w:themeColor="accent1"/>
      <w:sz w:val="20"/>
      <w:szCs w:val="20"/>
      <w:lang w:val="es-ES_tradnl" w:eastAsia="es-MX"/>
    </w:rPr>
  </w:style>
  <w:style w:type="paragraph" w:customStyle="1" w:styleId="corte1datos">
    <w:name w:val="corte1 datos"/>
    <w:basedOn w:val="Normal"/>
    <w:link w:val="corte1datosCar"/>
    <w:qFormat/>
    <w:rsid w:val="00A20ED3"/>
    <w:pPr>
      <w:ind w:left="2552"/>
    </w:pPr>
    <w:rPr>
      <w:b/>
      <w:caps/>
      <w:sz w:val="30"/>
    </w:rPr>
  </w:style>
  <w:style w:type="character" w:customStyle="1" w:styleId="corte1datosCar">
    <w:name w:val="corte1 datos Car"/>
    <w:link w:val="corte1datos"/>
    <w:rsid w:val="00A20ED3"/>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A20ED3"/>
    <w:rPr>
      <w:b/>
      <w:caps/>
      <w:sz w:val="30"/>
    </w:rPr>
  </w:style>
  <w:style w:type="character" w:customStyle="1" w:styleId="corte2ponenteCar">
    <w:name w:val="corte2 ponente Car"/>
    <w:link w:val="corte2ponente"/>
    <w:rsid w:val="00A20ED3"/>
    <w:rPr>
      <w:rFonts w:ascii="Arial" w:eastAsia="Times New Roman" w:hAnsi="Arial" w:cs="Times New Roman"/>
      <w:b/>
      <w:caps/>
      <w:sz w:val="30"/>
      <w:szCs w:val="20"/>
      <w:lang w:val="es-ES_tradnl" w:eastAsia="es-MX"/>
    </w:rPr>
  </w:style>
  <w:style w:type="paragraph" w:customStyle="1" w:styleId="corte4fondo">
    <w:name w:val="corte4 fondo"/>
    <w:basedOn w:val="Normal"/>
    <w:link w:val="corte4fondoCar1"/>
    <w:qFormat/>
    <w:rsid w:val="005F3A63"/>
    <w:pPr>
      <w:spacing w:line="360" w:lineRule="auto"/>
      <w:ind w:firstLine="709"/>
    </w:pPr>
  </w:style>
  <w:style w:type="character" w:customStyle="1" w:styleId="corte4fondoCar1">
    <w:name w:val="corte4 fondo Car1"/>
    <w:link w:val="corte4fondo"/>
    <w:rsid w:val="005F3A63"/>
    <w:rPr>
      <w:rFonts w:ascii="Arial" w:eastAsia="Times New Roman" w:hAnsi="Arial" w:cs="Times New Roman"/>
      <w:sz w:val="26"/>
      <w:szCs w:val="20"/>
      <w:lang w:val="es-ES_tradnl" w:eastAsia="es-MX"/>
    </w:rPr>
  </w:style>
  <w:style w:type="paragraph" w:customStyle="1" w:styleId="corte5transcripcion">
    <w:name w:val="corte5 transcripcion"/>
    <w:basedOn w:val="Normal"/>
    <w:link w:val="corte5transcripcionCar"/>
    <w:qFormat/>
    <w:rsid w:val="00A20ED3"/>
    <w:pPr>
      <w:spacing w:line="360" w:lineRule="auto"/>
      <w:ind w:left="709" w:right="709"/>
    </w:pPr>
    <w:rPr>
      <w:b/>
      <w:i/>
      <w:sz w:val="30"/>
    </w:rPr>
  </w:style>
  <w:style w:type="character" w:customStyle="1" w:styleId="corte5transcripcionCar">
    <w:name w:val="corte5 transcripcion Car"/>
    <w:link w:val="corte5transcripcion"/>
    <w:locked/>
    <w:rsid w:val="00A20ED3"/>
    <w:rPr>
      <w:rFonts w:ascii="Arial" w:eastAsia="Times New Roman" w:hAnsi="Arial" w:cs="Times New Roman"/>
      <w:b/>
      <w:i/>
      <w:sz w:val="30"/>
      <w:szCs w:val="20"/>
      <w:lang w:val="es-ES_tradnl" w:eastAsia="es-MX"/>
    </w:rPr>
  </w:style>
  <w:style w:type="paragraph" w:styleId="Encabezado">
    <w:name w:val="header"/>
    <w:basedOn w:val="Normal"/>
    <w:link w:val="EncabezadoCar"/>
    <w:rsid w:val="00A20ED3"/>
    <w:pPr>
      <w:tabs>
        <w:tab w:val="center" w:pos="4252"/>
        <w:tab w:val="right" w:pos="8504"/>
      </w:tabs>
    </w:pPr>
  </w:style>
  <w:style w:type="character" w:customStyle="1" w:styleId="EncabezadoCar">
    <w:name w:val="Encabezado Car"/>
    <w:basedOn w:val="Fuentedeprrafopredeter"/>
    <w:link w:val="Encabezado"/>
    <w:rsid w:val="00A20ED3"/>
    <w:rPr>
      <w:rFonts w:ascii="Times New Roman" w:eastAsia="Times New Roman" w:hAnsi="Times New Roman" w:cs="Times New Roman"/>
      <w:sz w:val="20"/>
      <w:szCs w:val="20"/>
      <w:lang w:val="es-ES_tradnl" w:eastAsia="es-MX"/>
    </w:rPr>
  </w:style>
  <w:style w:type="paragraph" w:customStyle="1" w:styleId="corte6cintilloypie">
    <w:name w:val="corte6 cintillo y pie"/>
    <w:basedOn w:val="Normal"/>
    <w:rsid w:val="00A20ED3"/>
    <w:pPr>
      <w:jc w:val="right"/>
    </w:pPr>
    <w:rPr>
      <w:b/>
      <w:caps/>
      <w:sz w:val="24"/>
    </w:rPr>
  </w:style>
  <w:style w:type="paragraph" w:styleId="Piedepgina">
    <w:name w:val="footer"/>
    <w:basedOn w:val="Normal"/>
    <w:link w:val="PiedepginaCar"/>
    <w:uiPriority w:val="99"/>
    <w:rsid w:val="00A20ED3"/>
    <w:pPr>
      <w:tabs>
        <w:tab w:val="center" w:pos="4252"/>
        <w:tab w:val="right" w:pos="8504"/>
      </w:tabs>
    </w:pPr>
  </w:style>
  <w:style w:type="character" w:customStyle="1" w:styleId="PiedepginaCar">
    <w:name w:val="Pie de página Car"/>
    <w:basedOn w:val="Fuentedeprrafopredeter"/>
    <w:link w:val="Piedepgina"/>
    <w:uiPriority w:val="99"/>
    <w:rsid w:val="00A20ED3"/>
    <w:rPr>
      <w:rFonts w:ascii="Times New Roman" w:eastAsia="Times New Roman" w:hAnsi="Times New Roman" w:cs="Times New Roman"/>
      <w:sz w:val="20"/>
      <w:szCs w:val="2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1"/>
    <w:qFormat/>
    <w:rsid w:val="00F71D37"/>
    <w:rPr>
      <w:sz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ink w:val="Textonotapie"/>
    <w:locked/>
    <w:rsid w:val="00F71D37"/>
    <w:rPr>
      <w:rFonts w:ascii="Arial" w:eastAsia="Times New Roman" w:hAnsi="Arial" w:cs="Times New Roman"/>
      <w:sz w:val="20"/>
      <w:szCs w:val="20"/>
      <w:lang w:val="es-ES_tradnl" w:eastAsia="es-MX"/>
    </w:rPr>
  </w:style>
  <w:style w:type="character" w:customStyle="1" w:styleId="TextonotapieCar">
    <w:name w:val="Texto nota pie Car"/>
    <w:aliases w:val="Footnote Text Char Char Char Char Char Car1,Footnote Text Char Char Char Char Car1,Footnote reference Car1,FA Fu Car1,C Car,Footnote Text Char Char Char Char Car Car, Car Car,Car Car1,Car Car Car1,Ca Car,FA  Car,FA F Car,FA Car, C Car"/>
    <w:basedOn w:val="Fuentedeprrafopredeter"/>
    <w:uiPriority w:val="99"/>
    <w:rsid w:val="00A20ED3"/>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link w:val="4GChar"/>
    <w:uiPriority w:val="99"/>
    <w:qFormat/>
    <w:rsid w:val="00A20ED3"/>
    <w:rPr>
      <w:vertAlign w:val="superscript"/>
    </w:rPr>
  </w:style>
  <w:style w:type="paragraph" w:customStyle="1" w:styleId="CORTE2PONENTE0">
    <w:name w:val="CORTE2 PONENTE"/>
    <w:basedOn w:val="Normal"/>
    <w:rsid w:val="00A20ED3"/>
    <w:rPr>
      <w:b/>
      <w:sz w:val="30"/>
      <w:szCs w:val="30"/>
      <w:lang w:val="es-MX" w:eastAsia="es-ES"/>
    </w:rPr>
  </w:style>
  <w:style w:type="paragraph" w:customStyle="1" w:styleId="TEXTONORMAL">
    <w:name w:val="TEXTO NORMAL"/>
    <w:basedOn w:val="Normal"/>
    <w:link w:val="TEXTONORMALCar"/>
    <w:rsid w:val="00A20ED3"/>
    <w:pPr>
      <w:spacing w:line="360" w:lineRule="auto"/>
      <w:ind w:firstLine="709"/>
    </w:pPr>
    <w:rPr>
      <w:sz w:val="28"/>
      <w:szCs w:val="28"/>
      <w:lang w:val="x-none" w:eastAsia="es-ES"/>
    </w:rPr>
  </w:style>
  <w:style w:type="character" w:customStyle="1" w:styleId="TEXTONORMALCar">
    <w:name w:val="TEXTO NORMAL Car"/>
    <w:link w:val="TEXTONORMAL"/>
    <w:locked/>
    <w:rsid w:val="00A20ED3"/>
    <w:rPr>
      <w:rFonts w:ascii="Arial" w:eastAsia="Times New Roman" w:hAnsi="Arial" w:cs="Times New Roman"/>
      <w:sz w:val="28"/>
      <w:szCs w:val="28"/>
      <w:lang w:val="x-none" w:eastAsia="es-ES"/>
    </w:rPr>
  </w:style>
  <w:style w:type="paragraph" w:customStyle="1" w:styleId="Listamulticolor-nfasis11">
    <w:name w:val="Lista multicolor - Énfasis 11"/>
    <w:basedOn w:val="Normal"/>
    <w:link w:val="Listamulticolor-nfasis1Car"/>
    <w:uiPriority w:val="34"/>
    <w:qFormat/>
    <w:rsid w:val="00A20ED3"/>
    <w:pPr>
      <w:ind w:left="708"/>
    </w:pPr>
  </w:style>
  <w:style w:type="character" w:customStyle="1" w:styleId="Listamulticolor-nfasis1Car">
    <w:name w:val="Lista multicolor - Énfasis 1 Car"/>
    <w:link w:val="Listamulticolor-nfasis11"/>
    <w:uiPriority w:val="34"/>
    <w:rsid w:val="00A20ED3"/>
    <w:rPr>
      <w:rFonts w:ascii="Times New Roman" w:eastAsia="Times New Roman" w:hAnsi="Times New Roman" w:cs="Times New Roman"/>
      <w:sz w:val="20"/>
      <w:szCs w:val="20"/>
      <w:lang w:val="es-ES_tradnl" w:eastAsia="es-MX"/>
    </w:rPr>
  </w:style>
  <w:style w:type="character" w:customStyle="1" w:styleId="TextodegloboCar">
    <w:name w:val="Texto de globo Car"/>
    <w:basedOn w:val="Fuentedeprrafopredeter"/>
    <w:link w:val="Textodeglobo"/>
    <w:uiPriority w:val="99"/>
    <w:semiHidden/>
    <w:rsid w:val="00A20ED3"/>
    <w:rPr>
      <w:rFonts w:ascii="Tahoma" w:eastAsia="Times New Roman" w:hAnsi="Tahoma" w:cs="Times New Roman"/>
      <w:sz w:val="16"/>
      <w:szCs w:val="16"/>
      <w:lang w:val="es-ES_tradnl" w:eastAsia="es-MX"/>
    </w:rPr>
  </w:style>
  <w:style w:type="paragraph" w:styleId="Textodeglobo">
    <w:name w:val="Balloon Text"/>
    <w:basedOn w:val="Normal"/>
    <w:link w:val="TextodegloboCar"/>
    <w:uiPriority w:val="99"/>
    <w:semiHidden/>
    <w:unhideWhenUsed/>
    <w:rsid w:val="00A20ED3"/>
    <w:rPr>
      <w:rFonts w:ascii="Tahoma" w:hAnsi="Tahoma"/>
      <w:sz w:val="16"/>
      <w:szCs w:val="16"/>
    </w:rPr>
  </w:style>
  <w:style w:type="character" w:styleId="Hipervnculo">
    <w:name w:val="Hyperlink"/>
    <w:unhideWhenUsed/>
    <w:rsid w:val="00A20ED3"/>
    <w:rPr>
      <w:color w:val="0000FF"/>
      <w:u w:val="single"/>
    </w:rPr>
  </w:style>
  <w:style w:type="paragraph" w:customStyle="1" w:styleId="Texto">
    <w:name w:val="Texto"/>
    <w:basedOn w:val="Normal"/>
    <w:rsid w:val="00A20ED3"/>
    <w:pPr>
      <w:spacing w:after="101" w:line="216" w:lineRule="exact"/>
      <w:ind w:firstLine="288"/>
    </w:pPr>
    <w:rPr>
      <w:rFonts w:cs="Arial"/>
      <w:sz w:val="18"/>
      <w:szCs w:val="18"/>
      <w:lang w:val="es-ES" w:eastAsia="es-ES"/>
    </w:rPr>
  </w:style>
  <w:style w:type="character" w:customStyle="1" w:styleId="apple-converted-space">
    <w:name w:val="apple-converted-space"/>
    <w:rsid w:val="00A20ED3"/>
  </w:style>
  <w:style w:type="character" w:customStyle="1" w:styleId="red">
    <w:name w:val="red"/>
    <w:rsid w:val="00A20ED3"/>
  </w:style>
  <w:style w:type="character" w:customStyle="1" w:styleId="red1">
    <w:name w:val="red1"/>
    <w:rsid w:val="00A20ED3"/>
    <w:rPr>
      <w:b/>
      <w:bCs/>
      <w:color w:val="0000FF"/>
      <w:shd w:val="clear" w:color="auto" w:fill="FFFF00"/>
    </w:rPr>
  </w:style>
  <w:style w:type="character" w:customStyle="1" w:styleId="TextocomentarioCar">
    <w:name w:val="Texto comentario Car"/>
    <w:basedOn w:val="Fuentedeprrafopredeter"/>
    <w:link w:val="Textocomentario"/>
    <w:uiPriority w:val="99"/>
    <w:semiHidden/>
    <w:rsid w:val="00A20ED3"/>
    <w:rPr>
      <w:rFonts w:ascii="Times New Roman" w:eastAsia="Times New Roman" w:hAnsi="Times New Roman" w:cs="Times New Roman"/>
      <w:sz w:val="20"/>
      <w:szCs w:val="20"/>
      <w:lang w:val="es-ES_tradnl" w:eastAsia="es-MX"/>
    </w:rPr>
  </w:style>
  <w:style w:type="paragraph" w:styleId="Textocomentario">
    <w:name w:val="annotation text"/>
    <w:basedOn w:val="Normal"/>
    <w:link w:val="TextocomentarioCar"/>
    <w:uiPriority w:val="99"/>
    <w:semiHidden/>
    <w:unhideWhenUsed/>
    <w:rsid w:val="00A20ED3"/>
  </w:style>
  <w:style w:type="character" w:customStyle="1" w:styleId="AsuntodelcomentarioCar">
    <w:name w:val="Asunto del comentario Car"/>
    <w:basedOn w:val="TextocomentarioCar"/>
    <w:link w:val="Asuntodelcomentario"/>
    <w:uiPriority w:val="99"/>
    <w:semiHidden/>
    <w:rsid w:val="00A20ED3"/>
    <w:rPr>
      <w:rFonts w:ascii="Times New Roman" w:eastAsia="Times New Roman" w:hAnsi="Times New Roman" w:cs="Times New Roman"/>
      <w:b/>
      <w:bCs/>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A20ED3"/>
    <w:rPr>
      <w:b/>
      <w:bCs/>
    </w:rPr>
  </w:style>
  <w:style w:type="paragraph" w:styleId="Sinespaciado">
    <w:name w:val="No Spacing"/>
    <w:aliases w:val="RESOLUTIVOS"/>
    <w:link w:val="SinespaciadoCar"/>
    <w:uiPriority w:val="1"/>
    <w:qFormat/>
    <w:rsid w:val="00A20ED3"/>
    <w:pPr>
      <w:spacing w:after="0" w:line="240" w:lineRule="auto"/>
    </w:pPr>
    <w:rPr>
      <w:rFonts w:ascii="Calibri" w:eastAsia="Calibri" w:hAnsi="Calibri" w:cs="Times New Roman"/>
    </w:rPr>
  </w:style>
  <w:style w:type="character" w:customStyle="1" w:styleId="SinespaciadoCar">
    <w:name w:val="Sin espaciado Car"/>
    <w:aliases w:val="RESOLUTIVOS Car"/>
    <w:link w:val="Sinespaciado"/>
    <w:uiPriority w:val="1"/>
    <w:rsid w:val="00A20ED3"/>
    <w:rPr>
      <w:rFonts w:ascii="Calibri" w:eastAsia="Calibri" w:hAnsi="Calibri" w:cs="Times New Roman"/>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9B62C1"/>
    <w:pPr>
      <w:ind w:left="708"/>
    </w:p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9B62C1"/>
    <w:rPr>
      <w:rFonts w:ascii="Arial" w:eastAsia="Times New Roman" w:hAnsi="Arial" w:cs="Times New Roman"/>
      <w:sz w:val="26"/>
      <w:szCs w:val="20"/>
      <w:lang w:val="es-ES_tradnl" w:eastAsia="es-MX"/>
    </w:rPr>
  </w:style>
  <w:style w:type="character" w:customStyle="1" w:styleId="corte4fondoCar">
    <w:name w:val="corte4 fondo Car"/>
    <w:rsid w:val="00A20ED3"/>
    <w:rPr>
      <w:rFonts w:eastAsia="Times New Roman" w:cs="Times New Roman"/>
      <w:szCs w:val="20"/>
      <w:lang w:val="es-ES_tradnl" w:eastAsia="es-MX"/>
    </w:rPr>
  </w:style>
  <w:style w:type="paragraph" w:styleId="NormalWeb">
    <w:name w:val="Normal (Web)"/>
    <w:basedOn w:val="Normal"/>
    <w:uiPriority w:val="99"/>
    <w:unhideWhenUsed/>
    <w:rsid w:val="00A20ED3"/>
    <w:pPr>
      <w:spacing w:before="100" w:beforeAutospacing="1" w:after="100" w:afterAutospacing="1"/>
    </w:pPr>
    <w:rPr>
      <w:sz w:val="24"/>
      <w:szCs w:val="24"/>
      <w:lang w:val="es-MX"/>
    </w:rPr>
  </w:style>
  <w:style w:type="paragraph" w:styleId="Textoindependiente">
    <w:name w:val="Body Text"/>
    <w:basedOn w:val="Normal"/>
    <w:link w:val="TextoindependienteCar"/>
    <w:rsid w:val="00A20ED3"/>
    <w:rPr>
      <w:sz w:val="30"/>
      <w:lang w:val="es-ES"/>
    </w:rPr>
  </w:style>
  <w:style w:type="character" w:customStyle="1" w:styleId="TextoindependienteCar">
    <w:name w:val="Texto independiente Car"/>
    <w:basedOn w:val="Fuentedeprrafopredeter"/>
    <w:link w:val="Textoindependiente"/>
    <w:rsid w:val="00A20ED3"/>
    <w:rPr>
      <w:rFonts w:ascii="Arial" w:eastAsia="Times New Roman" w:hAnsi="Arial" w:cs="Times New Roman"/>
      <w:sz w:val="30"/>
      <w:szCs w:val="20"/>
      <w:lang w:val="es-ES" w:eastAsia="es-MX"/>
    </w:rPr>
  </w:style>
  <w:style w:type="paragraph" w:customStyle="1" w:styleId="corte4fondoCarCarCarCarCar">
    <w:name w:val="corte4 fondo Car Car Car Car Car"/>
    <w:basedOn w:val="Normal"/>
    <w:link w:val="corte4fondoCarCarCarCarCarCar"/>
    <w:rsid w:val="00A20ED3"/>
    <w:pPr>
      <w:spacing w:line="360" w:lineRule="auto"/>
      <w:ind w:firstLine="709"/>
    </w:pPr>
    <w:rPr>
      <w:sz w:val="30"/>
      <w:szCs w:val="30"/>
    </w:rPr>
  </w:style>
  <w:style w:type="character" w:customStyle="1" w:styleId="corte4fondoCarCarCarCarCarCar">
    <w:name w:val="corte4 fondo Car Car Car Car Car Car"/>
    <w:link w:val="corte4fondoCarCarCarCarCar"/>
    <w:rsid w:val="00A20ED3"/>
    <w:rPr>
      <w:rFonts w:ascii="Arial" w:eastAsia="Times New Roman" w:hAnsi="Arial" w:cs="Times New Roman"/>
      <w:sz w:val="30"/>
      <w:szCs w:val="30"/>
      <w:lang w:val="es-ES_tradnl" w:eastAsia="es-MX"/>
    </w:rPr>
  </w:style>
  <w:style w:type="paragraph" w:customStyle="1" w:styleId="corte5transcripcionCarCarCar">
    <w:name w:val="corte5 transcripcion Car Car Car"/>
    <w:basedOn w:val="Normal"/>
    <w:link w:val="corte5transcripcionCarCarCarCar"/>
    <w:rsid w:val="00A20ED3"/>
    <w:pPr>
      <w:spacing w:line="360" w:lineRule="auto"/>
      <w:ind w:left="709" w:right="709"/>
    </w:pPr>
    <w:rPr>
      <w:b/>
      <w:i/>
      <w:sz w:val="30"/>
    </w:rPr>
  </w:style>
  <w:style w:type="character" w:customStyle="1" w:styleId="corte5transcripcionCarCarCarCar">
    <w:name w:val="corte5 transcripcion Car Car Car Car"/>
    <w:basedOn w:val="Fuentedeprrafopredeter"/>
    <w:link w:val="corte5transcripcionCarCarCar"/>
    <w:rsid w:val="00A20ED3"/>
    <w:rPr>
      <w:rFonts w:ascii="Arial" w:eastAsia="Times New Roman" w:hAnsi="Arial" w:cs="Times New Roman"/>
      <w:b/>
      <w:i/>
      <w:sz w:val="30"/>
      <w:szCs w:val="20"/>
      <w:lang w:val="es-ES_tradnl" w:eastAsia="es-MX"/>
    </w:rPr>
  </w:style>
  <w:style w:type="paragraph" w:customStyle="1" w:styleId="corte4fondoCarCarCarCar">
    <w:name w:val="corte4 fondo Car Car Car Car"/>
    <w:basedOn w:val="Normal"/>
    <w:rsid w:val="00A20ED3"/>
    <w:pPr>
      <w:spacing w:line="360" w:lineRule="auto"/>
      <w:ind w:firstLine="709"/>
    </w:pPr>
    <w:rPr>
      <w:rFonts w:cs="Arial"/>
      <w:sz w:val="30"/>
    </w:rPr>
  </w:style>
  <w:style w:type="character" w:styleId="Textoennegrita">
    <w:name w:val="Strong"/>
    <w:uiPriority w:val="22"/>
    <w:qFormat/>
    <w:rsid w:val="00A20ED3"/>
    <w:rPr>
      <w:rFonts w:cs="Times New Roman"/>
      <w:b/>
      <w:bCs/>
    </w:rPr>
  </w:style>
  <w:style w:type="paragraph" w:customStyle="1" w:styleId="corte3centro">
    <w:name w:val="corte3 centro"/>
    <w:basedOn w:val="Normal"/>
    <w:link w:val="corte3centroCar"/>
    <w:qFormat/>
    <w:rsid w:val="00A20ED3"/>
    <w:pPr>
      <w:spacing w:line="360" w:lineRule="auto"/>
      <w:jc w:val="center"/>
    </w:pPr>
    <w:rPr>
      <w:b/>
      <w:sz w:val="30"/>
    </w:rPr>
  </w:style>
  <w:style w:type="character" w:customStyle="1" w:styleId="corte3centroCar">
    <w:name w:val="corte3 centro Car"/>
    <w:link w:val="corte3centro"/>
    <w:rsid w:val="00A20ED3"/>
    <w:rPr>
      <w:rFonts w:ascii="Arial" w:eastAsia="Times New Roman" w:hAnsi="Arial" w:cs="Times New Roman"/>
      <w:b/>
      <w:sz w:val="30"/>
      <w:szCs w:val="20"/>
      <w:lang w:val="es-ES_tradnl" w:eastAsia="es-MX"/>
    </w:rPr>
  </w:style>
  <w:style w:type="character" w:customStyle="1" w:styleId="corte5transcripcionCar1">
    <w:name w:val="corte5 transcripcion Car1"/>
    <w:rsid w:val="00A20ED3"/>
    <w:rPr>
      <w:rFonts w:ascii="Arial" w:hAnsi="Arial"/>
      <w:b/>
      <w:i/>
      <w:sz w:val="30"/>
      <w:lang w:val="es-ES_tradnl" w:eastAsia="es-MX" w:bidi="ar-SA"/>
    </w:rPr>
  </w:style>
  <w:style w:type="character" w:customStyle="1" w:styleId="normal--char">
    <w:name w:val="normal--char"/>
    <w:basedOn w:val="Fuentedeprrafopredeter"/>
    <w:rsid w:val="00A20ED3"/>
    <w:rPr>
      <w:rFonts w:cs="Times New Roman"/>
    </w:rPr>
  </w:style>
  <w:style w:type="character" w:customStyle="1" w:styleId="ju-005fcase--char">
    <w:name w:val="ju-005fcase--char"/>
    <w:basedOn w:val="Fuentedeprrafopredeter"/>
    <w:rsid w:val="00A20ED3"/>
    <w:rPr>
      <w:rFonts w:cs="Times New Roman"/>
    </w:rPr>
  </w:style>
  <w:style w:type="character" w:customStyle="1" w:styleId="ju-005fpara--char">
    <w:name w:val="ju-005fpara--char"/>
    <w:basedOn w:val="Fuentedeprrafopredeter"/>
    <w:rsid w:val="00A20ED3"/>
    <w:rPr>
      <w:rFonts w:cs="Times New Roman"/>
    </w:rPr>
  </w:style>
  <w:style w:type="paragraph" w:customStyle="1" w:styleId="Default">
    <w:name w:val="Default"/>
    <w:rsid w:val="00A20ED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stiloCar">
    <w:name w:val="Estilo Car"/>
    <w:link w:val="Estilo"/>
    <w:locked/>
    <w:rsid w:val="00A20ED3"/>
    <w:rPr>
      <w:rFonts w:ascii="Arial" w:hAnsi="Arial"/>
      <w:sz w:val="24"/>
    </w:rPr>
  </w:style>
  <w:style w:type="paragraph" w:customStyle="1" w:styleId="Estilo">
    <w:name w:val="Estilo"/>
    <w:basedOn w:val="Sinespaciado"/>
    <w:link w:val="EstiloCar"/>
    <w:qFormat/>
    <w:rsid w:val="00A20ED3"/>
    <w:pPr>
      <w:jc w:val="both"/>
    </w:pPr>
    <w:rPr>
      <w:rFonts w:ascii="Arial" w:eastAsiaTheme="minorHAnsi" w:hAnsi="Arial" w:cstheme="minorBidi"/>
      <w:sz w:val="24"/>
    </w:rPr>
  </w:style>
  <w:style w:type="character" w:customStyle="1" w:styleId="column">
    <w:name w:val="column"/>
    <w:basedOn w:val="Fuentedeprrafopredeter"/>
    <w:rsid w:val="00A20ED3"/>
  </w:style>
  <w:style w:type="character" w:customStyle="1" w:styleId="sb8d990e2">
    <w:name w:val="sb8d990e2"/>
    <w:basedOn w:val="Fuentedeprrafopredeter"/>
    <w:rsid w:val="00A20ED3"/>
  </w:style>
  <w:style w:type="character" w:customStyle="1" w:styleId="s6b621b36">
    <w:name w:val="s6b621b36"/>
    <w:basedOn w:val="Fuentedeprrafopredeter"/>
    <w:rsid w:val="00A20ED3"/>
  </w:style>
  <w:style w:type="character" w:customStyle="1" w:styleId="s7d2086b4">
    <w:name w:val="s7d2086b4"/>
    <w:basedOn w:val="Fuentedeprrafopredeter"/>
    <w:rsid w:val="00A20ED3"/>
  </w:style>
  <w:style w:type="paragraph" w:customStyle="1" w:styleId="Normal0">
    <w:name w:val="[Normal]"/>
    <w:rsid w:val="00A20ED3"/>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styleId="Nmerodepgina">
    <w:name w:val="page number"/>
    <w:basedOn w:val="Fuentedeprrafopredeter"/>
    <w:rsid w:val="00A20ED3"/>
  </w:style>
  <w:style w:type="character" w:customStyle="1" w:styleId="corte4fondoCarCar">
    <w:name w:val="corte4 fondo Car Car"/>
    <w:rsid w:val="00A20ED3"/>
    <w:rPr>
      <w:rFonts w:ascii="Arial" w:hAnsi="Arial"/>
      <w:sz w:val="30"/>
      <w:lang w:val="es-ES_tradnl" w:eastAsia="es-MX" w:bidi="ar-SA"/>
    </w:rPr>
  </w:style>
  <w:style w:type="paragraph" w:styleId="Textoindependienteprimerasangra">
    <w:name w:val="Body Text First Indent"/>
    <w:basedOn w:val="Textoindependiente"/>
    <w:link w:val="TextoindependienteprimerasangraCar"/>
    <w:uiPriority w:val="99"/>
    <w:unhideWhenUsed/>
    <w:rsid w:val="00A20ED3"/>
    <w:pPr>
      <w:ind w:firstLine="360"/>
      <w:jc w:val="left"/>
    </w:pPr>
    <w:rPr>
      <w:rFonts w:ascii="Times New Roman" w:hAnsi="Times New Roman"/>
      <w:sz w:val="20"/>
      <w:lang w:val="es-ES_tradnl"/>
    </w:rPr>
  </w:style>
  <w:style w:type="character" w:customStyle="1" w:styleId="TextoindependienteprimerasangraCar">
    <w:name w:val="Texto independiente primera sangría Car"/>
    <w:basedOn w:val="TextoindependienteCar"/>
    <w:link w:val="Textoindependienteprimerasangra"/>
    <w:uiPriority w:val="99"/>
    <w:rsid w:val="00A20ED3"/>
    <w:rPr>
      <w:rFonts w:ascii="Times New Roman" w:eastAsia="Times New Roman" w:hAnsi="Times New Roman" w:cs="Times New Roman"/>
      <w:sz w:val="20"/>
      <w:szCs w:val="20"/>
      <w:lang w:val="es-ES_tradnl" w:eastAsia="es-MX"/>
    </w:rPr>
  </w:style>
  <w:style w:type="paragraph" w:styleId="Textodebloque">
    <w:name w:val="Block Text"/>
    <w:basedOn w:val="Normal"/>
    <w:uiPriority w:val="99"/>
    <w:semiHidden/>
    <w:unhideWhenUsed/>
    <w:rsid w:val="00A20ED3"/>
    <w:pPr>
      <w:tabs>
        <w:tab w:val="left" w:pos="720"/>
      </w:tabs>
      <w:ind w:left="720" w:right="720"/>
    </w:pPr>
    <w:rPr>
      <w:rFonts w:ascii="Garamond" w:hAnsi="Garamond"/>
      <w:sz w:val="22"/>
      <w:lang w:val="en-GB" w:eastAsia="es-ES"/>
    </w:rPr>
  </w:style>
  <w:style w:type="paragraph" w:customStyle="1" w:styleId="CarCar1Car">
    <w:name w:val="Car Car1 Car"/>
    <w:basedOn w:val="Normal"/>
    <w:rsid w:val="00A20ED3"/>
    <w:pPr>
      <w:spacing w:after="160" w:line="240" w:lineRule="exact"/>
      <w:jc w:val="right"/>
    </w:pPr>
    <w:rPr>
      <w:rFonts w:ascii="Verdana" w:hAnsi="Verdana" w:cs="Arial"/>
      <w:szCs w:val="21"/>
      <w:lang w:val="es-MX" w:eastAsia="en-US"/>
    </w:rPr>
  </w:style>
  <w:style w:type="character" w:customStyle="1" w:styleId="corte4fondoCar2">
    <w:name w:val="corte4 fondo Car2"/>
    <w:locked/>
    <w:rsid w:val="00A20ED3"/>
    <w:rPr>
      <w:rFonts w:ascii="Arial" w:hAnsi="Arial"/>
      <w:sz w:val="30"/>
      <w:lang w:val="es-ES_tradnl"/>
    </w:rPr>
  </w:style>
  <w:style w:type="paragraph" w:customStyle="1" w:styleId="Listavistosa-nfasis11">
    <w:name w:val="Lista vistosa - Énfasis 11"/>
    <w:basedOn w:val="Normal"/>
    <w:uiPriority w:val="34"/>
    <w:qFormat/>
    <w:rsid w:val="00A20ED3"/>
    <w:pPr>
      <w:ind w:left="708"/>
    </w:pPr>
  </w:style>
  <w:style w:type="character" w:styleId="Mencinsinresolver">
    <w:name w:val="Unresolved Mention"/>
    <w:basedOn w:val="Fuentedeprrafopredeter"/>
    <w:uiPriority w:val="99"/>
    <w:semiHidden/>
    <w:unhideWhenUsed/>
    <w:rsid w:val="008D4EB8"/>
    <w:rPr>
      <w:color w:val="605E5C"/>
      <w:shd w:val="clear" w:color="auto" w:fill="E1DFDD"/>
    </w:rPr>
  </w:style>
  <w:style w:type="character" w:customStyle="1" w:styleId="Ttulo1Car">
    <w:name w:val="Título 1 Car"/>
    <w:basedOn w:val="Fuentedeprrafopredeter"/>
    <w:link w:val="Ttulo1"/>
    <w:uiPriority w:val="9"/>
    <w:rsid w:val="00FE39A1"/>
    <w:rPr>
      <w:rFonts w:asciiTheme="majorHAnsi" w:eastAsiaTheme="majorEastAsia" w:hAnsiTheme="majorHAnsi" w:cstheme="majorBidi"/>
      <w:color w:val="2E74B5" w:themeColor="accent1" w:themeShade="BF"/>
      <w:sz w:val="32"/>
      <w:szCs w:val="32"/>
      <w:lang w:val="es-ES_tradnl" w:eastAsia="es-MX"/>
    </w:rPr>
  </w:style>
  <w:style w:type="character" w:styleId="Hipervnculovisitado">
    <w:name w:val="FollowedHyperlink"/>
    <w:basedOn w:val="Fuentedeprrafopredeter"/>
    <w:uiPriority w:val="99"/>
    <w:semiHidden/>
    <w:unhideWhenUsed/>
    <w:rsid w:val="00DD6985"/>
    <w:rPr>
      <w:color w:val="954F72" w:themeColor="followedHyperlink"/>
      <w:u w:val="single"/>
    </w:rPr>
  </w:style>
  <w:style w:type="paragraph" w:customStyle="1" w:styleId="p5">
    <w:name w:val="p5"/>
    <w:basedOn w:val="Normal"/>
    <w:rsid w:val="00B9139F"/>
    <w:pPr>
      <w:spacing w:before="100" w:beforeAutospacing="1" w:after="100" w:afterAutospacing="1"/>
    </w:pPr>
    <w:rPr>
      <w:sz w:val="24"/>
      <w:szCs w:val="24"/>
      <w:lang w:val="es-MX"/>
    </w:rPr>
  </w:style>
  <w:style w:type="character" w:customStyle="1" w:styleId="s1">
    <w:name w:val="s1"/>
    <w:basedOn w:val="Fuentedeprrafopredeter"/>
    <w:rsid w:val="00B9139F"/>
  </w:style>
  <w:style w:type="paragraph" w:customStyle="1" w:styleId="p1">
    <w:name w:val="p1"/>
    <w:basedOn w:val="Normal"/>
    <w:rsid w:val="00B9139F"/>
    <w:pPr>
      <w:spacing w:before="100" w:beforeAutospacing="1" w:after="100" w:afterAutospacing="1"/>
    </w:pPr>
    <w:rPr>
      <w:sz w:val="24"/>
      <w:szCs w:val="24"/>
      <w:lang w:val="es-MX"/>
    </w:rPr>
  </w:style>
  <w:style w:type="character" w:customStyle="1" w:styleId="articulo-texto">
    <w:name w:val="articulo-texto"/>
    <w:basedOn w:val="Fuentedeprrafopredeter"/>
    <w:rsid w:val="003631CF"/>
  </w:style>
  <w:style w:type="table" w:styleId="Tablaconcuadrcula">
    <w:name w:val="Table Grid"/>
    <w:basedOn w:val="Tablanormal"/>
    <w:uiPriority w:val="39"/>
    <w:rsid w:val="005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3">
    <w:name w:val="corte4 fondo Car3"/>
    <w:rsid w:val="00F8624B"/>
    <w:rPr>
      <w:rFonts w:ascii="Arial" w:eastAsia="Times New Roman" w:hAnsi="Arial" w:cs="Arial"/>
      <w:sz w:val="30"/>
      <w:szCs w:val="3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E0A40"/>
    <w:rPr>
      <w:rFonts w:asciiTheme="minorHAnsi" w:eastAsiaTheme="minorHAnsi" w:hAnsiTheme="minorHAnsi" w:cstheme="minorBidi"/>
      <w:sz w:val="22"/>
      <w:szCs w:val="22"/>
      <w:vertAlign w:val="superscript"/>
      <w:lang w:val="es-MX" w:eastAsia="en-US"/>
    </w:rPr>
  </w:style>
  <w:style w:type="character" w:customStyle="1" w:styleId="Ttulo2Car">
    <w:name w:val="Título 2 Car"/>
    <w:basedOn w:val="Fuentedeprrafopredeter"/>
    <w:link w:val="Ttulo2"/>
    <w:uiPriority w:val="9"/>
    <w:semiHidden/>
    <w:rsid w:val="00557EFC"/>
    <w:rPr>
      <w:rFonts w:asciiTheme="majorHAnsi" w:eastAsiaTheme="majorEastAsia" w:hAnsiTheme="majorHAnsi" w:cstheme="majorBidi"/>
      <w:color w:val="2E74B5" w:themeColor="accent1" w:themeShade="BF"/>
      <w:sz w:val="26"/>
      <w:szCs w:val="26"/>
      <w:lang w:val="es-ES_tradnl" w:eastAsia="es-MX"/>
    </w:rPr>
  </w:style>
  <w:style w:type="paragraph" w:customStyle="1" w:styleId="Piedepagina">
    <w:name w:val="Pie de pagina"/>
    <w:basedOn w:val="Normal"/>
    <w:uiPriority w:val="99"/>
    <w:rsid w:val="000C625A"/>
    <w:pPr>
      <w:spacing w:after="160" w:line="240" w:lineRule="exact"/>
      <w:jc w:val="left"/>
    </w:pPr>
    <w:rPr>
      <w:rFonts w:asciiTheme="minorHAnsi" w:eastAsiaTheme="minorHAnsi" w:hAnsiTheme="minorHAnsi" w:cstheme="minorBidi"/>
      <w:sz w:val="22"/>
      <w:szCs w:val="22"/>
      <w:vertAlign w:val="superscript"/>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157">
      <w:bodyDiv w:val="1"/>
      <w:marLeft w:val="0"/>
      <w:marRight w:val="0"/>
      <w:marTop w:val="0"/>
      <w:marBottom w:val="0"/>
      <w:divBdr>
        <w:top w:val="none" w:sz="0" w:space="0" w:color="auto"/>
        <w:left w:val="none" w:sz="0" w:space="0" w:color="auto"/>
        <w:bottom w:val="none" w:sz="0" w:space="0" w:color="auto"/>
        <w:right w:val="none" w:sz="0" w:space="0" w:color="auto"/>
      </w:divBdr>
      <w:divsChild>
        <w:div w:id="177621277">
          <w:marLeft w:val="0"/>
          <w:marRight w:val="0"/>
          <w:marTop w:val="0"/>
          <w:marBottom w:val="0"/>
          <w:divBdr>
            <w:top w:val="none" w:sz="0" w:space="0" w:color="auto"/>
            <w:left w:val="none" w:sz="0" w:space="0" w:color="auto"/>
            <w:bottom w:val="none" w:sz="0" w:space="0" w:color="auto"/>
            <w:right w:val="none" w:sz="0" w:space="0" w:color="auto"/>
          </w:divBdr>
          <w:divsChild>
            <w:div w:id="410081320">
              <w:marLeft w:val="0"/>
              <w:marRight w:val="0"/>
              <w:marTop w:val="0"/>
              <w:marBottom w:val="0"/>
              <w:divBdr>
                <w:top w:val="none" w:sz="0" w:space="0" w:color="auto"/>
                <w:left w:val="none" w:sz="0" w:space="0" w:color="auto"/>
                <w:bottom w:val="none" w:sz="0" w:space="0" w:color="auto"/>
                <w:right w:val="none" w:sz="0" w:space="0" w:color="auto"/>
              </w:divBdr>
              <w:divsChild>
                <w:div w:id="8578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5865">
      <w:bodyDiv w:val="1"/>
      <w:marLeft w:val="0"/>
      <w:marRight w:val="0"/>
      <w:marTop w:val="0"/>
      <w:marBottom w:val="0"/>
      <w:divBdr>
        <w:top w:val="none" w:sz="0" w:space="0" w:color="auto"/>
        <w:left w:val="none" w:sz="0" w:space="0" w:color="auto"/>
        <w:bottom w:val="none" w:sz="0" w:space="0" w:color="auto"/>
        <w:right w:val="none" w:sz="0" w:space="0" w:color="auto"/>
      </w:divBdr>
      <w:divsChild>
        <w:div w:id="1924995120">
          <w:marLeft w:val="0"/>
          <w:marRight w:val="0"/>
          <w:marTop w:val="0"/>
          <w:marBottom w:val="0"/>
          <w:divBdr>
            <w:top w:val="none" w:sz="0" w:space="0" w:color="auto"/>
            <w:left w:val="none" w:sz="0" w:space="0" w:color="auto"/>
            <w:bottom w:val="none" w:sz="0" w:space="0" w:color="auto"/>
            <w:right w:val="none" w:sz="0" w:space="0" w:color="auto"/>
          </w:divBdr>
          <w:divsChild>
            <w:div w:id="1171530190">
              <w:marLeft w:val="0"/>
              <w:marRight w:val="0"/>
              <w:marTop w:val="0"/>
              <w:marBottom w:val="0"/>
              <w:divBdr>
                <w:top w:val="none" w:sz="0" w:space="0" w:color="auto"/>
                <w:left w:val="none" w:sz="0" w:space="0" w:color="auto"/>
                <w:bottom w:val="none" w:sz="0" w:space="0" w:color="auto"/>
                <w:right w:val="none" w:sz="0" w:space="0" w:color="auto"/>
              </w:divBdr>
              <w:divsChild>
                <w:div w:id="7675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9973">
      <w:bodyDiv w:val="1"/>
      <w:marLeft w:val="0"/>
      <w:marRight w:val="0"/>
      <w:marTop w:val="0"/>
      <w:marBottom w:val="0"/>
      <w:divBdr>
        <w:top w:val="none" w:sz="0" w:space="0" w:color="auto"/>
        <w:left w:val="none" w:sz="0" w:space="0" w:color="auto"/>
        <w:bottom w:val="none" w:sz="0" w:space="0" w:color="auto"/>
        <w:right w:val="none" w:sz="0" w:space="0" w:color="auto"/>
      </w:divBdr>
    </w:div>
    <w:div w:id="81150307">
      <w:bodyDiv w:val="1"/>
      <w:marLeft w:val="0"/>
      <w:marRight w:val="0"/>
      <w:marTop w:val="0"/>
      <w:marBottom w:val="0"/>
      <w:divBdr>
        <w:top w:val="none" w:sz="0" w:space="0" w:color="auto"/>
        <w:left w:val="none" w:sz="0" w:space="0" w:color="auto"/>
        <w:bottom w:val="none" w:sz="0" w:space="0" w:color="auto"/>
        <w:right w:val="none" w:sz="0" w:space="0" w:color="auto"/>
      </w:divBdr>
    </w:div>
    <w:div w:id="85813357">
      <w:bodyDiv w:val="1"/>
      <w:marLeft w:val="0"/>
      <w:marRight w:val="0"/>
      <w:marTop w:val="0"/>
      <w:marBottom w:val="0"/>
      <w:divBdr>
        <w:top w:val="none" w:sz="0" w:space="0" w:color="auto"/>
        <w:left w:val="none" w:sz="0" w:space="0" w:color="auto"/>
        <w:bottom w:val="none" w:sz="0" w:space="0" w:color="auto"/>
        <w:right w:val="none" w:sz="0" w:space="0" w:color="auto"/>
      </w:divBdr>
    </w:div>
    <w:div w:id="89283955">
      <w:bodyDiv w:val="1"/>
      <w:marLeft w:val="0"/>
      <w:marRight w:val="0"/>
      <w:marTop w:val="0"/>
      <w:marBottom w:val="0"/>
      <w:divBdr>
        <w:top w:val="none" w:sz="0" w:space="0" w:color="auto"/>
        <w:left w:val="none" w:sz="0" w:space="0" w:color="auto"/>
        <w:bottom w:val="none" w:sz="0" w:space="0" w:color="auto"/>
        <w:right w:val="none" w:sz="0" w:space="0" w:color="auto"/>
      </w:divBdr>
      <w:divsChild>
        <w:div w:id="1975912502">
          <w:marLeft w:val="0"/>
          <w:marRight w:val="0"/>
          <w:marTop w:val="0"/>
          <w:marBottom w:val="0"/>
          <w:divBdr>
            <w:top w:val="none" w:sz="0" w:space="0" w:color="auto"/>
            <w:left w:val="none" w:sz="0" w:space="0" w:color="auto"/>
            <w:bottom w:val="none" w:sz="0" w:space="0" w:color="auto"/>
            <w:right w:val="none" w:sz="0" w:space="0" w:color="auto"/>
          </w:divBdr>
        </w:div>
      </w:divsChild>
    </w:div>
    <w:div w:id="103888406">
      <w:bodyDiv w:val="1"/>
      <w:marLeft w:val="0"/>
      <w:marRight w:val="0"/>
      <w:marTop w:val="0"/>
      <w:marBottom w:val="0"/>
      <w:divBdr>
        <w:top w:val="none" w:sz="0" w:space="0" w:color="auto"/>
        <w:left w:val="none" w:sz="0" w:space="0" w:color="auto"/>
        <w:bottom w:val="none" w:sz="0" w:space="0" w:color="auto"/>
        <w:right w:val="none" w:sz="0" w:space="0" w:color="auto"/>
      </w:divBdr>
    </w:div>
    <w:div w:id="107088078">
      <w:bodyDiv w:val="1"/>
      <w:marLeft w:val="0"/>
      <w:marRight w:val="0"/>
      <w:marTop w:val="0"/>
      <w:marBottom w:val="0"/>
      <w:divBdr>
        <w:top w:val="none" w:sz="0" w:space="0" w:color="auto"/>
        <w:left w:val="none" w:sz="0" w:space="0" w:color="auto"/>
        <w:bottom w:val="none" w:sz="0" w:space="0" w:color="auto"/>
        <w:right w:val="none" w:sz="0" w:space="0" w:color="auto"/>
      </w:divBdr>
    </w:div>
    <w:div w:id="121191658">
      <w:bodyDiv w:val="1"/>
      <w:marLeft w:val="0"/>
      <w:marRight w:val="0"/>
      <w:marTop w:val="0"/>
      <w:marBottom w:val="0"/>
      <w:divBdr>
        <w:top w:val="none" w:sz="0" w:space="0" w:color="auto"/>
        <w:left w:val="none" w:sz="0" w:space="0" w:color="auto"/>
        <w:bottom w:val="none" w:sz="0" w:space="0" w:color="auto"/>
        <w:right w:val="none" w:sz="0" w:space="0" w:color="auto"/>
      </w:divBdr>
    </w:div>
    <w:div w:id="123161996">
      <w:bodyDiv w:val="1"/>
      <w:marLeft w:val="0"/>
      <w:marRight w:val="0"/>
      <w:marTop w:val="0"/>
      <w:marBottom w:val="0"/>
      <w:divBdr>
        <w:top w:val="none" w:sz="0" w:space="0" w:color="auto"/>
        <w:left w:val="none" w:sz="0" w:space="0" w:color="auto"/>
        <w:bottom w:val="none" w:sz="0" w:space="0" w:color="auto"/>
        <w:right w:val="none" w:sz="0" w:space="0" w:color="auto"/>
      </w:divBdr>
      <w:divsChild>
        <w:div w:id="1479417735">
          <w:marLeft w:val="0"/>
          <w:marRight w:val="0"/>
          <w:marTop w:val="0"/>
          <w:marBottom w:val="0"/>
          <w:divBdr>
            <w:top w:val="none" w:sz="0" w:space="0" w:color="auto"/>
            <w:left w:val="none" w:sz="0" w:space="0" w:color="auto"/>
            <w:bottom w:val="none" w:sz="0" w:space="0" w:color="auto"/>
            <w:right w:val="none" w:sz="0" w:space="0" w:color="auto"/>
          </w:divBdr>
        </w:div>
      </w:divsChild>
    </w:div>
    <w:div w:id="133106201">
      <w:bodyDiv w:val="1"/>
      <w:marLeft w:val="0"/>
      <w:marRight w:val="0"/>
      <w:marTop w:val="0"/>
      <w:marBottom w:val="0"/>
      <w:divBdr>
        <w:top w:val="none" w:sz="0" w:space="0" w:color="auto"/>
        <w:left w:val="none" w:sz="0" w:space="0" w:color="auto"/>
        <w:bottom w:val="none" w:sz="0" w:space="0" w:color="auto"/>
        <w:right w:val="none" w:sz="0" w:space="0" w:color="auto"/>
      </w:divBdr>
      <w:divsChild>
        <w:div w:id="1514371474">
          <w:marLeft w:val="0"/>
          <w:marRight w:val="0"/>
          <w:marTop w:val="0"/>
          <w:marBottom w:val="0"/>
          <w:divBdr>
            <w:top w:val="none" w:sz="0" w:space="0" w:color="auto"/>
            <w:left w:val="none" w:sz="0" w:space="0" w:color="auto"/>
            <w:bottom w:val="none" w:sz="0" w:space="0" w:color="auto"/>
            <w:right w:val="none" w:sz="0" w:space="0" w:color="auto"/>
          </w:divBdr>
        </w:div>
      </w:divsChild>
    </w:div>
    <w:div w:id="136534059">
      <w:bodyDiv w:val="1"/>
      <w:marLeft w:val="0"/>
      <w:marRight w:val="0"/>
      <w:marTop w:val="0"/>
      <w:marBottom w:val="0"/>
      <w:divBdr>
        <w:top w:val="none" w:sz="0" w:space="0" w:color="auto"/>
        <w:left w:val="none" w:sz="0" w:space="0" w:color="auto"/>
        <w:bottom w:val="none" w:sz="0" w:space="0" w:color="auto"/>
        <w:right w:val="none" w:sz="0" w:space="0" w:color="auto"/>
      </w:divBdr>
    </w:div>
    <w:div w:id="165898106">
      <w:bodyDiv w:val="1"/>
      <w:marLeft w:val="0"/>
      <w:marRight w:val="0"/>
      <w:marTop w:val="0"/>
      <w:marBottom w:val="0"/>
      <w:divBdr>
        <w:top w:val="none" w:sz="0" w:space="0" w:color="auto"/>
        <w:left w:val="none" w:sz="0" w:space="0" w:color="auto"/>
        <w:bottom w:val="none" w:sz="0" w:space="0" w:color="auto"/>
        <w:right w:val="none" w:sz="0" w:space="0" w:color="auto"/>
      </w:divBdr>
    </w:div>
    <w:div w:id="168372719">
      <w:bodyDiv w:val="1"/>
      <w:marLeft w:val="0"/>
      <w:marRight w:val="0"/>
      <w:marTop w:val="0"/>
      <w:marBottom w:val="0"/>
      <w:divBdr>
        <w:top w:val="none" w:sz="0" w:space="0" w:color="auto"/>
        <w:left w:val="none" w:sz="0" w:space="0" w:color="auto"/>
        <w:bottom w:val="none" w:sz="0" w:space="0" w:color="auto"/>
        <w:right w:val="none" w:sz="0" w:space="0" w:color="auto"/>
      </w:divBdr>
    </w:div>
    <w:div w:id="200869818">
      <w:bodyDiv w:val="1"/>
      <w:marLeft w:val="0"/>
      <w:marRight w:val="0"/>
      <w:marTop w:val="0"/>
      <w:marBottom w:val="0"/>
      <w:divBdr>
        <w:top w:val="none" w:sz="0" w:space="0" w:color="auto"/>
        <w:left w:val="none" w:sz="0" w:space="0" w:color="auto"/>
        <w:bottom w:val="none" w:sz="0" w:space="0" w:color="auto"/>
        <w:right w:val="none" w:sz="0" w:space="0" w:color="auto"/>
      </w:divBdr>
      <w:divsChild>
        <w:div w:id="792359397">
          <w:marLeft w:val="0"/>
          <w:marRight w:val="0"/>
          <w:marTop w:val="0"/>
          <w:marBottom w:val="0"/>
          <w:divBdr>
            <w:top w:val="none" w:sz="0" w:space="0" w:color="auto"/>
            <w:left w:val="none" w:sz="0" w:space="0" w:color="auto"/>
            <w:bottom w:val="none" w:sz="0" w:space="0" w:color="auto"/>
            <w:right w:val="none" w:sz="0" w:space="0" w:color="auto"/>
          </w:divBdr>
          <w:divsChild>
            <w:div w:id="788746720">
              <w:marLeft w:val="0"/>
              <w:marRight w:val="0"/>
              <w:marTop w:val="0"/>
              <w:marBottom w:val="0"/>
              <w:divBdr>
                <w:top w:val="none" w:sz="0" w:space="0" w:color="auto"/>
                <w:left w:val="none" w:sz="0" w:space="0" w:color="auto"/>
                <w:bottom w:val="none" w:sz="0" w:space="0" w:color="auto"/>
                <w:right w:val="none" w:sz="0" w:space="0" w:color="auto"/>
              </w:divBdr>
              <w:divsChild>
                <w:div w:id="1524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164">
      <w:bodyDiv w:val="1"/>
      <w:marLeft w:val="0"/>
      <w:marRight w:val="0"/>
      <w:marTop w:val="0"/>
      <w:marBottom w:val="0"/>
      <w:divBdr>
        <w:top w:val="none" w:sz="0" w:space="0" w:color="auto"/>
        <w:left w:val="none" w:sz="0" w:space="0" w:color="auto"/>
        <w:bottom w:val="none" w:sz="0" w:space="0" w:color="auto"/>
        <w:right w:val="none" w:sz="0" w:space="0" w:color="auto"/>
      </w:divBdr>
    </w:div>
    <w:div w:id="242185187">
      <w:bodyDiv w:val="1"/>
      <w:marLeft w:val="0"/>
      <w:marRight w:val="0"/>
      <w:marTop w:val="0"/>
      <w:marBottom w:val="0"/>
      <w:divBdr>
        <w:top w:val="none" w:sz="0" w:space="0" w:color="auto"/>
        <w:left w:val="none" w:sz="0" w:space="0" w:color="auto"/>
        <w:bottom w:val="none" w:sz="0" w:space="0" w:color="auto"/>
        <w:right w:val="none" w:sz="0" w:space="0" w:color="auto"/>
      </w:divBdr>
      <w:divsChild>
        <w:div w:id="1696270700">
          <w:marLeft w:val="0"/>
          <w:marRight w:val="0"/>
          <w:marTop w:val="0"/>
          <w:marBottom w:val="0"/>
          <w:divBdr>
            <w:top w:val="none" w:sz="0" w:space="0" w:color="auto"/>
            <w:left w:val="none" w:sz="0" w:space="0" w:color="auto"/>
            <w:bottom w:val="none" w:sz="0" w:space="0" w:color="auto"/>
            <w:right w:val="none" w:sz="0" w:space="0" w:color="auto"/>
          </w:divBdr>
          <w:divsChild>
            <w:div w:id="319620909">
              <w:marLeft w:val="0"/>
              <w:marRight w:val="0"/>
              <w:marTop w:val="0"/>
              <w:marBottom w:val="0"/>
              <w:divBdr>
                <w:top w:val="none" w:sz="0" w:space="0" w:color="auto"/>
                <w:left w:val="none" w:sz="0" w:space="0" w:color="auto"/>
                <w:bottom w:val="none" w:sz="0" w:space="0" w:color="auto"/>
                <w:right w:val="none" w:sz="0" w:space="0" w:color="auto"/>
              </w:divBdr>
              <w:divsChild>
                <w:div w:id="14256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5571">
      <w:bodyDiv w:val="1"/>
      <w:marLeft w:val="0"/>
      <w:marRight w:val="0"/>
      <w:marTop w:val="0"/>
      <w:marBottom w:val="0"/>
      <w:divBdr>
        <w:top w:val="none" w:sz="0" w:space="0" w:color="auto"/>
        <w:left w:val="none" w:sz="0" w:space="0" w:color="auto"/>
        <w:bottom w:val="none" w:sz="0" w:space="0" w:color="auto"/>
        <w:right w:val="none" w:sz="0" w:space="0" w:color="auto"/>
      </w:divBdr>
      <w:divsChild>
        <w:div w:id="1977056639">
          <w:marLeft w:val="0"/>
          <w:marRight w:val="0"/>
          <w:marTop w:val="0"/>
          <w:marBottom w:val="0"/>
          <w:divBdr>
            <w:top w:val="none" w:sz="0" w:space="0" w:color="auto"/>
            <w:left w:val="none" w:sz="0" w:space="0" w:color="auto"/>
            <w:bottom w:val="none" w:sz="0" w:space="0" w:color="auto"/>
            <w:right w:val="none" w:sz="0" w:space="0" w:color="auto"/>
          </w:divBdr>
          <w:divsChild>
            <w:div w:id="210923584">
              <w:marLeft w:val="0"/>
              <w:marRight w:val="0"/>
              <w:marTop w:val="0"/>
              <w:marBottom w:val="0"/>
              <w:divBdr>
                <w:top w:val="none" w:sz="0" w:space="0" w:color="auto"/>
                <w:left w:val="none" w:sz="0" w:space="0" w:color="auto"/>
                <w:bottom w:val="none" w:sz="0" w:space="0" w:color="auto"/>
                <w:right w:val="none" w:sz="0" w:space="0" w:color="auto"/>
              </w:divBdr>
              <w:divsChild>
                <w:div w:id="21228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09154">
      <w:bodyDiv w:val="1"/>
      <w:marLeft w:val="0"/>
      <w:marRight w:val="0"/>
      <w:marTop w:val="0"/>
      <w:marBottom w:val="0"/>
      <w:divBdr>
        <w:top w:val="none" w:sz="0" w:space="0" w:color="auto"/>
        <w:left w:val="none" w:sz="0" w:space="0" w:color="auto"/>
        <w:bottom w:val="none" w:sz="0" w:space="0" w:color="auto"/>
        <w:right w:val="none" w:sz="0" w:space="0" w:color="auto"/>
      </w:divBdr>
      <w:divsChild>
        <w:div w:id="1523857699">
          <w:marLeft w:val="0"/>
          <w:marRight w:val="0"/>
          <w:marTop w:val="0"/>
          <w:marBottom w:val="0"/>
          <w:divBdr>
            <w:top w:val="none" w:sz="0" w:space="0" w:color="auto"/>
            <w:left w:val="none" w:sz="0" w:space="0" w:color="auto"/>
            <w:bottom w:val="none" w:sz="0" w:space="0" w:color="auto"/>
            <w:right w:val="none" w:sz="0" w:space="0" w:color="auto"/>
          </w:divBdr>
          <w:divsChild>
            <w:div w:id="2040663053">
              <w:marLeft w:val="0"/>
              <w:marRight w:val="0"/>
              <w:marTop w:val="0"/>
              <w:marBottom w:val="0"/>
              <w:divBdr>
                <w:top w:val="none" w:sz="0" w:space="0" w:color="auto"/>
                <w:left w:val="none" w:sz="0" w:space="0" w:color="auto"/>
                <w:bottom w:val="none" w:sz="0" w:space="0" w:color="auto"/>
                <w:right w:val="none" w:sz="0" w:space="0" w:color="auto"/>
              </w:divBdr>
              <w:divsChild>
                <w:div w:id="1018434748">
                  <w:marLeft w:val="0"/>
                  <w:marRight w:val="0"/>
                  <w:marTop w:val="0"/>
                  <w:marBottom w:val="0"/>
                  <w:divBdr>
                    <w:top w:val="none" w:sz="0" w:space="0" w:color="auto"/>
                    <w:left w:val="none" w:sz="0" w:space="0" w:color="auto"/>
                    <w:bottom w:val="none" w:sz="0" w:space="0" w:color="auto"/>
                    <w:right w:val="none" w:sz="0" w:space="0" w:color="auto"/>
                  </w:divBdr>
                  <w:divsChild>
                    <w:div w:id="15529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569">
      <w:bodyDiv w:val="1"/>
      <w:marLeft w:val="0"/>
      <w:marRight w:val="0"/>
      <w:marTop w:val="0"/>
      <w:marBottom w:val="0"/>
      <w:divBdr>
        <w:top w:val="none" w:sz="0" w:space="0" w:color="auto"/>
        <w:left w:val="none" w:sz="0" w:space="0" w:color="auto"/>
        <w:bottom w:val="none" w:sz="0" w:space="0" w:color="auto"/>
        <w:right w:val="none" w:sz="0" w:space="0" w:color="auto"/>
      </w:divBdr>
    </w:div>
    <w:div w:id="268464711">
      <w:bodyDiv w:val="1"/>
      <w:marLeft w:val="0"/>
      <w:marRight w:val="0"/>
      <w:marTop w:val="0"/>
      <w:marBottom w:val="0"/>
      <w:divBdr>
        <w:top w:val="none" w:sz="0" w:space="0" w:color="auto"/>
        <w:left w:val="none" w:sz="0" w:space="0" w:color="auto"/>
        <w:bottom w:val="none" w:sz="0" w:space="0" w:color="auto"/>
        <w:right w:val="none" w:sz="0" w:space="0" w:color="auto"/>
      </w:divBdr>
    </w:div>
    <w:div w:id="273442235">
      <w:bodyDiv w:val="1"/>
      <w:marLeft w:val="0"/>
      <w:marRight w:val="0"/>
      <w:marTop w:val="0"/>
      <w:marBottom w:val="0"/>
      <w:divBdr>
        <w:top w:val="none" w:sz="0" w:space="0" w:color="auto"/>
        <w:left w:val="none" w:sz="0" w:space="0" w:color="auto"/>
        <w:bottom w:val="none" w:sz="0" w:space="0" w:color="auto"/>
        <w:right w:val="none" w:sz="0" w:space="0" w:color="auto"/>
      </w:divBdr>
    </w:div>
    <w:div w:id="285238098">
      <w:bodyDiv w:val="1"/>
      <w:marLeft w:val="0"/>
      <w:marRight w:val="0"/>
      <w:marTop w:val="0"/>
      <w:marBottom w:val="0"/>
      <w:divBdr>
        <w:top w:val="none" w:sz="0" w:space="0" w:color="auto"/>
        <w:left w:val="none" w:sz="0" w:space="0" w:color="auto"/>
        <w:bottom w:val="none" w:sz="0" w:space="0" w:color="auto"/>
        <w:right w:val="none" w:sz="0" w:space="0" w:color="auto"/>
      </w:divBdr>
    </w:div>
    <w:div w:id="309870396">
      <w:bodyDiv w:val="1"/>
      <w:marLeft w:val="0"/>
      <w:marRight w:val="0"/>
      <w:marTop w:val="0"/>
      <w:marBottom w:val="0"/>
      <w:divBdr>
        <w:top w:val="none" w:sz="0" w:space="0" w:color="auto"/>
        <w:left w:val="none" w:sz="0" w:space="0" w:color="auto"/>
        <w:bottom w:val="none" w:sz="0" w:space="0" w:color="auto"/>
        <w:right w:val="none" w:sz="0" w:space="0" w:color="auto"/>
      </w:divBdr>
    </w:div>
    <w:div w:id="317274794">
      <w:bodyDiv w:val="1"/>
      <w:marLeft w:val="0"/>
      <w:marRight w:val="0"/>
      <w:marTop w:val="0"/>
      <w:marBottom w:val="0"/>
      <w:divBdr>
        <w:top w:val="none" w:sz="0" w:space="0" w:color="auto"/>
        <w:left w:val="none" w:sz="0" w:space="0" w:color="auto"/>
        <w:bottom w:val="none" w:sz="0" w:space="0" w:color="auto"/>
        <w:right w:val="none" w:sz="0" w:space="0" w:color="auto"/>
      </w:divBdr>
    </w:div>
    <w:div w:id="328755814">
      <w:bodyDiv w:val="1"/>
      <w:marLeft w:val="0"/>
      <w:marRight w:val="0"/>
      <w:marTop w:val="0"/>
      <w:marBottom w:val="0"/>
      <w:divBdr>
        <w:top w:val="none" w:sz="0" w:space="0" w:color="auto"/>
        <w:left w:val="none" w:sz="0" w:space="0" w:color="auto"/>
        <w:bottom w:val="none" w:sz="0" w:space="0" w:color="auto"/>
        <w:right w:val="none" w:sz="0" w:space="0" w:color="auto"/>
      </w:divBdr>
    </w:div>
    <w:div w:id="329218705">
      <w:bodyDiv w:val="1"/>
      <w:marLeft w:val="0"/>
      <w:marRight w:val="0"/>
      <w:marTop w:val="0"/>
      <w:marBottom w:val="0"/>
      <w:divBdr>
        <w:top w:val="none" w:sz="0" w:space="0" w:color="auto"/>
        <w:left w:val="none" w:sz="0" w:space="0" w:color="auto"/>
        <w:bottom w:val="none" w:sz="0" w:space="0" w:color="auto"/>
        <w:right w:val="none" w:sz="0" w:space="0" w:color="auto"/>
      </w:divBdr>
    </w:div>
    <w:div w:id="351692037">
      <w:bodyDiv w:val="1"/>
      <w:marLeft w:val="0"/>
      <w:marRight w:val="0"/>
      <w:marTop w:val="0"/>
      <w:marBottom w:val="0"/>
      <w:divBdr>
        <w:top w:val="none" w:sz="0" w:space="0" w:color="auto"/>
        <w:left w:val="none" w:sz="0" w:space="0" w:color="auto"/>
        <w:bottom w:val="none" w:sz="0" w:space="0" w:color="auto"/>
        <w:right w:val="none" w:sz="0" w:space="0" w:color="auto"/>
      </w:divBdr>
    </w:div>
    <w:div w:id="357895793">
      <w:bodyDiv w:val="1"/>
      <w:marLeft w:val="0"/>
      <w:marRight w:val="0"/>
      <w:marTop w:val="0"/>
      <w:marBottom w:val="0"/>
      <w:divBdr>
        <w:top w:val="none" w:sz="0" w:space="0" w:color="auto"/>
        <w:left w:val="none" w:sz="0" w:space="0" w:color="auto"/>
        <w:bottom w:val="none" w:sz="0" w:space="0" w:color="auto"/>
        <w:right w:val="none" w:sz="0" w:space="0" w:color="auto"/>
      </w:divBdr>
    </w:div>
    <w:div w:id="383912231">
      <w:bodyDiv w:val="1"/>
      <w:marLeft w:val="0"/>
      <w:marRight w:val="0"/>
      <w:marTop w:val="0"/>
      <w:marBottom w:val="0"/>
      <w:divBdr>
        <w:top w:val="none" w:sz="0" w:space="0" w:color="auto"/>
        <w:left w:val="none" w:sz="0" w:space="0" w:color="auto"/>
        <w:bottom w:val="none" w:sz="0" w:space="0" w:color="auto"/>
        <w:right w:val="none" w:sz="0" w:space="0" w:color="auto"/>
      </w:divBdr>
      <w:divsChild>
        <w:div w:id="1813399961">
          <w:marLeft w:val="0"/>
          <w:marRight w:val="0"/>
          <w:marTop w:val="0"/>
          <w:marBottom w:val="0"/>
          <w:divBdr>
            <w:top w:val="none" w:sz="0" w:space="0" w:color="auto"/>
            <w:left w:val="none" w:sz="0" w:space="0" w:color="auto"/>
            <w:bottom w:val="none" w:sz="0" w:space="0" w:color="auto"/>
            <w:right w:val="none" w:sz="0" w:space="0" w:color="auto"/>
          </w:divBdr>
          <w:divsChild>
            <w:div w:id="329217295">
              <w:marLeft w:val="0"/>
              <w:marRight w:val="0"/>
              <w:marTop w:val="0"/>
              <w:marBottom w:val="0"/>
              <w:divBdr>
                <w:top w:val="none" w:sz="0" w:space="0" w:color="auto"/>
                <w:left w:val="none" w:sz="0" w:space="0" w:color="auto"/>
                <w:bottom w:val="none" w:sz="0" w:space="0" w:color="auto"/>
                <w:right w:val="none" w:sz="0" w:space="0" w:color="auto"/>
              </w:divBdr>
            </w:div>
          </w:divsChild>
        </w:div>
        <w:div w:id="898327508">
          <w:marLeft w:val="0"/>
          <w:marRight w:val="0"/>
          <w:marTop w:val="0"/>
          <w:marBottom w:val="0"/>
          <w:divBdr>
            <w:top w:val="none" w:sz="0" w:space="0" w:color="auto"/>
            <w:left w:val="none" w:sz="0" w:space="0" w:color="auto"/>
            <w:bottom w:val="none" w:sz="0" w:space="0" w:color="auto"/>
            <w:right w:val="none" w:sz="0" w:space="0" w:color="auto"/>
          </w:divBdr>
          <w:divsChild>
            <w:div w:id="101609658">
              <w:marLeft w:val="0"/>
              <w:marRight w:val="0"/>
              <w:marTop w:val="0"/>
              <w:marBottom w:val="0"/>
              <w:divBdr>
                <w:top w:val="none" w:sz="0" w:space="0" w:color="auto"/>
                <w:left w:val="none" w:sz="0" w:space="0" w:color="auto"/>
                <w:bottom w:val="none" w:sz="0" w:space="0" w:color="auto"/>
                <w:right w:val="none" w:sz="0" w:space="0" w:color="auto"/>
              </w:divBdr>
            </w:div>
            <w:div w:id="642580495">
              <w:marLeft w:val="0"/>
              <w:marRight w:val="0"/>
              <w:marTop w:val="0"/>
              <w:marBottom w:val="0"/>
              <w:divBdr>
                <w:top w:val="none" w:sz="0" w:space="0" w:color="auto"/>
                <w:left w:val="none" w:sz="0" w:space="0" w:color="auto"/>
                <w:bottom w:val="none" w:sz="0" w:space="0" w:color="auto"/>
                <w:right w:val="none" w:sz="0" w:space="0" w:color="auto"/>
              </w:divBdr>
            </w:div>
            <w:div w:id="1021203446">
              <w:marLeft w:val="0"/>
              <w:marRight w:val="0"/>
              <w:marTop w:val="0"/>
              <w:marBottom w:val="0"/>
              <w:divBdr>
                <w:top w:val="none" w:sz="0" w:space="0" w:color="auto"/>
                <w:left w:val="none" w:sz="0" w:space="0" w:color="auto"/>
                <w:bottom w:val="none" w:sz="0" w:space="0" w:color="auto"/>
                <w:right w:val="none" w:sz="0" w:space="0" w:color="auto"/>
              </w:divBdr>
            </w:div>
          </w:divsChild>
        </w:div>
        <w:div w:id="1362242550">
          <w:marLeft w:val="0"/>
          <w:marRight w:val="0"/>
          <w:marTop w:val="0"/>
          <w:marBottom w:val="0"/>
          <w:divBdr>
            <w:top w:val="none" w:sz="0" w:space="0" w:color="auto"/>
            <w:left w:val="none" w:sz="0" w:space="0" w:color="auto"/>
            <w:bottom w:val="none" w:sz="0" w:space="0" w:color="auto"/>
            <w:right w:val="none" w:sz="0" w:space="0" w:color="auto"/>
          </w:divBdr>
          <w:divsChild>
            <w:div w:id="1874609649">
              <w:marLeft w:val="0"/>
              <w:marRight w:val="0"/>
              <w:marTop w:val="0"/>
              <w:marBottom w:val="0"/>
              <w:divBdr>
                <w:top w:val="none" w:sz="0" w:space="0" w:color="auto"/>
                <w:left w:val="none" w:sz="0" w:space="0" w:color="auto"/>
                <w:bottom w:val="none" w:sz="0" w:space="0" w:color="auto"/>
                <w:right w:val="none" w:sz="0" w:space="0" w:color="auto"/>
              </w:divBdr>
            </w:div>
            <w:div w:id="13094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7970">
      <w:bodyDiv w:val="1"/>
      <w:marLeft w:val="0"/>
      <w:marRight w:val="0"/>
      <w:marTop w:val="0"/>
      <w:marBottom w:val="0"/>
      <w:divBdr>
        <w:top w:val="none" w:sz="0" w:space="0" w:color="auto"/>
        <w:left w:val="none" w:sz="0" w:space="0" w:color="auto"/>
        <w:bottom w:val="none" w:sz="0" w:space="0" w:color="auto"/>
        <w:right w:val="none" w:sz="0" w:space="0" w:color="auto"/>
      </w:divBdr>
    </w:div>
    <w:div w:id="387843223">
      <w:bodyDiv w:val="1"/>
      <w:marLeft w:val="0"/>
      <w:marRight w:val="0"/>
      <w:marTop w:val="0"/>
      <w:marBottom w:val="0"/>
      <w:divBdr>
        <w:top w:val="none" w:sz="0" w:space="0" w:color="auto"/>
        <w:left w:val="none" w:sz="0" w:space="0" w:color="auto"/>
        <w:bottom w:val="none" w:sz="0" w:space="0" w:color="auto"/>
        <w:right w:val="none" w:sz="0" w:space="0" w:color="auto"/>
      </w:divBdr>
    </w:div>
    <w:div w:id="401685378">
      <w:bodyDiv w:val="1"/>
      <w:marLeft w:val="0"/>
      <w:marRight w:val="0"/>
      <w:marTop w:val="0"/>
      <w:marBottom w:val="0"/>
      <w:divBdr>
        <w:top w:val="none" w:sz="0" w:space="0" w:color="auto"/>
        <w:left w:val="none" w:sz="0" w:space="0" w:color="auto"/>
        <w:bottom w:val="none" w:sz="0" w:space="0" w:color="auto"/>
        <w:right w:val="none" w:sz="0" w:space="0" w:color="auto"/>
      </w:divBdr>
    </w:div>
    <w:div w:id="409274355">
      <w:bodyDiv w:val="1"/>
      <w:marLeft w:val="0"/>
      <w:marRight w:val="0"/>
      <w:marTop w:val="0"/>
      <w:marBottom w:val="0"/>
      <w:divBdr>
        <w:top w:val="none" w:sz="0" w:space="0" w:color="auto"/>
        <w:left w:val="none" w:sz="0" w:space="0" w:color="auto"/>
        <w:bottom w:val="none" w:sz="0" w:space="0" w:color="auto"/>
        <w:right w:val="none" w:sz="0" w:space="0" w:color="auto"/>
      </w:divBdr>
    </w:div>
    <w:div w:id="423692722">
      <w:bodyDiv w:val="1"/>
      <w:marLeft w:val="0"/>
      <w:marRight w:val="0"/>
      <w:marTop w:val="0"/>
      <w:marBottom w:val="0"/>
      <w:divBdr>
        <w:top w:val="none" w:sz="0" w:space="0" w:color="auto"/>
        <w:left w:val="none" w:sz="0" w:space="0" w:color="auto"/>
        <w:bottom w:val="none" w:sz="0" w:space="0" w:color="auto"/>
        <w:right w:val="none" w:sz="0" w:space="0" w:color="auto"/>
      </w:divBdr>
      <w:divsChild>
        <w:div w:id="1723677250">
          <w:marLeft w:val="0"/>
          <w:marRight w:val="0"/>
          <w:marTop w:val="0"/>
          <w:marBottom w:val="0"/>
          <w:divBdr>
            <w:top w:val="none" w:sz="0" w:space="0" w:color="auto"/>
            <w:left w:val="none" w:sz="0" w:space="0" w:color="auto"/>
            <w:bottom w:val="none" w:sz="0" w:space="0" w:color="auto"/>
            <w:right w:val="none" w:sz="0" w:space="0" w:color="auto"/>
          </w:divBdr>
          <w:divsChild>
            <w:div w:id="1419785326">
              <w:marLeft w:val="0"/>
              <w:marRight w:val="0"/>
              <w:marTop w:val="0"/>
              <w:marBottom w:val="0"/>
              <w:divBdr>
                <w:top w:val="none" w:sz="0" w:space="0" w:color="auto"/>
                <w:left w:val="none" w:sz="0" w:space="0" w:color="auto"/>
                <w:bottom w:val="none" w:sz="0" w:space="0" w:color="auto"/>
                <w:right w:val="none" w:sz="0" w:space="0" w:color="auto"/>
              </w:divBdr>
              <w:divsChild>
                <w:div w:id="1731464665">
                  <w:marLeft w:val="0"/>
                  <w:marRight w:val="0"/>
                  <w:marTop w:val="0"/>
                  <w:marBottom w:val="0"/>
                  <w:divBdr>
                    <w:top w:val="none" w:sz="0" w:space="0" w:color="auto"/>
                    <w:left w:val="none" w:sz="0" w:space="0" w:color="auto"/>
                    <w:bottom w:val="none" w:sz="0" w:space="0" w:color="auto"/>
                    <w:right w:val="none" w:sz="0" w:space="0" w:color="auto"/>
                  </w:divBdr>
                  <w:divsChild>
                    <w:div w:id="16847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23027">
      <w:bodyDiv w:val="1"/>
      <w:marLeft w:val="0"/>
      <w:marRight w:val="0"/>
      <w:marTop w:val="0"/>
      <w:marBottom w:val="0"/>
      <w:divBdr>
        <w:top w:val="none" w:sz="0" w:space="0" w:color="auto"/>
        <w:left w:val="none" w:sz="0" w:space="0" w:color="auto"/>
        <w:bottom w:val="none" w:sz="0" w:space="0" w:color="auto"/>
        <w:right w:val="none" w:sz="0" w:space="0" w:color="auto"/>
      </w:divBdr>
    </w:div>
    <w:div w:id="431390542">
      <w:bodyDiv w:val="1"/>
      <w:marLeft w:val="0"/>
      <w:marRight w:val="0"/>
      <w:marTop w:val="0"/>
      <w:marBottom w:val="0"/>
      <w:divBdr>
        <w:top w:val="none" w:sz="0" w:space="0" w:color="auto"/>
        <w:left w:val="none" w:sz="0" w:space="0" w:color="auto"/>
        <w:bottom w:val="none" w:sz="0" w:space="0" w:color="auto"/>
        <w:right w:val="none" w:sz="0" w:space="0" w:color="auto"/>
      </w:divBdr>
      <w:divsChild>
        <w:div w:id="467288032">
          <w:marLeft w:val="0"/>
          <w:marRight w:val="0"/>
          <w:marTop w:val="0"/>
          <w:marBottom w:val="0"/>
          <w:divBdr>
            <w:top w:val="none" w:sz="0" w:space="0" w:color="auto"/>
            <w:left w:val="none" w:sz="0" w:space="0" w:color="auto"/>
            <w:bottom w:val="none" w:sz="0" w:space="0" w:color="auto"/>
            <w:right w:val="none" w:sz="0" w:space="0" w:color="auto"/>
          </w:divBdr>
        </w:div>
      </w:divsChild>
    </w:div>
    <w:div w:id="436750285">
      <w:bodyDiv w:val="1"/>
      <w:marLeft w:val="0"/>
      <w:marRight w:val="0"/>
      <w:marTop w:val="0"/>
      <w:marBottom w:val="0"/>
      <w:divBdr>
        <w:top w:val="none" w:sz="0" w:space="0" w:color="auto"/>
        <w:left w:val="none" w:sz="0" w:space="0" w:color="auto"/>
        <w:bottom w:val="none" w:sz="0" w:space="0" w:color="auto"/>
        <w:right w:val="none" w:sz="0" w:space="0" w:color="auto"/>
      </w:divBdr>
      <w:divsChild>
        <w:div w:id="1112360085">
          <w:marLeft w:val="0"/>
          <w:marRight w:val="0"/>
          <w:marTop w:val="0"/>
          <w:marBottom w:val="0"/>
          <w:divBdr>
            <w:top w:val="none" w:sz="0" w:space="0" w:color="auto"/>
            <w:left w:val="none" w:sz="0" w:space="0" w:color="auto"/>
            <w:bottom w:val="none" w:sz="0" w:space="0" w:color="auto"/>
            <w:right w:val="none" w:sz="0" w:space="0" w:color="auto"/>
          </w:divBdr>
          <w:divsChild>
            <w:div w:id="1054238605">
              <w:marLeft w:val="0"/>
              <w:marRight w:val="0"/>
              <w:marTop w:val="0"/>
              <w:marBottom w:val="0"/>
              <w:divBdr>
                <w:top w:val="none" w:sz="0" w:space="0" w:color="auto"/>
                <w:left w:val="none" w:sz="0" w:space="0" w:color="auto"/>
                <w:bottom w:val="none" w:sz="0" w:space="0" w:color="auto"/>
                <w:right w:val="none" w:sz="0" w:space="0" w:color="auto"/>
              </w:divBdr>
              <w:divsChild>
                <w:div w:id="16121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6029">
      <w:bodyDiv w:val="1"/>
      <w:marLeft w:val="0"/>
      <w:marRight w:val="0"/>
      <w:marTop w:val="0"/>
      <w:marBottom w:val="0"/>
      <w:divBdr>
        <w:top w:val="none" w:sz="0" w:space="0" w:color="auto"/>
        <w:left w:val="none" w:sz="0" w:space="0" w:color="auto"/>
        <w:bottom w:val="none" w:sz="0" w:space="0" w:color="auto"/>
        <w:right w:val="none" w:sz="0" w:space="0" w:color="auto"/>
      </w:divBdr>
    </w:div>
    <w:div w:id="469598061">
      <w:bodyDiv w:val="1"/>
      <w:marLeft w:val="0"/>
      <w:marRight w:val="0"/>
      <w:marTop w:val="0"/>
      <w:marBottom w:val="0"/>
      <w:divBdr>
        <w:top w:val="none" w:sz="0" w:space="0" w:color="auto"/>
        <w:left w:val="none" w:sz="0" w:space="0" w:color="auto"/>
        <w:bottom w:val="none" w:sz="0" w:space="0" w:color="auto"/>
        <w:right w:val="none" w:sz="0" w:space="0" w:color="auto"/>
      </w:divBdr>
      <w:divsChild>
        <w:div w:id="1379474448">
          <w:marLeft w:val="0"/>
          <w:marRight w:val="0"/>
          <w:marTop w:val="0"/>
          <w:marBottom w:val="0"/>
          <w:divBdr>
            <w:top w:val="none" w:sz="0" w:space="0" w:color="auto"/>
            <w:left w:val="none" w:sz="0" w:space="0" w:color="auto"/>
            <w:bottom w:val="none" w:sz="0" w:space="0" w:color="auto"/>
            <w:right w:val="none" w:sz="0" w:space="0" w:color="auto"/>
          </w:divBdr>
          <w:divsChild>
            <w:div w:id="1614168037">
              <w:marLeft w:val="0"/>
              <w:marRight w:val="0"/>
              <w:marTop w:val="0"/>
              <w:marBottom w:val="0"/>
              <w:divBdr>
                <w:top w:val="none" w:sz="0" w:space="0" w:color="auto"/>
                <w:left w:val="none" w:sz="0" w:space="0" w:color="auto"/>
                <w:bottom w:val="none" w:sz="0" w:space="0" w:color="auto"/>
                <w:right w:val="none" w:sz="0" w:space="0" w:color="auto"/>
              </w:divBdr>
              <w:divsChild>
                <w:div w:id="13268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3183">
      <w:bodyDiv w:val="1"/>
      <w:marLeft w:val="0"/>
      <w:marRight w:val="0"/>
      <w:marTop w:val="0"/>
      <w:marBottom w:val="0"/>
      <w:divBdr>
        <w:top w:val="none" w:sz="0" w:space="0" w:color="auto"/>
        <w:left w:val="none" w:sz="0" w:space="0" w:color="auto"/>
        <w:bottom w:val="none" w:sz="0" w:space="0" w:color="auto"/>
        <w:right w:val="none" w:sz="0" w:space="0" w:color="auto"/>
      </w:divBdr>
      <w:divsChild>
        <w:div w:id="1430587890">
          <w:marLeft w:val="0"/>
          <w:marRight w:val="0"/>
          <w:marTop w:val="0"/>
          <w:marBottom w:val="0"/>
          <w:divBdr>
            <w:top w:val="none" w:sz="0" w:space="0" w:color="auto"/>
            <w:left w:val="none" w:sz="0" w:space="0" w:color="auto"/>
            <w:bottom w:val="none" w:sz="0" w:space="0" w:color="auto"/>
            <w:right w:val="none" w:sz="0" w:space="0" w:color="auto"/>
          </w:divBdr>
          <w:divsChild>
            <w:div w:id="1994212399">
              <w:marLeft w:val="0"/>
              <w:marRight w:val="0"/>
              <w:marTop w:val="0"/>
              <w:marBottom w:val="0"/>
              <w:divBdr>
                <w:top w:val="none" w:sz="0" w:space="0" w:color="auto"/>
                <w:left w:val="none" w:sz="0" w:space="0" w:color="auto"/>
                <w:bottom w:val="none" w:sz="0" w:space="0" w:color="auto"/>
                <w:right w:val="none" w:sz="0" w:space="0" w:color="auto"/>
              </w:divBdr>
              <w:divsChild>
                <w:div w:id="11135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9046">
      <w:bodyDiv w:val="1"/>
      <w:marLeft w:val="0"/>
      <w:marRight w:val="0"/>
      <w:marTop w:val="0"/>
      <w:marBottom w:val="0"/>
      <w:divBdr>
        <w:top w:val="none" w:sz="0" w:space="0" w:color="auto"/>
        <w:left w:val="none" w:sz="0" w:space="0" w:color="auto"/>
        <w:bottom w:val="none" w:sz="0" w:space="0" w:color="auto"/>
        <w:right w:val="none" w:sz="0" w:space="0" w:color="auto"/>
      </w:divBdr>
    </w:div>
    <w:div w:id="512961383">
      <w:bodyDiv w:val="1"/>
      <w:marLeft w:val="0"/>
      <w:marRight w:val="0"/>
      <w:marTop w:val="0"/>
      <w:marBottom w:val="0"/>
      <w:divBdr>
        <w:top w:val="none" w:sz="0" w:space="0" w:color="auto"/>
        <w:left w:val="none" w:sz="0" w:space="0" w:color="auto"/>
        <w:bottom w:val="none" w:sz="0" w:space="0" w:color="auto"/>
        <w:right w:val="none" w:sz="0" w:space="0" w:color="auto"/>
      </w:divBdr>
      <w:divsChild>
        <w:div w:id="673387255">
          <w:marLeft w:val="0"/>
          <w:marRight w:val="0"/>
          <w:marTop w:val="0"/>
          <w:marBottom w:val="0"/>
          <w:divBdr>
            <w:top w:val="none" w:sz="0" w:space="0" w:color="auto"/>
            <w:left w:val="none" w:sz="0" w:space="0" w:color="auto"/>
            <w:bottom w:val="none" w:sz="0" w:space="0" w:color="auto"/>
            <w:right w:val="none" w:sz="0" w:space="0" w:color="auto"/>
          </w:divBdr>
          <w:divsChild>
            <w:div w:id="465393276">
              <w:marLeft w:val="0"/>
              <w:marRight w:val="0"/>
              <w:marTop w:val="0"/>
              <w:marBottom w:val="0"/>
              <w:divBdr>
                <w:top w:val="none" w:sz="0" w:space="0" w:color="auto"/>
                <w:left w:val="none" w:sz="0" w:space="0" w:color="auto"/>
                <w:bottom w:val="none" w:sz="0" w:space="0" w:color="auto"/>
                <w:right w:val="none" w:sz="0" w:space="0" w:color="auto"/>
              </w:divBdr>
              <w:divsChild>
                <w:div w:id="857811061">
                  <w:marLeft w:val="0"/>
                  <w:marRight w:val="0"/>
                  <w:marTop w:val="0"/>
                  <w:marBottom w:val="0"/>
                  <w:divBdr>
                    <w:top w:val="none" w:sz="0" w:space="0" w:color="auto"/>
                    <w:left w:val="none" w:sz="0" w:space="0" w:color="auto"/>
                    <w:bottom w:val="none" w:sz="0" w:space="0" w:color="auto"/>
                    <w:right w:val="none" w:sz="0" w:space="0" w:color="auto"/>
                  </w:divBdr>
                </w:div>
              </w:divsChild>
            </w:div>
            <w:div w:id="444154248">
              <w:marLeft w:val="0"/>
              <w:marRight w:val="0"/>
              <w:marTop w:val="0"/>
              <w:marBottom w:val="0"/>
              <w:divBdr>
                <w:top w:val="none" w:sz="0" w:space="0" w:color="auto"/>
                <w:left w:val="none" w:sz="0" w:space="0" w:color="auto"/>
                <w:bottom w:val="none" w:sz="0" w:space="0" w:color="auto"/>
                <w:right w:val="none" w:sz="0" w:space="0" w:color="auto"/>
              </w:divBdr>
              <w:divsChild>
                <w:div w:id="2013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86961">
      <w:bodyDiv w:val="1"/>
      <w:marLeft w:val="0"/>
      <w:marRight w:val="0"/>
      <w:marTop w:val="0"/>
      <w:marBottom w:val="0"/>
      <w:divBdr>
        <w:top w:val="none" w:sz="0" w:space="0" w:color="auto"/>
        <w:left w:val="none" w:sz="0" w:space="0" w:color="auto"/>
        <w:bottom w:val="none" w:sz="0" w:space="0" w:color="auto"/>
        <w:right w:val="none" w:sz="0" w:space="0" w:color="auto"/>
      </w:divBdr>
    </w:div>
    <w:div w:id="555313359">
      <w:bodyDiv w:val="1"/>
      <w:marLeft w:val="0"/>
      <w:marRight w:val="0"/>
      <w:marTop w:val="0"/>
      <w:marBottom w:val="0"/>
      <w:divBdr>
        <w:top w:val="none" w:sz="0" w:space="0" w:color="auto"/>
        <w:left w:val="none" w:sz="0" w:space="0" w:color="auto"/>
        <w:bottom w:val="none" w:sz="0" w:space="0" w:color="auto"/>
        <w:right w:val="none" w:sz="0" w:space="0" w:color="auto"/>
      </w:divBdr>
      <w:divsChild>
        <w:div w:id="1444570867">
          <w:marLeft w:val="0"/>
          <w:marRight w:val="0"/>
          <w:marTop w:val="0"/>
          <w:marBottom w:val="0"/>
          <w:divBdr>
            <w:top w:val="none" w:sz="0" w:space="0" w:color="auto"/>
            <w:left w:val="none" w:sz="0" w:space="0" w:color="auto"/>
            <w:bottom w:val="none" w:sz="0" w:space="0" w:color="auto"/>
            <w:right w:val="none" w:sz="0" w:space="0" w:color="auto"/>
          </w:divBdr>
        </w:div>
      </w:divsChild>
    </w:div>
    <w:div w:id="561452870">
      <w:bodyDiv w:val="1"/>
      <w:marLeft w:val="0"/>
      <w:marRight w:val="0"/>
      <w:marTop w:val="0"/>
      <w:marBottom w:val="0"/>
      <w:divBdr>
        <w:top w:val="none" w:sz="0" w:space="0" w:color="auto"/>
        <w:left w:val="none" w:sz="0" w:space="0" w:color="auto"/>
        <w:bottom w:val="none" w:sz="0" w:space="0" w:color="auto"/>
        <w:right w:val="none" w:sz="0" w:space="0" w:color="auto"/>
      </w:divBdr>
    </w:div>
    <w:div w:id="587539679">
      <w:bodyDiv w:val="1"/>
      <w:marLeft w:val="0"/>
      <w:marRight w:val="0"/>
      <w:marTop w:val="0"/>
      <w:marBottom w:val="0"/>
      <w:divBdr>
        <w:top w:val="none" w:sz="0" w:space="0" w:color="auto"/>
        <w:left w:val="none" w:sz="0" w:space="0" w:color="auto"/>
        <w:bottom w:val="none" w:sz="0" w:space="0" w:color="auto"/>
        <w:right w:val="none" w:sz="0" w:space="0" w:color="auto"/>
      </w:divBdr>
    </w:div>
    <w:div w:id="624507814">
      <w:bodyDiv w:val="1"/>
      <w:marLeft w:val="0"/>
      <w:marRight w:val="0"/>
      <w:marTop w:val="0"/>
      <w:marBottom w:val="0"/>
      <w:divBdr>
        <w:top w:val="none" w:sz="0" w:space="0" w:color="auto"/>
        <w:left w:val="none" w:sz="0" w:space="0" w:color="auto"/>
        <w:bottom w:val="none" w:sz="0" w:space="0" w:color="auto"/>
        <w:right w:val="none" w:sz="0" w:space="0" w:color="auto"/>
      </w:divBdr>
    </w:div>
    <w:div w:id="627857880">
      <w:bodyDiv w:val="1"/>
      <w:marLeft w:val="0"/>
      <w:marRight w:val="0"/>
      <w:marTop w:val="0"/>
      <w:marBottom w:val="0"/>
      <w:divBdr>
        <w:top w:val="none" w:sz="0" w:space="0" w:color="auto"/>
        <w:left w:val="none" w:sz="0" w:space="0" w:color="auto"/>
        <w:bottom w:val="none" w:sz="0" w:space="0" w:color="auto"/>
        <w:right w:val="none" w:sz="0" w:space="0" w:color="auto"/>
      </w:divBdr>
    </w:div>
    <w:div w:id="662663397">
      <w:bodyDiv w:val="1"/>
      <w:marLeft w:val="0"/>
      <w:marRight w:val="0"/>
      <w:marTop w:val="0"/>
      <w:marBottom w:val="0"/>
      <w:divBdr>
        <w:top w:val="none" w:sz="0" w:space="0" w:color="auto"/>
        <w:left w:val="none" w:sz="0" w:space="0" w:color="auto"/>
        <w:bottom w:val="none" w:sz="0" w:space="0" w:color="auto"/>
        <w:right w:val="none" w:sz="0" w:space="0" w:color="auto"/>
      </w:divBdr>
    </w:div>
    <w:div w:id="680623076">
      <w:bodyDiv w:val="1"/>
      <w:marLeft w:val="0"/>
      <w:marRight w:val="0"/>
      <w:marTop w:val="0"/>
      <w:marBottom w:val="0"/>
      <w:divBdr>
        <w:top w:val="none" w:sz="0" w:space="0" w:color="auto"/>
        <w:left w:val="none" w:sz="0" w:space="0" w:color="auto"/>
        <w:bottom w:val="none" w:sz="0" w:space="0" w:color="auto"/>
        <w:right w:val="none" w:sz="0" w:space="0" w:color="auto"/>
      </w:divBdr>
    </w:div>
    <w:div w:id="683747836">
      <w:bodyDiv w:val="1"/>
      <w:marLeft w:val="0"/>
      <w:marRight w:val="0"/>
      <w:marTop w:val="0"/>
      <w:marBottom w:val="0"/>
      <w:divBdr>
        <w:top w:val="none" w:sz="0" w:space="0" w:color="auto"/>
        <w:left w:val="none" w:sz="0" w:space="0" w:color="auto"/>
        <w:bottom w:val="none" w:sz="0" w:space="0" w:color="auto"/>
        <w:right w:val="none" w:sz="0" w:space="0" w:color="auto"/>
      </w:divBdr>
    </w:div>
    <w:div w:id="690298507">
      <w:bodyDiv w:val="1"/>
      <w:marLeft w:val="0"/>
      <w:marRight w:val="0"/>
      <w:marTop w:val="0"/>
      <w:marBottom w:val="0"/>
      <w:divBdr>
        <w:top w:val="none" w:sz="0" w:space="0" w:color="auto"/>
        <w:left w:val="none" w:sz="0" w:space="0" w:color="auto"/>
        <w:bottom w:val="none" w:sz="0" w:space="0" w:color="auto"/>
        <w:right w:val="none" w:sz="0" w:space="0" w:color="auto"/>
      </w:divBdr>
    </w:div>
    <w:div w:id="691691761">
      <w:bodyDiv w:val="1"/>
      <w:marLeft w:val="0"/>
      <w:marRight w:val="0"/>
      <w:marTop w:val="0"/>
      <w:marBottom w:val="0"/>
      <w:divBdr>
        <w:top w:val="none" w:sz="0" w:space="0" w:color="auto"/>
        <w:left w:val="none" w:sz="0" w:space="0" w:color="auto"/>
        <w:bottom w:val="none" w:sz="0" w:space="0" w:color="auto"/>
        <w:right w:val="none" w:sz="0" w:space="0" w:color="auto"/>
      </w:divBdr>
    </w:div>
    <w:div w:id="720325340">
      <w:bodyDiv w:val="1"/>
      <w:marLeft w:val="0"/>
      <w:marRight w:val="0"/>
      <w:marTop w:val="0"/>
      <w:marBottom w:val="0"/>
      <w:divBdr>
        <w:top w:val="none" w:sz="0" w:space="0" w:color="auto"/>
        <w:left w:val="none" w:sz="0" w:space="0" w:color="auto"/>
        <w:bottom w:val="none" w:sz="0" w:space="0" w:color="auto"/>
        <w:right w:val="none" w:sz="0" w:space="0" w:color="auto"/>
      </w:divBdr>
      <w:divsChild>
        <w:div w:id="1303000756">
          <w:marLeft w:val="0"/>
          <w:marRight w:val="0"/>
          <w:marTop w:val="0"/>
          <w:marBottom w:val="0"/>
          <w:divBdr>
            <w:top w:val="none" w:sz="0" w:space="0" w:color="auto"/>
            <w:left w:val="none" w:sz="0" w:space="0" w:color="auto"/>
            <w:bottom w:val="none" w:sz="0" w:space="0" w:color="auto"/>
            <w:right w:val="none" w:sz="0" w:space="0" w:color="auto"/>
          </w:divBdr>
          <w:divsChild>
            <w:div w:id="465976443">
              <w:marLeft w:val="0"/>
              <w:marRight w:val="0"/>
              <w:marTop w:val="0"/>
              <w:marBottom w:val="0"/>
              <w:divBdr>
                <w:top w:val="none" w:sz="0" w:space="0" w:color="auto"/>
                <w:left w:val="none" w:sz="0" w:space="0" w:color="auto"/>
                <w:bottom w:val="none" w:sz="0" w:space="0" w:color="auto"/>
                <w:right w:val="none" w:sz="0" w:space="0" w:color="auto"/>
              </w:divBdr>
              <w:divsChild>
                <w:div w:id="1548712963">
                  <w:marLeft w:val="0"/>
                  <w:marRight w:val="0"/>
                  <w:marTop w:val="0"/>
                  <w:marBottom w:val="0"/>
                  <w:divBdr>
                    <w:top w:val="none" w:sz="0" w:space="0" w:color="auto"/>
                    <w:left w:val="none" w:sz="0" w:space="0" w:color="auto"/>
                    <w:bottom w:val="none" w:sz="0" w:space="0" w:color="auto"/>
                    <w:right w:val="none" w:sz="0" w:space="0" w:color="auto"/>
                  </w:divBdr>
                  <w:divsChild>
                    <w:div w:id="14593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6782">
      <w:bodyDiv w:val="1"/>
      <w:marLeft w:val="0"/>
      <w:marRight w:val="0"/>
      <w:marTop w:val="0"/>
      <w:marBottom w:val="0"/>
      <w:divBdr>
        <w:top w:val="none" w:sz="0" w:space="0" w:color="auto"/>
        <w:left w:val="none" w:sz="0" w:space="0" w:color="auto"/>
        <w:bottom w:val="none" w:sz="0" w:space="0" w:color="auto"/>
        <w:right w:val="none" w:sz="0" w:space="0" w:color="auto"/>
      </w:divBdr>
    </w:div>
    <w:div w:id="742265264">
      <w:bodyDiv w:val="1"/>
      <w:marLeft w:val="0"/>
      <w:marRight w:val="0"/>
      <w:marTop w:val="0"/>
      <w:marBottom w:val="0"/>
      <w:divBdr>
        <w:top w:val="none" w:sz="0" w:space="0" w:color="auto"/>
        <w:left w:val="none" w:sz="0" w:space="0" w:color="auto"/>
        <w:bottom w:val="none" w:sz="0" w:space="0" w:color="auto"/>
        <w:right w:val="none" w:sz="0" w:space="0" w:color="auto"/>
      </w:divBdr>
    </w:div>
    <w:div w:id="779954341">
      <w:bodyDiv w:val="1"/>
      <w:marLeft w:val="0"/>
      <w:marRight w:val="0"/>
      <w:marTop w:val="0"/>
      <w:marBottom w:val="0"/>
      <w:divBdr>
        <w:top w:val="none" w:sz="0" w:space="0" w:color="auto"/>
        <w:left w:val="none" w:sz="0" w:space="0" w:color="auto"/>
        <w:bottom w:val="none" w:sz="0" w:space="0" w:color="auto"/>
        <w:right w:val="none" w:sz="0" w:space="0" w:color="auto"/>
      </w:divBdr>
      <w:divsChild>
        <w:div w:id="437718075">
          <w:marLeft w:val="0"/>
          <w:marRight w:val="0"/>
          <w:marTop w:val="0"/>
          <w:marBottom w:val="0"/>
          <w:divBdr>
            <w:top w:val="none" w:sz="0" w:space="0" w:color="auto"/>
            <w:left w:val="none" w:sz="0" w:space="0" w:color="auto"/>
            <w:bottom w:val="none" w:sz="0" w:space="0" w:color="auto"/>
            <w:right w:val="none" w:sz="0" w:space="0" w:color="auto"/>
          </w:divBdr>
        </w:div>
      </w:divsChild>
    </w:div>
    <w:div w:id="793062489">
      <w:bodyDiv w:val="1"/>
      <w:marLeft w:val="0"/>
      <w:marRight w:val="0"/>
      <w:marTop w:val="0"/>
      <w:marBottom w:val="0"/>
      <w:divBdr>
        <w:top w:val="none" w:sz="0" w:space="0" w:color="auto"/>
        <w:left w:val="none" w:sz="0" w:space="0" w:color="auto"/>
        <w:bottom w:val="none" w:sz="0" w:space="0" w:color="auto"/>
        <w:right w:val="none" w:sz="0" w:space="0" w:color="auto"/>
      </w:divBdr>
    </w:div>
    <w:div w:id="799956152">
      <w:bodyDiv w:val="1"/>
      <w:marLeft w:val="0"/>
      <w:marRight w:val="0"/>
      <w:marTop w:val="0"/>
      <w:marBottom w:val="0"/>
      <w:divBdr>
        <w:top w:val="none" w:sz="0" w:space="0" w:color="auto"/>
        <w:left w:val="none" w:sz="0" w:space="0" w:color="auto"/>
        <w:bottom w:val="none" w:sz="0" w:space="0" w:color="auto"/>
        <w:right w:val="none" w:sz="0" w:space="0" w:color="auto"/>
      </w:divBdr>
    </w:div>
    <w:div w:id="820346241">
      <w:bodyDiv w:val="1"/>
      <w:marLeft w:val="0"/>
      <w:marRight w:val="0"/>
      <w:marTop w:val="0"/>
      <w:marBottom w:val="0"/>
      <w:divBdr>
        <w:top w:val="none" w:sz="0" w:space="0" w:color="auto"/>
        <w:left w:val="none" w:sz="0" w:space="0" w:color="auto"/>
        <w:bottom w:val="none" w:sz="0" w:space="0" w:color="auto"/>
        <w:right w:val="none" w:sz="0" w:space="0" w:color="auto"/>
      </w:divBdr>
    </w:div>
    <w:div w:id="828669716">
      <w:bodyDiv w:val="1"/>
      <w:marLeft w:val="0"/>
      <w:marRight w:val="0"/>
      <w:marTop w:val="0"/>
      <w:marBottom w:val="0"/>
      <w:divBdr>
        <w:top w:val="none" w:sz="0" w:space="0" w:color="auto"/>
        <w:left w:val="none" w:sz="0" w:space="0" w:color="auto"/>
        <w:bottom w:val="none" w:sz="0" w:space="0" w:color="auto"/>
        <w:right w:val="none" w:sz="0" w:space="0" w:color="auto"/>
      </w:divBdr>
      <w:divsChild>
        <w:div w:id="1793936858">
          <w:marLeft w:val="0"/>
          <w:marRight w:val="0"/>
          <w:marTop w:val="0"/>
          <w:marBottom w:val="0"/>
          <w:divBdr>
            <w:top w:val="none" w:sz="0" w:space="0" w:color="auto"/>
            <w:left w:val="none" w:sz="0" w:space="0" w:color="auto"/>
            <w:bottom w:val="none" w:sz="0" w:space="0" w:color="auto"/>
            <w:right w:val="none" w:sz="0" w:space="0" w:color="auto"/>
          </w:divBdr>
          <w:divsChild>
            <w:div w:id="921258175">
              <w:marLeft w:val="0"/>
              <w:marRight w:val="0"/>
              <w:marTop w:val="0"/>
              <w:marBottom w:val="0"/>
              <w:divBdr>
                <w:top w:val="none" w:sz="0" w:space="0" w:color="auto"/>
                <w:left w:val="none" w:sz="0" w:space="0" w:color="auto"/>
                <w:bottom w:val="none" w:sz="0" w:space="0" w:color="auto"/>
                <w:right w:val="none" w:sz="0" w:space="0" w:color="auto"/>
              </w:divBdr>
              <w:divsChild>
                <w:div w:id="1418362283">
                  <w:marLeft w:val="0"/>
                  <w:marRight w:val="0"/>
                  <w:marTop w:val="0"/>
                  <w:marBottom w:val="0"/>
                  <w:divBdr>
                    <w:top w:val="none" w:sz="0" w:space="0" w:color="auto"/>
                    <w:left w:val="none" w:sz="0" w:space="0" w:color="auto"/>
                    <w:bottom w:val="none" w:sz="0" w:space="0" w:color="auto"/>
                    <w:right w:val="none" w:sz="0" w:space="0" w:color="auto"/>
                  </w:divBdr>
                  <w:divsChild>
                    <w:div w:id="13560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8195">
      <w:bodyDiv w:val="1"/>
      <w:marLeft w:val="0"/>
      <w:marRight w:val="0"/>
      <w:marTop w:val="0"/>
      <w:marBottom w:val="0"/>
      <w:divBdr>
        <w:top w:val="none" w:sz="0" w:space="0" w:color="auto"/>
        <w:left w:val="none" w:sz="0" w:space="0" w:color="auto"/>
        <w:bottom w:val="none" w:sz="0" w:space="0" w:color="auto"/>
        <w:right w:val="none" w:sz="0" w:space="0" w:color="auto"/>
      </w:divBdr>
    </w:div>
    <w:div w:id="837229425">
      <w:bodyDiv w:val="1"/>
      <w:marLeft w:val="0"/>
      <w:marRight w:val="0"/>
      <w:marTop w:val="0"/>
      <w:marBottom w:val="0"/>
      <w:divBdr>
        <w:top w:val="none" w:sz="0" w:space="0" w:color="auto"/>
        <w:left w:val="none" w:sz="0" w:space="0" w:color="auto"/>
        <w:bottom w:val="none" w:sz="0" w:space="0" w:color="auto"/>
        <w:right w:val="none" w:sz="0" w:space="0" w:color="auto"/>
      </w:divBdr>
      <w:divsChild>
        <w:div w:id="1526096434">
          <w:marLeft w:val="0"/>
          <w:marRight w:val="0"/>
          <w:marTop w:val="0"/>
          <w:marBottom w:val="0"/>
          <w:divBdr>
            <w:top w:val="none" w:sz="0" w:space="0" w:color="auto"/>
            <w:left w:val="none" w:sz="0" w:space="0" w:color="auto"/>
            <w:bottom w:val="none" w:sz="0" w:space="0" w:color="auto"/>
            <w:right w:val="none" w:sz="0" w:space="0" w:color="auto"/>
          </w:divBdr>
        </w:div>
      </w:divsChild>
    </w:div>
    <w:div w:id="844249843">
      <w:bodyDiv w:val="1"/>
      <w:marLeft w:val="0"/>
      <w:marRight w:val="0"/>
      <w:marTop w:val="0"/>
      <w:marBottom w:val="0"/>
      <w:divBdr>
        <w:top w:val="none" w:sz="0" w:space="0" w:color="auto"/>
        <w:left w:val="none" w:sz="0" w:space="0" w:color="auto"/>
        <w:bottom w:val="none" w:sz="0" w:space="0" w:color="auto"/>
        <w:right w:val="none" w:sz="0" w:space="0" w:color="auto"/>
      </w:divBdr>
    </w:div>
    <w:div w:id="861432713">
      <w:bodyDiv w:val="1"/>
      <w:marLeft w:val="0"/>
      <w:marRight w:val="0"/>
      <w:marTop w:val="0"/>
      <w:marBottom w:val="0"/>
      <w:divBdr>
        <w:top w:val="none" w:sz="0" w:space="0" w:color="auto"/>
        <w:left w:val="none" w:sz="0" w:space="0" w:color="auto"/>
        <w:bottom w:val="none" w:sz="0" w:space="0" w:color="auto"/>
        <w:right w:val="none" w:sz="0" w:space="0" w:color="auto"/>
      </w:divBdr>
    </w:div>
    <w:div w:id="878708132">
      <w:bodyDiv w:val="1"/>
      <w:marLeft w:val="0"/>
      <w:marRight w:val="0"/>
      <w:marTop w:val="0"/>
      <w:marBottom w:val="0"/>
      <w:divBdr>
        <w:top w:val="none" w:sz="0" w:space="0" w:color="auto"/>
        <w:left w:val="none" w:sz="0" w:space="0" w:color="auto"/>
        <w:bottom w:val="none" w:sz="0" w:space="0" w:color="auto"/>
        <w:right w:val="none" w:sz="0" w:space="0" w:color="auto"/>
      </w:divBdr>
    </w:div>
    <w:div w:id="944459283">
      <w:bodyDiv w:val="1"/>
      <w:marLeft w:val="0"/>
      <w:marRight w:val="0"/>
      <w:marTop w:val="0"/>
      <w:marBottom w:val="0"/>
      <w:divBdr>
        <w:top w:val="none" w:sz="0" w:space="0" w:color="auto"/>
        <w:left w:val="none" w:sz="0" w:space="0" w:color="auto"/>
        <w:bottom w:val="none" w:sz="0" w:space="0" w:color="auto"/>
        <w:right w:val="none" w:sz="0" w:space="0" w:color="auto"/>
      </w:divBdr>
    </w:div>
    <w:div w:id="947196643">
      <w:bodyDiv w:val="1"/>
      <w:marLeft w:val="0"/>
      <w:marRight w:val="0"/>
      <w:marTop w:val="0"/>
      <w:marBottom w:val="0"/>
      <w:divBdr>
        <w:top w:val="none" w:sz="0" w:space="0" w:color="auto"/>
        <w:left w:val="none" w:sz="0" w:space="0" w:color="auto"/>
        <w:bottom w:val="none" w:sz="0" w:space="0" w:color="auto"/>
        <w:right w:val="none" w:sz="0" w:space="0" w:color="auto"/>
      </w:divBdr>
    </w:div>
    <w:div w:id="966546611">
      <w:bodyDiv w:val="1"/>
      <w:marLeft w:val="0"/>
      <w:marRight w:val="0"/>
      <w:marTop w:val="0"/>
      <w:marBottom w:val="0"/>
      <w:divBdr>
        <w:top w:val="none" w:sz="0" w:space="0" w:color="auto"/>
        <w:left w:val="none" w:sz="0" w:space="0" w:color="auto"/>
        <w:bottom w:val="none" w:sz="0" w:space="0" w:color="auto"/>
        <w:right w:val="none" w:sz="0" w:space="0" w:color="auto"/>
      </w:divBdr>
    </w:div>
    <w:div w:id="979270366">
      <w:bodyDiv w:val="1"/>
      <w:marLeft w:val="0"/>
      <w:marRight w:val="0"/>
      <w:marTop w:val="0"/>
      <w:marBottom w:val="0"/>
      <w:divBdr>
        <w:top w:val="none" w:sz="0" w:space="0" w:color="auto"/>
        <w:left w:val="none" w:sz="0" w:space="0" w:color="auto"/>
        <w:bottom w:val="none" w:sz="0" w:space="0" w:color="auto"/>
        <w:right w:val="none" w:sz="0" w:space="0" w:color="auto"/>
      </w:divBdr>
    </w:div>
    <w:div w:id="1020667387">
      <w:bodyDiv w:val="1"/>
      <w:marLeft w:val="0"/>
      <w:marRight w:val="0"/>
      <w:marTop w:val="0"/>
      <w:marBottom w:val="0"/>
      <w:divBdr>
        <w:top w:val="none" w:sz="0" w:space="0" w:color="auto"/>
        <w:left w:val="none" w:sz="0" w:space="0" w:color="auto"/>
        <w:bottom w:val="none" w:sz="0" w:space="0" w:color="auto"/>
        <w:right w:val="none" w:sz="0" w:space="0" w:color="auto"/>
      </w:divBdr>
    </w:div>
    <w:div w:id="1029795245">
      <w:bodyDiv w:val="1"/>
      <w:marLeft w:val="0"/>
      <w:marRight w:val="0"/>
      <w:marTop w:val="0"/>
      <w:marBottom w:val="0"/>
      <w:divBdr>
        <w:top w:val="none" w:sz="0" w:space="0" w:color="auto"/>
        <w:left w:val="none" w:sz="0" w:space="0" w:color="auto"/>
        <w:bottom w:val="none" w:sz="0" w:space="0" w:color="auto"/>
        <w:right w:val="none" w:sz="0" w:space="0" w:color="auto"/>
      </w:divBdr>
    </w:div>
    <w:div w:id="1034189652">
      <w:bodyDiv w:val="1"/>
      <w:marLeft w:val="0"/>
      <w:marRight w:val="0"/>
      <w:marTop w:val="0"/>
      <w:marBottom w:val="0"/>
      <w:divBdr>
        <w:top w:val="none" w:sz="0" w:space="0" w:color="auto"/>
        <w:left w:val="none" w:sz="0" w:space="0" w:color="auto"/>
        <w:bottom w:val="none" w:sz="0" w:space="0" w:color="auto"/>
        <w:right w:val="none" w:sz="0" w:space="0" w:color="auto"/>
      </w:divBdr>
    </w:div>
    <w:div w:id="1036858166">
      <w:bodyDiv w:val="1"/>
      <w:marLeft w:val="0"/>
      <w:marRight w:val="0"/>
      <w:marTop w:val="0"/>
      <w:marBottom w:val="0"/>
      <w:divBdr>
        <w:top w:val="none" w:sz="0" w:space="0" w:color="auto"/>
        <w:left w:val="none" w:sz="0" w:space="0" w:color="auto"/>
        <w:bottom w:val="none" w:sz="0" w:space="0" w:color="auto"/>
        <w:right w:val="none" w:sz="0" w:space="0" w:color="auto"/>
      </w:divBdr>
    </w:div>
    <w:div w:id="1041520798">
      <w:bodyDiv w:val="1"/>
      <w:marLeft w:val="0"/>
      <w:marRight w:val="0"/>
      <w:marTop w:val="0"/>
      <w:marBottom w:val="0"/>
      <w:divBdr>
        <w:top w:val="none" w:sz="0" w:space="0" w:color="auto"/>
        <w:left w:val="none" w:sz="0" w:space="0" w:color="auto"/>
        <w:bottom w:val="none" w:sz="0" w:space="0" w:color="auto"/>
        <w:right w:val="none" w:sz="0" w:space="0" w:color="auto"/>
      </w:divBdr>
    </w:div>
    <w:div w:id="1047266700">
      <w:bodyDiv w:val="1"/>
      <w:marLeft w:val="0"/>
      <w:marRight w:val="0"/>
      <w:marTop w:val="0"/>
      <w:marBottom w:val="0"/>
      <w:divBdr>
        <w:top w:val="none" w:sz="0" w:space="0" w:color="auto"/>
        <w:left w:val="none" w:sz="0" w:space="0" w:color="auto"/>
        <w:bottom w:val="none" w:sz="0" w:space="0" w:color="auto"/>
        <w:right w:val="none" w:sz="0" w:space="0" w:color="auto"/>
      </w:divBdr>
    </w:div>
    <w:div w:id="1053583810">
      <w:bodyDiv w:val="1"/>
      <w:marLeft w:val="0"/>
      <w:marRight w:val="0"/>
      <w:marTop w:val="0"/>
      <w:marBottom w:val="0"/>
      <w:divBdr>
        <w:top w:val="none" w:sz="0" w:space="0" w:color="auto"/>
        <w:left w:val="none" w:sz="0" w:space="0" w:color="auto"/>
        <w:bottom w:val="none" w:sz="0" w:space="0" w:color="auto"/>
        <w:right w:val="none" w:sz="0" w:space="0" w:color="auto"/>
      </w:divBdr>
    </w:div>
    <w:div w:id="1054692426">
      <w:bodyDiv w:val="1"/>
      <w:marLeft w:val="0"/>
      <w:marRight w:val="0"/>
      <w:marTop w:val="0"/>
      <w:marBottom w:val="0"/>
      <w:divBdr>
        <w:top w:val="none" w:sz="0" w:space="0" w:color="auto"/>
        <w:left w:val="none" w:sz="0" w:space="0" w:color="auto"/>
        <w:bottom w:val="none" w:sz="0" w:space="0" w:color="auto"/>
        <w:right w:val="none" w:sz="0" w:space="0" w:color="auto"/>
      </w:divBdr>
    </w:div>
    <w:div w:id="1062749057">
      <w:bodyDiv w:val="1"/>
      <w:marLeft w:val="0"/>
      <w:marRight w:val="0"/>
      <w:marTop w:val="0"/>
      <w:marBottom w:val="0"/>
      <w:divBdr>
        <w:top w:val="none" w:sz="0" w:space="0" w:color="auto"/>
        <w:left w:val="none" w:sz="0" w:space="0" w:color="auto"/>
        <w:bottom w:val="none" w:sz="0" w:space="0" w:color="auto"/>
        <w:right w:val="none" w:sz="0" w:space="0" w:color="auto"/>
      </w:divBdr>
    </w:div>
    <w:div w:id="1064644157">
      <w:bodyDiv w:val="1"/>
      <w:marLeft w:val="0"/>
      <w:marRight w:val="0"/>
      <w:marTop w:val="0"/>
      <w:marBottom w:val="0"/>
      <w:divBdr>
        <w:top w:val="none" w:sz="0" w:space="0" w:color="auto"/>
        <w:left w:val="none" w:sz="0" w:space="0" w:color="auto"/>
        <w:bottom w:val="none" w:sz="0" w:space="0" w:color="auto"/>
        <w:right w:val="none" w:sz="0" w:space="0" w:color="auto"/>
      </w:divBdr>
      <w:divsChild>
        <w:div w:id="1301184286">
          <w:marLeft w:val="0"/>
          <w:marRight w:val="0"/>
          <w:marTop w:val="0"/>
          <w:marBottom w:val="0"/>
          <w:divBdr>
            <w:top w:val="none" w:sz="0" w:space="0" w:color="auto"/>
            <w:left w:val="none" w:sz="0" w:space="0" w:color="auto"/>
            <w:bottom w:val="none" w:sz="0" w:space="0" w:color="auto"/>
            <w:right w:val="none" w:sz="0" w:space="0" w:color="auto"/>
          </w:divBdr>
        </w:div>
      </w:divsChild>
    </w:div>
    <w:div w:id="1066226693">
      <w:bodyDiv w:val="1"/>
      <w:marLeft w:val="0"/>
      <w:marRight w:val="0"/>
      <w:marTop w:val="0"/>
      <w:marBottom w:val="0"/>
      <w:divBdr>
        <w:top w:val="none" w:sz="0" w:space="0" w:color="auto"/>
        <w:left w:val="none" w:sz="0" w:space="0" w:color="auto"/>
        <w:bottom w:val="none" w:sz="0" w:space="0" w:color="auto"/>
        <w:right w:val="none" w:sz="0" w:space="0" w:color="auto"/>
      </w:divBdr>
    </w:div>
    <w:div w:id="1069158451">
      <w:bodyDiv w:val="1"/>
      <w:marLeft w:val="0"/>
      <w:marRight w:val="0"/>
      <w:marTop w:val="0"/>
      <w:marBottom w:val="0"/>
      <w:divBdr>
        <w:top w:val="none" w:sz="0" w:space="0" w:color="auto"/>
        <w:left w:val="none" w:sz="0" w:space="0" w:color="auto"/>
        <w:bottom w:val="none" w:sz="0" w:space="0" w:color="auto"/>
        <w:right w:val="none" w:sz="0" w:space="0" w:color="auto"/>
      </w:divBdr>
    </w:div>
    <w:div w:id="1111049127">
      <w:bodyDiv w:val="1"/>
      <w:marLeft w:val="0"/>
      <w:marRight w:val="0"/>
      <w:marTop w:val="0"/>
      <w:marBottom w:val="0"/>
      <w:divBdr>
        <w:top w:val="none" w:sz="0" w:space="0" w:color="auto"/>
        <w:left w:val="none" w:sz="0" w:space="0" w:color="auto"/>
        <w:bottom w:val="none" w:sz="0" w:space="0" w:color="auto"/>
        <w:right w:val="none" w:sz="0" w:space="0" w:color="auto"/>
      </w:divBdr>
    </w:div>
    <w:div w:id="1114251125">
      <w:bodyDiv w:val="1"/>
      <w:marLeft w:val="0"/>
      <w:marRight w:val="0"/>
      <w:marTop w:val="0"/>
      <w:marBottom w:val="0"/>
      <w:divBdr>
        <w:top w:val="none" w:sz="0" w:space="0" w:color="auto"/>
        <w:left w:val="none" w:sz="0" w:space="0" w:color="auto"/>
        <w:bottom w:val="none" w:sz="0" w:space="0" w:color="auto"/>
        <w:right w:val="none" w:sz="0" w:space="0" w:color="auto"/>
      </w:divBdr>
      <w:divsChild>
        <w:div w:id="1446070973">
          <w:marLeft w:val="0"/>
          <w:marRight w:val="0"/>
          <w:marTop w:val="0"/>
          <w:marBottom w:val="0"/>
          <w:divBdr>
            <w:top w:val="none" w:sz="0" w:space="0" w:color="auto"/>
            <w:left w:val="none" w:sz="0" w:space="0" w:color="auto"/>
            <w:bottom w:val="none" w:sz="0" w:space="0" w:color="auto"/>
            <w:right w:val="none" w:sz="0" w:space="0" w:color="auto"/>
          </w:divBdr>
          <w:divsChild>
            <w:div w:id="847213959">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7674">
      <w:bodyDiv w:val="1"/>
      <w:marLeft w:val="0"/>
      <w:marRight w:val="0"/>
      <w:marTop w:val="0"/>
      <w:marBottom w:val="0"/>
      <w:divBdr>
        <w:top w:val="none" w:sz="0" w:space="0" w:color="auto"/>
        <w:left w:val="none" w:sz="0" w:space="0" w:color="auto"/>
        <w:bottom w:val="none" w:sz="0" w:space="0" w:color="auto"/>
        <w:right w:val="none" w:sz="0" w:space="0" w:color="auto"/>
      </w:divBdr>
    </w:div>
    <w:div w:id="1130323096">
      <w:bodyDiv w:val="1"/>
      <w:marLeft w:val="0"/>
      <w:marRight w:val="0"/>
      <w:marTop w:val="0"/>
      <w:marBottom w:val="0"/>
      <w:divBdr>
        <w:top w:val="none" w:sz="0" w:space="0" w:color="auto"/>
        <w:left w:val="none" w:sz="0" w:space="0" w:color="auto"/>
        <w:bottom w:val="none" w:sz="0" w:space="0" w:color="auto"/>
        <w:right w:val="none" w:sz="0" w:space="0" w:color="auto"/>
      </w:divBdr>
    </w:div>
    <w:div w:id="1135098122">
      <w:bodyDiv w:val="1"/>
      <w:marLeft w:val="0"/>
      <w:marRight w:val="0"/>
      <w:marTop w:val="0"/>
      <w:marBottom w:val="0"/>
      <w:divBdr>
        <w:top w:val="none" w:sz="0" w:space="0" w:color="auto"/>
        <w:left w:val="none" w:sz="0" w:space="0" w:color="auto"/>
        <w:bottom w:val="none" w:sz="0" w:space="0" w:color="auto"/>
        <w:right w:val="none" w:sz="0" w:space="0" w:color="auto"/>
      </w:divBdr>
    </w:div>
    <w:div w:id="1135413819">
      <w:bodyDiv w:val="1"/>
      <w:marLeft w:val="0"/>
      <w:marRight w:val="0"/>
      <w:marTop w:val="0"/>
      <w:marBottom w:val="0"/>
      <w:divBdr>
        <w:top w:val="none" w:sz="0" w:space="0" w:color="auto"/>
        <w:left w:val="none" w:sz="0" w:space="0" w:color="auto"/>
        <w:bottom w:val="none" w:sz="0" w:space="0" w:color="auto"/>
        <w:right w:val="none" w:sz="0" w:space="0" w:color="auto"/>
      </w:divBdr>
      <w:divsChild>
        <w:div w:id="343673545">
          <w:marLeft w:val="0"/>
          <w:marRight w:val="0"/>
          <w:marTop w:val="0"/>
          <w:marBottom w:val="0"/>
          <w:divBdr>
            <w:top w:val="none" w:sz="0" w:space="0" w:color="auto"/>
            <w:left w:val="none" w:sz="0" w:space="0" w:color="auto"/>
            <w:bottom w:val="none" w:sz="0" w:space="0" w:color="auto"/>
            <w:right w:val="none" w:sz="0" w:space="0" w:color="auto"/>
          </w:divBdr>
        </w:div>
      </w:divsChild>
    </w:div>
    <w:div w:id="1135485864">
      <w:bodyDiv w:val="1"/>
      <w:marLeft w:val="0"/>
      <w:marRight w:val="0"/>
      <w:marTop w:val="0"/>
      <w:marBottom w:val="0"/>
      <w:divBdr>
        <w:top w:val="none" w:sz="0" w:space="0" w:color="auto"/>
        <w:left w:val="none" w:sz="0" w:space="0" w:color="auto"/>
        <w:bottom w:val="none" w:sz="0" w:space="0" w:color="auto"/>
        <w:right w:val="none" w:sz="0" w:space="0" w:color="auto"/>
      </w:divBdr>
      <w:divsChild>
        <w:div w:id="1521965244">
          <w:marLeft w:val="0"/>
          <w:marRight w:val="0"/>
          <w:marTop w:val="0"/>
          <w:marBottom w:val="0"/>
          <w:divBdr>
            <w:top w:val="none" w:sz="0" w:space="0" w:color="auto"/>
            <w:left w:val="none" w:sz="0" w:space="0" w:color="auto"/>
            <w:bottom w:val="none" w:sz="0" w:space="0" w:color="auto"/>
            <w:right w:val="none" w:sz="0" w:space="0" w:color="auto"/>
          </w:divBdr>
          <w:divsChild>
            <w:div w:id="1969969564">
              <w:marLeft w:val="0"/>
              <w:marRight w:val="0"/>
              <w:marTop w:val="0"/>
              <w:marBottom w:val="0"/>
              <w:divBdr>
                <w:top w:val="none" w:sz="0" w:space="0" w:color="auto"/>
                <w:left w:val="none" w:sz="0" w:space="0" w:color="auto"/>
                <w:bottom w:val="none" w:sz="0" w:space="0" w:color="auto"/>
                <w:right w:val="none" w:sz="0" w:space="0" w:color="auto"/>
              </w:divBdr>
              <w:divsChild>
                <w:div w:id="18096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766">
      <w:bodyDiv w:val="1"/>
      <w:marLeft w:val="0"/>
      <w:marRight w:val="0"/>
      <w:marTop w:val="0"/>
      <w:marBottom w:val="0"/>
      <w:divBdr>
        <w:top w:val="none" w:sz="0" w:space="0" w:color="auto"/>
        <w:left w:val="none" w:sz="0" w:space="0" w:color="auto"/>
        <w:bottom w:val="none" w:sz="0" w:space="0" w:color="auto"/>
        <w:right w:val="none" w:sz="0" w:space="0" w:color="auto"/>
      </w:divBdr>
    </w:div>
    <w:div w:id="1195145702">
      <w:bodyDiv w:val="1"/>
      <w:marLeft w:val="0"/>
      <w:marRight w:val="0"/>
      <w:marTop w:val="0"/>
      <w:marBottom w:val="0"/>
      <w:divBdr>
        <w:top w:val="none" w:sz="0" w:space="0" w:color="auto"/>
        <w:left w:val="none" w:sz="0" w:space="0" w:color="auto"/>
        <w:bottom w:val="none" w:sz="0" w:space="0" w:color="auto"/>
        <w:right w:val="none" w:sz="0" w:space="0" w:color="auto"/>
      </w:divBdr>
    </w:div>
    <w:div w:id="1211302370">
      <w:bodyDiv w:val="1"/>
      <w:marLeft w:val="0"/>
      <w:marRight w:val="0"/>
      <w:marTop w:val="0"/>
      <w:marBottom w:val="0"/>
      <w:divBdr>
        <w:top w:val="none" w:sz="0" w:space="0" w:color="auto"/>
        <w:left w:val="none" w:sz="0" w:space="0" w:color="auto"/>
        <w:bottom w:val="none" w:sz="0" w:space="0" w:color="auto"/>
        <w:right w:val="none" w:sz="0" w:space="0" w:color="auto"/>
      </w:divBdr>
      <w:divsChild>
        <w:div w:id="536699376">
          <w:marLeft w:val="0"/>
          <w:marRight w:val="0"/>
          <w:marTop w:val="0"/>
          <w:marBottom w:val="0"/>
          <w:divBdr>
            <w:top w:val="none" w:sz="0" w:space="0" w:color="auto"/>
            <w:left w:val="none" w:sz="0" w:space="0" w:color="auto"/>
            <w:bottom w:val="none" w:sz="0" w:space="0" w:color="auto"/>
            <w:right w:val="none" w:sz="0" w:space="0" w:color="auto"/>
          </w:divBdr>
        </w:div>
      </w:divsChild>
    </w:div>
    <w:div w:id="1219394760">
      <w:bodyDiv w:val="1"/>
      <w:marLeft w:val="0"/>
      <w:marRight w:val="0"/>
      <w:marTop w:val="0"/>
      <w:marBottom w:val="0"/>
      <w:divBdr>
        <w:top w:val="none" w:sz="0" w:space="0" w:color="auto"/>
        <w:left w:val="none" w:sz="0" w:space="0" w:color="auto"/>
        <w:bottom w:val="none" w:sz="0" w:space="0" w:color="auto"/>
        <w:right w:val="none" w:sz="0" w:space="0" w:color="auto"/>
      </w:divBdr>
    </w:div>
    <w:div w:id="1242179976">
      <w:bodyDiv w:val="1"/>
      <w:marLeft w:val="0"/>
      <w:marRight w:val="0"/>
      <w:marTop w:val="0"/>
      <w:marBottom w:val="0"/>
      <w:divBdr>
        <w:top w:val="none" w:sz="0" w:space="0" w:color="auto"/>
        <w:left w:val="none" w:sz="0" w:space="0" w:color="auto"/>
        <w:bottom w:val="none" w:sz="0" w:space="0" w:color="auto"/>
        <w:right w:val="none" w:sz="0" w:space="0" w:color="auto"/>
      </w:divBdr>
    </w:div>
    <w:div w:id="1248802289">
      <w:bodyDiv w:val="1"/>
      <w:marLeft w:val="0"/>
      <w:marRight w:val="0"/>
      <w:marTop w:val="0"/>
      <w:marBottom w:val="0"/>
      <w:divBdr>
        <w:top w:val="none" w:sz="0" w:space="0" w:color="auto"/>
        <w:left w:val="none" w:sz="0" w:space="0" w:color="auto"/>
        <w:bottom w:val="none" w:sz="0" w:space="0" w:color="auto"/>
        <w:right w:val="none" w:sz="0" w:space="0" w:color="auto"/>
      </w:divBdr>
    </w:div>
    <w:div w:id="1276326449">
      <w:bodyDiv w:val="1"/>
      <w:marLeft w:val="0"/>
      <w:marRight w:val="0"/>
      <w:marTop w:val="0"/>
      <w:marBottom w:val="0"/>
      <w:divBdr>
        <w:top w:val="none" w:sz="0" w:space="0" w:color="auto"/>
        <w:left w:val="none" w:sz="0" w:space="0" w:color="auto"/>
        <w:bottom w:val="none" w:sz="0" w:space="0" w:color="auto"/>
        <w:right w:val="none" w:sz="0" w:space="0" w:color="auto"/>
      </w:divBdr>
      <w:divsChild>
        <w:div w:id="1586257158">
          <w:marLeft w:val="0"/>
          <w:marRight w:val="0"/>
          <w:marTop w:val="0"/>
          <w:marBottom w:val="0"/>
          <w:divBdr>
            <w:top w:val="none" w:sz="0" w:space="0" w:color="auto"/>
            <w:left w:val="none" w:sz="0" w:space="0" w:color="auto"/>
            <w:bottom w:val="none" w:sz="0" w:space="0" w:color="auto"/>
            <w:right w:val="none" w:sz="0" w:space="0" w:color="auto"/>
          </w:divBdr>
          <w:divsChild>
            <w:div w:id="856430379">
              <w:marLeft w:val="0"/>
              <w:marRight w:val="0"/>
              <w:marTop w:val="0"/>
              <w:marBottom w:val="0"/>
              <w:divBdr>
                <w:top w:val="none" w:sz="0" w:space="0" w:color="auto"/>
                <w:left w:val="none" w:sz="0" w:space="0" w:color="auto"/>
                <w:bottom w:val="none" w:sz="0" w:space="0" w:color="auto"/>
                <w:right w:val="none" w:sz="0" w:space="0" w:color="auto"/>
              </w:divBdr>
              <w:divsChild>
                <w:div w:id="12207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6165">
      <w:bodyDiv w:val="1"/>
      <w:marLeft w:val="0"/>
      <w:marRight w:val="0"/>
      <w:marTop w:val="0"/>
      <w:marBottom w:val="0"/>
      <w:divBdr>
        <w:top w:val="none" w:sz="0" w:space="0" w:color="auto"/>
        <w:left w:val="none" w:sz="0" w:space="0" w:color="auto"/>
        <w:bottom w:val="none" w:sz="0" w:space="0" w:color="auto"/>
        <w:right w:val="none" w:sz="0" w:space="0" w:color="auto"/>
      </w:divBdr>
    </w:div>
    <w:div w:id="1312949963">
      <w:bodyDiv w:val="1"/>
      <w:marLeft w:val="0"/>
      <w:marRight w:val="0"/>
      <w:marTop w:val="0"/>
      <w:marBottom w:val="0"/>
      <w:divBdr>
        <w:top w:val="none" w:sz="0" w:space="0" w:color="auto"/>
        <w:left w:val="none" w:sz="0" w:space="0" w:color="auto"/>
        <w:bottom w:val="none" w:sz="0" w:space="0" w:color="auto"/>
        <w:right w:val="none" w:sz="0" w:space="0" w:color="auto"/>
      </w:divBdr>
    </w:div>
    <w:div w:id="1333800212">
      <w:bodyDiv w:val="1"/>
      <w:marLeft w:val="0"/>
      <w:marRight w:val="0"/>
      <w:marTop w:val="0"/>
      <w:marBottom w:val="0"/>
      <w:divBdr>
        <w:top w:val="none" w:sz="0" w:space="0" w:color="auto"/>
        <w:left w:val="none" w:sz="0" w:space="0" w:color="auto"/>
        <w:bottom w:val="none" w:sz="0" w:space="0" w:color="auto"/>
        <w:right w:val="none" w:sz="0" w:space="0" w:color="auto"/>
      </w:divBdr>
    </w:div>
    <w:div w:id="1337030407">
      <w:bodyDiv w:val="1"/>
      <w:marLeft w:val="0"/>
      <w:marRight w:val="0"/>
      <w:marTop w:val="0"/>
      <w:marBottom w:val="0"/>
      <w:divBdr>
        <w:top w:val="none" w:sz="0" w:space="0" w:color="auto"/>
        <w:left w:val="none" w:sz="0" w:space="0" w:color="auto"/>
        <w:bottom w:val="none" w:sz="0" w:space="0" w:color="auto"/>
        <w:right w:val="none" w:sz="0" w:space="0" w:color="auto"/>
      </w:divBdr>
    </w:div>
    <w:div w:id="1384131901">
      <w:bodyDiv w:val="1"/>
      <w:marLeft w:val="0"/>
      <w:marRight w:val="0"/>
      <w:marTop w:val="0"/>
      <w:marBottom w:val="0"/>
      <w:divBdr>
        <w:top w:val="none" w:sz="0" w:space="0" w:color="auto"/>
        <w:left w:val="none" w:sz="0" w:space="0" w:color="auto"/>
        <w:bottom w:val="none" w:sz="0" w:space="0" w:color="auto"/>
        <w:right w:val="none" w:sz="0" w:space="0" w:color="auto"/>
      </w:divBdr>
    </w:div>
    <w:div w:id="1400060604">
      <w:bodyDiv w:val="1"/>
      <w:marLeft w:val="0"/>
      <w:marRight w:val="0"/>
      <w:marTop w:val="0"/>
      <w:marBottom w:val="0"/>
      <w:divBdr>
        <w:top w:val="none" w:sz="0" w:space="0" w:color="auto"/>
        <w:left w:val="none" w:sz="0" w:space="0" w:color="auto"/>
        <w:bottom w:val="none" w:sz="0" w:space="0" w:color="auto"/>
        <w:right w:val="none" w:sz="0" w:space="0" w:color="auto"/>
      </w:divBdr>
      <w:divsChild>
        <w:div w:id="1001393959">
          <w:marLeft w:val="0"/>
          <w:marRight w:val="0"/>
          <w:marTop w:val="0"/>
          <w:marBottom w:val="0"/>
          <w:divBdr>
            <w:top w:val="none" w:sz="0" w:space="0" w:color="auto"/>
            <w:left w:val="none" w:sz="0" w:space="0" w:color="auto"/>
            <w:bottom w:val="none" w:sz="0" w:space="0" w:color="auto"/>
            <w:right w:val="none" w:sz="0" w:space="0" w:color="auto"/>
          </w:divBdr>
          <w:divsChild>
            <w:div w:id="757407794">
              <w:marLeft w:val="0"/>
              <w:marRight w:val="0"/>
              <w:marTop w:val="0"/>
              <w:marBottom w:val="0"/>
              <w:divBdr>
                <w:top w:val="none" w:sz="0" w:space="0" w:color="auto"/>
                <w:left w:val="none" w:sz="0" w:space="0" w:color="auto"/>
                <w:bottom w:val="none" w:sz="0" w:space="0" w:color="auto"/>
                <w:right w:val="none" w:sz="0" w:space="0" w:color="auto"/>
              </w:divBdr>
              <w:divsChild>
                <w:div w:id="1300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3633">
      <w:bodyDiv w:val="1"/>
      <w:marLeft w:val="0"/>
      <w:marRight w:val="0"/>
      <w:marTop w:val="0"/>
      <w:marBottom w:val="0"/>
      <w:divBdr>
        <w:top w:val="none" w:sz="0" w:space="0" w:color="auto"/>
        <w:left w:val="none" w:sz="0" w:space="0" w:color="auto"/>
        <w:bottom w:val="none" w:sz="0" w:space="0" w:color="auto"/>
        <w:right w:val="none" w:sz="0" w:space="0" w:color="auto"/>
      </w:divBdr>
      <w:divsChild>
        <w:div w:id="1641693644">
          <w:marLeft w:val="0"/>
          <w:marRight w:val="0"/>
          <w:marTop w:val="0"/>
          <w:marBottom w:val="0"/>
          <w:divBdr>
            <w:top w:val="none" w:sz="0" w:space="0" w:color="auto"/>
            <w:left w:val="none" w:sz="0" w:space="0" w:color="auto"/>
            <w:bottom w:val="none" w:sz="0" w:space="0" w:color="auto"/>
            <w:right w:val="none" w:sz="0" w:space="0" w:color="auto"/>
          </w:divBdr>
          <w:divsChild>
            <w:div w:id="2074350442">
              <w:marLeft w:val="0"/>
              <w:marRight w:val="0"/>
              <w:marTop w:val="0"/>
              <w:marBottom w:val="0"/>
              <w:divBdr>
                <w:top w:val="none" w:sz="0" w:space="0" w:color="auto"/>
                <w:left w:val="none" w:sz="0" w:space="0" w:color="auto"/>
                <w:bottom w:val="none" w:sz="0" w:space="0" w:color="auto"/>
                <w:right w:val="none" w:sz="0" w:space="0" w:color="auto"/>
              </w:divBdr>
            </w:div>
          </w:divsChild>
        </w:div>
        <w:div w:id="2004313187">
          <w:marLeft w:val="0"/>
          <w:marRight w:val="0"/>
          <w:marTop w:val="0"/>
          <w:marBottom w:val="0"/>
          <w:divBdr>
            <w:top w:val="none" w:sz="0" w:space="0" w:color="auto"/>
            <w:left w:val="none" w:sz="0" w:space="0" w:color="auto"/>
            <w:bottom w:val="none" w:sz="0" w:space="0" w:color="auto"/>
            <w:right w:val="none" w:sz="0" w:space="0" w:color="auto"/>
          </w:divBdr>
          <w:divsChild>
            <w:div w:id="1188446742">
              <w:marLeft w:val="0"/>
              <w:marRight w:val="0"/>
              <w:marTop w:val="0"/>
              <w:marBottom w:val="0"/>
              <w:divBdr>
                <w:top w:val="none" w:sz="0" w:space="0" w:color="auto"/>
                <w:left w:val="none" w:sz="0" w:space="0" w:color="auto"/>
                <w:bottom w:val="none" w:sz="0" w:space="0" w:color="auto"/>
                <w:right w:val="none" w:sz="0" w:space="0" w:color="auto"/>
              </w:divBdr>
            </w:div>
            <w:div w:id="1896430117">
              <w:marLeft w:val="0"/>
              <w:marRight w:val="0"/>
              <w:marTop w:val="0"/>
              <w:marBottom w:val="0"/>
              <w:divBdr>
                <w:top w:val="none" w:sz="0" w:space="0" w:color="auto"/>
                <w:left w:val="none" w:sz="0" w:space="0" w:color="auto"/>
                <w:bottom w:val="none" w:sz="0" w:space="0" w:color="auto"/>
                <w:right w:val="none" w:sz="0" w:space="0" w:color="auto"/>
              </w:divBdr>
            </w:div>
            <w:div w:id="1161044384">
              <w:marLeft w:val="0"/>
              <w:marRight w:val="0"/>
              <w:marTop w:val="0"/>
              <w:marBottom w:val="0"/>
              <w:divBdr>
                <w:top w:val="none" w:sz="0" w:space="0" w:color="auto"/>
                <w:left w:val="none" w:sz="0" w:space="0" w:color="auto"/>
                <w:bottom w:val="none" w:sz="0" w:space="0" w:color="auto"/>
                <w:right w:val="none" w:sz="0" w:space="0" w:color="auto"/>
              </w:divBdr>
            </w:div>
          </w:divsChild>
        </w:div>
        <w:div w:id="250940022">
          <w:marLeft w:val="0"/>
          <w:marRight w:val="0"/>
          <w:marTop w:val="0"/>
          <w:marBottom w:val="0"/>
          <w:divBdr>
            <w:top w:val="none" w:sz="0" w:space="0" w:color="auto"/>
            <w:left w:val="none" w:sz="0" w:space="0" w:color="auto"/>
            <w:bottom w:val="none" w:sz="0" w:space="0" w:color="auto"/>
            <w:right w:val="none" w:sz="0" w:space="0" w:color="auto"/>
          </w:divBdr>
          <w:divsChild>
            <w:div w:id="1254127786">
              <w:marLeft w:val="0"/>
              <w:marRight w:val="0"/>
              <w:marTop w:val="0"/>
              <w:marBottom w:val="0"/>
              <w:divBdr>
                <w:top w:val="none" w:sz="0" w:space="0" w:color="auto"/>
                <w:left w:val="none" w:sz="0" w:space="0" w:color="auto"/>
                <w:bottom w:val="none" w:sz="0" w:space="0" w:color="auto"/>
                <w:right w:val="none" w:sz="0" w:space="0" w:color="auto"/>
              </w:divBdr>
            </w:div>
            <w:div w:id="13491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680">
      <w:bodyDiv w:val="1"/>
      <w:marLeft w:val="0"/>
      <w:marRight w:val="0"/>
      <w:marTop w:val="0"/>
      <w:marBottom w:val="0"/>
      <w:divBdr>
        <w:top w:val="none" w:sz="0" w:space="0" w:color="auto"/>
        <w:left w:val="none" w:sz="0" w:space="0" w:color="auto"/>
        <w:bottom w:val="none" w:sz="0" w:space="0" w:color="auto"/>
        <w:right w:val="none" w:sz="0" w:space="0" w:color="auto"/>
      </w:divBdr>
      <w:divsChild>
        <w:div w:id="1978299148">
          <w:marLeft w:val="0"/>
          <w:marRight w:val="0"/>
          <w:marTop w:val="0"/>
          <w:marBottom w:val="0"/>
          <w:divBdr>
            <w:top w:val="none" w:sz="0" w:space="0" w:color="auto"/>
            <w:left w:val="none" w:sz="0" w:space="0" w:color="auto"/>
            <w:bottom w:val="none" w:sz="0" w:space="0" w:color="auto"/>
            <w:right w:val="none" w:sz="0" w:space="0" w:color="auto"/>
          </w:divBdr>
          <w:divsChild>
            <w:div w:id="788163228">
              <w:marLeft w:val="0"/>
              <w:marRight w:val="0"/>
              <w:marTop w:val="0"/>
              <w:marBottom w:val="0"/>
              <w:divBdr>
                <w:top w:val="none" w:sz="0" w:space="0" w:color="auto"/>
                <w:left w:val="none" w:sz="0" w:space="0" w:color="auto"/>
                <w:bottom w:val="none" w:sz="0" w:space="0" w:color="auto"/>
                <w:right w:val="none" w:sz="0" w:space="0" w:color="auto"/>
              </w:divBdr>
            </w:div>
            <w:div w:id="22051795">
              <w:marLeft w:val="0"/>
              <w:marRight w:val="0"/>
              <w:marTop w:val="0"/>
              <w:marBottom w:val="0"/>
              <w:divBdr>
                <w:top w:val="none" w:sz="0" w:space="0" w:color="auto"/>
                <w:left w:val="none" w:sz="0" w:space="0" w:color="auto"/>
                <w:bottom w:val="none" w:sz="0" w:space="0" w:color="auto"/>
                <w:right w:val="none" w:sz="0" w:space="0" w:color="auto"/>
              </w:divBdr>
            </w:div>
            <w:div w:id="89357177">
              <w:marLeft w:val="0"/>
              <w:marRight w:val="0"/>
              <w:marTop w:val="0"/>
              <w:marBottom w:val="0"/>
              <w:divBdr>
                <w:top w:val="none" w:sz="0" w:space="0" w:color="auto"/>
                <w:left w:val="none" w:sz="0" w:space="0" w:color="auto"/>
                <w:bottom w:val="none" w:sz="0" w:space="0" w:color="auto"/>
                <w:right w:val="none" w:sz="0" w:space="0" w:color="auto"/>
              </w:divBdr>
            </w:div>
          </w:divsChild>
        </w:div>
        <w:div w:id="667559240">
          <w:marLeft w:val="0"/>
          <w:marRight w:val="0"/>
          <w:marTop w:val="0"/>
          <w:marBottom w:val="0"/>
          <w:divBdr>
            <w:top w:val="none" w:sz="0" w:space="0" w:color="auto"/>
            <w:left w:val="none" w:sz="0" w:space="0" w:color="auto"/>
            <w:bottom w:val="none" w:sz="0" w:space="0" w:color="auto"/>
            <w:right w:val="none" w:sz="0" w:space="0" w:color="auto"/>
          </w:divBdr>
          <w:divsChild>
            <w:div w:id="916936225">
              <w:marLeft w:val="0"/>
              <w:marRight w:val="0"/>
              <w:marTop w:val="0"/>
              <w:marBottom w:val="0"/>
              <w:divBdr>
                <w:top w:val="none" w:sz="0" w:space="0" w:color="auto"/>
                <w:left w:val="none" w:sz="0" w:space="0" w:color="auto"/>
                <w:bottom w:val="none" w:sz="0" w:space="0" w:color="auto"/>
                <w:right w:val="none" w:sz="0" w:space="0" w:color="auto"/>
              </w:divBdr>
            </w:div>
            <w:div w:id="1422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1142">
      <w:bodyDiv w:val="1"/>
      <w:marLeft w:val="0"/>
      <w:marRight w:val="0"/>
      <w:marTop w:val="0"/>
      <w:marBottom w:val="0"/>
      <w:divBdr>
        <w:top w:val="none" w:sz="0" w:space="0" w:color="auto"/>
        <w:left w:val="none" w:sz="0" w:space="0" w:color="auto"/>
        <w:bottom w:val="none" w:sz="0" w:space="0" w:color="auto"/>
        <w:right w:val="none" w:sz="0" w:space="0" w:color="auto"/>
      </w:divBdr>
    </w:div>
    <w:div w:id="1420710724">
      <w:bodyDiv w:val="1"/>
      <w:marLeft w:val="0"/>
      <w:marRight w:val="0"/>
      <w:marTop w:val="0"/>
      <w:marBottom w:val="0"/>
      <w:divBdr>
        <w:top w:val="none" w:sz="0" w:space="0" w:color="auto"/>
        <w:left w:val="none" w:sz="0" w:space="0" w:color="auto"/>
        <w:bottom w:val="none" w:sz="0" w:space="0" w:color="auto"/>
        <w:right w:val="none" w:sz="0" w:space="0" w:color="auto"/>
      </w:divBdr>
    </w:div>
    <w:div w:id="1422411072">
      <w:bodyDiv w:val="1"/>
      <w:marLeft w:val="0"/>
      <w:marRight w:val="0"/>
      <w:marTop w:val="0"/>
      <w:marBottom w:val="0"/>
      <w:divBdr>
        <w:top w:val="none" w:sz="0" w:space="0" w:color="auto"/>
        <w:left w:val="none" w:sz="0" w:space="0" w:color="auto"/>
        <w:bottom w:val="none" w:sz="0" w:space="0" w:color="auto"/>
        <w:right w:val="none" w:sz="0" w:space="0" w:color="auto"/>
      </w:divBdr>
    </w:div>
    <w:div w:id="1436559038">
      <w:bodyDiv w:val="1"/>
      <w:marLeft w:val="0"/>
      <w:marRight w:val="0"/>
      <w:marTop w:val="0"/>
      <w:marBottom w:val="0"/>
      <w:divBdr>
        <w:top w:val="none" w:sz="0" w:space="0" w:color="auto"/>
        <w:left w:val="none" w:sz="0" w:space="0" w:color="auto"/>
        <w:bottom w:val="none" w:sz="0" w:space="0" w:color="auto"/>
        <w:right w:val="none" w:sz="0" w:space="0" w:color="auto"/>
      </w:divBdr>
    </w:div>
    <w:div w:id="1457723966">
      <w:bodyDiv w:val="1"/>
      <w:marLeft w:val="0"/>
      <w:marRight w:val="0"/>
      <w:marTop w:val="0"/>
      <w:marBottom w:val="0"/>
      <w:divBdr>
        <w:top w:val="none" w:sz="0" w:space="0" w:color="auto"/>
        <w:left w:val="none" w:sz="0" w:space="0" w:color="auto"/>
        <w:bottom w:val="none" w:sz="0" w:space="0" w:color="auto"/>
        <w:right w:val="none" w:sz="0" w:space="0" w:color="auto"/>
      </w:divBdr>
    </w:div>
    <w:div w:id="1502937363">
      <w:bodyDiv w:val="1"/>
      <w:marLeft w:val="0"/>
      <w:marRight w:val="0"/>
      <w:marTop w:val="0"/>
      <w:marBottom w:val="0"/>
      <w:divBdr>
        <w:top w:val="none" w:sz="0" w:space="0" w:color="auto"/>
        <w:left w:val="none" w:sz="0" w:space="0" w:color="auto"/>
        <w:bottom w:val="none" w:sz="0" w:space="0" w:color="auto"/>
        <w:right w:val="none" w:sz="0" w:space="0" w:color="auto"/>
      </w:divBdr>
    </w:div>
    <w:div w:id="1503621938">
      <w:bodyDiv w:val="1"/>
      <w:marLeft w:val="0"/>
      <w:marRight w:val="0"/>
      <w:marTop w:val="0"/>
      <w:marBottom w:val="0"/>
      <w:divBdr>
        <w:top w:val="none" w:sz="0" w:space="0" w:color="auto"/>
        <w:left w:val="none" w:sz="0" w:space="0" w:color="auto"/>
        <w:bottom w:val="none" w:sz="0" w:space="0" w:color="auto"/>
        <w:right w:val="none" w:sz="0" w:space="0" w:color="auto"/>
      </w:divBdr>
    </w:div>
    <w:div w:id="1505507213">
      <w:bodyDiv w:val="1"/>
      <w:marLeft w:val="0"/>
      <w:marRight w:val="0"/>
      <w:marTop w:val="0"/>
      <w:marBottom w:val="0"/>
      <w:divBdr>
        <w:top w:val="none" w:sz="0" w:space="0" w:color="auto"/>
        <w:left w:val="none" w:sz="0" w:space="0" w:color="auto"/>
        <w:bottom w:val="none" w:sz="0" w:space="0" w:color="auto"/>
        <w:right w:val="none" w:sz="0" w:space="0" w:color="auto"/>
      </w:divBdr>
    </w:div>
    <w:div w:id="1525023759">
      <w:bodyDiv w:val="1"/>
      <w:marLeft w:val="0"/>
      <w:marRight w:val="0"/>
      <w:marTop w:val="0"/>
      <w:marBottom w:val="0"/>
      <w:divBdr>
        <w:top w:val="none" w:sz="0" w:space="0" w:color="auto"/>
        <w:left w:val="none" w:sz="0" w:space="0" w:color="auto"/>
        <w:bottom w:val="none" w:sz="0" w:space="0" w:color="auto"/>
        <w:right w:val="none" w:sz="0" w:space="0" w:color="auto"/>
      </w:divBdr>
    </w:div>
    <w:div w:id="1526168504">
      <w:bodyDiv w:val="1"/>
      <w:marLeft w:val="0"/>
      <w:marRight w:val="0"/>
      <w:marTop w:val="0"/>
      <w:marBottom w:val="0"/>
      <w:divBdr>
        <w:top w:val="none" w:sz="0" w:space="0" w:color="auto"/>
        <w:left w:val="none" w:sz="0" w:space="0" w:color="auto"/>
        <w:bottom w:val="none" w:sz="0" w:space="0" w:color="auto"/>
        <w:right w:val="none" w:sz="0" w:space="0" w:color="auto"/>
      </w:divBdr>
    </w:div>
    <w:div w:id="1533958603">
      <w:bodyDiv w:val="1"/>
      <w:marLeft w:val="0"/>
      <w:marRight w:val="0"/>
      <w:marTop w:val="0"/>
      <w:marBottom w:val="0"/>
      <w:divBdr>
        <w:top w:val="none" w:sz="0" w:space="0" w:color="auto"/>
        <w:left w:val="none" w:sz="0" w:space="0" w:color="auto"/>
        <w:bottom w:val="none" w:sz="0" w:space="0" w:color="auto"/>
        <w:right w:val="none" w:sz="0" w:space="0" w:color="auto"/>
      </w:divBdr>
    </w:div>
    <w:div w:id="1542089690">
      <w:bodyDiv w:val="1"/>
      <w:marLeft w:val="0"/>
      <w:marRight w:val="0"/>
      <w:marTop w:val="0"/>
      <w:marBottom w:val="0"/>
      <w:divBdr>
        <w:top w:val="none" w:sz="0" w:space="0" w:color="auto"/>
        <w:left w:val="none" w:sz="0" w:space="0" w:color="auto"/>
        <w:bottom w:val="none" w:sz="0" w:space="0" w:color="auto"/>
        <w:right w:val="none" w:sz="0" w:space="0" w:color="auto"/>
      </w:divBdr>
    </w:div>
    <w:div w:id="1552644350">
      <w:bodyDiv w:val="1"/>
      <w:marLeft w:val="0"/>
      <w:marRight w:val="0"/>
      <w:marTop w:val="0"/>
      <w:marBottom w:val="0"/>
      <w:divBdr>
        <w:top w:val="none" w:sz="0" w:space="0" w:color="auto"/>
        <w:left w:val="none" w:sz="0" w:space="0" w:color="auto"/>
        <w:bottom w:val="none" w:sz="0" w:space="0" w:color="auto"/>
        <w:right w:val="none" w:sz="0" w:space="0" w:color="auto"/>
      </w:divBdr>
    </w:div>
    <w:div w:id="1555963384">
      <w:bodyDiv w:val="1"/>
      <w:marLeft w:val="0"/>
      <w:marRight w:val="0"/>
      <w:marTop w:val="0"/>
      <w:marBottom w:val="0"/>
      <w:divBdr>
        <w:top w:val="none" w:sz="0" w:space="0" w:color="auto"/>
        <w:left w:val="none" w:sz="0" w:space="0" w:color="auto"/>
        <w:bottom w:val="none" w:sz="0" w:space="0" w:color="auto"/>
        <w:right w:val="none" w:sz="0" w:space="0" w:color="auto"/>
      </w:divBdr>
    </w:div>
    <w:div w:id="1583875470">
      <w:bodyDiv w:val="1"/>
      <w:marLeft w:val="0"/>
      <w:marRight w:val="0"/>
      <w:marTop w:val="0"/>
      <w:marBottom w:val="0"/>
      <w:divBdr>
        <w:top w:val="none" w:sz="0" w:space="0" w:color="auto"/>
        <w:left w:val="none" w:sz="0" w:space="0" w:color="auto"/>
        <w:bottom w:val="none" w:sz="0" w:space="0" w:color="auto"/>
        <w:right w:val="none" w:sz="0" w:space="0" w:color="auto"/>
      </w:divBdr>
    </w:div>
    <w:div w:id="1590428855">
      <w:bodyDiv w:val="1"/>
      <w:marLeft w:val="0"/>
      <w:marRight w:val="0"/>
      <w:marTop w:val="0"/>
      <w:marBottom w:val="0"/>
      <w:divBdr>
        <w:top w:val="none" w:sz="0" w:space="0" w:color="auto"/>
        <w:left w:val="none" w:sz="0" w:space="0" w:color="auto"/>
        <w:bottom w:val="none" w:sz="0" w:space="0" w:color="auto"/>
        <w:right w:val="none" w:sz="0" w:space="0" w:color="auto"/>
      </w:divBdr>
    </w:div>
    <w:div w:id="1617832279">
      <w:bodyDiv w:val="1"/>
      <w:marLeft w:val="0"/>
      <w:marRight w:val="0"/>
      <w:marTop w:val="0"/>
      <w:marBottom w:val="0"/>
      <w:divBdr>
        <w:top w:val="none" w:sz="0" w:space="0" w:color="auto"/>
        <w:left w:val="none" w:sz="0" w:space="0" w:color="auto"/>
        <w:bottom w:val="none" w:sz="0" w:space="0" w:color="auto"/>
        <w:right w:val="none" w:sz="0" w:space="0" w:color="auto"/>
      </w:divBdr>
    </w:div>
    <w:div w:id="1637174826">
      <w:bodyDiv w:val="1"/>
      <w:marLeft w:val="0"/>
      <w:marRight w:val="0"/>
      <w:marTop w:val="0"/>
      <w:marBottom w:val="0"/>
      <w:divBdr>
        <w:top w:val="none" w:sz="0" w:space="0" w:color="auto"/>
        <w:left w:val="none" w:sz="0" w:space="0" w:color="auto"/>
        <w:bottom w:val="none" w:sz="0" w:space="0" w:color="auto"/>
        <w:right w:val="none" w:sz="0" w:space="0" w:color="auto"/>
      </w:divBdr>
    </w:div>
    <w:div w:id="1647781485">
      <w:bodyDiv w:val="1"/>
      <w:marLeft w:val="0"/>
      <w:marRight w:val="0"/>
      <w:marTop w:val="0"/>
      <w:marBottom w:val="0"/>
      <w:divBdr>
        <w:top w:val="none" w:sz="0" w:space="0" w:color="auto"/>
        <w:left w:val="none" w:sz="0" w:space="0" w:color="auto"/>
        <w:bottom w:val="none" w:sz="0" w:space="0" w:color="auto"/>
        <w:right w:val="none" w:sz="0" w:space="0" w:color="auto"/>
      </w:divBdr>
    </w:div>
    <w:div w:id="1648365319">
      <w:bodyDiv w:val="1"/>
      <w:marLeft w:val="0"/>
      <w:marRight w:val="0"/>
      <w:marTop w:val="0"/>
      <w:marBottom w:val="0"/>
      <w:divBdr>
        <w:top w:val="none" w:sz="0" w:space="0" w:color="auto"/>
        <w:left w:val="none" w:sz="0" w:space="0" w:color="auto"/>
        <w:bottom w:val="none" w:sz="0" w:space="0" w:color="auto"/>
        <w:right w:val="none" w:sz="0" w:space="0" w:color="auto"/>
      </w:divBdr>
    </w:div>
    <w:div w:id="1652711883">
      <w:bodyDiv w:val="1"/>
      <w:marLeft w:val="0"/>
      <w:marRight w:val="0"/>
      <w:marTop w:val="0"/>
      <w:marBottom w:val="0"/>
      <w:divBdr>
        <w:top w:val="none" w:sz="0" w:space="0" w:color="auto"/>
        <w:left w:val="none" w:sz="0" w:space="0" w:color="auto"/>
        <w:bottom w:val="none" w:sz="0" w:space="0" w:color="auto"/>
        <w:right w:val="none" w:sz="0" w:space="0" w:color="auto"/>
      </w:divBdr>
    </w:div>
    <w:div w:id="1653680688">
      <w:bodyDiv w:val="1"/>
      <w:marLeft w:val="0"/>
      <w:marRight w:val="0"/>
      <w:marTop w:val="0"/>
      <w:marBottom w:val="0"/>
      <w:divBdr>
        <w:top w:val="none" w:sz="0" w:space="0" w:color="auto"/>
        <w:left w:val="none" w:sz="0" w:space="0" w:color="auto"/>
        <w:bottom w:val="none" w:sz="0" w:space="0" w:color="auto"/>
        <w:right w:val="none" w:sz="0" w:space="0" w:color="auto"/>
      </w:divBdr>
    </w:div>
    <w:div w:id="1683974022">
      <w:bodyDiv w:val="1"/>
      <w:marLeft w:val="0"/>
      <w:marRight w:val="0"/>
      <w:marTop w:val="0"/>
      <w:marBottom w:val="0"/>
      <w:divBdr>
        <w:top w:val="none" w:sz="0" w:space="0" w:color="auto"/>
        <w:left w:val="none" w:sz="0" w:space="0" w:color="auto"/>
        <w:bottom w:val="none" w:sz="0" w:space="0" w:color="auto"/>
        <w:right w:val="none" w:sz="0" w:space="0" w:color="auto"/>
      </w:divBdr>
    </w:div>
    <w:div w:id="1710566132">
      <w:bodyDiv w:val="1"/>
      <w:marLeft w:val="0"/>
      <w:marRight w:val="0"/>
      <w:marTop w:val="0"/>
      <w:marBottom w:val="0"/>
      <w:divBdr>
        <w:top w:val="none" w:sz="0" w:space="0" w:color="auto"/>
        <w:left w:val="none" w:sz="0" w:space="0" w:color="auto"/>
        <w:bottom w:val="none" w:sz="0" w:space="0" w:color="auto"/>
        <w:right w:val="none" w:sz="0" w:space="0" w:color="auto"/>
      </w:divBdr>
    </w:div>
    <w:div w:id="1768577561">
      <w:bodyDiv w:val="1"/>
      <w:marLeft w:val="0"/>
      <w:marRight w:val="0"/>
      <w:marTop w:val="0"/>
      <w:marBottom w:val="0"/>
      <w:divBdr>
        <w:top w:val="none" w:sz="0" w:space="0" w:color="auto"/>
        <w:left w:val="none" w:sz="0" w:space="0" w:color="auto"/>
        <w:bottom w:val="none" w:sz="0" w:space="0" w:color="auto"/>
        <w:right w:val="none" w:sz="0" w:space="0" w:color="auto"/>
      </w:divBdr>
    </w:div>
    <w:div w:id="1768843766">
      <w:bodyDiv w:val="1"/>
      <w:marLeft w:val="0"/>
      <w:marRight w:val="0"/>
      <w:marTop w:val="0"/>
      <w:marBottom w:val="0"/>
      <w:divBdr>
        <w:top w:val="none" w:sz="0" w:space="0" w:color="auto"/>
        <w:left w:val="none" w:sz="0" w:space="0" w:color="auto"/>
        <w:bottom w:val="none" w:sz="0" w:space="0" w:color="auto"/>
        <w:right w:val="none" w:sz="0" w:space="0" w:color="auto"/>
      </w:divBdr>
    </w:div>
    <w:div w:id="1777208425">
      <w:bodyDiv w:val="1"/>
      <w:marLeft w:val="0"/>
      <w:marRight w:val="0"/>
      <w:marTop w:val="0"/>
      <w:marBottom w:val="0"/>
      <w:divBdr>
        <w:top w:val="none" w:sz="0" w:space="0" w:color="auto"/>
        <w:left w:val="none" w:sz="0" w:space="0" w:color="auto"/>
        <w:bottom w:val="none" w:sz="0" w:space="0" w:color="auto"/>
        <w:right w:val="none" w:sz="0" w:space="0" w:color="auto"/>
      </w:divBdr>
    </w:div>
    <w:div w:id="1778141339">
      <w:bodyDiv w:val="1"/>
      <w:marLeft w:val="0"/>
      <w:marRight w:val="0"/>
      <w:marTop w:val="0"/>
      <w:marBottom w:val="0"/>
      <w:divBdr>
        <w:top w:val="none" w:sz="0" w:space="0" w:color="auto"/>
        <w:left w:val="none" w:sz="0" w:space="0" w:color="auto"/>
        <w:bottom w:val="none" w:sz="0" w:space="0" w:color="auto"/>
        <w:right w:val="none" w:sz="0" w:space="0" w:color="auto"/>
      </w:divBdr>
    </w:div>
    <w:div w:id="1795782270">
      <w:bodyDiv w:val="1"/>
      <w:marLeft w:val="0"/>
      <w:marRight w:val="0"/>
      <w:marTop w:val="0"/>
      <w:marBottom w:val="0"/>
      <w:divBdr>
        <w:top w:val="none" w:sz="0" w:space="0" w:color="auto"/>
        <w:left w:val="none" w:sz="0" w:space="0" w:color="auto"/>
        <w:bottom w:val="none" w:sz="0" w:space="0" w:color="auto"/>
        <w:right w:val="none" w:sz="0" w:space="0" w:color="auto"/>
      </w:divBdr>
    </w:div>
    <w:div w:id="1837452025">
      <w:bodyDiv w:val="1"/>
      <w:marLeft w:val="0"/>
      <w:marRight w:val="0"/>
      <w:marTop w:val="0"/>
      <w:marBottom w:val="0"/>
      <w:divBdr>
        <w:top w:val="none" w:sz="0" w:space="0" w:color="auto"/>
        <w:left w:val="none" w:sz="0" w:space="0" w:color="auto"/>
        <w:bottom w:val="none" w:sz="0" w:space="0" w:color="auto"/>
        <w:right w:val="none" w:sz="0" w:space="0" w:color="auto"/>
      </w:divBdr>
      <w:divsChild>
        <w:div w:id="1178735098">
          <w:marLeft w:val="0"/>
          <w:marRight w:val="0"/>
          <w:marTop w:val="0"/>
          <w:marBottom w:val="0"/>
          <w:divBdr>
            <w:top w:val="none" w:sz="0" w:space="0" w:color="auto"/>
            <w:left w:val="none" w:sz="0" w:space="0" w:color="auto"/>
            <w:bottom w:val="none" w:sz="0" w:space="0" w:color="auto"/>
            <w:right w:val="none" w:sz="0" w:space="0" w:color="auto"/>
          </w:divBdr>
        </w:div>
        <w:div w:id="714544223">
          <w:marLeft w:val="0"/>
          <w:marRight w:val="0"/>
          <w:marTop w:val="0"/>
          <w:marBottom w:val="0"/>
          <w:divBdr>
            <w:top w:val="none" w:sz="0" w:space="0" w:color="auto"/>
            <w:left w:val="none" w:sz="0" w:space="0" w:color="auto"/>
            <w:bottom w:val="none" w:sz="0" w:space="0" w:color="auto"/>
            <w:right w:val="none" w:sz="0" w:space="0" w:color="auto"/>
          </w:divBdr>
        </w:div>
        <w:div w:id="362559199">
          <w:marLeft w:val="0"/>
          <w:marRight w:val="0"/>
          <w:marTop w:val="0"/>
          <w:marBottom w:val="0"/>
          <w:divBdr>
            <w:top w:val="none" w:sz="0" w:space="0" w:color="auto"/>
            <w:left w:val="none" w:sz="0" w:space="0" w:color="auto"/>
            <w:bottom w:val="none" w:sz="0" w:space="0" w:color="auto"/>
            <w:right w:val="none" w:sz="0" w:space="0" w:color="auto"/>
          </w:divBdr>
        </w:div>
        <w:div w:id="269315854">
          <w:marLeft w:val="0"/>
          <w:marRight w:val="0"/>
          <w:marTop w:val="0"/>
          <w:marBottom w:val="0"/>
          <w:divBdr>
            <w:top w:val="none" w:sz="0" w:space="0" w:color="auto"/>
            <w:left w:val="none" w:sz="0" w:space="0" w:color="auto"/>
            <w:bottom w:val="none" w:sz="0" w:space="0" w:color="auto"/>
            <w:right w:val="none" w:sz="0" w:space="0" w:color="auto"/>
          </w:divBdr>
        </w:div>
        <w:div w:id="431435444">
          <w:marLeft w:val="0"/>
          <w:marRight w:val="0"/>
          <w:marTop w:val="0"/>
          <w:marBottom w:val="0"/>
          <w:divBdr>
            <w:top w:val="none" w:sz="0" w:space="0" w:color="auto"/>
            <w:left w:val="none" w:sz="0" w:space="0" w:color="auto"/>
            <w:bottom w:val="none" w:sz="0" w:space="0" w:color="auto"/>
            <w:right w:val="none" w:sz="0" w:space="0" w:color="auto"/>
          </w:divBdr>
        </w:div>
        <w:div w:id="1304967205">
          <w:marLeft w:val="0"/>
          <w:marRight w:val="0"/>
          <w:marTop w:val="0"/>
          <w:marBottom w:val="0"/>
          <w:divBdr>
            <w:top w:val="none" w:sz="0" w:space="0" w:color="auto"/>
            <w:left w:val="none" w:sz="0" w:space="0" w:color="auto"/>
            <w:bottom w:val="none" w:sz="0" w:space="0" w:color="auto"/>
            <w:right w:val="none" w:sz="0" w:space="0" w:color="auto"/>
          </w:divBdr>
        </w:div>
      </w:divsChild>
    </w:div>
    <w:div w:id="1837915656">
      <w:bodyDiv w:val="1"/>
      <w:marLeft w:val="0"/>
      <w:marRight w:val="0"/>
      <w:marTop w:val="0"/>
      <w:marBottom w:val="0"/>
      <w:divBdr>
        <w:top w:val="none" w:sz="0" w:space="0" w:color="auto"/>
        <w:left w:val="none" w:sz="0" w:space="0" w:color="auto"/>
        <w:bottom w:val="none" w:sz="0" w:space="0" w:color="auto"/>
        <w:right w:val="none" w:sz="0" w:space="0" w:color="auto"/>
      </w:divBdr>
    </w:div>
    <w:div w:id="1855654922">
      <w:bodyDiv w:val="1"/>
      <w:marLeft w:val="0"/>
      <w:marRight w:val="0"/>
      <w:marTop w:val="0"/>
      <w:marBottom w:val="0"/>
      <w:divBdr>
        <w:top w:val="none" w:sz="0" w:space="0" w:color="auto"/>
        <w:left w:val="none" w:sz="0" w:space="0" w:color="auto"/>
        <w:bottom w:val="none" w:sz="0" w:space="0" w:color="auto"/>
        <w:right w:val="none" w:sz="0" w:space="0" w:color="auto"/>
      </w:divBdr>
    </w:div>
    <w:div w:id="1855798314">
      <w:bodyDiv w:val="1"/>
      <w:marLeft w:val="0"/>
      <w:marRight w:val="0"/>
      <w:marTop w:val="0"/>
      <w:marBottom w:val="0"/>
      <w:divBdr>
        <w:top w:val="none" w:sz="0" w:space="0" w:color="auto"/>
        <w:left w:val="none" w:sz="0" w:space="0" w:color="auto"/>
        <w:bottom w:val="none" w:sz="0" w:space="0" w:color="auto"/>
        <w:right w:val="none" w:sz="0" w:space="0" w:color="auto"/>
      </w:divBdr>
    </w:div>
    <w:div w:id="1861317760">
      <w:bodyDiv w:val="1"/>
      <w:marLeft w:val="0"/>
      <w:marRight w:val="0"/>
      <w:marTop w:val="0"/>
      <w:marBottom w:val="0"/>
      <w:divBdr>
        <w:top w:val="none" w:sz="0" w:space="0" w:color="auto"/>
        <w:left w:val="none" w:sz="0" w:space="0" w:color="auto"/>
        <w:bottom w:val="none" w:sz="0" w:space="0" w:color="auto"/>
        <w:right w:val="none" w:sz="0" w:space="0" w:color="auto"/>
      </w:divBdr>
    </w:div>
    <w:div w:id="1875657943">
      <w:bodyDiv w:val="1"/>
      <w:marLeft w:val="0"/>
      <w:marRight w:val="0"/>
      <w:marTop w:val="0"/>
      <w:marBottom w:val="0"/>
      <w:divBdr>
        <w:top w:val="none" w:sz="0" w:space="0" w:color="auto"/>
        <w:left w:val="none" w:sz="0" w:space="0" w:color="auto"/>
        <w:bottom w:val="none" w:sz="0" w:space="0" w:color="auto"/>
        <w:right w:val="none" w:sz="0" w:space="0" w:color="auto"/>
      </w:divBdr>
    </w:div>
    <w:div w:id="1880972701">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907494926">
      <w:bodyDiv w:val="1"/>
      <w:marLeft w:val="0"/>
      <w:marRight w:val="0"/>
      <w:marTop w:val="0"/>
      <w:marBottom w:val="0"/>
      <w:divBdr>
        <w:top w:val="none" w:sz="0" w:space="0" w:color="auto"/>
        <w:left w:val="none" w:sz="0" w:space="0" w:color="auto"/>
        <w:bottom w:val="none" w:sz="0" w:space="0" w:color="auto"/>
        <w:right w:val="none" w:sz="0" w:space="0" w:color="auto"/>
      </w:divBdr>
    </w:div>
    <w:div w:id="1924337843">
      <w:bodyDiv w:val="1"/>
      <w:marLeft w:val="0"/>
      <w:marRight w:val="0"/>
      <w:marTop w:val="0"/>
      <w:marBottom w:val="0"/>
      <w:divBdr>
        <w:top w:val="none" w:sz="0" w:space="0" w:color="auto"/>
        <w:left w:val="none" w:sz="0" w:space="0" w:color="auto"/>
        <w:bottom w:val="none" w:sz="0" w:space="0" w:color="auto"/>
        <w:right w:val="none" w:sz="0" w:space="0" w:color="auto"/>
      </w:divBdr>
    </w:div>
    <w:div w:id="1933395459">
      <w:bodyDiv w:val="1"/>
      <w:marLeft w:val="0"/>
      <w:marRight w:val="0"/>
      <w:marTop w:val="0"/>
      <w:marBottom w:val="0"/>
      <w:divBdr>
        <w:top w:val="none" w:sz="0" w:space="0" w:color="auto"/>
        <w:left w:val="none" w:sz="0" w:space="0" w:color="auto"/>
        <w:bottom w:val="none" w:sz="0" w:space="0" w:color="auto"/>
        <w:right w:val="none" w:sz="0" w:space="0" w:color="auto"/>
      </w:divBdr>
    </w:div>
    <w:div w:id="1939676053">
      <w:bodyDiv w:val="1"/>
      <w:marLeft w:val="0"/>
      <w:marRight w:val="0"/>
      <w:marTop w:val="0"/>
      <w:marBottom w:val="0"/>
      <w:divBdr>
        <w:top w:val="none" w:sz="0" w:space="0" w:color="auto"/>
        <w:left w:val="none" w:sz="0" w:space="0" w:color="auto"/>
        <w:bottom w:val="none" w:sz="0" w:space="0" w:color="auto"/>
        <w:right w:val="none" w:sz="0" w:space="0" w:color="auto"/>
      </w:divBdr>
    </w:div>
    <w:div w:id="1944920789">
      <w:bodyDiv w:val="1"/>
      <w:marLeft w:val="0"/>
      <w:marRight w:val="0"/>
      <w:marTop w:val="0"/>
      <w:marBottom w:val="0"/>
      <w:divBdr>
        <w:top w:val="none" w:sz="0" w:space="0" w:color="auto"/>
        <w:left w:val="none" w:sz="0" w:space="0" w:color="auto"/>
        <w:bottom w:val="none" w:sz="0" w:space="0" w:color="auto"/>
        <w:right w:val="none" w:sz="0" w:space="0" w:color="auto"/>
      </w:divBdr>
    </w:div>
    <w:div w:id="1949893758">
      <w:bodyDiv w:val="1"/>
      <w:marLeft w:val="0"/>
      <w:marRight w:val="0"/>
      <w:marTop w:val="0"/>
      <w:marBottom w:val="0"/>
      <w:divBdr>
        <w:top w:val="none" w:sz="0" w:space="0" w:color="auto"/>
        <w:left w:val="none" w:sz="0" w:space="0" w:color="auto"/>
        <w:bottom w:val="none" w:sz="0" w:space="0" w:color="auto"/>
        <w:right w:val="none" w:sz="0" w:space="0" w:color="auto"/>
      </w:divBdr>
    </w:div>
    <w:div w:id="1954360376">
      <w:bodyDiv w:val="1"/>
      <w:marLeft w:val="0"/>
      <w:marRight w:val="0"/>
      <w:marTop w:val="0"/>
      <w:marBottom w:val="0"/>
      <w:divBdr>
        <w:top w:val="none" w:sz="0" w:space="0" w:color="auto"/>
        <w:left w:val="none" w:sz="0" w:space="0" w:color="auto"/>
        <w:bottom w:val="none" w:sz="0" w:space="0" w:color="auto"/>
        <w:right w:val="none" w:sz="0" w:space="0" w:color="auto"/>
      </w:divBdr>
      <w:divsChild>
        <w:div w:id="889415320">
          <w:marLeft w:val="0"/>
          <w:marRight w:val="0"/>
          <w:marTop w:val="0"/>
          <w:marBottom w:val="0"/>
          <w:divBdr>
            <w:top w:val="none" w:sz="0" w:space="0" w:color="auto"/>
            <w:left w:val="none" w:sz="0" w:space="0" w:color="auto"/>
            <w:bottom w:val="none" w:sz="0" w:space="0" w:color="auto"/>
            <w:right w:val="none" w:sz="0" w:space="0" w:color="auto"/>
          </w:divBdr>
        </w:div>
      </w:divsChild>
    </w:div>
    <w:div w:id="1972051344">
      <w:bodyDiv w:val="1"/>
      <w:marLeft w:val="0"/>
      <w:marRight w:val="0"/>
      <w:marTop w:val="0"/>
      <w:marBottom w:val="0"/>
      <w:divBdr>
        <w:top w:val="none" w:sz="0" w:space="0" w:color="auto"/>
        <w:left w:val="none" w:sz="0" w:space="0" w:color="auto"/>
        <w:bottom w:val="none" w:sz="0" w:space="0" w:color="auto"/>
        <w:right w:val="none" w:sz="0" w:space="0" w:color="auto"/>
      </w:divBdr>
      <w:divsChild>
        <w:div w:id="1087187584">
          <w:marLeft w:val="0"/>
          <w:marRight w:val="0"/>
          <w:marTop w:val="0"/>
          <w:marBottom w:val="0"/>
          <w:divBdr>
            <w:top w:val="none" w:sz="0" w:space="0" w:color="auto"/>
            <w:left w:val="none" w:sz="0" w:space="0" w:color="auto"/>
            <w:bottom w:val="none" w:sz="0" w:space="0" w:color="auto"/>
            <w:right w:val="none" w:sz="0" w:space="0" w:color="auto"/>
          </w:divBdr>
        </w:div>
      </w:divsChild>
    </w:div>
    <w:div w:id="1996571055">
      <w:bodyDiv w:val="1"/>
      <w:marLeft w:val="0"/>
      <w:marRight w:val="0"/>
      <w:marTop w:val="0"/>
      <w:marBottom w:val="0"/>
      <w:divBdr>
        <w:top w:val="none" w:sz="0" w:space="0" w:color="auto"/>
        <w:left w:val="none" w:sz="0" w:space="0" w:color="auto"/>
        <w:bottom w:val="none" w:sz="0" w:space="0" w:color="auto"/>
        <w:right w:val="none" w:sz="0" w:space="0" w:color="auto"/>
      </w:divBdr>
    </w:div>
    <w:div w:id="1999920184">
      <w:bodyDiv w:val="1"/>
      <w:marLeft w:val="0"/>
      <w:marRight w:val="0"/>
      <w:marTop w:val="0"/>
      <w:marBottom w:val="0"/>
      <w:divBdr>
        <w:top w:val="none" w:sz="0" w:space="0" w:color="auto"/>
        <w:left w:val="none" w:sz="0" w:space="0" w:color="auto"/>
        <w:bottom w:val="none" w:sz="0" w:space="0" w:color="auto"/>
        <w:right w:val="none" w:sz="0" w:space="0" w:color="auto"/>
      </w:divBdr>
    </w:div>
    <w:div w:id="2006081748">
      <w:bodyDiv w:val="1"/>
      <w:marLeft w:val="0"/>
      <w:marRight w:val="0"/>
      <w:marTop w:val="0"/>
      <w:marBottom w:val="0"/>
      <w:divBdr>
        <w:top w:val="none" w:sz="0" w:space="0" w:color="auto"/>
        <w:left w:val="none" w:sz="0" w:space="0" w:color="auto"/>
        <w:bottom w:val="none" w:sz="0" w:space="0" w:color="auto"/>
        <w:right w:val="none" w:sz="0" w:space="0" w:color="auto"/>
      </w:divBdr>
    </w:div>
    <w:div w:id="2036231089">
      <w:bodyDiv w:val="1"/>
      <w:marLeft w:val="0"/>
      <w:marRight w:val="0"/>
      <w:marTop w:val="0"/>
      <w:marBottom w:val="0"/>
      <w:divBdr>
        <w:top w:val="none" w:sz="0" w:space="0" w:color="auto"/>
        <w:left w:val="none" w:sz="0" w:space="0" w:color="auto"/>
        <w:bottom w:val="none" w:sz="0" w:space="0" w:color="auto"/>
        <w:right w:val="none" w:sz="0" w:space="0" w:color="auto"/>
      </w:divBdr>
    </w:div>
    <w:div w:id="21432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le.rae.es/incid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FD27202745A9D469721A8301668678F" ma:contentTypeVersion="11" ma:contentTypeDescription="Crear nuevo documento." ma:contentTypeScope="" ma:versionID="b954f1c5e3a33dd89a961eb6967c72be">
  <xsd:schema xmlns:xsd="http://www.w3.org/2001/XMLSchema" xmlns:xs="http://www.w3.org/2001/XMLSchema" xmlns:p="http://schemas.microsoft.com/office/2006/metadata/properties" xmlns:ns2="6f9034ef-c183-4ef7-84ec-9071e6d0b47b" xmlns:ns3="b4abdaf7-768f-432f-8225-5a38f128f1c0" targetNamespace="http://schemas.microsoft.com/office/2006/metadata/properties" ma:root="true" ma:fieldsID="88fcff0e5bf58143601eaca95a832042" ns2:_="" ns3:_="">
    <xsd:import namespace="6f9034ef-c183-4ef7-84ec-9071e6d0b47b"/>
    <xsd:import namespace="b4abdaf7-768f-432f-8225-5a38f128f1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034ef-c183-4ef7-84ec-9071e6d0b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daf7-768f-432f-8225-5a38f128f1c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4FD18-FA68-4240-B32D-FB8FE3A185D3}">
  <ds:schemaRefs>
    <ds:schemaRef ds:uri="http://schemas.openxmlformats.org/officeDocument/2006/bibliography"/>
  </ds:schemaRefs>
</ds:datastoreItem>
</file>

<file path=customXml/itemProps2.xml><?xml version="1.0" encoding="utf-8"?>
<ds:datastoreItem xmlns:ds="http://schemas.openxmlformats.org/officeDocument/2006/customXml" ds:itemID="{254CE7A4-9C27-459F-978C-C0F64BF3E6CF}">
  <ds:schemaRefs>
    <ds:schemaRef ds:uri="http://schemas.microsoft.com/sharepoint/v3/contenttype/forms"/>
  </ds:schemaRefs>
</ds:datastoreItem>
</file>

<file path=customXml/itemProps3.xml><?xml version="1.0" encoding="utf-8"?>
<ds:datastoreItem xmlns:ds="http://schemas.openxmlformats.org/officeDocument/2006/customXml" ds:itemID="{E80EC4E4-501C-4414-AA61-B92D3777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034ef-c183-4ef7-84ec-9071e6d0b47b"/>
    <ds:schemaRef ds:uri="b4abdaf7-768f-432f-8225-5a38f128f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C799A-3B92-4501-8B55-40293CE49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10544</Words>
  <Characters>57998</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68406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RAZIEL WEICHSEL ZAPATA</dc:creator>
  <cp:keywords/>
  <dc:description/>
  <cp:lastModifiedBy>GABRIELA PONCE BAEZ</cp:lastModifiedBy>
  <cp:revision>20</cp:revision>
  <cp:lastPrinted>2023-04-24T16:24:00Z</cp:lastPrinted>
  <dcterms:created xsi:type="dcterms:W3CDTF">2023-07-08T01:40:00Z</dcterms:created>
  <dcterms:modified xsi:type="dcterms:W3CDTF">2023-08-02T16:29:00Z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0x0101009FD27202745A9D469721A8301668678F</vt:lpwstr>
  </property>
</Properties>
</file>