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906CC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906CC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3D0B821C" w:rsidR="00444CFB" w:rsidRDefault="00B64E2D"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SEGURIDAD JURÍDICA E IGUALDAD ANTE LA LEY. </w:t>
      </w:r>
      <w:r w:rsidRPr="00B64E2D">
        <w:rPr>
          <w:rFonts w:ascii="Arial Nova" w:hAnsi="Arial Nova" w:cs="Times New Roman"/>
          <w:b/>
          <w:bCs/>
          <w:smallCaps/>
          <w:color w:val="002060"/>
        </w:rPr>
        <w:t>EN MATERIA PENAL, LA CLASIFICACIÓN JURÍDICA QUE SE HA DADO A LOS HECHOS EN UNA RESOLUCIÓN DE AMPARO DIRECTO DEBE SOSTENERSE EN LOS JUICIOS DE AMPARO SUBSECUENTES QUE PROMUEVAN LOS COSENTENCIADOS</w:t>
      </w:r>
    </w:p>
    <w:p w14:paraId="6FB7DAC2" w14:textId="77777777" w:rsidR="001C01EC" w:rsidRPr="00906CC9" w:rsidRDefault="001C01EC" w:rsidP="00906CC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C44226" w14:textId="77777777" w:rsidR="00046D48" w:rsidRPr="00906CC9" w:rsidRDefault="00046D48" w:rsidP="00906CC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1A81DC94" w:rsidR="00832148" w:rsidRPr="001624A8" w:rsidRDefault="000018A2" w:rsidP="001F4A4B">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3294D">
        <w:rPr>
          <w:rFonts w:ascii="Arial Nova" w:hAnsi="Arial Nova" w:cs="Times New Roman"/>
          <w:b/>
          <w:bCs/>
          <w:smallCaps/>
          <w:color w:val="002060"/>
        </w:rPr>
        <w:t>a A</w:t>
      </w:r>
      <w:r w:rsidR="008244D4">
        <w:rPr>
          <w:rFonts w:ascii="Arial Nova" w:hAnsi="Arial Nova" w:cs="Times New Roman"/>
          <w:b/>
          <w:bCs/>
          <w:smallCaps/>
          <w:color w:val="002060"/>
        </w:rPr>
        <w:t>na</w:t>
      </w:r>
      <w:r w:rsidR="0033294D">
        <w:rPr>
          <w:rFonts w:ascii="Arial Nova" w:hAnsi="Arial Nova" w:cs="Times New Roman"/>
          <w:b/>
          <w:bCs/>
          <w:smallCaps/>
          <w:color w:val="002060"/>
        </w:rPr>
        <w:t xml:space="preserve"> Margarita Ríos Farjat</w:t>
      </w:r>
      <w:r w:rsidR="00B92B45" w:rsidRPr="001624A8">
        <w:rPr>
          <w:rFonts w:ascii="Arial Nova" w:hAnsi="Arial Nova" w:cs="Times New Roman"/>
          <w:smallCaps/>
          <w:color w:val="002060"/>
        </w:rPr>
        <w:t>.</w:t>
      </w:r>
    </w:p>
    <w:p w14:paraId="63E065DC" w14:textId="3CC8A66D" w:rsidR="00832148" w:rsidRDefault="000018A2" w:rsidP="001F4A4B">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3294D">
        <w:rPr>
          <w:rFonts w:ascii="Arial Nova" w:hAnsi="Arial Nova" w:cs="Times New Roman"/>
          <w:smallCaps/>
          <w:color w:val="002060"/>
        </w:rPr>
        <w:t>o</w:t>
      </w:r>
      <w:r w:rsidR="00CD5BC9">
        <w:rPr>
          <w:rFonts w:ascii="Arial Nova" w:hAnsi="Arial Nova" w:cs="Times New Roman"/>
          <w:smallCaps/>
          <w:color w:val="002060"/>
        </w:rPr>
        <w:t>:</w:t>
      </w:r>
      <w:r w:rsidR="008244D4">
        <w:rPr>
          <w:rFonts w:ascii="Arial Nova" w:hAnsi="Arial Nova" w:cs="Times New Roman"/>
          <w:smallCaps/>
          <w:color w:val="002060"/>
        </w:rPr>
        <w:t xml:space="preserve"> </w:t>
      </w:r>
      <w:r w:rsidR="0033294D">
        <w:rPr>
          <w:rFonts w:ascii="Arial Nova" w:hAnsi="Arial Nova" w:cs="Times New Roman"/>
          <w:smallCaps/>
          <w:color w:val="002060"/>
        </w:rPr>
        <w:t>Ramón Eduardo López Saldaña</w:t>
      </w:r>
      <w:r w:rsidR="00B92B45" w:rsidRPr="001624A8">
        <w:rPr>
          <w:rFonts w:ascii="Arial Nova" w:hAnsi="Arial Nova" w:cs="Times New Roman"/>
          <w:smallCaps/>
          <w:color w:val="002060"/>
        </w:rPr>
        <w:t>.</w:t>
      </w:r>
      <w:bookmarkEnd w:id="2"/>
    </w:p>
    <w:p w14:paraId="78A56DD9" w14:textId="78BD1E17" w:rsidR="00A340F5" w:rsidRDefault="00A340F5" w:rsidP="001F4A4B">
      <w:pPr>
        <w:shd w:val="clear" w:color="auto" w:fill="EDEDED" w:themeFill="accent3" w:themeFillTint="33"/>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Colaborador: Fernando Ramírez Jasso.</w:t>
      </w:r>
    </w:p>
    <w:p w14:paraId="1C0B4F90" w14:textId="11D088C4" w:rsidR="001C01EC" w:rsidRPr="004C2D17" w:rsidRDefault="001C01EC" w:rsidP="001F4A4B">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8244D4">
        <w:rPr>
          <w:rFonts w:ascii="Arial Nova" w:hAnsi="Arial Nova" w:cs="Times New Roman"/>
          <w:smallCaps/>
          <w:color w:val="002060"/>
        </w:rPr>
        <w:t xml:space="preserve"> Directo</w:t>
      </w:r>
      <w:r w:rsidRPr="001624A8">
        <w:rPr>
          <w:rFonts w:ascii="Arial Nova" w:hAnsi="Arial Nova" w:cs="Times New Roman"/>
          <w:smallCaps/>
          <w:color w:val="002060"/>
        </w:rPr>
        <w:t xml:space="preserve"> </w:t>
      </w:r>
      <w:r w:rsidR="0033294D">
        <w:rPr>
          <w:rFonts w:ascii="Arial Nova" w:hAnsi="Arial Nova" w:cs="Times New Roman"/>
          <w:smallCaps/>
          <w:color w:val="002060"/>
        </w:rPr>
        <w:t>25</w:t>
      </w:r>
      <w:r w:rsidRPr="001624A8">
        <w:rPr>
          <w:rFonts w:ascii="Arial Nova" w:hAnsi="Arial Nova" w:cs="Times New Roman"/>
          <w:smallCaps/>
          <w:color w:val="002060"/>
        </w:rPr>
        <w:t>/202</w:t>
      </w:r>
      <w:r w:rsidR="00DD411A">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Pr="00906CC9" w:rsidRDefault="001C01EC" w:rsidP="00906CC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3CDDC7C" w14:textId="77777777" w:rsidR="001624A8" w:rsidRPr="00906CC9" w:rsidRDefault="001624A8" w:rsidP="00906CC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2377F564" w14:textId="0E16F092" w:rsidR="00254487" w:rsidRPr="00254487" w:rsidRDefault="00A259CE" w:rsidP="00254487">
            <w:pPr>
              <w:jc w:val="both"/>
              <w:rPr>
                <w:rFonts w:ascii="Arial Nova" w:hAnsi="Arial Nova" w:cs="Times New Roman"/>
              </w:rPr>
            </w:pPr>
            <w:r>
              <w:rPr>
                <w:rFonts w:ascii="Arial Nova" w:hAnsi="Arial Nova" w:cs="Times New Roman"/>
              </w:rPr>
              <w:t>D</w:t>
            </w:r>
            <w:r w:rsidR="00254487" w:rsidRPr="00254487">
              <w:rPr>
                <w:rFonts w:ascii="Arial Nova" w:hAnsi="Arial Nova" w:cs="Times New Roman"/>
              </w:rPr>
              <w:t xml:space="preserve">erivado de los mismos hechos, </w:t>
            </w:r>
            <w:r w:rsidR="00B64E2D">
              <w:rPr>
                <w:rFonts w:ascii="Arial Nova" w:hAnsi="Arial Nova" w:cs="Times New Roman"/>
              </w:rPr>
              <w:t xml:space="preserve">dos personas </w:t>
            </w:r>
            <w:r w:rsidR="00254487" w:rsidRPr="00254487">
              <w:rPr>
                <w:rFonts w:ascii="Arial Nova" w:hAnsi="Arial Nova" w:cs="Times New Roman"/>
              </w:rPr>
              <w:t xml:space="preserve">fueron sentenciadas por el delito de secuestro exprés agravado, decisión que fue confirmada por el Tribunal de apelación. Una de ellas promovió juicio de amparo directo, el cual le fue concedido por el Tribunal Colegiado del conocimiento para </w:t>
            </w:r>
            <w:r w:rsidR="00B64E2D" w:rsidRPr="00B64E2D">
              <w:rPr>
                <w:rFonts w:ascii="Arial Nova" w:hAnsi="Arial Nova" w:cs="Times New Roman"/>
              </w:rPr>
              <w:t>reclasificar el hecho ilícito al delito de robo calificado, lo que implicó la reducción de su condena</w:t>
            </w:r>
            <w:r w:rsidR="00254487" w:rsidRPr="00254487">
              <w:rPr>
                <w:rFonts w:ascii="Arial Nova" w:hAnsi="Arial Nova" w:cs="Times New Roman"/>
              </w:rPr>
              <w:t>.</w:t>
            </w:r>
          </w:p>
          <w:p w14:paraId="2052CC65" w14:textId="18E1E81A" w:rsidR="00254487" w:rsidRDefault="00254487" w:rsidP="00F43AFE">
            <w:pPr>
              <w:jc w:val="both"/>
              <w:rPr>
                <w:rFonts w:ascii="Arial Nova" w:hAnsi="Arial Nova" w:cs="Times New Roman"/>
              </w:rPr>
            </w:pPr>
          </w:p>
          <w:p w14:paraId="52431A53" w14:textId="516015DE" w:rsidR="00254487" w:rsidRDefault="00254487" w:rsidP="00254487">
            <w:pPr>
              <w:jc w:val="both"/>
              <w:rPr>
                <w:rFonts w:ascii="Arial Nova" w:hAnsi="Arial Nova" w:cs="Times New Roman"/>
              </w:rPr>
            </w:pPr>
            <w:r w:rsidRPr="00254487">
              <w:rPr>
                <w:rFonts w:ascii="Arial Nova" w:hAnsi="Arial Nova" w:cs="Times New Roman"/>
              </w:rPr>
              <w:t>Posteriormente, la otra persona cosentenciada también promovió amparo directo, del cual conoció el mismo Tribunal Colegiado</w:t>
            </w:r>
            <w:r w:rsidR="00B64E2D">
              <w:rPr>
                <w:rFonts w:ascii="Arial Nova" w:hAnsi="Arial Nova" w:cs="Times New Roman"/>
              </w:rPr>
              <w:t xml:space="preserve">. </w:t>
            </w:r>
            <w:r w:rsidR="00B64E2D" w:rsidRPr="00B64E2D">
              <w:rPr>
                <w:rFonts w:ascii="Arial Nova" w:hAnsi="Arial Nova" w:cs="Times New Roman"/>
              </w:rPr>
              <w:t>Sin embargo, para ese momento, la integración del citado órgano ya había cambiado. En la nueva integración, dos de los magistrados de dicho Tribunal consideraban que, a pesar de tratarse del mismo hecho ilícito, no era procedente otorgar el amparo al cosentenciado para que también se reclasificara el delito a robo calificado</w:t>
            </w:r>
            <w:r w:rsidRPr="00254487">
              <w:rPr>
                <w:rFonts w:ascii="Arial Nova" w:hAnsi="Arial Nova" w:cs="Times New Roman"/>
              </w:rPr>
              <w:t>.</w:t>
            </w:r>
          </w:p>
          <w:p w14:paraId="686BEEEA" w14:textId="29F9629C" w:rsidR="00B64E2D" w:rsidRDefault="00B64E2D" w:rsidP="00254487">
            <w:pPr>
              <w:jc w:val="both"/>
              <w:rPr>
                <w:rFonts w:ascii="Arial Nova" w:hAnsi="Arial Nova" w:cs="Times New Roman"/>
              </w:rPr>
            </w:pPr>
          </w:p>
          <w:p w14:paraId="5F48B2DE" w14:textId="1D964502" w:rsidR="00B64E2D" w:rsidRPr="00254487" w:rsidRDefault="00B64E2D" w:rsidP="00254487">
            <w:pPr>
              <w:jc w:val="both"/>
              <w:rPr>
                <w:rFonts w:ascii="Arial Nova" w:hAnsi="Arial Nova" w:cs="Times New Roman"/>
              </w:rPr>
            </w:pPr>
            <w:r w:rsidRPr="00B64E2D">
              <w:rPr>
                <w:rFonts w:ascii="Arial Nova" w:hAnsi="Arial Nova" w:cs="Times New Roman"/>
              </w:rPr>
              <w:t>Por tal motivo, los integrantes del órgano jurisdiccional referido solicitaron a la Suprema Corte que atrajera el asunto para definir si un Tribunal Colegiado de Circuito se encuentra o no obligado a resolver de forma idéntica dos o más asuntos en los que exista igualdad de partes, objeto y causa, cuando uno de ellos ya fue resuelto en una anterior integración.</w:t>
            </w:r>
          </w:p>
          <w:p w14:paraId="2D91ED23" w14:textId="77777777" w:rsidR="00254487" w:rsidRPr="00F43AFE" w:rsidRDefault="00254487" w:rsidP="00F43AFE">
            <w:pPr>
              <w:jc w:val="both"/>
              <w:rPr>
                <w:rFonts w:ascii="Arial Nova" w:hAnsi="Arial Nova" w:cs="Times New Roman"/>
              </w:rPr>
            </w:pPr>
          </w:p>
          <w:p w14:paraId="1182A103" w14:textId="7BB190EA" w:rsidR="00F43AFE" w:rsidRDefault="00254487" w:rsidP="00254487">
            <w:pPr>
              <w:jc w:val="both"/>
              <w:rPr>
                <w:rFonts w:ascii="Arial Nova" w:hAnsi="Arial Nova" w:cs="Times New Roman"/>
              </w:rPr>
            </w:pPr>
            <w:r w:rsidRPr="00254487">
              <w:rPr>
                <w:rFonts w:ascii="Arial Nova" w:hAnsi="Arial Nova" w:cs="Times New Roman"/>
              </w:rPr>
              <w:t xml:space="preserve">En su fallo, la Primera Sala </w:t>
            </w:r>
            <w:r w:rsidR="00B64E2D">
              <w:rPr>
                <w:rFonts w:ascii="Arial Nova" w:hAnsi="Arial Nova" w:cs="Times New Roman"/>
              </w:rPr>
              <w:t xml:space="preserve">resolvió que </w:t>
            </w:r>
            <w:r w:rsidR="00B64E2D" w:rsidRPr="00B64E2D">
              <w:rPr>
                <w:rFonts w:ascii="Arial Nova" w:hAnsi="Arial Nova" w:cs="Times New Roman"/>
              </w:rPr>
              <w:t>cuando una cuestión jurídica ya fue determinada mediante sentencia firme por una autoridad jurisdiccional, el criterio jurídico emitido en ésta será el derecho inmutable que rija para el futuro de esa cuestión en particular, sin que pueda admitirse su modificación posterior, pues un sistema que no provea de coherencia, estabilidad y cierta predictibilidad generaría una severa desconfianza en las personas que acuden ante los tribunales a solicitar el respeto a sus derechos humanos</w:t>
            </w:r>
            <w:r w:rsidRPr="00254487">
              <w:rPr>
                <w:rFonts w:ascii="Arial Nova" w:hAnsi="Arial Nova" w:cs="Times New Roman"/>
              </w:rPr>
              <w:t>.</w:t>
            </w:r>
          </w:p>
          <w:p w14:paraId="0391FC45" w14:textId="77777777" w:rsidR="00B64E2D" w:rsidRDefault="00B64E2D" w:rsidP="00254487">
            <w:pPr>
              <w:jc w:val="both"/>
              <w:rPr>
                <w:rFonts w:ascii="Times New Roman" w:hAnsi="Times New Roman" w:cs="Times New Roman"/>
                <w:sz w:val="20"/>
                <w:szCs w:val="20"/>
              </w:rPr>
            </w:pPr>
          </w:p>
          <w:p w14:paraId="068A96B6" w14:textId="7B3A3862" w:rsidR="00B64E2D" w:rsidRPr="00650F1C" w:rsidRDefault="00B64E2D" w:rsidP="00254487">
            <w:pPr>
              <w:jc w:val="both"/>
              <w:rPr>
                <w:rFonts w:ascii="Times New Roman" w:hAnsi="Times New Roman" w:cs="Times New Roman"/>
                <w:sz w:val="20"/>
                <w:szCs w:val="20"/>
              </w:rPr>
            </w:pPr>
          </w:p>
        </w:tc>
      </w:tr>
    </w:tbl>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19EEB3ED" w14:textId="289F7752" w:rsidR="00A259CE" w:rsidRDefault="00F43AFE" w:rsidP="0033294D">
      <w:pPr>
        <w:spacing w:after="0" w:line="240" w:lineRule="auto"/>
        <w:jc w:val="both"/>
        <w:rPr>
          <w:rFonts w:ascii="Arial Nova" w:hAnsi="Arial Nova" w:cs="Times New Roman"/>
          <w:sz w:val="24"/>
          <w:szCs w:val="24"/>
        </w:rPr>
      </w:pPr>
      <w:r>
        <w:rPr>
          <w:rFonts w:ascii="Arial Nova" w:hAnsi="Arial Nova" w:cs="Times New Roman"/>
          <w:sz w:val="24"/>
          <w:szCs w:val="24"/>
        </w:rPr>
        <w:t xml:space="preserve">En el caso, </w:t>
      </w:r>
      <w:r w:rsidR="00A259CE">
        <w:rPr>
          <w:rFonts w:ascii="Arial Nova" w:hAnsi="Arial Nova" w:cs="Times New Roman"/>
          <w:sz w:val="24"/>
          <w:szCs w:val="24"/>
        </w:rPr>
        <w:t xml:space="preserve">derivado de los </w:t>
      </w:r>
      <w:r w:rsidR="00A259CE" w:rsidRPr="00A259CE">
        <w:rPr>
          <w:rFonts w:ascii="Arial Nova" w:hAnsi="Arial Nova" w:cs="Times New Roman"/>
          <w:sz w:val="24"/>
          <w:szCs w:val="24"/>
        </w:rPr>
        <w:t>mismo</w:t>
      </w:r>
      <w:r w:rsidR="00A259CE">
        <w:rPr>
          <w:rFonts w:ascii="Arial Nova" w:hAnsi="Arial Nova" w:cs="Times New Roman"/>
          <w:sz w:val="24"/>
          <w:szCs w:val="24"/>
        </w:rPr>
        <w:t>s</w:t>
      </w:r>
      <w:r w:rsidR="00A259CE" w:rsidRPr="00A259CE">
        <w:rPr>
          <w:rFonts w:ascii="Arial Nova" w:hAnsi="Arial Nova" w:cs="Times New Roman"/>
          <w:sz w:val="24"/>
          <w:szCs w:val="24"/>
        </w:rPr>
        <w:t xml:space="preserve"> hecho</w:t>
      </w:r>
      <w:r w:rsidR="00A259CE">
        <w:rPr>
          <w:rFonts w:ascii="Arial Nova" w:hAnsi="Arial Nova" w:cs="Times New Roman"/>
          <w:sz w:val="24"/>
          <w:szCs w:val="24"/>
        </w:rPr>
        <w:t>s</w:t>
      </w:r>
      <w:r w:rsidR="00A259CE" w:rsidRPr="00A259CE">
        <w:rPr>
          <w:rFonts w:ascii="Arial Nova" w:hAnsi="Arial Nova" w:cs="Times New Roman"/>
          <w:sz w:val="24"/>
          <w:szCs w:val="24"/>
        </w:rPr>
        <w:t xml:space="preserve"> y con base en las mismas pruebas, </w:t>
      </w:r>
      <w:r w:rsidR="00A259CE">
        <w:rPr>
          <w:rFonts w:ascii="Arial Nova" w:hAnsi="Arial Nova" w:cs="Times New Roman"/>
          <w:sz w:val="24"/>
          <w:szCs w:val="24"/>
        </w:rPr>
        <w:t xml:space="preserve">dos personas </w:t>
      </w:r>
      <w:r w:rsidR="00A259CE" w:rsidRPr="00A259CE">
        <w:rPr>
          <w:rFonts w:ascii="Arial Nova" w:hAnsi="Arial Nova" w:cs="Times New Roman"/>
          <w:sz w:val="24"/>
          <w:szCs w:val="24"/>
        </w:rPr>
        <w:t>fueron sentenciadas por el delito de secuestro exprés agravado</w:t>
      </w:r>
      <w:r w:rsidR="00A259CE">
        <w:rPr>
          <w:rFonts w:ascii="Arial Nova" w:hAnsi="Arial Nova" w:cs="Times New Roman"/>
          <w:sz w:val="24"/>
          <w:szCs w:val="24"/>
        </w:rPr>
        <w:t>.</w:t>
      </w:r>
    </w:p>
    <w:p w14:paraId="08B13EF0" w14:textId="6C6A3A4E" w:rsidR="00A259CE" w:rsidRDefault="00A259CE" w:rsidP="0033294D">
      <w:pPr>
        <w:spacing w:after="0" w:line="240" w:lineRule="auto"/>
        <w:jc w:val="both"/>
        <w:rPr>
          <w:rFonts w:ascii="Arial Nova" w:hAnsi="Arial Nova" w:cs="Times New Roman"/>
          <w:sz w:val="24"/>
          <w:szCs w:val="24"/>
        </w:rPr>
      </w:pPr>
    </w:p>
    <w:p w14:paraId="60A06858" w14:textId="77777777" w:rsidR="00A259CE" w:rsidRPr="00A259CE" w:rsidRDefault="00A259CE" w:rsidP="00A259CE">
      <w:pPr>
        <w:spacing w:after="0" w:line="240" w:lineRule="auto"/>
        <w:jc w:val="both"/>
        <w:rPr>
          <w:rFonts w:ascii="Arial Nova" w:hAnsi="Arial Nova" w:cs="Times New Roman"/>
          <w:sz w:val="24"/>
          <w:szCs w:val="24"/>
        </w:rPr>
      </w:pPr>
      <w:r w:rsidRPr="00A259CE">
        <w:rPr>
          <w:rFonts w:ascii="Arial Nova" w:hAnsi="Arial Nova" w:cs="Times New Roman"/>
          <w:sz w:val="24"/>
          <w:szCs w:val="24"/>
        </w:rPr>
        <w:t>Una de las personas sentenciadas promovió un amparo directo, el cual le fue concedido por el Tribunal Colegiado de Circuito para reclasificar el hecho ilícito al delito de robo calificado, lo que implicó la reducción de su condena.</w:t>
      </w:r>
    </w:p>
    <w:p w14:paraId="04CFDABA" w14:textId="77777777" w:rsidR="00A259CE" w:rsidRPr="00A259CE" w:rsidRDefault="00A259CE" w:rsidP="00A259CE">
      <w:pPr>
        <w:spacing w:after="0" w:line="240" w:lineRule="auto"/>
        <w:jc w:val="both"/>
        <w:rPr>
          <w:rFonts w:ascii="Arial Nova" w:hAnsi="Arial Nova" w:cs="Times New Roman"/>
          <w:sz w:val="24"/>
          <w:szCs w:val="24"/>
        </w:rPr>
      </w:pPr>
    </w:p>
    <w:p w14:paraId="3506D47B" w14:textId="77777777" w:rsidR="00A259CE" w:rsidRPr="00A259CE" w:rsidRDefault="00A259CE" w:rsidP="00A259CE">
      <w:pPr>
        <w:spacing w:after="0" w:line="240" w:lineRule="auto"/>
        <w:jc w:val="both"/>
        <w:rPr>
          <w:rFonts w:ascii="Arial Nova" w:hAnsi="Arial Nova" w:cs="Times New Roman"/>
          <w:sz w:val="24"/>
          <w:szCs w:val="24"/>
        </w:rPr>
      </w:pPr>
      <w:r w:rsidRPr="00A259CE">
        <w:rPr>
          <w:rFonts w:ascii="Arial Nova" w:hAnsi="Arial Nova" w:cs="Times New Roman"/>
          <w:sz w:val="24"/>
          <w:szCs w:val="24"/>
        </w:rPr>
        <w:t>Posteriormente, el otro cosentenciado presentó un amparo directo del cual conoció el mismo Tribunal Colegiado de Circuito. Sin embargo, para ese momento, la integración del citado órgano ya había cambiado. En la nueva integración, dos de los magistrados de dicho Tribunal consideraban que, a pesar de tratarse del mismo hecho ilícito, no era procedente otorgar el amparo al cosentenciado para que también se reclasificara el delito a robo calificado.</w:t>
      </w:r>
    </w:p>
    <w:p w14:paraId="62125463" w14:textId="77777777" w:rsidR="00A259CE" w:rsidRPr="00A259CE" w:rsidRDefault="00A259CE" w:rsidP="00A259CE">
      <w:pPr>
        <w:spacing w:after="0" w:line="240" w:lineRule="auto"/>
        <w:jc w:val="both"/>
        <w:rPr>
          <w:rFonts w:ascii="Arial Nova" w:hAnsi="Arial Nova" w:cs="Times New Roman"/>
          <w:sz w:val="24"/>
          <w:szCs w:val="24"/>
        </w:rPr>
      </w:pPr>
    </w:p>
    <w:p w14:paraId="424BAE75" w14:textId="743C54C5" w:rsidR="00A259CE" w:rsidRDefault="00A259CE" w:rsidP="00A259CE">
      <w:pPr>
        <w:spacing w:after="0" w:line="240" w:lineRule="auto"/>
        <w:jc w:val="both"/>
        <w:rPr>
          <w:rFonts w:ascii="Arial Nova" w:hAnsi="Arial Nova" w:cs="Times New Roman"/>
          <w:sz w:val="24"/>
          <w:szCs w:val="24"/>
        </w:rPr>
      </w:pPr>
      <w:r w:rsidRPr="00A259CE">
        <w:rPr>
          <w:rFonts w:ascii="Arial Nova" w:hAnsi="Arial Nova" w:cs="Times New Roman"/>
          <w:sz w:val="24"/>
          <w:szCs w:val="24"/>
        </w:rPr>
        <w:t>Por tal motivo, los integrantes del órgano jurisdiccional referido solicitaron a la Suprema Corte que atrajera el asunto para definir si un Tribunal Colegiado de Circuito se encuentra o no obligado a resolver de forma idéntica dos o más asuntos en los que exista igualdad de partes, objeto y causa, cuando uno de ellos ya fue resuelto en una anterior integración.</w:t>
      </w:r>
    </w:p>
    <w:p w14:paraId="3B645574" w14:textId="77777777" w:rsidR="00A259CE" w:rsidRDefault="00A259CE" w:rsidP="0033294D">
      <w:pPr>
        <w:spacing w:after="0" w:line="240" w:lineRule="auto"/>
        <w:jc w:val="both"/>
        <w:rPr>
          <w:rFonts w:ascii="Arial Nova" w:hAnsi="Arial Nova" w:cs="Times New Roman"/>
          <w:sz w:val="24"/>
          <w:szCs w:val="24"/>
        </w:rPr>
      </w:pPr>
    </w:p>
    <w:p w14:paraId="6BA52939" w14:textId="4CDF03DC" w:rsidR="0048582B" w:rsidRPr="008B0FEE" w:rsidRDefault="00B323DA" w:rsidP="0058059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A259CE">
      <w:pPr>
        <w:spacing w:after="0" w:line="240" w:lineRule="auto"/>
        <w:jc w:val="both"/>
        <w:rPr>
          <w:rFonts w:ascii="Arial Nova" w:hAnsi="Arial Nova" w:cs="Times New Roman"/>
          <w:b/>
          <w:bCs/>
          <w:sz w:val="24"/>
          <w:szCs w:val="24"/>
          <w:shd w:val="clear" w:color="auto" w:fill="B4C6E7" w:themeFill="accent1" w:themeFillTint="66"/>
        </w:rPr>
      </w:pPr>
    </w:p>
    <w:p w14:paraId="78B932B6" w14:textId="77777777" w:rsidR="00A259CE" w:rsidRPr="00A259CE" w:rsidRDefault="00A259CE" w:rsidP="00A259CE">
      <w:pPr>
        <w:spacing w:after="0" w:line="240" w:lineRule="auto"/>
        <w:jc w:val="both"/>
        <w:rPr>
          <w:rFonts w:ascii="Arial Nova" w:hAnsi="Arial Nova" w:cs="Times New Roman"/>
          <w:sz w:val="24"/>
          <w:szCs w:val="24"/>
        </w:rPr>
      </w:pPr>
      <w:r w:rsidRPr="00A259CE">
        <w:rPr>
          <w:rFonts w:ascii="Arial Nova" w:hAnsi="Arial Nova" w:cs="Times New Roman"/>
          <w:sz w:val="24"/>
          <w:szCs w:val="24"/>
        </w:rPr>
        <w:t>Al resolver el caso, la Primera Sala estableció que cuando una cuestión jurídica ya fue determinada mediante sentencia firme por una autoridad jurisdiccional, el criterio jurídico emitido en ésta será el derecho inmutable que rija para el futuro de esa cuestión en particular, sin que pueda admitirse su modificación posterior, pues un sistema que no provea de coherencia, estabilidad y cierta predictibilidad generaría una severa desconfianza en las personas que acuden ante los tribunales a solicitar el respeto a sus derechos humanos.</w:t>
      </w:r>
    </w:p>
    <w:p w14:paraId="73DB5F75" w14:textId="77777777" w:rsidR="00A259CE" w:rsidRPr="00A259CE" w:rsidRDefault="00A259CE" w:rsidP="00A259CE">
      <w:pPr>
        <w:spacing w:after="0" w:line="240" w:lineRule="auto"/>
        <w:jc w:val="both"/>
        <w:rPr>
          <w:rFonts w:ascii="Arial Nova" w:hAnsi="Arial Nova" w:cs="Times New Roman"/>
          <w:sz w:val="24"/>
          <w:szCs w:val="24"/>
        </w:rPr>
      </w:pPr>
    </w:p>
    <w:p w14:paraId="41EA08B6" w14:textId="77777777" w:rsidR="00A259CE" w:rsidRPr="00A259CE" w:rsidRDefault="00A259CE" w:rsidP="00A259CE">
      <w:pPr>
        <w:spacing w:after="0" w:line="240" w:lineRule="auto"/>
        <w:jc w:val="both"/>
        <w:rPr>
          <w:rFonts w:ascii="Arial Nova" w:hAnsi="Arial Nova" w:cs="Times New Roman"/>
          <w:sz w:val="24"/>
          <w:szCs w:val="24"/>
        </w:rPr>
      </w:pPr>
      <w:r w:rsidRPr="00A259CE">
        <w:rPr>
          <w:rFonts w:ascii="Arial Nova" w:hAnsi="Arial Nova" w:cs="Times New Roman"/>
          <w:sz w:val="24"/>
          <w:szCs w:val="24"/>
        </w:rPr>
        <w:t>Por esa razón, los Tribunales Colegiados de Circuito deben aplicar la misma clasificación jurídica determinada para el mismo hecho ilícito, cuando conozcan de amparos directos promovidos por cosentenciados, incluso cuando sean resueltos con diferentes integraciones.</w:t>
      </w:r>
    </w:p>
    <w:p w14:paraId="4A5CF5AC" w14:textId="77777777" w:rsidR="00A259CE" w:rsidRPr="00A259CE" w:rsidRDefault="00A259CE" w:rsidP="00A259CE">
      <w:pPr>
        <w:spacing w:after="0" w:line="240" w:lineRule="auto"/>
        <w:jc w:val="both"/>
        <w:rPr>
          <w:rFonts w:ascii="Arial Nova" w:hAnsi="Arial Nova" w:cs="Times New Roman"/>
          <w:sz w:val="24"/>
          <w:szCs w:val="24"/>
        </w:rPr>
      </w:pPr>
    </w:p>
    <w:p w14:paraId="43B8B664" w14:textId="4E28808E" w:rsidR="0033294D" w:rsidRPr="0033294D" w:rsidRDefault="00A259CE" w:rsidP="0033294D">
      <w:pPr>
        <w:spacing w:after="0" w:line="240" w:lineRule="auto"/>
        <w:jc w:val="both"/>
        <w:rPr>
          <w:rFonts w:ascii="Arial Nova" w:hAnsi="Arial Nova" w:cs="Times New Roman"/>
          <w:sz w:val="24"/>
          <w:szCs w:val="24"/>
        </w:rPr>
      </w:pPr>
      <w:r w:rsidRPr="00A259CE">
        <w:rPr>
          <w:rFonts w:ascii="Arial Nova" w:hAnsi="Arial Nova" w:cs="Times New Roman"/>
          <w:sz w:val="24"/>
          <w:szCs w:val="24"/>
        </w:rPr>
        <w:t>Así, la Primera Sala llegó a la conclusión de que un cambio de los magistrados que integran los órganos jurisdiccionales no es motivo para desconocer los principios de seguridad jurídica e igualdad ante la ley de todas las personas.</w:t>
      </w:r>
    </w:p>
    <w:p w14:paraId="491EE960" w14:textId="181D2142" w:rsidR="0033294D" w:rsidRDefault="0033294D" w:rsidP="00F43AFE">
      <w:pPr>
        <w:spacing w:after="0" w:line="240" w:lineRule="auto"/>
        <w:jc w:val="both"/>
        <w:rPr>
          <w:rFonts w:ascii="Arial Nova" w:hAnsi="Arial Nova" w:cs="Times New Roman"/>
          <w:sz w:val="24"/>
          <w:szCs w:val="24"/>
        </w:rPr>
      </w:pPr>
    </w:p>
    <w:p w14:paraId="3091A95C" w14:textId="77777777" w:rsidR="00A259CE" w:rsidRPr="00FB544E" w:rsidRDefault="00A259CE" w:rsidP="00F43AFE">
      <w:pPr>
        <w:spacing w:after="0" w:line="240" w:lineRule="auto"/>
        <w:jc w:val="both"/>
        <w:rPr>
          <w:rFonts w:ascii="Arial Nova" w:hAnsi="Arial Nova" w:cs="Times New Roman"/>
          <w:sz w:val="24"/>
          <w:szCs w:val="24"/>
        </w:rPr>
      </w:pPr>
    </w:p>
    <w:p w14:paraId="6555BF86" w14:textId="468A3E49" w:rsidR="0048582B" w:rsidRPr="00642B2A" w:rsidRDefault="00B323DA" w:rsidP="0058059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A259CE">
      <w:pPr>
        <w:spacing w:after="0" w:line="240" w:lineRule="auto"/>
        <w:jc w:val="both"/>
        <w:rPr>
          <w:rFonts w:ascii="Arial Nova" w:hAnsi="Arial Nova" w:cs="Times New Roman"/>
          <w:b/>
          <w:bCs/>
          <w:sz w:val="24"/>
          <w:szCs w:val="24"/>
          <w:shd w:val="clear" w:color="auto" w:fill="B4C6E7" w:themeFill="accent1" w:themeFillTint="66"/>
        </w:rPr>
      </w:pPr>
    </w:p>
    <w:p w14:paraId="0DE01B25" w14:textId="3A923CE8" w:rsidR="00197921" w:rsidRPr="00E32435" w:rsidRDefault="001F4A4B" w:rsidP="000018A2">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FB544E">
        <w:rPr>
          <w:rFonts w:ascii="Arial Nova" w:hAnsi="Arial Nova" w:cs="Times New Roman"/>
          <w:sz w:val="24"/>
          <w:szCs w:val="24"/>
        </w:rPr>
        <w:t xml:space="preserve">26 de abril </w:t>
      </w:r>
      <w:r w:rsidRPr="001F4A4B">
        <w:rPr>
          <w:rFonts w:ascii="Arial Nova" w:hAnsi="Arial Nova" w:cs="Times New Roman"/>
          <w:sz w:val="24"/>
          <w:szCs w:val="24"/>
        </w:rPr>
        <w:t xml:space="preserve">de 2023, por </w:t>
      </w:r>
      <w:r w:rsidR="0033294D">
        <w:rPr>
          <w:rFonts w:ascii="Arial Nova" w:hAnsi="Arial Nova" w:cs="Times New Roman"/>
          <w:sz w:val="24"/>
          <w:szCs w:val="24"/>
        </w:rPr>
        <w:t xml:space="preserve">unanimidad de </w:t>
      </w:r>
      <w:r w:rsidR="00A259CE">
        <w:rPr>
          <w:rFonts w:ascii="Arial Nova" w:hAnsi="Arial Nova" w:cs="Times New Roman"/>
          <w:sz w:val="24"/>
          <w:szCs w:val="24"/>
        </w:rPr>
        <w:t xml:space="preserve">cinco </w:t>
      </w:r>
      <w:r w:rsidR="0033294D">
        <w:rPr>
          <w:rFonts w:ascii="Arial Nova" w:hAnsi="Arial Nova" w:cs="Times New Roman"/>
          <w:sz w:val="24"/>
          <w:szCs w:val="24"/>
        </w:rPr>
        <w:t xml:space="preserve">votos </w:t>
      </w:r>
      <w:r w:rsidR="00B97493" w:rsidRPr="00B97493">
        <w:rPr>
          <w:rFonts w:ascii="Arial Nova" w:hAnsi="Arial Nova" w:cs="Times New Roman"/>
          <w:sz w:val="24"/>
          <w:szCs w:val="24"/>
        </w:rPr>
        <w:t>de los señores Ministros Arturo Zaldívar Lelo de Larrea, quien está con el sentido, pero en contra de los párrafos cuarenta y tres al cuarenta y nueve, cincuenta y dos, cincuenta y seis, sesenta y uno, setenta y uno, y setenta y dos de esta sentencia, además se reserva su derecho a formular voto concurrente; el Ministro Juan Luis González Alcántara Carrancá, quien está con el sentido, pero en contra del párrafo setenta y cuatro y se reservó su derecho a formular voto concurrente; Ministra Ana Margarita Ríos Farjat (Ponente), Ministro Alfredo Gutiérrez Ortiz Mena y Ministro Presidente Jorge Mario Pardo Rebolledo, quien está con el sentido, pero se separa de las consideraciones relativas al principio de igualdad.</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E614" w14:textId="77777777" w:rsidR="008B0F29" w:rsidRDefault="008B0F29" w:rsidP="000A7E7B">
      <w:pPr>
        <w:spacing w:after="0" w:line="240" w:lineRule="auto"/>
      </w:pPr>
      <w:r>
        <w:separator/>
      </w:r>
    </w:p>
    <w:p w14:paraId="1E765A5F" w14:textId="77777777" w:rsidR="008B0F29" w:rsidRDefault="008B0F29"/>
  </w:endnote>
  <w:endnote w:type="continuationSeparator" w:id="0">
    <w:p w14:paraId="644D1EA9" w14:textId="77777777" w:rsidR="008B0F29" w:rsidRDefault="008B0F29" w:rsidP="000A7E7B">
      <w:pPr>
        <w:spacing w:after="0" w:line="240" w:lineRule="auto"/>
      </w:pPr>
      <w:r>
        <w:continuationSeparator/>
      </w:r>
    </w:p>
    <w:p w14:paraId="7D9E14A7" w14:textId="77777777" w:rsidR="008B0F29" w:rsidRDefault="008B0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1DF8" w14:textId="77777777" w:rsidR="008B0F29" w:rsidRDefault="008B0F29" w:rsidP="000A7E7B">
      <w:pPr>
        <w:spacing w:after="0" w:line="240" w:lineRule="auto"/>
      </w:pPr>
      <w:r>
        <w:separator/>
      </w:r>
    </w:p>
    <w:p w14:paraId="27548C1C" w14:textId="77777777" w:rsidR="008B0F29" w:rsidRDefault="008B0F29"/>
  </w:footnote>
  <w:footnote w:type="continuationSeparator" w:id="0">
    <w:p w14:paraId="378E1ABB" w14:textId="77777777" w:rsidR="008B0F29" w:rsidRDefault="008B0F29" w:rsidP="000A7E7B">
      <w:pPr>
        <w:spacing w:after="0" w:line="240" w:lineRule="auto"/>
      </w:pPr>
      <w:r>
        <w:continuationSeparator/>
      </w:r>
    </w:p>
    <w:p w14:paraId="61A44230" w14:textId="77777777" w:rsidR="008B0F29" w:rsidRDefault="008B0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8059E">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BC9C35D" w:rsidR="0048582B" w:rsidRPr="00046D48" w:rsidRDefault="0048582B" w:rsidP="0058059E">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A259CE">
      <w:rPr>
        <w:rFonts w:ascii="Arial Nova" w:hAnsi="Arial Nova" w:cs="Times New Roman"/>
        <w:b/>
        <w:bCs/>
        <w:color w:val="002060"/>
        <w:sz w:val="20"/>
        <w:szCs w:val="20"/>
      </w:rPr>
      <w:t>DIRECTO</w:t>
    </w:r>
    <w:r w:rsidRPr="00046D48">
      <w:rPr>
        <w:rFonts w:ascii="Arial Nova" w:hAnsi="Arial Nova" w:cs="Times New Roman"/>
        <w:b/>
        <w:bCs/>
        <w:color w:val="002060"/>
        <w:sz w:val="20"/>
        <w:szCs w:val="20"/>
      </w:rPr>
      <w:t xml:space="preserve"> </w:t>
    </w:r>
    <w:r w:rsidR="00A259CE">
      <w:rPr>
        <w:rFonts w:ascii="Arial Nova" w:hAnsi="Arial Nova" w:cs="Times New Roman"/>
        <w:b/>
        <w:bCs/>
        <w:color w:val="002060"/>
        <w:sz w:val="20"/>
        <w:szCs w:val="20"/>
      </w:rPr>
      <w:t>25</w:t>
    </w:r>
    <w:r w:rsidRPr="00046D48">
      <w:rPr>
        <w:rFonts w:ascii="Arial Nova" w:hAnsi="Arial Nova" w:cs="Times New Roman"/>
        <w:b/>
        <w:bCs/>
        <w:color w:val="002060"/>
        <w:sz w:val="20"/>
        <w:szCs w:val="20"/>
      </w:rPr>
      <w:t>/202</w:t>
    </w:r>
    <w:r w:rsidR="00DD411A">
      <w:rPr>
        <w:rFonts w:ascii="Arial Nova" w:hAnsi="Arial Nova" w:cs="Times New Roman"/>
        <w:b/>
        <w:bCs/>
        <w:color w:val="002060"/>
        <w:sz w:val="20"/>
        <w:szCs w:val="20"/>
      </w:rPr>
      <w:t>2</w:t>
    </w:r>
  </w:p>
  <w:p w14:paraId="1935EA7D" w14:textId="77777777" w:rsidR="00C12CB3" w:rsidRDefault="00C12CB3" w:rsidP="0058059E">
    <w:pPr>
      <w:ind w:left="39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77FF"/>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B1219"/>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487"/>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27CE"/>
    <w:rsid w:val="00315E53"/>
    <w:rsid w:val="00320183"/>
    <w:rsid w:val="003213F0"/>
    <w:rsid w:val="00322A63"/>
    <w:rsid w:val="00323C00"/>
    <w:rsid w:val="00324F35"/>
    <w:rsid w:val="003266E1"/>
    <w:rsid w:val="00326989"/>
    <w:rsid w:val="0033294D"/>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C7974"/>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7488"/>
    <w:rsid w:val="0058059E"/>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44D4"/>
    <w:rsid w:val="00825464"/>
    <w:rsid w:val="00832148"/>
    <w:rsid w:val="00833EEB"/>
    <w:rsid w:val="00834B10"/>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29"/>
    <w:rsid w:val="008B0FEE"/>
    <w:rsid w:val="008C1837"/>
    <w:rsid w:val="008C2656"/>
    <w:rsid w:val="008C6934"/>
    <w:rsid w:val="008C79D6"/>
    <w:rsid w:val="008E2BAC"/>
    <w:rsid w:val="008E342F"/>
    <w:rsid w:val="00900489"/>
    <w:rsid w:val="0090105E"/>
    <w:rsid w:val="00906CC9"/>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59CE"/>
    <w:rsid w:val="00A2652C"/>
    <w:rsid w:val="00A26C35"/>
    <w:rsid w:val="00A335F8"/>
    <w:rsid w:val="00A340F5"/>
    <w:rsid w:val="00A34118"/>
    <w:rsid w:val="00A356D8"/>
    <w:rsid w:val="00A36297"/>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4EB3"/>
    <w:rsid w:val="00B323DA"/>
    <w:rsid w:val="00B42CE3"/>
    <w:rsid w:val="00B43F5B"/>
    <w:rsid w:val="00B46855"/>
    <w:rsid w:val="00B46A1E"/>
    <w:rsid w:val="00B47781"/>
    <w:rsid w:val="00B50068"/>
    <w:rsid w:val="00B504A2"/>
    <w:rsid w:val="00B50628"/>
    <w:rsid w:val="00B5357A"/>
    <w:rsid w:val="00B62845"/>
    <w:rsid w:val="00B64D08"/>
    <w:rsid w:val="00B64E2D"/>
    <w:rsid w:val="00B65914"/>
    <w:rsid w:val="00B661F6"/>
    <w:rsid w:val="00B6684A"/>
    <w:rsid w:val="00B74258"/>
    <w:rsid w:val="00B765F6"/>
    <w:rsid w:val="00B84509"/>
    <w:rsid w:val="00B85A4A"/>
    <w:rsid w:val="00B85BDF"/>
    <w:rsid w:val="00B878EA"/>
    <w:rsid w:val="00B92B45"/>
    <w:rsid w:val="00B92B8A"/>
    <w:rsid w:val="00B96C3A"/>
    <w:rsid w:val="00B97493"/>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11A"/>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605C3"/>
    <w:rsid w:val="00F63276"/>
    <w:rsid w:val="00F6655B"/>
    <w:rsid w:val="00F66F10"/>
    <w:rsid w:val="00F6787C"/>
    <w:rsid w:val="00F67D19"/>
    <w:rsid w:val="00F751FF"/>
    <w:rsid w:val="00F81918"/>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843</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29</cp:revision>
  <cp:lastPrinted>2021-06-08T20:16:00Z</cp:lastPrinted>
  <dcterms:created xsi:type="dcterms:W3CDTF">2023-04-28T00:15:00Z</dcterms:created>
  <dcterms:modified xsi:type="dcterms:W3CDTF">2023-09-14T21:18:00Z</dcterms:modified>
</cp:coreProperties>
</file>