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C830" w14:textId="77777777" w:rsidR="00280F09" w:rsidRPr="00EC5439" w:rsidRDefault="00280F09" w:rsidP="00024776">
      <w:pPr>
        <w:pStyle w:val="Ttulo1"/>
        <w:spacing w:before="600"/>
      </w:pPr>
      <w:r w:rsidRPr="00EC5439">
        <w:t xml:space="preserve">AMPARO EN REVISIÓN </w:t>
      </w:r>
      <w:r>
        <w:t>550</w:t>
      </w:r>
      <w:r w:rsidRPr="00EC5439">
        <w:t>/20</w:t>
      </w:r>
      <w:r>
        <w:t>22</w:t>
      </w:r>
    </w:p>
    <w:p w14:paraId="670DC6E8" w14:textId="13F489CF" w:rsidR="00280F09" w:rsidRDefault="00280F09" w:rsidP="00280F09">
      <w:pPr>
        <w:pStyle w:val="Ttulo1"/>
        <w:rPr>
          <w:color w:val="C00000"/>
        </w:rPr>
      </w:pPr>
      <w:r w:rsidRPr="00993889">
        <w:t>QUEJOS</w:t>
      </w:r>
      <w:r>
        <w:t>A Y RECURRENTE</w:t>
      </w:r>
      <w:r w:rsidR="00F94CBC">
        <w:t xml:space="preserve"> PRINCIPAL</w:t>
      </w:r>
      <w:r w:rsidRPr="00993889">
        <w:t xml:space="preserve">: </w:t>
      </w:r>
      <w:r w:rsidR="00CC1D15">
        <w:rPr>
          <w:i/>
          <w:iCs/>
        </w:rPr>
        <w:t>MARÍA</w:t>
      </w:r>
    </w:p>
    <w:p w14:paraId="16949A96" w14:textId="77777777" w:rsidR="00280F09" w:rsidRPr="009E2C43" w:rsidRDefault="00280F09" w:rsidP="00280F09">
      <w:pPr>
        <w:pStyle w:val="Ttulo1"/>
        <w:rPr>
          <w:bCs/>
          <w:color w:val="C00000"/>
        </w:rPr>
      </w:pPr>
      <w:r w:rsidRPr="009E2C43">
        <w:rPr>
          <w:bCs/>
        </w:rPr>
        <w:t>RECURRENTE ADHESIV</w:t>
      </w:r>
      <w:r>
        <w:rPr>
          <w:bCs/>
        </w:rPr>
        <w:t>A</w:t>
      </w:r>
      <w:r w:rsidRPr="009E2C43">
        <w:rPr>
          <w:bCs/>
        </w:rPr>
        <w:t xml:space="preserve">: </w:t>
      </w:r>
      <w:r>
        <w:rPr>
          <w:bCs/>
        </w:rPr>
        <w:t>HOSPITAL CIVIL DE GUADALAJARA</w:t>
      </w:r>
    </w:p>
    <w:p w14:paraId="0E239DAA" w14:textId="77777777" w:rsidR="00B67251" w:rsidRPr="00823C55" w:rsidRDefault="00B67251" w:rsidP="00024776">
      <w:pPr>
        <w:spacing w:before="600"/>
        <w:rPr>
          <w:b/>
          <w:sz w:val="26"/>
          <w:szCs w:val="26"/>
        </w:rPr>
      </w:pPr>
      <w:r w:rsidRPr="00823C55">
        <w:rPr>
          <w:b/>
          <w:sz w:val="26"/>
          <w:szCs w:val="26"/>
        </w:rPr>
        <w:t>PONENTE: MINISTRO ALFREDO GUTIÉRREZ ORTIZ MENA</w:t>
      </w:r>
    </w:p>
    <w:p w14:paraId="608521C7" w14:textId="42F02D82" w:rsidR="00673054" w:rsidRDefault="00673054" w:rsidP="00673054">
      <w:pPr>
        <w:spacing w:before="0" w:after="0"/>
        <w:rPr>
          <w:b/>
          <w:sz w:val="26"/>
          <w:szCs w:val="26"/>
        </w:rPr>
      </w:pPr>
      <w:r w:rsidRPr="00993889">
        <w:rPr>
          <w:b/>
          <w:sz w:val="26"/>
          <w:szCs w:val="26"/>
        </w:rPr>
        <w:t>SECRETARIA</w:t>
      </w:r>
      <w:r>
        <w:rPr>
          <w:b/>
          <w:sz w:val="26"/>
          <w:szCs w:val="26"/>
        </w:rPr>
        <w:t>S</w:t>
      </w:r>
      <w:r w:rsidRPr="00993889">
        <w:rPr>
          <w:b/>
          <w:sz w:val="26"/>
          <w:szCs w:val="26"/>
        </w:rPr>
        <w:t>: M.G. ADRIANA ORTEGA ORTIZ</w:t>
      </w:r>
      <w:r w:rsidR="00F06B46">
        <w:rPr>
          <w:b/>
          <w:sz w:val="26"/>
          <w:szCs w:val="26"/>
        </w:rPr>
        <w:t xml:space="preserve"> Y</w:t>
      </w:r>
      <w:r>
        <w:rPr>
          <w:b/>
          <w:sz w:val="26"/>
          <w:szCs w:val="26"/>
        </w:rPr>
        <w:t xml:space="preserve"> LUCÍA I. MOTA CASILLAS</w:t>
      </w:r>
    </w:p>
    <w:p w14:paraId="2B0B6743" w14:textId="77777777" w:rsidR="00B67251" w:rsidRPr="001361EC" w:rsidRDefault="00B67251" w:rsidP="00B67251">
      <w:pPr>
        <w:spacing w:before="360" w:after="360"/>
        <w:jc w:val="center"/>
        <w:rPr>
          <w:rFonts w:ascii="Arial Negrita" w:hAnsi="Arial Negrita"/>
          <w:b/>
          <w:spacing w:val="60"/>
          <w:sz w:val="26"/>
          <w:szCs w:val="26"/>
        </w:rPr>
      </w:pPr>
      <w:r>
        <w:rPr>
          <w:rFonts w:ascii="Arial Negrita" w:hAnsi="Arial Negrita"/>
          <w:b/>
          <w:spacing w:val="60"/>
          <w:sz w:val="26"/>
          <w:szCs w:val="26"/>
        </w:rPr>
        <w:t>ÍNDICE TEMÁTICO</w:t>
      </w:r>
    </w:p>
    <w:tbl>
      <w:tblPr>
        <w:tblStyle w:val="Tablaconcuadrcula"/>
        <w:tblW w:w="9068" w:type="dxa"/>
        <w:tblLook w:val="04A0" w:firstRow="1" w:lastRow="0" w:firstColumn="1" w:lastColumn="0" w:noHBand="0" w:noVBand="1"/>
      </w:tblPr>
      <w:tblGrid>
        <w:gridCol w:w="1134"/>
        <w:gridCol w:w="2265"/>
        <w:gridCol w:w="4535"/>
        <w:gridCol w:w="1134"/>
      </w:tblGrid>
      <w:tr w:rsidR="00B67251" w14:paraId="78EAC60F" w14:textId="77777777" w:rsidTr="00517830">
        <w:tc>
          <w:tcPr>
            <w:tcW w:w="3399" w:type="dxa"/>
            <w:gridSpan w:val="2"/>
            <w:vAlign w:val="center"/>
          </w:tcPr>
          <w:p w14:paraId="6F8548BC" w14:textId="77777777" w:rsidR="00B67251" w:rsidRDefault="00B67251" w:rsidP="00517830">
            <w:pPr>
              <w:spacing w:before="120" w:after="120"/>
              <w:jc w:val="center"/>
              <w:rPr>
                <w:sz w:val="26"/>
                <w:szCs w:val="26"/>
              </w:rPr>
            </w:pPr>
            <w:r>
              <w:rPr>
                <w:b/>
                <w:bCs/>
                <w:sz w:val="22"/>
                <w:szCs w:val="22"/>
              </w:rPr>
              <w:t>Apartado</w:t>
            </w:r>
          </w:p>
        </w:tc>
        <w:tc>
          <w:tcPr>
            <w:tcW w:w="4535" w:type="dxa"/>
            <w:vAlign w:val="center"/>
          </w:tcPr>
          <w:p w14:paraId="67443481" w14:textId="77777777" w:rsidR="00B67251" w:rsidRDefault="00B67251" w:rsidP="00517830">
            <w:pPr>
              <w:spacing w:before="120" w:after="120"/>
              <w:jc w:val="center"/>
              <w:rPr>
                <w:sz w:val="26"/>
                <w:szCs w:val="26"/>
              </w:rPr>
            </w:pPr>
            <w:r>
              <w:rPr>
                <w:b/>
                <w:bCs/>
                <w:sz w:val="22"/>
                <w:szCs w:val="22"/>
              </w:rPr>
              <w:t>Criterio</w:t>
            </w:r>
          </w:p>
        </w:tc>
        <w:tc>
          <w:tcPr>
            <w:tcW w:w="1134" w:type="dxa"/>
            <w:vAlign w:val="center"/>
          </w:tcPr>
          <w:p w14:paraId="3E9F1B65" w14:textId="77777777" w:rsidR="00B67251" w:rsidRDefault="00B67251" w:rsidP="00517830">
            <w:pPr>
              <w:spacing w:before="120" w:after="120"/>
              <w:jc w:val="center"/>
              <w:rPr>
                <w:sz w:val="26"/>
                <w:szCs w:val="26"/>
              </w:rPr>
            </w:pPr>
            <w:r w:rsidRPr="000122AC">
              <w:rPr>
                <w:b/>
                <w:bCs/>
                <w:sz w:val="22"/>
                <w:szCs w:val="22"/>
              </w:rPr>
              <w:t>Páginas</w:t>
            </w:r>
          </w:p>
        </w:tc>
      </w:tr>
      <w:tr w:rsidR="00B67251" w14:paraId="78C57DF1" w14:textId="77777777" w:rsidTr="007B3955">
        <w:tc>
          <w:tcPr>
            <w:tcW w:w="1134" w:type="dxa"/>
            <w:tcBorders>
              <w:bottom w:val="single" w:sz="4" w:space="0" w:color="auto"/>
              <w:right w:val="single" w:sz="4" w:space="0" w:color="auto"/>
            </w:tcBorders>
            <w:vAlign w:val="center"/>
          </w:tcPr>
          <w:p w14:paraId="61BD1B84" w14:textId="77777777" w:rsidR="00B67251" w:rsidRPr="00F8543C" w:rsidRDefault="00B67251" w:rsidP="00517830">
            <w:pPr>
              <w:spacing w:before="120" w:after="120"/>
              <w:jc w:val="center"/>
              <w:rPr>
                <w:b/>
                <w:bCs/>
                <w:sz w:val="22"/>
                <w:szCs w:val="22"/>
              </w:rPr>
            </w:pPr>
            <w:r w:rsidRPr="00F8543C">
              <w:rPr>
                <w:b/>
                <w:bCs/>
                <w:sz w:val="22"/>
                <w:szCs w:val="22"/>
              </w:rPr>
              <w:t>I</w:t>
            </w:r>
          </w:p>
        </w:tc>
        <w:tc>
          <w:tcPr>
            <w:tcW w:w="2265" w:type="dxa"/>
            <w:tcBorders>
              <w:left w:val="single" w:sz="4" w:space="0" w:color="auto"/>
            </w:tcBorders>
            <w:vAlign w:val="center"/>
          </w:tcPr>
          <w:p w14:paraId="2ED590B7" w14:textId="77777777" w:rsidR="00B67251" w:rsidRPr="00F8543C" w:rsidRDefault="00B67251" w:rsidP="00517830">
            <w:pPr>
              <w:spacing w:before="120" w:after="120"/>
              <w:jc w:val="center"/>
              <w:rPr>
                <w:b/>
                <w:bCs/>
                <w:sz w:val="22"/>
                <w:szCs w:val="22"/>
              </w:rPr>
            </w:pPr>
            <w:r>
              <w:rPr>
                <w:b/>
                <w:bCs/>
                <w:sz w:val="22"/>
                <w:szCs w:val="22"/>
              </w:rPr>
              <w:t>ANTECEDENTES DEL CASO</w:t>
            </w:r>
          </w:p>
        </w:tc>
        <w:tc>
          <w:tcPr>
            <w:tcW w:w="4535" w:type="dxa"/>
            <w:vAlign w:val="center"/>
          </w:tcPr>
          <w:p w14:paraId="521D7653" w14:textId="77777777" w:rsidR="00B67251" w:rsidRPr="000122AC" w:rsidRDefault="00B67251" w:rsidP="00517830">
            <w:pPr>
              <w:spacing w:before="120" w:after="120"/>
              <w:rPr>
                <w:sz w:val="22"/>
                <w:szCs w:val="22"/>
              </w:rPr>
            </w:pPr>
            <w:r>
              <w:rPr>
                <w:sz w:val="22"/>
                <w:szCs w:val="22"/>
              </w:rPr>
              <w:t>Se narran los antecedentes del asunto.</w:t>
            </w:r>
          </w:p>
        </w:tc>
        <w:tc>
          <w:tcPr>
            <w:tcW w:w="1134" w:type="dxa"/>
            <w:vAlign w:val="center"/>
          </w:tcPr>
          <w:p w14:paraId="4F5130AF" w14:textId="74FAA695" w:rsidR="00B67251" w:rsidRDefault="00B67251" w:rsidP="00517830">
            <w:pPr>
              <w:spacing w:before="120" w:after="120"/>
              <w:jc w:val="center"/>
              <w:rPr>
                <w:sz w:val="22"/>
                <w:szCs w:val="22"/>
              </w:rPr>
            </w:pPr>
            <w:r>
              <w:rPr>
                <w:sz w:val="22"/>
                <w:szCs w:val="22"/>
              </w:rPr>
              <w:t>2</w:t>
            </w:r>
          </w:p>
        </w:tc>
      </w:tr>
      <w:tr w:rsidR="00B67251" w14:paraId="52E7B22B" w14:textId="77777777" w:rsidTr="007B3955">
        <w:tc>
          <w:tcPr>
            <w:tcW w:w="1134" w:type="dxa"/>
            <w:tcBorders>
              <w:right w:val="single" w:sz="4" w:space="0" w:color="auto"/>
            </w:tcBorders>
            <w:vAlign w:val="center"/>
          </w:tcPr>
          <w:p w14:paraId="4B7D749F" w14:textId="77777777" w:rsidR="00B67251" w:rsidRPr="00F8543C" w:rsidRDefault="00B67251" w:rsidP="00517830">
            <w:pPr>
              <w:spacing w:before="120" w:after="120"/>
              <w:jc w:val="center"/>
              <w:rPr>
                <w:b/>
                <w:bCs/>
                <w:sz w:val="22"/>
                <w:szCs w:val="22"/>
              </w:rPr>
            </w:pPr>
            <w:r w:rsidRPr="00F8543C">
              <w:rPr>
                <w:b/>
                <w:bCs/>
                <w:sz w:val="22"/>
                <w:szCs w:val="22"/>
              </w:rPr>
              <w:t>II</w:t>
            </w:r>
          </w:p>
        </w:tc>
        <w:tc>
          <w:tcPr>
            <w:tcW w:w="2265" w:type="dxa"/>
            <w:tcBorders>
              <w:left w:val="single" w:sz="4" w:space="0" w:color="auto"/>
            </w:tcBorders>
            <w:vAlign w:val="center"/>
          </w:tcPr>
          <w:p w14:paraId="26EFCB29" w14:textId="4EC6A100" w:rsidR="00B67251" w:rsidRPr="00F8543C" w:rsidRDefault="00B67251" w:rsidP="00517830">
            <w:pPr>
              <w:spacing w:before="120" w:after="120"/>
              <w:jc w:val="center"/>
              <w:rPr>
                <w:b/>
                <w:bCs/>
                <w:sz w:val="22"/>
                <w:szCs w:val="22"/>
              </w:rPr>
            </w:pPr>
            <w:r>
              <w:rPr>
                <w:b/>
                <w:bCs/>
                <w:sz w:val="22"/>
                <w:szCs w:val="22"/>
              </w:rPr>
              <w:t>TRÁMITE</w:t>
            </w:r>
            <w:r w:rsidR="00F21E63">
              <w:rPr>
                <w:b/>
                <w:bCs/>
                <w:sz w:val="22"/>
                <w:szCs w:val="22"/>
              </w:rPr>
              <w:t xml:space="preserve"> DEL JUICIO DE AMPARO</w:t>
            </w:r>
          </w:p>
        </w:tc>
        <w:tc>
          <w:tcPr>
            <w:tcW w:w="4535" w:type="dxa"/>
            <w:vAlign w:val="center"/>
          </w:tcPr>
          <w:p w14:paraId="58519DBD" w14:textId="63A15978" w:rsidR="00B67251" w:rsidRPr="000122AC" w:rsidRDefault="00B67251" w:rsidP="00517830">
            <w:pPr>
              <w:spacing w:before="120" w:after="120"/>
              <w:rPr>
                <w:sz w:val="22"/>
                <w:szCs w:val="22"/>
              </w:rPr>
            </w:pPr>
            <w:r>
              <w:rPr>
                <w:sz w:val="22"/>
                <w:szCs w:val="22"/>
              </w:rPr>
              <w:t xml:space="preserve">Se narra el trámite del recurso de </w:t>
            </w:r>
            <w:r w:rsidR="003F310E">
              <w:rPr>
                <w:sz w:val="22"/>
                <w:szCs w:val="22"/>
              </w:rPr>
              <w:t>revisión</w:t>
            </w:r>
            <w:r>
              <w:rPr>
                <w:sz w:val="22"/>
                <w:szCs w:val="22"/>
              </w:rPr>
              <w:t>.</w:t>
            </w:r>
          </w:p>
        </w:tc>
        <w:tc>
          <w:tcPr>
            <w:tcW w:w="1134" w:type="dxa"/>
            <w:vAlign w:val="center"/>
          </w:tcPr>
          <w:p w14:paraId="4E1D3E31" w14:textId="2B4FAEF0" w:rsidR="00B67251" w:rsidRDefault="00B67251" w:rsidP="00517830">
            <w:pPr>
              <w:spacing w:before="120" w:after="120"/>
              <w:jc w:val="center"/>
              <w:rPr>
                <w:sz w:val="22"/>
                <w:szCs w:val="22"/>
              </w:rPr>
            </w:pPr>
            <w:r>
              <w:rPr>
                <w:sz w:val="22"/>
                <w:szCs w:val="22"/>
              </w:rPr>
              <w:t>2</w:t>
            </w:r>
            <w:r w:rsidR="00DB3178">
              <w:rPr>
                <w:sz w:val="22"/>
                <w:szCs w:val="22"/>
              </w:rPr>
              <w:t>-6</w:t>
            </w:r>
          </w:p>
        </w:tc>
      </w:tr>
      <w:tr w:rsidR="00B67251" w14:paraId="190C53AA" w14:textId="77777777" w:rsidTr="007B3955">
        <w:tc>
          <w:tcPr>
            <w:tcW w:w="1134" w:type="dxa"/>
            <w:tcBorders>
              <w:right w:val="single" w:sz="4" w:space="0" w:color="auto"/>
            </w:tcBorders>
            <w:vAlign w:val="center"/>
          </w:tcPr>
          <w:p w14:paraId="1DAB09B1" w14:textId="77777777" w:rsidR="00B67251" w:rsidRPr="00F8543C" w:rsidRDefault="00B67251" w:rsidP="00517830">
            <w:pPr>
              <w:spacing w:before="120" w:after="120"/>
              <w:jc w:val="center"/>
              <w:rPr>
                <w:b/>
                <w:bCs/>
                <w:sz w:val="26"/>
                <w:szCs w:val="26"/>
              </w:rPr>
            </w:pPr>
            <w:r w:rsidRPr="00F8543C">
              <w:rPr>
                <w:b/>
                <w:bCs/>
                <w:sz w:val="22"/>
                <w:szCs w:val="22"/>
              </w:rPr>
              <w:t>III</w:t>
            </w:r>
          </w:p>
        </w:tc>
        <w:tc>
          <w:tcPr>
            <w:tcW w:w="2265" w:type="dxa"/>
            <w:tcBorders>
              <w:left w:val="single" w:sz="4" w:space="0" w:color="auto"/>
            </w:tcBorders>
            <w:vAlign w:val="center"/>
          </w:tcPr>
          <w:p w14:paraId="459F9E9F" w14:textId="77777777" w:rsidR="00B67251" w:rsidRPr="00F8543C" w:rsidRDefault="00B67251" w:rsidP="00517830">
            <w:pPr>
              <w:spacing w:before="120" w:after="120"/>
              <w:jc w:val="center"/>
              <w:rPr>
                <w:b/>
                <w:bCs/>
                <w:sz w:val="22"/>
                <w:szCs w:val="22"/>
              </w:rPr>
            </w:pPr>
            <w:r w:rsidRPr="00F8543C">
              <w:rPr>
                <w:b/>
                <w:bCs/>
                <w:sz w:val="22"/>
                <w:szCs w:val="22"/>
              </w:rPr>
              <w:t>COMPETENCIA</w:t>
            </w:r>
          </w:p>
        </w:tc>
        <w:tc>
          <w:tcPr>
            <w:tcW w:w="4535" w:type="dxa"/>
            <w:vAlign w:val="center"/>
          </w:tcPr>
          <w:p w14:paraId="17951301" w14:textId="09DABE30" w:rsidR="00B67251" w:rsidRDefault="00B67251" w:rsidP="00517830">
            <w:pPr>
              <w:spacing w:before="120" w:after="120"/>
              <w:rPr>
                <w:b/>
                <w:bCs/>
                <w:sz w:val="22"/>
                <w:szCs w:val="22"/>
              </w:rPr>
            </w:pPr>
            <w:r w:rsidRPr="000122AC">
              <w:rPr>
                <w:sz w:val="22"/>
                <w:szCs w:val="22"/>
              </w:rPr>
              <w:t xml:space="preserve">La Primera Sala de esta Suprema Corte es competente para resolver sobre el recurso de </w:t>
            </w:r>
            <w:r w:rsidR="00D111C0">
              <w:rPr>
                <w:sz w:val="22"/>
                <w:szCs w:val="22"/>
              </w:rPr>
              <w:t>revisión</w:t>
            </w:r>
            <w:r w:rsidR="00F661F0">
              <w:rPr>
                <w:sz w:val="22"/>
                <w:szCs w:val="22"/>
              </w:rPr>
              <w:t>, sobre el cual ejerció su facultad de atracción</w:t>
            </w:r>
            <w:r w:rsidRPr="000122AC">
              <w:rPr>
                <w:sz w:val="22"/>
                <w:szCs w:val="22"/>
              </w:rPr>
              <w:t>.</w:t>
            </w:r>
          </w:p>
        </w:tc>
        <w:tc>
          <w:tcPr>
            <w:tcW w:w="1134" w:type="dxa"/>
            <w:vAlign w:val="center"/>
          </w:tcPr>
          <w:p w14:paraId="4D06CDA7" w14:textId="7A8B06E7" w:rsidR="00B67251" w:rsidRPr="00DB3178" w:rsidRDefault="00DB3178" w:rsidP="00517830">
            <w:pPr>
              <w:spacing w:before="120" w:after="120"/>
              <w:jc w:val="center"/>
              <w:rPr>
                <w:sz w:val="22"/>
                <w:szCs w:val="22"/>
              </w:rPr>
            </w:pPr>
            <w:r w:rsidRPr="00DB3178">
              <w:rPr>
                <w:sz w:val="22"/>
                <w:szCs w:val="22"/>
              </w:rPr>
              <w:t>6-7</w:t>
            </w:r>
          </w:p>
        </w:tc>
      </w:tr>
      <w:tr w:rsidR="00A20C18" w14:paraId="277AABED" w14:textId="77777777" w:rsidTr="007B3955">
        <w:tc>
          <w:tcPr>
            <w:tcW w:w="1134" w:type="dxa"/>
            <w:tcBorders>
              <w:right w:val="single" w:sz="4" w:space="0" w:color="auto"/>
            </w:tcBorders>
            <w:vAlign w:val="center"/>
          </w:tcPr>
          <w:p w14:paraId="29CC1A4E" w14:textId="41E5C0D0" w:rsidR="00A20C18" w:rsidRPr="00F8543C" w:rsidRDefault="00A20C18" w:rsidP="00A20C18">
            <w:pPr>
              <w:spacing w:before="120" w:after="120"/>
              <w:jc w:val="center"/>
              <w:rPr>
                <w:b/>
                <w:bCs/>
                <w:sz w:val="22"/>
                <w:szCs w:val="22"/>
              </w:rPr>
            </w:pPr>
            <w:r w:rsidRPr="00F8543C">
              <w:rPr>
                <w:b/>
                <w:bCs/>
                <w:sz w:val="22"/>
                <w:szCs w:val="22"/>
              </w:rPr>
              <w:t>IV</w:t>
            </w:r>
          </w:p>
        </w:tc>
        <w:tc>
          <w:tcPr>
            <w:tcW w:w="2265" w:type="dxa"/>
            <w:tcBorders>
              <w:left w:val="single" w:sz="4" w:space="0" w:color="auto"/>
            </w:tcBorders>
            <w:vAlign w:val="center"/>
          </w:tcPr>
          <w:p w14:paraId="1619DCEF" w14:textId="066D6178" w:rsidR="00A20C18" w:rsidRPr="00F8543C" w:rsidRDefault="00A20C18" w:rsidP="00A20C18">
            <w:pPr>
              <w:spacing w:before="120" w:after="120"/>
              <w:jc w:val="center"/>
              <w:rPr>
                <w:b/>
                <w:bCs/>
                <w:sz w:val="22"/>
                <w:szCs w:val="22"/>
              </w:rPr>
            </w:pPr>
            <w:r>
              <w:rPr>
                <w:b/>
                <w:bCs/>
                <w:sz w:val="22"/>
                <w:szCs w:val="22"/>
              </w:rPr>
              <w:t>OPORTUNIDAD</w:t>
            </w:r>
          </w:p>
        </w:tc>
        <w:tc>
          <w:tcPr>
            <w:tcW w:w="4535" w:type="dxa"/>
            <w:vAlign w:val="center"/>
          </w:tcPr>
          <w:p w14:paraId="793D71F2" w14:textId="2D40DE22" w:rsidR="00A20C18" w:rsidRDefault="00A20C18" w:rsidP="00A20C18">
            <w:pPr>
              <w:spacing w:before="120" w:after="120"/>
              <w:rPr>
                <w:sz w:val="22"/>
                <w:szCs w:val="22"/>
              </w:rPr>
            </w:pPr>
            <w:r>
              <w:rPr>
                <w:sz w:val="22"/>
                <w:szCs w:val="22"/>
              </w:rPr>
              <w:t>El recurso es oportuno.</w:t>
            </w:r>
          </w:p>
        </w:tc>
        <w:tc>
          <w:tcPr>
            <w:tcW w:w="1134" w:type="dxa"/>
            <w:vAlign w:val="center"/>
          </w:tcPr>
          <w:p w14:paraId="454948CD" w14:textId="5D01019A" w:rsidR="00A20C18" w:rsidRPr="00A20C18" w:rsidRDefault="00A20C18" w:rsidP="00A20C18">
            <w:pPr>
              <w:spacing w:before="120" w:after="120"/>
              <w:jc w:val="center"/>
              <w:rPr>
                <w:sz w:val="22"/>
                <w:szCs w:val="22"/>
              </w:rPr>
            </w:pPr>
            <w:r>
              <w:rPr>
                <w:sz w:val="22"/>
                <w:szCs w:val="22"/>
              </w:rPr>
              <w:t>7</w:t>
            </w:r>
          </w:p>
        </w:tc>
      </w:tr>
      <w:tr w:rsidR="00A20C18" w14:paraId="68B9E7A7" w14:textId="77777777" w:rsidTr="007B3955">
        <w:tc>
          <w:tcPr>
            <w:tcW w:w="1134" w:type="dxa"/>
            <w:tcBorders>
              <w:right w:val="single" w:sz="4" w:space="0" w:color="auto"/>
            </w:tcBorders>
            <w:vAlign w:val="center"/>
          </w:tcPr>
          <w:p w14:paraId="08F26BFD" w14:textId="2622D48A" w:rsidR="00A20C18" w:rsidRPr="00F8543C" w:rsidRDefault="00A20C18" w:rsidP="00A20C18">
            <w:pPr>
              <w:spacing w:before="120" w:after="120"/>
              <w:jc w:val="center"/>
              <w:rPr>
                <w:b/>
                <w:bCs/>
                <w:sz w:val="26"/>
                <w:szCs w:val="26"/>
              </w:rPr>
            </w:pPr>
            <w:r w:rsidRPr="00F8543C">
              <w:rPr>
                <w:b/>
                <w:bCs/>
                <w:sz w:val="22"/>
                <w:szCs w:val="22"/>
              </w:rPr>
              <w:t>V</w:t>
            </w:r>
          </w:p>
        </w:tc>
        <w:tc>
          <w:tcPr>
            <w:tcW w:w="2265" w:type="dxa"/>
            <w:tcBorders>
              <w:left w:val="single" w:sz="4" w:space="0" w:color="auto"/>
            </w:tcBorders>
            <w:vAlign w:val="center"/>
          </w:tcPr>
          <w:p w14:paraId="57258A79" w14:textId="0E22C83A" w:rsidR="00A20C18" w:rsidRPr="00F8543C" w:rsidRDefault="00A20C18" w:rsidP="00A20C18">
            <w:pPr>
              <w:spacing w:before="120" w:after="120"/>
              <w:jc w:val="center"/>
              <w:rPr>
                <w:b/>
                <w:bCs/>
                <w:sz w:val="22"/>
                <w:szCs w:val="22"/>
              </w:rPr>
            </w:pPr>
            <w:r w:rsidRPr="00F8543C">
              <w:rPr>
                <w:b/>
                <w:bCs/>
                <w:sz w:val="22"/>
                <w:szCs w:val="22"/>
              </w:rPr>
              <w:t>LEGITIMACIÓN</w:t>
            </w:r>
          </w:p>
        </w:tc>
        <w:tc>
          <w:tcPr>
            <w:tcW w:w="4535" w:type="dxa"/>
            <w:vAlign w:val="center"/>
          </w:tcPr>
          <w:p w14:paraId="563E1B53" w14:textId="72D35CE0" w:rsidR="00A20C18" w:rsidRDefault="00A20C18" w:rsidP="00A20C18">
            <w:pPr>
              <w:spacing w:before="120" w:after="120"/>
              <w:rPr>
                <w:b/>
                <w:bCs/>
                <w:sz w:val="22"/>
                <w:szCs w:val="22"/>
              </w:rPr>
            </w:pPr>
            <w:r>
              <w:rPr>
                <w:sz w:val="22"/>
                <w:szCs w:val="22"/>
              </w:rPr>
              <w:t>El recurso fue presentado por parte legitimada.</w:t>
            </w:r>
          </w:p>
        </w:tc>
        <w:tc>
          <w:tcPr>
            <w:tcW w:w="1134" w:type="dxa"/>
            <w:vAlign w:val="center"/>
          </w:tcPr>
          <w:p w14:paraId="27AB110D" w14:textId="34950412" w:rsidR="00A20C18" w:rsidRPr="00A20C18" w:rsidRDefault="00A20C18" w:rsidP="00A20C18">
            <w:pPr>
              <w:spacing w:before="120" w:after="120"/>
              <w:jc w:val="center"/>
              <w:rPr>
                <w:sz w:val="22"/>
                <w:szCs w:val="22"/>
              </w:rPr>
            </w:pPr>
            <w:r w:rsidRPr="00A20C18">
              <w:rPr>
                <w:sz w:val="22"/>
                <w:szCs w:val="22"/>
              </w:rPr>
              <w:t>7</w:t>
            </w:r>
          </w:p>
        </w:tc>
      </w:tr>
      <w:tr w:rsidR="00A20C18" w14:paraId="7D38288C" w14:textId="77777777" w:rsidTr="007B3955">
        <w:tc>
          <w:tcPr>
            <w:tcW w:w="1134" w:type="dxa"/>
            <w:tcBorders>
              <w:right w:val="single" w:sz="4" w:space="0" w:color="auto"/>
            </w:tcBorders>
            <w:vAlign w:val="center"/>
          </w:tcPr>
          <w:p w14:paraId="3EF8D9E5" w14:textId="214077F8" w:rsidR="00A20C18" w:rsidRPr="00F8543C" w:rsidRDefault="00A20C18" w:rsidP="00A20C18">
            <w:pPr>
              <w:spacing w:before="120" w:after="120"/>
              <w:jc w:val="center"/>
              <w:rPr>
                <w:b/>
                <w:bCs/>
                <w:sz w:val="26"/>
                <w:szCs w:val="26"/>
              </w:rPr>
            </w:pPr>
            <w:r w:rsidRPr="00F8543C">
              <w:rPr>
                <w:b/>
                <w:bCs/>
                <w:sz w:val="22"/>
                <w:szCs w:val="22"/>
              </w:rPr>
              <w:t>VI</w:t>
            </w:r>
          </w:p>
        </w:tc>
        <w:tc>
          <w:tcPr>
            <w:tcW w:w="2265" w:type="dxa"/>
            <w:tcBorders>
              <w:left w:val="single" w:sz="4" w:space="0" w:color="auto"/>
            </w:tcBorders>
            <w:vAlign w:val="center"/>
          </w:tcPr>
          <w:p w14:paraId="6BCBF311" w14:textId="5998F558" w:rsidR="00A20C18" w:rsidRPr="00F8543C" w:rsidRDefault="00A20C18" w:rsidP="00A20C18">
            <w:pPr>
              <w:spacing w:before="120" w:after="120"/>
              <w:jc w:val="center"/>
              <w:rPr>
                <w:b/>
                <w:bCs/>
                <w:sz w:val="22"/>
                <w:szCs w:val="22"/>
              </w:rPr>
            </w:pPr>
            <w:r>
              <w:rPr>
                <w:b/>
                <w:bCs/>
                <w:sz w:val="22"/>
                <w:szCs w:val="22"/>
              </w:rPr>
              <w:t>PROCEDENCIA</w:t>
            </w:r>
          </w:p>
        </w:tc>
        <w:tc>
          <w:tcPr>
            <w:tcW w:w="4535" w:type="dxa"/>
            <w:vAlign w:val="center"/>
          </w:tcPr>
          <w:p w14:paraId="0A38BAF5" w14:textId="625DE3A5" w:rsidR="00A20C18" w:rsidRPr="00A20C18" w:rsidRDefault="00A20C18" w:rsidP="00A20C18">
            <w:pPr>
              <w:spacing w:before="120" w:after="120"/>
              <w:rPr>
                <w:sz w:val="22"/>
                <w:szCs w:val="22"/>
              </w:rPr>
            </w:pPr>
            <w:r w:rsidRPr="00A20C18">
              <w:rPr>
                <w:sz w:val="22"/>
                <w:szCs w:val="22"/>
              </w:rPr>
              <w:t xml:space="preserve">El recurso de </w:t>
            </w:r>
            <w:r w:rsidR="00D111C0" w:rsidRPr="00A20C18">
              <w:rPr>
                <w:sz w:val="22"/>
                <w:szCs w:val="22"/>
              </w:rPr>
              <w:t>revisión</w:t>
            </w:r>
            <w:r w:rsidRPr="00A20C18">
              <w:rPr>
                <w:sz w:val="22"/>
                <w:szCs w:val="22"/>
              </w:rPr>
              <w:t xml:space="preserve"> es procedente</w:t>
            </w:r>
          </w:p>
        </w:tc>
        <w:tc>
          <w:tcPr>
            <w:tcW w:w="1134" w:type="dxa"/>
            <w:vAlign w:val="center"/>
          </w:tcPr>
          <w:p w14:paraId="3D68EC25" w14:textId="1CEEB311" w:rsidR="00A20C18" w:rsidRPr="00A20C18" w:rsidRDefault="00A20C18" w:rsidP="00A20C18">
            <w:pPr>
              <w:spacing w:before="120" w:after="120"/>
              <w:jc w:val="center"/>
              <w:rPr>
                <w:sz w:val="22"/>
                <w:szCs w:val="22"/>
              </w:rPr>
            </w:pPr>
            <w:r w:rsidRPr="00A20C18">
              <w:rPr>
                <w:sz w:val="22"/>
                <w:szCs w:val="22"/>
              </w:rPr>
              <w:t>8</w:t>
            </w:r>
          </w:p>
        </w:tc>
      </w:tr>
      <w:tr w:rsidR="00A20C18" w14:paraId="4A05B8AE" w14:textId="77777777" w:rsidTr="007B3955">
        <w:tc>
          <w:tcPr>
            <w:tcW w:w="1134" w:type="dxa"/>
            <w:tcBorders>
              <w:right w:val="single" w:sz="4" w:space="0" w:color="auto"/>
            </w:tcBorders>
            <w:vAlign w:val="center"/>
          </w:tcPr>
          <w:p w14:paraId="6E786C48" w14:textId="414723A9" w:rsidR="00A20C18" w:rsidRPr="00F8543C" w:rsidRDefault="00A20C18" w:rsidP="00A20C18">
            <w:pPr>
              <w:spacing w:before="120" w:after="120"/>
              <w:jc w:val="center"/>
              <w:rPr>
                <w:b/>
                <w:bCs/>
                <w:sz w:val="26"/>
                <w:szCs w:val="26"/>
              </w:rPr>
            </w:pPr>
            <w:r w:rsidRPr="00F8543C">
              <w:rPr>
                <w:b/>
                <w:bCs/>
                <w:sz w:val="22"/>
                <w:szCs w:val="22"/>
              </w:rPr>
              <w:t>VII</w:t>
            </w:r>
          </w:p>
        </w:tc>
        <w:tc>
          <w:tcPr>
            <w:tcW w:w="2265" w:type="dxa"/>
            <w:tcBorders>
              <w:left w:val="single" w:sz="4" w:space="0" w:color="auto"/>
            </w:tcBorders>
            <w:vAlign w:val="center"/>
          </w:tcPr>
          <w:p w14:paraId="1CDEF5E0" w14:textId="64D9DC1E" w:rsidR="00A20C18" w:rsidRPr="00F8543C" w:rsidRDefault="00F6656D" w:rsidP="00A20C18">
            <w:pPr>
              <w:spacing w:before="120" w:after="120"/>
              <w:jc w:val="center"/>
              <w:rPr>
                <w:b/>
                <w:bCs/>
                <w:sz w:val="22"/>
                <w:szCs w:val="22"/>
              </w:rPr>
            </w:pPr>
            <w:r>
              <w:rPr>
                <w:b/>
                <w:bCs/>
                <w:sz w:val="22"/>
                <w:szCs w:val="22"/>
              </w:rPr>
              <w:t>CUESTIONES PREVIAS</w:t>
            </w:r>
          </w:p>
        </w:tc>
        <w:tc>
          <w:tcPr>
            <w:tcW w:w="4535" w:type="dxa"/>
            <w:vAlign w:val="center"/>
          </w:tcPr>
          <w:p w14:paraId="308B659F" w14:textId="70E08B08" w:rsidR="00A20C18" w:rsidRPr="00F6656D" w:rsidRDefault="00F6656D" w:rsidP="00A20C18">
            <w:pPr>
              <w:spacing w:before="120" w:after="120"/>
              <w:rPr>
                <w:sz w:val="22"/>
                <w:szCs w:val="22"/>
              </w:rPr>
            </w:pPr>
            <w:r w:rsidRPr="00F6656D">
              <w:rPr>
                <w:sz w:val="22"/>
                <w:szCs w:val="22"/>
              </w:rPr>
              <w:t>Se retoman los conceptos de violación, las consideraciones de la sentencia de amparo, y los agravios de la recurrente</w:t>
            </w:r>
            <w:r w:rsidR="00862706">
              <w:rPr>
                <w:sz w:val="22"/>
                <w:szCs w:val="22"/>
              </w:rPr>
              <w:t xml:space="preserve"> principal</w:t>
            </w:r>
            <w:r w:rsidRPr="00F6656D">
              <w:rPr>
                <w:sz w:val="22"/>
                <w:szCs w:val="22"/>
              </w:rPr>
              <w:t xml:space="preserve"> y recurrente </w:t>
            </w:r>
            <w:r w:rsidR="00C37A3D">
              <w:rPr>
                <w:sz w:val="22"/>
                <w:szCs w:val="22"/>
              </w:rPr>
              <w:t>adhesiva</w:t>
            </w:r>
            <w:r w:rsidRPr="00F6656D">
              <w:rPr>
                <w:sz w:val="22"/>
                <w:szCs w:val="22"/>
              </w:rPr>
              <w:t>.</w:t>
            </w:r>
          </w:p>
        </w:tc>
        <w:tc>
          <w:tcPr>
            <w:tcW w:w="1134" w:type="dxa"/>
            <w:vAlign w:val="center"/>
          </w:tcPr>
          <w:p w14:paraId="6EC65708" w14:textId="3AF8AC88" w:rsidR="00A20C18" w:rsidRPr="00C14928" w:rsidRDefault="00F6656D" w:rsidP="00A20C18">
            <w:pPr>
              <w:spacing w:before="120" w:after="120"/>
              <w:jc w:val="center"/>
              <w:rPr>
                <w:sz w:val="22"/>
                <w:szCs w:val="22"/>
              </w:rPr>
            </w:pPr>
            <w:r>
              <w:rPr>
                <w:sz w:val="22"/>
                <w:szCs w:val="22"/>
              </w:rPr>
              <w:t>8-25</w:t>
            </w:r>
          </w:p>
        </w:tc>
      </w:tr>
      <w:tr w:rsidR="00A20C18" w14:paraId="7F826D0D" w14:textId="77777777" w:rsidTr="007B3955">
        <w:tc>
          <w:tcPr>
            <w:tcW w:w="1134" w:type="dxa"/>
            <w:tcBorders>
              <w:bottom w:val="single" w:sz="4" w:space="0" w:color="auto"/>
              <w:right w:val="single" w:sz="4" w:space="0" w:color="auto"/>
            </w:tcBorders>
            <w:vAlign w:val="center"/>
          </w:tcPr>
          <w:p w14:paraId="588ABEE8" w14:textId="36148C25" w:rsidR="00A20C18" w:rsidRPr="00F8543C" w:rsidRDefault="00F6656D" w:rsidP="00A20C18">
            <w:pPr>
              <w:spacing w:before="120" w:after="120"/>
              <w:jc w:val="center"/>
              <w:rPr>
                <w:b/>
                <w:bCs/>
                <w:sz w:val="26"/>
                <w:szCs w:val="26"/>
              </w:rPr>
            </w:pPr>
            <w:r w:rsidRPr="00F8543C">
              <w:rPr>
                <w:b/>
                <w:bCs/>
                <w:sz w:val="22"/>
                <w:szCs w:val="22"/>
              </w:rPr>
              <w:t>VIII</w:t>
            </w:r>
          </w:p>
        </w:tc>
        <w:tc>
          <w:tcPr>
            <w:tcW w:w="2265" w:type="dxa"/>
            <w:tcBorders>
              <w:left w:val="single" w:sz="4" w:space="0" w:color="auto"/>
            </w:tcBorders>
            <w:vAlign w:val="center"/>
          </w:tcPr>
          <w:p w14:paraId="5DCA9FFF" w14:textId="2C2CB61C" w:rsidR="00A20C18" w:rsidRPr="00F8543C" w:rsidRDefault="00F6656D" w:rsidP="00A20C18">
            <w:pPr>
              <w:spacing w:before="120" w:after="120"/>
              <w:jc w:val="center"/>
              <w:rPr>
                <w:b/>
                <w:bCs/>
                <w:sz w:val="22"/>
                <w:szCs w:val="22"/>
              </w:rPr>
            </w:pPr>
            <w:r>
              <w:rPr>
                <w:b/>
                <w:bCs/>
                <w:sz w:val="22"/>
                <w:szCs w:val="22"/>
              </w:rPr>
              <w:t>PRECISIÓN DE LOS ACTOS RECLAMADOS</w:t>
            </w:r>
          </w:p>
        </w:tc>
        <w:tc>
          <w:tcPr>
            <w:tcW w:w="4535" w:type="dxa"/>
            <w:vAlign w:val="center"/>
          </w:tcPr>
          <w:p w14:paraId="65E12E34" w14:textId="77777777" w:rsidR="00A20C18" w:rsidRDefault="00F6656D" w:rsidP="00A20C18">
            <w:pPr>
              <w:spacing w:before="120" w:after="120"/>
              <w:rPr>
                <w:sz w:val="22"/>
                <w:szCs w:val="22"/>
              </w:rPr>
            </w:pPr>
            <w:r>
              <w:rPr>
                <w:sz w:val="22"/>
                <w:szCs w:val="22"/>
              </w:rPr>
              <w:t>Se tienen como actos reclamados:</w:t>
            </w:r>
          </w:p>
          <w:p w14:paraId="6F663BC1" w14:textId="6B5755F5" w:rsidR="00F6656D" w:rsidRDefault="00F6656D" w:rsidP="00F6656D">
            <w:pPr>
              <w:spacing w:before="120" w:after="120"/>
              <w:ind w:left="183"/>
              <w:rPr>
                <w:sz w:val="22"/>
                <w:szCs w:val="22"/>
              </w:rPr>
            </w:pPr>
            <w:r w:rsidRPr="00F6656D">
              <w:rPr>
                <w:sz w:val="22"/>
                <w:szCs w:val="22"/>
              </w:rPr>
              <w:t>a.</w:t>
            </w:r>
            <w:r w:rsidRPr="00F6656D">
              <w:rPr>
                <w:sz w:val="22"/>
                <w:szCs w:val="22"/>
              </w:rPr>
              <w:tab/>
              <w:t xml:space="preserve">La omisión de dar contestación al escrito donde </w:t>
            </w:r>
            <w:r w:rsidR="00C17E57">
              <w:rPr>
                <w:sz w:val="22"/>
                <w:szCs w:val="22"/>
              </w:rPr>
              <w:t>la quejosa</w:t>
            </w:r>
            <w:r w:rsidRPr="00F6656D">
              <w:rPr>
                <w:sz w:val="22"/>
                <w:szCs w:val="22"/>
              </w:rPr>
              <w:t xml:space="preserve"> solicitó la interrupción del embarazo producto de una violación;</w:t>
            </w:r>
          </w:p>
          <w:p w14:paraId="53E5C290" w14:textId="75AF23CA" w:rsidR="00850DA5" w:rsidRDefault="00C17E57" w:rsidP="00F6656D">
            <w:pPr>
              <w:spacing w:before="120" w:after="120"/>
              <w:ind w:left="183"/>
              <w:rPr>
                <w:sz w:val="22"/>
                <w:szCs w:val="22"/>
              </w:rPr>
            </w:pPr>
            <w:r>
              <w:rPr>
                <w:sz w:val="22"/>
                <w:szCs w:val="22"/>
              </w:rPr>
              <w:t xml:space="preserve">b. La falta de diligencia reforzada al atender esa solicitud, dado que se trataba de una </w:t>
            </w:r>
            <w:r w:rsidR="00D111C0">
              <w:rPr>
                <w:sz w:val="22"/>
                <w:szCs w:val="22"/>
              </w:rPr>
              <w:t>adolescente</w:t>
            </w:r>
            <w:r>
              <w:rPr>
                <w:sz w:val="22"/>
                <w:szCs w:val="22"/>
              </w:rPr>
              <w:t xml:space="preserve"> en peligro grave;</w:t>
            </w:r>
          </w:p>
          <w:p w14:paraId="4168F20C" w14:textId="04AA4041" w:rsidR="00F6656D" w:rsidRPr="006D6B12" w:rsidRDefault="00C17E57" w:rsidP="00C17E57">
            <w:pPr>
              <w:spacing w:before="120" w:after="120"/>
              <w:ind w:left="183"/>
              <w:rPr>
                <w:sz w:val="22"/>
                <w:szCs w:val="22"/>
              </w:rPr>
            </w:pPr>
            <w:r>
              <w:rPr>
                <w:sz w:val="22"/>
                <w:szCs w:val="22"/>
              </w:rPr>
              <w:lastRenderedPageBreak/>
              <w:t xml:space="preserve">c. La omisión de prestar el servicio de interrupción de un embarazo forzado, lo que </w:t>
            </w:r>
            <w:r>
              <w:rPr>
                <w:i/>
                <w:iCs/>
                <w:sz w:val="22"/>
                <w:szCs w:val="22"/>
              </w:rPr>
              <w:t>prima facie</w:t>
            </w:r>
            <w:r>
              <w:rPr>
                <w:sz w:val="22"/>
                <w:szCs w:val="22"/>
              </w:rPr>
              <w:t xml:space="preserve"> es una forma de trato cruel, inhumano y degradante.</w:t>
            </w:r>
          </w:p>
        </w:tc>
        <w:tc>
          <w:tcPr>
            <w:tcW w:w="1134" w:type="dxa"/>
            <w:vAlign w:val="center"/>
          </w:tcPr>
          <w:p w14:paraId="721A8C39" w14:textId="50385D0E" w:rsidR="00A20C18" w:rsidRPr="00C14928" w:rsidRDefault="00F6656D" w:rsidP="00A20C18">
            <w:pPr>
              <w:spacing w:before="120" w:after="120"/>
              <w:jc w:val="center"/>
              <w:rPr>
                <w:sz w:val="22"/>
                <w:szCs w:val="22"/>
              </w:rPr>
            </w:pPr>
            <w:r>
              <w:rPr>
                <w:sz w:val="22"/>
                <w:szCs w:val="22"/>
              </w:rPr>
              <w:lastRenderedPageBreak/>
              <w:t>25-28</w:t>
            </w:r>
          </w:p>
        </w:tc>
      </w:tr>
      <w:tr w:rsidR="00F6656D" w14:paraId="03B52CC1" w14:textId="77777777" w:rsidTr="001F17F5">
        <w:tc>
          <w:tcPr>
            <w:tcW w:w="1134" w:type="dxa"/>
            <w:tcBorders>
              <w:bottom w:val="single" w:sz="4" w:space="0" w:color="auto"/>
              <w:right w:val="single" w:sz="4" w:space="0" w:color="auto"/>
            </w:tcBorders>
            <w:vAlign w:val="center"/>
          </w:tcPr>
          <w:p w14:paraId="1CCD1F70" w14:textId="269A5A97" w:rsidR="00F6656D" w:rsidRPr="00F8543C" w:rsidRDefault="00F6656D" w:rsidP="00F6656D">
            <w:pPr>
              <w:spacing w:before="120" w:after="120"/>
              <w:jc w:val="center"/>
              <w:rPr>
                <w:b/>
                <w:bCs/>
                <w:sz w:val="22"/>
                <w:szCs w:val="22"/>
              </w:rPr>
            </w:pPr>
            <w:r w:rsidRPr="00F8543C">
              <w:rPr>
                <w:b/>
                <w:bCs/>
                <w:sz w:val="22"/>
                <w:szCs w:val="22"/>
              </w:rPr>
              <w:t>IX</w:t>
            </w:r>
          </w:p>
        </w:tc>
        <w:tc>
          <w:tcPr>
            <w:tcW w:w="2265" w:type="dxa"/>
            <w:tcBorders>
              <w:left w:val="single" w:sz="4" w:space="0" w:color="auto"/>
              <w:bottom w:val="single" w:sz="4" w:space="0" w:color="auto"/>
            </w:tcBorders>
            <w:vAlign w:val="center"/>
          </w:tcPr>
          <w:p w14:paraId="043BD2E0" w14:textId="771CE901" w:rsidR="00F6656D" w:rsidRPr="00F8543C" w:rsidRDefault="00CB16E3" w:rsidP="00F6656D">
            <w:pPr>
              <w:spacing w:before="120" w:after="120"/>
              <w:jc w:val="center"/>
              <w:rPr>
                <w:b/>
                <w:bCs/>
                <w:sz w:val="22"/>
                <w:szCs w:val="22"/>
              </w:rPr>
            </w:pPr>
            <w:r>
              <w:rPr>
                <w:b/>
                <w:bCs/>
                <w:sz w:val="22"/>
                <w:szCs w:val="22"/>
              </w:rPr>
              <w:t>EVALUACIÓN DEL SOBRESEIMIENTO DECRETADO EN LA SENTENCIA DE AMPARO</w:t>
            </w:r>
          </w:p>
        </w:tc>
        <w:tc>
          <w:tcPr>
            <w:tcW w:w="4535" w:type="dxa"/>
            <w:tcBorders>
              <w:bottom w:val="single" w:sz="4" w:space="0" w:color="auto"/>
            </w:tcBorders>
            <w:vAlign w:val="center"/>
          </w:tcPr>
          <w:p w14:paraId="06157DEC" w14:textId="24DC8B60" w:rsidR="00F6656D" w:rsidRPr="00D70B3D" w:rsidRDefault="00CB16E3" w:rsidP="00F6656D">
            <w:pPr>
              <w:spacing w:before="0" w:after="0"/>
              <w:rPr>
                <w:sz w:val="22"/>
                <w:szCs w:val="22"/>
              </w:rPr>
            </w:pPr>
            <w:r>
              <w:rPr>
                <w:sz w:val="22"/>
                <w:szCs w:val="22"/>
              </w:rPr>
              <w:t>Se</w:t>
            </w:r>
            <w:r w:rsidRPr="00CB16E3">
              <w:rPr>
                <w:sz w:val="22"/>
                <w:szCs w:val="22"/>
              </w:rPr>
              <w:t xml:space="preserve"> revoca</w:t>
            </w:r>
            <w:r>
              <w:rPr>
                <w:sz w:val="22"/>
                <w:szCs w:val="22"/>
              </w:rPr>
              <w:t xml:space="preserve"> </w:t>
            </w:r>
            <w:r w:rsidRPr="00CB16E3">
              <w:rPr>
                <w:sz w:val="22"/>
                <w:szCs w:val="22"/>
              </w:rPr>
              <w:t>el sobreseimiento decretado por la jueza de distrito respecto de</w:t>
            </w:r>
            <w:r>
              <w:rPr>
                <w:sz w:val="22"/>
                <w:szCs w:val="22"/>
              </w:rPr>
              <w:t xml:space="preserve">l Hospital Civil de Guadalajara </w:t>
            </w:r>
            <w:r w:rsidRPr="00CB16E3">
              <w:rPr>
                <w:sz w:val="22"/>
                <w:szCs w:val="22"/>
              </w:rPr>
              <w:t xml:space="preserve">y, en términos del artículo </w:t>
            </w:r>
            <w:r w:rsidR="00925FBE">
              <w:rPr>
                <w:sz w:val="22"/>
                <w:szCs w:val="22"/>
              </w:rPr>
              <w:t>83</w:t>
            </w:r>
            <w:r w:rsidRPr="00CB16E3">
              <w:rPr>
                <w:sz w:val="22"/>
                <w:szCs w:val="22"/>
              </w:rPr>
              <w:t xml:space="preserve"> de la Ley de Amparo, </w:t>
            </w:r>
            <w:r w:rsidR="00C20083">
              <w:rPr>
                <w:sz w:val="22"/>
                <w:szCs w:val="22"/>
              </w:rPr>
              <w:t xml:space="preserve">se </w:t>
            </w:r>
            <w:r w:rsidRPr="00CB16E3">
              <w:rPr>
                <w:sz w:val="22"/>
                <w:szCs w:val="22"/>
              </w:rPr>
              <w:t>procede al estudio de los actos reclamados que la</w:t>
            </w:r>
            <w:r>
              <w:rPr>
                <w:sz w:val="22"/>
                <w:szCs w:val="22"/>
              </w:rPr>
              <w:t xml:space="preserve"> quejosa</w:t>
            </w:r>
            <w:r w:rsidRPr="00CB16E3">
              <w:rPr>
                <w:sz w:val="22"/>
                <w:szCs w:val="22"/>
              </w:rPr>
              <w:t xml:space="preserve"> y su representante le atribuyen.</w:t>
            </w:r>
          </w:p>
        </w:tc>
        <w:tc>
          <w:tcPr>
            <w:tcW w:w="1134" w:type="dxa"/>
            <w:tcBorders>
              <w:bottom w:val="single" w:sz="4" w:space="0" w:color="auto"/>
            </w:tcBorders>
            <w:vAlign w:val="center"/>
          </w:tcPr>
          <w:p w14:paraId="018C7019" w14:textId="562A414C" w:rsidR="00F6656D" w:rsidRDefault="003F39BC" w:rsidP="00F6656D">
            <w:pPr>
              <w:spacing w:before="120" w:after="120"/>
              <w:jc w:val="center"/>
              <w:rPr>
                <w:sz w:val="22"/>
                <w:szCs w:val="22"/>
              </w:rPr>
            </w:pPr>
            <w:r>
              <w:rPr>
                <w:sz w:val="22"/>
                <w:szCs w:val="22"/>
              </w:rPr>
              <w:t>28-31</w:t>
            </w:r>
          </w:p>
        </w:tc>
      </w:tr>
      <w:tr w:rsidR="00B0333A" w14:paraId="02B4ECB1" w14:textId="77777777" w:rsidTr="001F17F5">
        <w:tc>
          <w:tcPr>
            <w:tcW w:w="1134" w:type="dxa"/>
            <w:tcBorders>
              <w:bottom w:val="nil"/>
              <w:right w:val="single" w:sz="4" w:space="0" w:color="auto"/>
            </w:tcBorders>
            <w:vAlign w:val="center"/>
          </w:tcPr>
          <w:p w14:paraId="499E7FC9" w14:textId="2E17E889" w:rsidR="00B0333A" w:rsidRPr="00F8543C" w:rsidRDefault="00B0333A" w:rsidP="00F6656D">
            <w:pPr>
              <w:spacing w:before="120" w:after="120"/>
              <w:jc w:val="center"/>
              <w:rPr>
                <w:b/>
                <w:bCs/>
                <w:sz w:val="22"/>
                <w:szCs w:val="22"/>
              </w:rPr>
            </w:pPr>
            <w:r>
              <w:rPr>
                <w:b/>
                <w:bCs/>
                <w:sz w:val="22"/>
                <w:szCs w:val="22"/>
              </w:rPr>
              <w:t>X</w:t>
            </w:r>
          </w:p>
        </w:tc>
        <w:tc>
          <w:tcPr>
            <w:tcW w:w="2265" w:type="dxa"/>
            <w:tcBorders>
              <w:left w:val="single" w:sz="4" w:space="0" w:color="auto"/>
              <w:bottom w:val="nil"/>
            </w:tcBorders>
            <w:vAlign w:val="center"/>
          </w:tcPr>
          <w:p w14:paraId="609929CB" w14:textId="77777777" w:rsidR="00B0333A" w:rsidRPr="00D70B3D" w:rsidRDefault="00B0333A" w:rsidP="00F6656D">
            <w:pPr>
              <w:spacing w:before="120" w:after="120"/>
              <w:jc w:val="center"/>
              <w:rPr>
                <w:b/>
                <w:bCs/>
                <w:sz w:val="22"/>
                <w:szCs w:val="22"/>
              </w:rPr>
            </w:pPr>
            <w:r w:rsidRPr="00F8543C">
              <w:rPr>
                <w:b/>
                <w:bCs/>
                <w:sz w:val="22"/>
                <w:szCs w:val="22"/>
              </w:rPr>
              <w:t>ESTUDIO DE FONDO</w:t>
            </w:r>
          </w:p>
        </w:tc>
        <w:tc>
          <w:tcPr>
            <w:tcW w:w="4535" w:type="dxa"/>
            <w:tcBorders>
              <w:bottom w:val="nil"/>
            </w:tcBorders>
            <w:vAlign w:val="center"/>
          </w:tcPr>
          <w:p w14:paraId="6EE54089" w14:textId="13F68DEC" w:rsidR="00B0333A" w:rsidRDefault="00B0333A" w:rsidP="00F6656D">
            <w:pPr>
              <w:spacing w:before="0" w:after="0"/>
              <w:rPr>
                <w:sz w:val="22"/>
                <w:szCs w:val="22"/>
              </w:rPr>
            </w:pPr>
          </w:p>
        </w:tc>
        <w:tc>
          <w:tcPr>
            <w:tcW w:w="1134" w:type="dxa"/>
            <w:tcBorders>
              <w:bottom w:val="nil"/>
            </w:tcBorders>
            <w:vAlign w:val="center"/>
          </w:tcPr>
          <w:p w14:paraId="6BE9C845" w14:textId="4C41E76D" w:rsidR="00B0333A" w:rsidRPr="009B6DE5" w:rsidRDefault="00B0333A" w:rsidP="00F6656D">
            <w:pPr>
              <w:spacing w:before="120" w:after="120"/>
              <w:jc w:val="center"/>
              <w:rPr>
                <w:sz w:val="22"/>
                <w:szCs w:val="22"/>
              </w:rPr>
            </w:pPr>
          </w:p>
        </w:tc>
      </w:tr>
      <w:tr w:rsidR="00B0333A" w14:paraId="71BDA883" w14:textId="77777777" w:rsidTr="001F17F5">
        <w:tc>
          <w:tcPr>
            <w:tcW w:w="1134" w:type="dxa"/>
            <w:tcBorders>
              <w:top w:val="nil"/>
              <w:bottom w:val="single" w:sz="4" w:space="0" w:color="auto"/>
              <w:right w:val="single" w:sz="4" w:space="0" w:color="auto"/>
            </w:tcBorders>
            <w:vAlign w:val="center"/>
          </w:tcPr>
          <w:p w14:paraId="07299BDA" w14:textId="77777777" w:rsidR="00B0333A" w:rsidRDefault="00B0333A" w:rsidP="00F6656D">
            <w:pPr>
              <w:spacing w:before="120" w:after="120"/>
              <w:jc w:val="center"/>
              <w:rPr>
                <w:b/>
                <w:bCs/>
                <w:sz w:val="22"/>
                <w:szCs w:val="22"/>
              </w:rPr>
            </w:pPr>
          </w:p>
        </w:tc>
        <w:tc>
          <w:tcPr>
            <w:tcW w:w="2265" w:type="dxa"/>
            <w:tcBorders>
              <w:top w:val="nil"/>
              <w:left w:val="single" w:sz="4" w:space="0" w:color="auto"/>
            </w:tcBorders>
            <w:vAlign w:val="center"/>
          </w:tcPr>
          <w:p w14:paraId="624CBCA8" w14:textId="4C2A631D" w:rsidR="00B0333A" w:rsidRPr="00F8543C" w:rsidRDefault="00E30DB8" w:rsidP="00E30DB8">
            <w:pPr>
              <w:spacing w:before="120" w:after="120"/>
              <w:jc w:val="center"/>
              <w:rPr>
                <w:b/>
                <w:bCs/>
                <w:sz w:val="22"/>
                <w:szCs w:val="22"/>
              </w:rPr>
            </w:pPr>
            <w:r w:rsidRPr="00E30DB8">
              <w:rPr>
                <w:b/>
                <w:bCs/>
                <w:sz w:val="22"/>
                <w:szCs w:val="22"/>
              </w:rPr>
              <w:t>El acceso al aborto como parte del derecho a la salud, la integridad personal y la autonomía reproductiva</w:t>
            </w:r>
          </w:p>
        </w:tc>
        <w:tc>
          <w:tcPr>
            <w:tcW w:w="4535" w:type="dxa"/>
            <w:tcBorders>
              <w:top w:val="nil"/>
            </w:tcBorders>
            <w:vAlign w:val="center"/>
          </w:tcPr>
          <w:p w14:paraId="34EE574B" w14:textId="2A61C739" w:rsidR="00B0333A" w:rsidRPr="00A859DC" w:rsidRDefault="00A859DC" w:rsidP="00F6656D">
            <w:pPr>
              <w:spacing w:before="0" w:after="0"/>
              <w:rPr>
                <w:sz w:val="22"/>
                <w:szCs w:val="22"/>
                <w:lang w:val="es-ES_tradnl"/>
              </w:rPr>
            </w:pPr>
            <w:r>
              <w:rPr>
                <w:sz w:val="22"/>
                <w:szCs w:val="22"/>
              </w:rPr>
              <w:t xml:space="preserve">Con base en </w:t>
            </w:r>
            <w:r w:rsidR="007B3955">
              <w:rPr>
                <w:sz w:val="22"/>
                <w:szCs w:val="22"/>
              </w:rPr>
              <w:t>los precedentes</w:t>
            </w:r>
            <w:r>
              <w:rPr>
                <w:sz w:val="22"/>
                <w:szCs w:val="22"/>
              </w:rPr>
              <w:t xml:space="preserve"> de esta Suprema Corte</w:t>
            </w:r>
            <w:r w:rsidR="007B3955">
              <w:rPr>
                <w:sz w:val="22"/>
                <w:szCs w:val="22"/>
              </w:rPr>
              <w:t xml:space="preserve"> en los que se ha establecido que el acceso al aborto se fundamenta en los derechos a la salud, a la integridad personal, además de la autonomía reproductiva</w:t>
            </w:r>
            <w:r>
              <w:rPr>
                <w:sz w:val="22"/>
                <w:szCs w:val="22"/>
              </w:rPr>
              <w:t xml:space="preserve">, </w:t>
            </w:r>
            <w:r>
              <w:rPr>
                <w:sz w:val="22"/>
                <w:szCs w:val="22"/>
                <w:lang w:val="es-ES_tradnl"/>
              </w:rPr>
              <w:t xml:space="preserve">se estima que </w:t>
            </w:r>
            <w:r w:rsidRPr="00A859DC">
              <w:rPr>
                <w:sz w:val="22"/>
                <w:szCs w:val="22"/>
                <w:lang w:val="es-ES_tradnl"/>
              </w:rPr>
              <w:t>la falta de actividad de las autoridades perpetuó estereotipos sobre la maternidad y colocó sobre la adolescente la carga desproporcionada de asumirla, a pesar del origen violento de su embarazo, los peligros que éste representaba para su salud mental y el hecho de que se trataba de una adolescente que ya había sido madre a edad temprana y en condiciones de precariedad, lo que termina por ubicarla en un círculo vicioso de vulnerabilidad, con lo que las autoridades responsables incurrieron –además– en un acto de discriminación estructural.</w:t>
            </w:r>
          </w:p>
        </w:tc>
        <w:tc>
          <w:tcPr>
            <w:tcW w:w="1134" w:type="dxa"/>
            <w:tcBorders>
              <w:top w:val="nil"/>
            </w:tcBorders>
            <w:vAlign w:val="center"/>
          </w:tcPr>
          <w:p w14:paraId="36979F0E" w14:textId="72215308" w:rsidR="00B0333A" w:rsidRDefault="00E86403" w:rsidP="00F6656D">
            <w:pPr>
              <w:spacing w:before="120" w:after="120"/>
              <w:jc w:val="center"/>
              <w:rPr>
                <w:sz w:val="22"/>
                <w:szCs w:val="22"/>
              </w:rPr>
            </w:pPr>
            <w:r>
              <w:rPr>
                <w:sz w:val="22"/>
                <w:szCs w:val="22"/>
              </w:rPr>
              <w:t>32-56</w:t>
            </w:r>
          </w:p>
        </w:tc>
      </w:tr>
      <w:tr w:rsidR="007B3955" w14:paraId="25BE968C" w14:textId="77777777" w:rsidTr="007B3955">
        <w:tc>
          <w:tcPr>
            <w:tcW w:w="1134" w:type="dxa"/>
            <w:tcBorders>
              <w:right w:val="single" w:sz="4" w:space="0" w:color="auto"/>
            </w:tcBorders>
            <w:vAlign w:val="center"/>
          </w:tcPr>
          <w:p w14:paraId="4E5A1F49" w14:textId="77777777" w:rsidR="007B3955" w:rsidRDefault="007B3955" w:rsidP="00F6656D">
            <w:pPr>
              <w:spacing w:before="120" w:after="120"/>
              <w:jc w:val="center"/>
              <w:rPr>
                <w:b/>
                <w:bCs/>
                <w:sz w:val="22"/>
                <w:szCs w:val="22"/>
              </w:rPr>
            </w:pPr>
          </w:p>
        </w:tc>
        <w:tc>
          <w:tcPr>
            <w:tcW w:w="2265" w:type="dxa"/>
            <w:tcBorders>
              <w:top w:val="nil"/>
              <w:left w:val="single" w:sz="4" w:space="0" w:color="auto"/>
            </w:tcBorders>
            <w:vAlign w:val="center"/>
          </w:tcPr>
          <w:p w14:paraId="726F0497" w14:textId="5B6BF1B6" w:rsidR="007B3955" w:rsidRPr="00E86403" w:rsidRDefault="00E86403" w:rsidP="00E30DB8">
            <w:pPr>
              <w:spacing w:before="120" w:after="120"/>
              <w:jc w:val="center"/>
              <w:rPr>
                <w:b/>
                <w:bCs/>
                <w:sz w:val="22"/>
                <w:szCs w:val="22"/>
                <w:lang w:val="es-ES_tradnl"/>
              </w:rPr>
            </w:pPr>
            <w:r w:rsidRPr="00E86403">
              <w:rPr>
                <w:b/>
                <w:bCs/>
                <w:sz w:val="22"/>
                <w:szCs w:val="22"/>
                <w:lang w:val="es-ES_tradnl"/>
              </w:rPr>
              <w:t>El derecho a interrumpir el embarazo en casos de violación sexual</w:t>
            </w:r>
          </w:p>
        </w:tc>
        <w:tc>
          <w:tcPr>
            <w:tcW w:w="4535" w:type="dxa"/>
            <w:vAlign w:val="center"/>
          </w:tcPr>
          <w:p w14:paraId="2810033A" w14:textId="19F5BD68" w:rsidR="007B3955" w:rsidRPr="00F02FFA" w:rsidRDefault="00E86403" w:rsidP="00F6656D">
            <w:pPr>
              <w:spacing w:before="0" w:after="0"/>
              <w:rPr>
                <w:sz w:val="22"/>
                <w:szCs w:val="22"/>
              </w:rPr>
            </w:pPr>
            <w:r w:rsidRPr="00F02FFA">
              <w:rPr>
                <w:sz w:val="22"/>
                <w:szCs w:val="22"/>
              </w:rPr>
              <w:t xml:space="preserve">Con base en los precedentes de la Primera Sala, se reitera que </w:t>
            </w:r>
            <w:r w:rsidR="00EA2DB8" w:rsidRPr="00F02FFA">
              <w:rPr>
                <w:sz w:val="22"/>
                <w:szCs w:val="22"/>
              </w:rPr>
              <w:t xml:space="preserve">la </w:t>
            </w:r>
            <w:r w:rsidR="00024776">
              <w:rPr>
                <w:sz w:val="22"/>
                <w:szCs w:val="22"/>
              </w:rPr>
              <w:t>dilación en la prestación del servicio de</w:t>
            </w:r>
            <w:r w:rsidR="00EA2DB8" w:rsidRPr="00F02FFA">
              <w:rPr>
                <w:sz w:val="22"/>
                <w:szCs w:val="22"/>
              </w:rPr>
              <w:t xml:space="preserve"> interrupción del embarazo en casos de violación constituye no sólo una falta a la legislación</w:t>
            </w:r>
            <w:r w:rsidR="00F02FFA" w:rsidRPr="00F02FFA">
              <w:rPr>
                <w:sz w:val="22"/>
                <w:szCs w:val="22"/>
              </w:rPr>
              <w:t xml:space="preserve">, </w:t>
            </w:r>
            <w:r w:rsidR="00F02FFA">
              <w:rPr>
                <w:sz w:val="22"/>
                <w:szCs w:val="22"/>
              </w:rPr>
              <w:t>sino</w:t>
            </w:r>
            <w:r w:rsidR="00F02FFA" w:rsidRPr="00F02FFA">
              <w:rPr>
                <w:sz w:val="22"/>
                <w:szCs w:val="22"/>
              </w:rPr>
              <w:t xml:space="preserve"> </w:t>
            </w:r>
            <w:r w:rsidR="00F02FFA" w:rsidRPr="00F02FFA">
              <w:rPr>
                <w:kern w:val="2"/>
                <w:sz w:val="22"/>
                <w:szCs w:val="22"/>
                <w:lang w:val="es-ES_tradnl"/>
                <w14:ligatures w14:val="standardContextual"/>
              </w:rPr>
              <w:t>un desconocimiento de los derechos de una víctima de violación sexual</w:t>
            </w:r>
            <w:r w:rsidR="00F02FFA">
              <w:rPr>
                <w:kern w:val="2"/>
                <w:sz w:val="22"/>
                <w:szCs w:val="22"/>
                <w:lang w:val="es-ES_tradnl"/>
                <w14:ligatures w14:val="standardContextual"/>
              </w:rPr>
              <w:t xml:space="preserve"> y</w:t>
            </w:r>
            <w:r w:rsidR="00FA3476">
              <w:rPr>
                <w:kern w:val="2"/>
                <w:sz w:val="22"/>
                <w:szCs w:val="22"/>
                <w:lang w:val="es-ES_tradnl"/>
                <w14:ligatures w14:val="standardContextual"/>
              </w:rPr>
              <w:t xml:space="preserve"> constituye una forma de tratos crueles e inhumanos.</w:t>
            </w:r>
          </w:p>
        </w:tc>
        <w:tc>
          <w:tcPr>
            <w:tcW w:w="1134" w:type="dxa"/>
            <w:vAlign w:val="center"/>
          </w:tcPr>
          <w:p w14:paraId="095890FB" w14:textId="11396FA4" w:rsidR="007B3955" w:rsidRDefault="00CB2AB9" w:rsidP="00F6656D">
            <w:pPr>
              <w:spacing w:before="120" w:after="120"/>
              <w:jc w:val="center"/>
              <w:rPr>
                <w:sz w:val="22"/>
                <w:szCs w:val="22"/>
              </w:rPr>
            </w:pPr>
            <w:r>
              <w:rPr>
                <w:sz w:val="22"/>
                <w:szCs w:val="22"/>
              </w:rPr>
              <w:t>56-59</w:t>
            </w:r>
          </w:p>
        </w:tc>
      </w:tr>
      <w:tr w:rsidR="007B3955" w14:paraId="69B42AE2" w14:textId="77777777" w:rsidTr="007B3955">
        <w:tc>
          <w:tcPr>
            <w:tcW w:w="1134" w:type="dxa"/>
            <w:tcBorders>
              <w:right w:val="single" w:sz="4" w:space="0" w:color="auto"/>
            </w:tcBorders>
            <w:vAlign w:val="center"/>
          </w:tcPr>
          <w:p w14:paraId="3AC38518" w14:textId="77777777" w:rsidR="007B3955" w:rsidRDefault="007B3955" w:rsidP="00F6656D">
            <w:pPr>
              <w:spacing w:before="120" w:after="120"/>
              <w:jc w:val="center"/>
              <w:rPr>
                <w:b/>
                <w:bCs/>
                <w:sz w:val="22"/>
                <w:szCs w:val="22"/>
              </w:rPr>
            </w:pPr>
          </w:p>
        </w:tc>
        <w:tc>
          <w:tcPr>
            <w:tcW w:w="2265" w:type="dxa"/>
            <w:tcBorders>
              <w:top w:val="nil"/>
              <w:left w:val="single" w:sz="4" w:space="0" w:color="auto"/>
            </w:tcBorders>
            <w:vAlign w:val="center"/>
          </w:tcPr>
          <w:p w14:paraId="79D5B3E5" w14:textId="4BFB4C6F" w:rsidR="007B3955" w:rsidRPr="00E30DB8" w:rsidRDefault="00F02FFA" w:rsidP="00E30DB8">
            <w:pPr>
              <w:spacing w:before="120" w:after="120"/>
              <w:jc w:val="center"/>
              <w:rPr>
                <w:b/>
                <w:bCs/>
                <w:sz w:val="22"/>
                <w:szCs w:val="22"/>
              </w:rPr>
            </w:pPr>
            <w:r>
              <w:rPr>
                <w:b/>
                <w:bCs/>
                <w:sz w:val="22"/>
                <w:szCs w:val="22"/>
              </w:rPr>
              <w:t>El derecho a la reparación integral</w:t>
            </w:r>
          </w:p>
        </w:tc>
        <w:tc>
          <w:tcPr>
            <w:tcW w:w="4535" w:type="dxa"/>
            <w:vAlign w:val="center"/>
          </w:tcPr>
          <w:p w14:paraId="166351A7" w14:textId="798302CC" w:rsidR="007B3955" w:rsidRDefault="00F02FFA" w:rsidP="00F6656D">
            <w:pPr>
              <w:spacing w:before="0" w:after="0"/>
              <w:rPr>
                <w:sz w:val="22"/>
                <w:szCs w:val="22"/>
              </w:rPr>
            </w:pPr>
            <w:r>
              <w:rPr>
                <w:sz w:val="22"/>
                <w:szCs w:val="22"/>
              </w:rPr>
              <w:t xml:space="preserve">Con base en la doctrina de la Suprema Corte sobre reparaciones, se ordenan medidas para reparar el daño provocado a la quejosa por la </w:t>
            </w:r>
            <w:r w:rsidR="00291B83">
              <w:rPr>
                <w:sz w:val="22"/>
                <w:szCs w:val="22"/>
              </w:rPr>
              <w:t>omisión</w:t>
            </w:r>
            <w:r>
              <w:rPr>
                <w:sz w:val="22"/>
                <w:szCs w:val="22"/>
              </w:rPr>
              <w:t xml:space="preserve"> de practicar la interrupción del embarazo, lo que extendió los efectos nocivos en su bienestar</w:t>
            </w:r>
            <w:r w:rsidR="000C7C9B">
              <w:rPr>
                <w:sz w:val="22"/>
                <w:szCs w:val="22"/>
              </w:rPr>
              <w:t xml:space="preserve">, lo que se traduce, </w:t>
            </w:r>
            <w:r w:rsidR="00FA3476">
              <w:rPr>
                <w:kern w:val="2"/>
                <w:sz w:val="22"/>
                <w:szCs w:val="22"/>
                <w:lang w:val="es-ES_tradnl"/>
                <w14:ligatures w14:val="standardContextual"/>
              </w:rPr>
              <w:t xml:space="preserve">por tanto, </w:t>
            </w:r>
            <w:r w:rsidR="000C7C9B">
              <w:rPr>
                <w:kern w:val="2"/>
                <w:sz w:val="22"/>
                <w:szCs w:val="22"/>
                <w:lang w:val="es-ES_tradnl"/>
                <w14:ligatures w14:val="standardContextual"/>
              </w:rPr>
              <w:t xml:space="preserve">en </w:t>
            </w:r>
            <w:r w:rsidR="00FA3476">
              <w:rPr>
                <w:kern w:val="2"/>
                <w:sz w:val="22"/>
                <w:szCs w:val="22"/>
                <w:lang w:val="es-ES_tradnl"/>
                <w14:ligatures w14:val="standardContextual"/>
              </w:rPr>
              <w:t>una violación a sus derechos humanos que debe ser reparada integralmente.</w:t>
            </w:r>
          </w:p>
        </w:tc>
        <w:tc>
          <w:tcPr>
            <w:tcW w:w="1134" w:type="dxa"/>
            <w:vAlign w:val="center"/>
          </w:tcPr>
          <w:p w14:paraId="7B403813" w14:textId="5288F277" w:rsidR="007B3955" w:rsidRDefault="00CB2AB9" w:rsidP="00F6656D">
            <w:pPr>
              <w:spacing w:before="120" w:after="120"/>
              <w:jc w:val="center"/>
              <w:rPr>
                <w:sz w:val="22"/>
                <w:szCs w:val="22"/>
              </w:rPr>
            </w:pPr>
            <w:r>
              <w:rPr>
                <w:sz w:val="22"/>
                <w:szCs w:val="22"/>
              </w:rPr>
              <w:t>59-6</w:t>
            </w:r>
            <w:r w:rsidR="00BE734C">
              <w:rPr>
                <w:sz w:val="22"/>
                <w:szCs w:val="22"/>
              </w:rPr>
              <w:t>6</w:t>
            </w:r>
          </w:p>
        </w:tc>
      </w:tr>
      <w:tr w:rsidR="003F39BC" w14:paraId="03137036" w14:textId="77777777" w:rsidTr="007B3955">
        <w:tc>
          <w:tcPr>
            <w:tcW w:w="1134" w:type="dxa"/>
            <w:tcBorders>
              <w:right w:val="single" w:sz="4" w:space="0" w:color="auto"/>
            </w:tcBorders>
            <w:vAlign w:val="center"/>
          </w:tcPr>
          <w:p w14:paraId="6620C7E1" w14:textId="5929769F" w:rsidR="003F39BC" w:rsidRPr="00F8543C" w:rsidRDefault="003F39BC" w:rsidP="00F6656D">
            <w:pPr>
              <w:spacing w:before="120" w:after="120"/>
              <w:jc w:val="center"/>
              <w:rPr>
                <w:b/>
                <w:bCs/>
                <w:sz w:val="22"/>
                <w:szCs w:val="22"/>
              </w:rPr>
            </w:pPr>
            <w:r>
              <w:rPr>
                <w:b/>
                <w:bCs/>
                <w:sz w:val="22"/>
                <w:szCs w:val="22"/>
              </w:rPr>
              <w:lastRenderedPageBreak/>
              <w:t>XI</w:t>
            </w:r>
          </w:p>
        </w:tc>
        <w:tc>
          <w:tcPr>
            <w:tcW w:w="2265" w:type="dxa"/>
            <w:tcBorders>
              <w:left w:val="single" w:sz="4" w:space="0" w:color="auto"/>
            </w:tcBorders>
            <w:vAlign w:val="center"/>
          </w:tcPr>
          <w:p w14:paraId="12A0EA84" w14:textId="52C36A94" w:rsidR="003F39BC" w:rsidRPr="00F8543C" w:rsidRDefault="000C7C9B" w:rsidP="00F6656D">
            <w:pPr>
              <w:spacing w:before="120" w:after="120"/>
              <w:jc w:val="center"/>
              <w:rPr>
                <w:b/>
                <w:bCs/>
                <w:sz w:val="22"/>
                <w:szCs w:val="22"/>
              </w:rPr>
            </w:pPr>
            <w:r>
              <w:rPr>
                <w:b/>
                <w:bCs/>
                <w:sz w:val="22"/>
                <w:szCs w:val="22"/>
              </w:rPr>
              <w:t>EFECTOS</w:t>
            </w:r>
          </w:p>
        </w:tc>
        <w:tc>
          <w:tcPr>
            <w:tcW w:w="4535" w:type="dxa"/>
            <w:vAlign w:val="center"/>
          </w:tcPr>
          <w:p w14:paraId="42519362" w14:textId="1735F052" w:rsidR="003F39BC" w:rsidRDefault="000C7C9B" w:rsidP="00F6656D">
            <w:pPr>
              <w:spacing w:before="120" w:after="120"/>
              <w:rPr>
                <w:sz w:val="22"/>
                <w:szCs w:val="22"/>
              </w:rPr>
            </w:pPr>
            <w:r>
              <w:rPr>
                <w:sz w:val="22"/>
                <w:szCs w:val="22"/>
              </w:rPr>
              <w:t>Se precisan los efectos de la concesión del amparo</w:t>
            </w:r>
            <w:r w:rsidR="009851C3">
              <w:rPr>
                <w:sz w:val="22"/>
                <w:szCs w:val="22"/>
              </w:rPr>
              <w:t>.</w:t>
            </w:r>
          </w:p>
        </w:tc>
        <w:tc>
          <w:tcPr>
            <w:tcW w:w="1134" w:type="dxa"/>
            <w:vAlign w:val="center"/>
          </w:tcPr>
          <w:p w14:paraId="4E8FF0BD" w14:textId="15CFEAA0" w:rsidR="003F39BC" w:rsidRDefault="00B0333A" w:rsidP="00F6656D">
            <w:pPr>
              <w:spacing w:before="120" w:after="120"/>
              <w:jc w:val="center"/>
              <w:rPr>
                <w:sz w:val="22"/>
                <w:szCs w:val="22"/>
              </w:rPr>
            </w:pPr>
            <w:r>
              <w:rPr>
                <w:sz w:val="22"/>
                <w:szCs w:val="22"/>
              </w:rPr>
              <w:t>6</w:t>
            </w:r>
            <w:r w:rsidR="009E69F3">
              <w:rPr>
                <w:sz w:val="22"/>
                <w:szCs w:val="22"/>
              </w:rPr>
              <w:t>6</w:t>
            </w:r>
            <w:r>
              <w:rPr>
                <w:sz w:val="22"/>
                <w:szCs w:val="22"/>
              </w:rPr>
              <w:t>-69</w:t>
            </w:r>
          </w:p>
        </w:tc>
      </w:tr>
      <w:tr w:rsidR="00F6656D" w14:paraId="609060C7" w14:textId="77777777" w:rsidTr="007B3955">
        <w:tc>
          <w:tcPr>
            <w:tcW w:w="1134" w:type="dxa"/>
            <w:tcBorders>
              <w:right w:val="single" w:sz="4" w:space="0" w:color="auto"/>
            </w:tcBorders>
            <w:vAlign w:val="center"/>
          </w:tcPr>
          <w:p w14:paraId="71E8EBE2" w14:textId="35F37DBB" w:rsidR="00F6656D" w:rsidRPr="00F8543C" w:rsidRDefault="003F39BC" w:rsidP="00F6656D">
            <w:pPr>
              <w:spacing w:before="120" w:after="120"/>
              <w:jc w:val="center"/>
              <w:rPr>
                <w:b/>
                <w:bCs/>
                <w:sz w:val="22"/>
                <w:szCs w:val="22"/>
              </w:rPr>
            </w:pPr>
            <w:r>
              <w:rPr>
                <w:b/>
                <w:bCs/>
                <w:sz w:val="22"/>
                <w:szCs w:val="22"/>
              </w:rPr>
              <w:t>XII</w:t>
            </w:r>
          </w:p>
        </w:tc>
        <w:tc>
          <w:tcPr>
            <w:tcW w:w="2265" w:type="dxa"/>
            <w:tcBorders>
              <w:left w:val="single" w:sz="4" w:space="0" w:color="auto"/>
            </w:tcBorders>
            <w:vAlign w:val="center"/>
          </w:tcPr>
          <w:p w14:paraId="0FAE360B" w14:textId="77777777" w:rsidR="00F6656D" w:rsidRPr="00F8543C" w:rsidRDefault="00F6656D" w:rsidP="00F6656D">
            <w:pPr>
              <w:spacing w:before="120" w:after="120"/>
              <w:jc w:val="center"/>
              <w:rPr>
                <w:b/>
                <w:bCs/>
                <w:sz w:val="22"/>
                <w:szCs w:val="22"/>
              </w:rPr>
            </w:pPr>
            <w:r w:rsidRPr="00F8543C">
              <w:rPr>
                <w:b/>
                <w:bCs/>
                <w:sz w:val="22"/>
                <w:szCs w:val="22"/>
              </w:rPr>
              <w:t>DECISIÓN</w:t>
            </w:r>
          </w:p>
        </w:tc>
        <w:tc>
          <w:tcPr>
            <w:tcW w:w="4535" w:type="dxa"/>
            <w:vAlign w:val="center"/>
          </w:tcPr>
          <w:p w14:paraId="295BEEA2" w14:textId="76DB053D" w:rsidR="00F6656D" w:rsidRDefault="003F39BC" w:rsidP="00F6656D">
            <w:pPr>
              <w:spacing w:before="120" w:after="120"/>
              <w:rPr>
                <w:sz w:val="22"/>
                <w:szCs w:val="22"/>
              </w:rPr>
            </w:pPr>
            <w:r>
              <w:rPr>
                <w:sz w:val="22"/>
                <w:szCs w:val="22"/>
              </w:rPr>
              <w:t>Se revoca</w:t>
            </w:r>
            <w:r w:rsidRPr="003F39BC">
              <w:rPr>
                <w:sz w:val="22"/>
                <w:szCs w:val="22"/>
              </w:rPr>
              <w:t xml:space="preserve"> el sobreseimiento decretado por la jueza de amparo. En cuanto al fondo, </w:t>
            </w:r>
            <w:r>
              <w:rPr>
                <w:sz w:val="22"/>
                <w:szCs w:val="22"/>
              </w:rPr>
              <w:t>se concede</w:t>
            </w:r>
            <w:r w:rsidRPr="003F39BC">
              <w:rPr>
                <w:sz w:val="22"/>
                <w:szCs w:val="22"/>
              </w:rPr>
              <w:t xml:space="preserve"> el amparo para el efecto de que la </w:t>
            </w:r>
            <w:r>
              <w:rPr>
                <w:sz w:val="22"/>
                <w:szCs w:val="22"/>
              </w:rPr>
              <w:t>quejosa</w:t>
            </w:r>
            <w:r w:rsidRPr="003F39BC">
              <w:rPr>
                <w:sz w:val="22"/>
                <w:szCs w:val="22"/>
              </w:rPr>
              <w:t xml:space="preserve"> sea restablecida en el goce de su derecho a la salud y, por la violación de derechos de la que fue víctima, sea reparada de manera integral en todos los daños que se le ocasionaron como consecuencia de la dilación en la prestación del servicio de interrupción del embarazo al que tenía derecho.</w:t>
            </w:r>
          </w:p>
        </w:tc>
        <w:tc>
          <w:tcPr>
            <w:tcW w:w="1134" w:type="dxa"/>
            <w:vAlign w:val="center"/>
          </w:tcPr>
          <w:p w14:paraId="46DE7DE4" w14:textId="4B1F3BF6" w:rsidR="00F6656D" w:rsidRPr="00C14928" w:rsidRDefault="00F15D2E" w:rsidP="00F6656D">
            <w:pPr>
              <w:spacing w:before="120" w:after="120"/>
              <w:jc w:val="center"/>
              <w:rPr>
                <w:sz w:val="22"/>
                <w:szCs w:val="22"/>
              </w:rPr>
            </w:pPr>
            <w:r>
              <w:rPr>
                <w:sz w:val="22"/>
                <w:szCs w:val="22"/>
              </w:rPr>
              <w:t>73</w:t>
            </w:r>
          </w:p>
        </w:tc>
      </w:tr>
      <w:tr w:rsidR="00F6656D" w14:paraId="24201C68" w14:textId="77777777" w:rsidTr="00517830">
        <w:tc>
          <w:tcPr>
            <w:tcW w:w="3399" w:type="dxa"/>
            <w:gridSpan w:val="2"/>
            <w:vAlign w:val="center"/>
          </w:tcPr>
          <w:p w14:paraId="1DDDA10A" w14:textId="77777777" w:rsidR="00F6656D" w:rsidRPr="00F8543C" w:rsidRDefault="00F6656D" w:rsidP="00F6656D">
            <w:pPr>
              <w:spacing w:before="120" w:after="120"/>
              <w:jc w:val="center"/>
              <w:rPr>
                <w:b/>
                <w:bCs/>
                <w:sz w:val="22"/>
                <w:szCs w:val="22"/>
              </w:rPr>
            </w:pPr>
            <w:r>
              <w:rPr>
                <w:b/>
                <w:bCs/>
                <w:sz w:val="22"/>
                <w:szCs w:val="22"/>
              </w:rPr>
              <w:t>PUNTOS RESOLUTIVOS</w:t>
            </w:r>
          </w:p>
        </w:tc>
        <w:tc>
          <w:tcPr>
            <w:tcW w:w="4535" w:type="dxa"/>
            <w:vAlign w:val="center"/>
          </w:tcPr>
          <w:p w14:paraId="1B0A73EB" w14:textId="77777777" w:rsidR="001F473D" w:rsidRPr="001F473D" w:rsidRDefault="001F473D" w:rsidP="001F473D">
            <w:pPr>
              <w:spacing w:before="120" w:after="120"/>
              <w:rPr>
                <w:b/>
                <w:bCs/>
                <w:sz w:val="22"/>
                <w:szCs w:val="22"/>
              </w:rPr>
            </w:pPr>
            <w:r w:rsidRPr="001F473D">
              <w:rPr>
                <w:b/>
                <w:bCs/>
                <w:sz w:val="22"/>
                <w:szCs w:val="22"/>
              </w:rPr>
              <w:t xml:space="preserve">PRIMERO. </w:t>
            </w:r>
            <w:r w:rsidRPr="001F473D">
              <w:rPr>
                <w:sz w:val="22"/>
                <w:szCs w:val="22"/>
              </w:rPr>
              <w:t>Se revoca la sentencia recurrida.</w:t>
            </w:r>
          </w:p>
          <w:p w14:paraId="7B0DB06B" w14:textId="77777777" w:rsidR="001F473D" w:rsidRPr="001F473D" w:rsidRDefault="001F473D" w:rsidP="001F473D">
            <w:pPr>
              <w:spacing w:before="120" w:after="120"/>
              <w:rPr>
                <w:b/>
                <w:bCs/>
                <w:sz w:val="22"/>
                <w:szCs w:val="22"/>
              </w:rPr>
            </w:pPr>
            <w:r w:rsidRPr="001F473D">
              <w:rPr>
                <w:b/>
                <w:bCs/>
                <w:sz w:val="22"/>
                <w:szCs w:val="22"/>
              </w:rPr>
              <w:t xml:space="preserve">SEGUNDO. </w:t>
            </w:r>
            <w:r w:rsidRPr="001F473D">
              <w:rPr>
                <w:sz w:val="22"/>
                <w:szCs w:val="22"/>
              </w:rPr>
              <w:t>Es infundada la revisión adhesiva.</w:t>
            </w:r>
          </w:p>
          <w:p w14:paraId="3F581511" w14:textId="5B225500" w:rsidR="00F6656D" w:rsidRPr="001F473D" w:rsidRDefault="001F473D" w:rsidP="009851C3">
            <w:pPr>
              <w:spacing w:before="120" w:after="120"/>
              <w:rPr>
                <w:b/>
                <w:bCs/>
                <w:sz w:val="22"/>
                <w:szCs w:val="22"/>
              </w:rPr>
            </w:pPr>
            <w:r w:rsidRPr="001F473D">
              <w:rPr>
                <w:b/>
                <w:bCs/>
                <w:sz w:val="22"/>
                <w:szCs w:val="22"/>
              </w:rPr>
              <w:t xml:space="preserve">TERCERO. </w:t>
            </w:r>
            <w:r w:rsidRPr="001F473D">
              <w:rPr>
                <w:sz w:val="22"/>
                <w:szCs w:val="22"/>
              </w:rPr>
              <w:t xml:space="preserve">La Justicia de la Unión ampara y protege a </w:t>
            </w:r>
            <w:r w:rsidRPr="001F473D">
              <w:rPr>
                <w:i/>
                <w:iCs/>
                <w:sz w:val="22"/>
                <w:szCs w:val="22"/>
              </w:rPr>
              <w:t>María</w:t>
            </w:r>
            <w:r w:rsidRPr="001F473D">
              <w:rPr>
                <w:sz w:val="22"/>
                <w:szCs w:val="22"/>
              </w:rPr>
              <w:t xml:space="preserve"> contra los actos y omisiones atribuidos al Secretario de Salud del Estado de Jalisco y al Hospital Civil de Guadalajara, para los efectos precisados en el último apartado de esta ejecutoria.</w:t>
            </w:r>
          </w:p>
        </w:tc>
        <w:tc>
          <w:tcPr>
            <w:tcW w:w="1134" w:type="dxa"/>
            <w:vAlign w:val="center"/>
          </w:tcPr>
          <w:p w14:paraId="312CF0D6" w14:textId="22753BA3" w:rsidR="00F6656D" w:rsidRDefault="00F15D2E" w:rsidP="00F6656D">
            <w:pPr>
              <w:spacing w:before="120" w:after="120"/>
              <w:jc w:val="center"/>
              <w:rPr>
                <w:sz w:val="22"/>
                <w:szCs w:val="22"/>
              </w:rPr>
            </w:pPr>
            <w:r>
              <w:rPr>
                <w:sz w:val="22"/>
                <w:szCs w:val="22"/>
              </w:rPr>
              <w:t>73</w:t>
            </w:r>
          </w:p>
        </w:tc>
      </w:tr>
    </w:tbl>
    <w:p w14:paraId="7EEE9360" w14:textId="77777777" w:rsidR="00B67251" w:rsidRDefault="00B67251" w:rsidP="00B67251">
      <w:pPr>
        <w:spacing w:before="120" w:after="120"/>
        <w:rPr>
          <w:i/>
          <w:sz w:val="26"/>
          <w:szCs w:val="26"/>
        </w:rPr>
      </w:pPr>
    </w:p>
    <w:p w14:paraId="2198C2A9" w14:textId="77777777" w:rsidR="00B67251" w:rsidRPr="001361EC" w:rsidRDefault="00B67251" w:rsidP="00B67251">
      <w:pPr>
        <w:spacing w:before="120" w:after="120"/>
        <w:rPr>
          <w:i/>
          <w:sz w:val="26"/>
          <w:szCs w:val="26"/>
        </w:rPr>
        <w:sectPr w:rsidR="00B67251" w:rsidRPr="001361EC" w:rsidSect="00DC1462">
          <w:headerReference w:type="default" r:id="rId11"/>
          <w:footerReference w:type="even" r:id="rId12"/>
          <w:footerReference w:type="default" r:id="rId13"/>
          <w:pgSz w:w="12242" w:h="19442" w:code="10005"/>
          <w:pgMar w:top="2268" w:right="1469" w:bottom="1701" w:left="1701" w:header="1134" w:footer="1723" w:gutter="0"/>
          <w:pgNumType w:fmt="upperRoman" w:start="1"/>
          <w:cols w:space="708"/>
          <w:titlePg/>
          <w:docGrid w:linePitch="360"/>
        </w:sectPr>
      </w:pPr>
    </w:p>
    <w:p w14:paraId="2A89B33A" w14:textId="70DBE4E7" w:rsidR="009E2C43" w:rsidRPr="00EC5439" w:rsidRDefault="009E2C43" w:rsidP="002802E3">
      <w:pPr>
        <w:pStyle w:val="Ttulo1"/>
        <w:spacing w:before="1200"/>
      </w:pPr>
      <w:r w:rsidRPr="00EC5439">
        <w:lastRenderedPageBreak/>
        <w:t xml:space="preserve">AMPARO EN REVISIÓN </w:t>
      </w:r>
      <w:r>
        <w:t>550</w:t>
      </w:r>
      <w:r w:rsidRPr="00EC5439">
        <w:t>/20</w:t>
      </w:r>
      <w:r>
        <w:t>22</w:t>
      </w:r>
    </w:p>
    <w:p w14:paraId="2AD85DF4" w14:textId="2F521128" w:rsidR="009E2C43" w:rsidRDefault="009E2C43" w:rsidP="009E2C43">
      <w:pPr>
        <w:pStyle w:val="Ttulo1"/>
        <w:rPr>
          <w:color w:val="C00000"/>
        </w:rPr>
      </w:pPr>
      <w:r w:rsidRPr="00993889">
        <w:t>QUEJOS</w:t>
      </w:r>
      <w:r>
        <w:t>A Y RECURRENTE</w:t>
      </w:r>
      <w:r w:rsidRPr="00993889">
        <w:t xml:space="preserve">: </w:t>
      </w:r>
      <w:r w:rsidR="00CC1D15" w:rsidRPr="00CC1D15">
        <w:rPr>
          <w:i/>
          <w:iCs/>
        </w:rPr>
        <w:t>MARÍA</w:t>
      </w:r>
    </w:p>
    <w:p w14:paraId="7713C00B" w14:textId="2700BE12" w:rsidR="009E2C43" w:rsidRPr="009E2C43" w:rsidRDefault="009E2C43" w:rsidP="009E2C43">
      <w:pPr>
        <w:pStyle w:val="Ttulo1"/>
        <w:rPr>
          <w:bCs/>
          <w:color w:val="C00000"/>
        </w:rPr>
      </w:pPr>
      <w:r w:rsidRPr="009E2C43">
        <w:rPr>
          <w:bCs/>
        </w:rPr>
        <w:t>RECURRENTE ADHESIV</w:t>
      </w:r>
      <w:r w:rsidR="006E6944">
        <w:rPr>
          <w:bCs/>
        </w:rPr>
        <w:t>A</w:t>
      </w:r>
      <w:r w:rsidRPr="009E2C43">
        <w:rPr>
          <w:bCs/>
        </w:rPr>
        <w:t xml:space="preserve">: </w:t>
      </w:r>
      <w:r>
        <w:rPr>
          <w:bCs/>
        </w:rPr>
        <w:t>HOSPITAL CIVIL DE GUADALAJARA</w:t>
      </w:r>
    </w:p>
    <w:p w14:paraId="3EC0E077" w14:textId="77777777" w:rsidR="009E2C43" w:rsidRPr="00EB7B9E" w:rsidRDefault="009E2C43" w:rsidP="009E2C43">
      <w:pPr>
        <w:pStyle w:val="Sinespaciado"/>
        <w:spacing w:before="600"/>
      </w:pPr>
      <w:r w:rsidRPr="00EB7B9E">
        <w:t>VISTO BUENO</w:t>
      </w:r>
    </w:p>
    <w:p w14:paraId="08701777" w14:textId="77777777" w:rsidR="009E2C43" w:rsidRPr="00993889" w:rsidRDefault="009E2C43" w:rsidP="009E2C43">
      <w:pPr>
        <w:pStyle w:val="Sinespaciado"/>
      </w:pPr>
      <w:r w:rsidRPr="00993889">
        <w:t>SR. MINISTRO</w:t>
      </w:r>
    </w:p>
    <w:p w14:paraId="4F40E8BA" w14:textId="77777777" w:rsidR="009E2C43" w:rsidRPr="00993889" w:rsidRDefault="009E2C43" w:rsidP="009E2C43">
      <w:pPr>
        <w:spacing w:before="0"/>
        <w:rPr>
          <w:b/>
          <w:sz w:val="26"/>
          <w:szCs w:val="26"/>
        </w:rPr>
      </w:pPr>
      <w:r w:rsidRPr="00993889">
        <w:rPr>
          <w:b/>
          <w:sz w:val="26"/>
          <w:szCs w:val="26"/>
        </w:rPr>
        <w:t>MINISTRO PONENTE: ALFREDO GUTIÉRREZ ORTIZ MENA</w:t>
      </w:r>
    </w:p>
    <w:p w14:paraId="082CFFC4" w14:textId="77777777" w:rsidR="009E2C43" w:rsidRPr="00993889" w:rsidRDefault="009E2C43" w:rsidP="009E2C43">
      <w:pPr>
        <w:pStyle w:val="Sinespaciado"/>
      </w:pPr>
      <w:r w:rsidRPr="00993889">
        <w:t>COTEJÓ</w:t>
      </w:r>
    </w:p>
    <w:p w14:paraId="415CADA9" w14:textId="7BBC6F2E" w:rsidR="009E2C43" w:rsidRPr="00993889" w:rsidRDefault="009E2C43" w:rsidP="009E2C43">
      <w:pPr>
        <w:spacing w:before="0" w:after="0"/>
        <w:rPr>
          <w:b/>
          <w:sz w:val="26"/>
          <w:szCs w:val="26"/>
        </w:rPr>
      </w:pPr>
      <w:r w:rsidRPr="00993889">
        <w:rPr>
          <w:b/>
          <w:sz w:val="26"/>
          <w:szCs w:val="26"/>
        </w:rPr>
        <w:t>SECRETARIA</w:t>
      </w:r>
      <w:r w:rsidR="008335A9">
        <w:rPr>
          <w:b/>
          <w:sz w:val="26"/>
          <w:szCs w:val="26"/>
        </w:rPr>
        <w:t>S</w:t>
      </w:r>
      <w:r w:rsidRPr="00993889">
        <w:rPr>
          <w:b/>
          <w:sz w:val="26"/>
          <w:szCs w:val="26"/>
        </w:rPr>
        <w:t>: M.G. ADRIANA ORTEGA ORTIZ</w:t>
      </w:r>
      <w:r w:rsidR="00F06B46">
        <w:rPr>
          <w:b/>
          <w:sz w:val="26"/>
          <w:szCs w:val="26"/>
        </w:rPr>
        <w:t xml:space="preserve"> Y</w:t>
      </w:r>
      <w:r w:rsidR="00714938">
        <w:rPr>
          <w:b/>
          <w:sz w:val="26"/>
          <w:szCs w:val="26"/>
        </w:rPr>
        <w:t xml:space="preserve"> LUCÍA I. MOTA CASILLAS</w:t>
      </w:r>
    </w:p>
    <w:p w14:paraId="1B7F13B9" w14:textId="53C03680" w:rsidR="009E2C43" w:rsidRDefault="009E2C43" w:rsidP="009E2C43">
      <w:pPr>
        <w:spacing w:before="0" w:after="0"/>
        <w:rPr>
          <w:b/>
          <w:sz w:val="26"/>
          <w:szCs w:val="26"/>
        </w:rPr>
      </w:pPr>
      <w:r>
        <w:rPr>
          <w:b/>
          <w:sz w:val="26"/>
          <w:szCs w:val="26"/>
        </w:rPr>
        <w:t>COLABOR</w:t>
      </w:r>
      <w:r w:rsidR="00AC45AA">
        <w:rPr>
          <w:b/>
          <w:sz w:val="26"/>
          <w:szCs w:val="26"/>
        </w:rPr>
        <w:t>ARON</w:t>
      </w:r>
      <w:r>
        <w:rPr>
          <w:b/>
          <w:sz w:val="26"/>
          <w:szCs w:val="26"/>
        </w:rPr>
        <w:t xml:space="preserve">: </w:t>
      </w:r>
      <w:r w:rsidR="00EF6089">
        <w:rPr>
          <w:b/>
          <w:sz w:val="26"/>
          <w:szCs w:val="26"/>
        </w:rPr>
        <w:t>VICTORIA ORANTES JORDAN</w:t>
      </w:r>
      <w:r w:rsidR="00714938">
        <w:rPr>
          <w:b/>
          <w:sz w:val="26"/>
          <w:szCs w:val="26"/>
        </w:rPr>
        <w:t xml:space="preserve"> Y </w:t>
      </w:r>
      <w:r w:rsidR="00AC45AA">
        <w:rPr>
          <w:b/>
          <w:sz w:val="26"/>
          <w:szCs w:val="26"/>
        </w:rPr>
        <w:t>MARTINA HARDY PÉREZ</w:t>
      </w:r>
    </w:p>
    <w:p w14:paraId="75246630" w14:textId="3365397E" w:rsidR="009E2C43" w:rsidRPr="00993889" w:rsidRDefault="009E2C43" w:rsidP="009E2C43">
      <w:pPr>
        <w:pStyle w:val="Prrafo"/>
      </w:pPr>
      <w:r w:rsidRPr="00993889">
        <w:t xml:space="preserve">Ciudad de México. La Primera Sala de la Suprema Corte de Justicia de la Nación, en sesión correspondiente al </w:t>
      </w:r>
      <w:r w:rsidR="00561B80">
        <w:t>22 de mayo de 2024</w:t>
      </w:r>
      <w:r w:rsidRPr="00993889">
        <w:t>, emite la siguiente:</w:t>
      </w:r>
    </w:p>
    <w:p w14:paraId="1071324E" w14:textId="77777777" w:rsidR="009E2C43" w:rsidRPr="00993889" w:rsidRDefault="009E2C43" w:rsidP="009E2C43">
      <w:pPr>
        <w:pStyle w:val="Ttulo2"/>
      </w:pPr>
      <w:r w:rsidRPr="00993889">
        <w:t>SENTENCIA</w:t>
      </w:r>
    </w:p>
    <w:p w14:paraId="61A39F58" w14:textId="6F9FE030" w:rsidR="009E2C43" w:rsidRDefault="009E2C43" w:rsidP="009E2C43">
      <w:pPr>
        <w:pStyle w:val="Prrafo"/>
      </w:pPr>
      <w:r w:rsidRPr="00EB7B9E">
        <w:t>Mediante</w:t>
      </w:r>
      <w:r w:rsidRPr="00EB7B9E">
        <w:rPr>
          <w:b/>
        </w:rPr>
        <w:t xml:space="preserve"> </w:t>
      </w:r>
      <w:r w:rsidRPr="00EB7B9E">
        <w:t xml:space="preserve">la cual se resuelve el amparo en revisión </w:t>
      </w:r>
      <w:r>
        <w:t>550</w:t>
      </w:r>
      <w:r w:rsidRPr="00EB7B9E">
        <w:t>/20</w:t>
      </w:r>
      <w:r>
        <w:t>22</w:t>
      </w:r>
      <w:r w:rsidR="003974FF">
        <w:t>,</w:t>
      </w:r>
      <w:r w:rsidRPr="00EB7B9E">
        <w:t xml:space="preserve"> interpuesto por </w:t>
      </w:r>
      <w:r w:rsidR="00CC1D15">
        <w:rPr>
          <w:i/>
          <w:iCs/>
        </w:rPr>
        <w:t>María</w:t>
      </w:r>
      <w:r w:rsidR="003974FF" w:rsidRPr="00561B80">
        <w:t>,</w:t>
      </w:r>
      <w:r w:rsidRPr="00561B80">
        <w:t xml:space="preserve"> contra </w:t>
      </w:r>
      <w:r w:rsidRPr="00EB7B9E">
        <w:t xml:space="preserve">la resolución de </w:t>
      </w:r>
      <w:r>
        <w:t>9 de diciembre de 202</w:t>
      </w:r>
      <w:r w:rsidR="003974FF">
        <w:t>1,</w:t>
      </w:r>
      <w:r w:rsidRPr="00EB7B9E">
        <w:t xml:space="preserve"> dictada por </w:t>
      </w:r>
      <w:r w:rsidR="00200E2E">
        <w:t>la Jueza</w:t>
      </w:r>
      <w:r w:rsidRPr="00EB7B9E">
        <w:t xml:space="preserve"> </w:t>
      </w:r>
      <w:r>
        <w:t>Decimop</w:t>
      </w:r>
      <w:r w:rsidRPr="00EB7B9E">
        <w:t>rimer</w:t>
      </w:r>
      <w:r w:rsidR="00200E2E">
        <w:t>a</w:t>
      </w:r>
      <w:r w:rsidRPr="00EB7B9E">
        <w:t xml:space="preserve"> de Distrito en </w:t>
      </w:r>
      <w:r>
        <w:t xml:space="preserve">Materias Administrativa, Civil y de Trabajo en </w:t>
      </w:r>
      <w:r w:rsidRPr="00993889">
        <w:t xml:space="preserve">el Estado de </w:t>
      </w:r>
      <w:r>
        <w:t>Jalisco</w:t>
      </w:r>
      <w:r w:rsidRPr="00993889">
        <w:t xml:space="preserve">, en el expediente de amparo indirecto </w:t>
      </w:r>
      <w:r w:rsidR="00696DE3">
        <w:rPr>
          <w:color w:val="C00000"/>
        </w:rPr>
        <w:t>****</w:t>
      </w:r>
      <w:r w:rsidRPr="00993889">
        <w:t>.</w:t>
      </w:r>
    </w:p>
    <w:p w14:paraId="62C0ECC0" w14:textId="2909F516" w:rsidR="00DC2878" w:rsidRDefault="0096042A" w:rsidP="009E2C43">
      <w:pPr>
        <w:pStyle w:val="Prrafo"/>
      </w:pPr>
      <w:r>
        <w:t>Los</w:t>
      </w:r>
      <w:r w:rsidR="009E2C43" w:rsidRPr="00993889">
        <w:t xml:space="preserve"> problema</w:t>
      </w:r>
      <w:r>
        <w:t>s</w:t>
      </w:r>
      <w:r w:rsidR="009E2C43" w:rsidRPr="00993889">
        <w:t xml:space="preserve"> jurídico</w:t>
      </w:r>
      <w:r>
        <w:t>s</w:t>
      </w:r>
      <w:r w:rsidR="00E97863">
        <w:t xml:space="preserve"> que esta </w:t>
      </w:r>
      <w:r w:rsidR="009E2C43" w:rsidRPr="00993889">
        <w:t xml:space="preserve">Primera Sala de la Suprema Corte de Justicia de la Nación </w:t>
      </w:r>
      <w:r w:rsidR="00E97863">
        <w:t xml:space="preserve">debe resolver </w:t>
      </w:r>
      <w:r>
        <w:t xml:space="preserve">son los </w:t>
      </w:r>
      <w:r w:rsidR="00E97863">
        <w:t>siguiente</w:t>
      </w:r>
      <w:r>
        <w:t>s</w:t>
      </w:r>
      <w:r w:rsidR="00E97863">
        <w:t>:</w:t>
      </w:r>
    </w:p>
    <w:p w14:paraId="4FE6F635" w14:textId="43031181" w:rsidR="00884540" w:rsidRDefault="00E97863" w:rsidP="009E2C43">
      <w:pPr>
        <w:pStyle w:val="Prrafo"/>
      </w:pPr>
      <w:r>
        <w:t>¿L</w:t>
      </w:r>
      <w:r w:rsidR="002C60FB" w:rsidRPr="00D4348A">
        <w:t xml:space="preserve">as autoridades </w:t>
      </w:r>
      <w:r w:rsidR="00787E11">
        <w:t xml:space="preserve">sanitarias señaladas como </w:t>
      </w:r>
      <w:r w:rsidR="002C60FB" w:rsidRPr="00D4348A">
        <w:t xml:space="preserve">responsables incumplieron las obligaciones derivadas </w:t>
      </w:r>
      <w:r w:rsidR="00EE7C18">
        <w:t>del derecho a la salud</w:t>
      </w:r>
      <w:r w:rsidR="00286EF7">
        <w:t>,</w:t>
      </w:r>
      <w:r w:rsidR="00286EF7" w:rsidRPr="003C3E2E">
        <w:t xml:space="preserve"> a la vida, a la integridad personal, a la igualdad y no discriminación,</w:t>
      </w:r>
      <w:r w:rsidR="00286EF7">
        <w:t xml:space="preserve"> </w:t>
      </w:r>
      <w:r w:rsidR="00286EF7" w:rsidRPr="003C3E2E">
        <w:t xml:space="preserve">a la autonomía reproductiva, a </w:t>
      </w:r>
      <w:r w:rsidR="00286EF7">
        <w:t>aquellos que c</w:t>
      </w:r>
      <w:r w:rsidR="00286EF7" w:rsidRPr="003C3E2E">
        <w:t xml:space="preserve">orresponden </w:t>
      </w:r>
      <w:r w:rsidR="00286EF7">
        <w:t xml:space="preserve">a las </w:t>
      </w:r>
      <w:r w:rsidR="00286EF7" w:rsidRPr="003C3E2E">
        <w:t>víctima</w:t>
      </w:r>
      <w:r w:rsidR="00286EF7">
        <w:t>s</w:t>
      </w:r>
      <w:r w:rsidR="00286EF7" w:rsidRPr="003C3E2E">
        <w:t xml:space="preserve"> del delito y </w:t>
      </w:r>
      <w:r w:rsidR="00286EF7">
        <w:t xml:space="preserve">del </w:t>
      </w:r>
      <w:r w:rsidR="00286EF7" w:rsidRPr="003C3E2E">
        <w:t>principio de interés superior de la niñez</w:t>
      </w:r>
      <w:r w:rsidR="00286EF7">
        <w:t xml:space="preserve"> y adolescencia</w:t>
      </w:r>
      <w:r>
        <w:t>?</w:t>
      </w:r>
      <w:r w:rsidR="002C60FB" w:rsidRPr="00D4348A">
        <w:t xml:space="preserve"> </w:t>
      </w:r>
      <w:r>
        <w:t>¿S</w:t>
      </w:r>
      <w:r w:rsidR="002C60FB" w:rsidRPr="00D4348A">
        <w:t xml:space="preserve">u actuación satisfizo los estándares aceptables para atender y proporcionar servicios de atención médica </w:t>
      </w:r>
      <w:r w:rsidR="001E7A14">
        <w:t>–</w:t>
      </w:r>
      <w:r w:rsidR="002C60FB" w:rsidRPr="00D4348A">
        <w:t>en particular, de la interrupción d</w:t>
      </w:r>
      <w:r w:rsidR="005D46C6">
        <w:t>e un embarazo forzado</w:t>
      </w:r>
      <w:r w:rsidR="001E7A14">
        <w:t xml:space="preserve">– </w:t>
      </w:r>
      <w:r w:rsidR="002C60FB" w:rsidRPr="00D4348A">
        <w:t>con la debida diligencia y urgencia</w:t>
      </w:r>
      <w:r w:rsidR="006E6944">
        <w:t xml:space="preserve"> que exigen estos servicios</w:t>
      </w:r>
      <w:r>
        <w:t>?</w:t>
      </w:r>
    </w:p>
    <w:p w14:paraId="697E3F99" w14:textId="77777777" w:rsidR="009E2C43" w:rsidRPr="00993889" w:rsidRDefault="009E2C43" w:rsidP="009E2C43">
      <w:pPr>
        <w:pStyle w:val="Ttulo3"/>
      </w:pPr>
      <w:r w:rsidRPr="00993889">
        <w:t>ANTECEDENTES DEL CASO</w:t>
      </w:r>
    </w:p>
    <w:p w14:paraId="541AEA44" w14:textId="5901F338" w:rsidR="00B8391C" w:rsidRDefault="00B8391C" w:rsidP="00B8391C">
      <w:pPr>
        <w:pStyle w:val="Prrafo"/>
        <w:numPr>
          <w:ilvl w:val="0"/>
          <w:numId w:val="3"/>
        </w:numPr>
        <w:ind w:left="0" w:hanging="567"/>
      </w:pPr>
      <w:r>
        <w:lastRenderedPageBreak/>
        <w:t xml:space="preserve">La joven </w:t>
      </w:r>
      <w:r w:rsidR="00696DE3">
        <w:rPr>
          <w:i/>
          <w:iCs/>
        </w:rPr>
        <w:t>María</w:t>
      </w:r>
      <w:r>
        <w:t xml:space="preserve"> </w:t>
      </w:r>
      <w:r w:rsidR="006310DF">
        <w:t>fue víctima de violación a los</w:t>
      </w:r>
      <w:r w:rsidR="00BB7EF8">
        <w:t xml:space="preserve"> 16 años</w:t>
      </w:r>
      <w:r w:rsidR="00171A36">
        <w:t xml:space="preserve">. A partir de ese suceso, </w:t>
      </w:r>
      <w:r w:rsidR="009A7828">
        <w:t>padece depresión grave. E</w:t>
      </w:r>
      <w:r w:rsidR="000E1E78">
        <w:t>l</w:t>
      </w:r>
      <w:r w:rsidR="004509D4">
        <w:t xml:space="preserve"> </w:t>
      </w:r>
      <w:r w:rsidR="00421C53">
        <w:t xml:space="preserve">5 de agosto de 2021, </w:t>
      </w:r>
      <w:r>
        <w:t xml:space="preserve">tras acudir a un laboratorio particular, </w:t>
      </w:r>
      <w:r w:rsidR="00421C53">
        <w:t xml:space="preserve">confirmó que cursaba un embarazo de </w:t>
      </w:r>
      <w:r w:rsidR="00A917C6">
        <w:t xml:space="preserve">poco más de </w:t>
      </w:r>
      <w:r w:rsidR="00421C53">
        <w:t xml:space="preserve">28 </w:t>
      </w:r>
      <w:r w:rsidR="008C525E">
        <w:t>semanas de gestación.</w:t>
      </w:r>
      <w:r w:rsidR="00407729">
        <w:t xml:space="preserve"> Esta noticia agravó su estado de salud mental</w:t>
      </w:r>
      <w:r w:rsidR="00430C7F">
        <w:t>.</w:t>
      </w:r>
    </w:p>
    <w:p w14:paraId="6C7E97BA" w14:textId="6C430638" w:rsidR="00430C7F" w:rsidRDefault="00EA2316" w:rsidP="00430C7F">
      <w:pPr>
        <w:pStyle w:val="Prrafo"/>
        <w:numPr>
          <w:ilvl w:val="0"/>
          <w:numId w:val="3"/>
        </w:numPr>
        <w:ind w:left="0" w:hanging="567"/>
      </w:pPr>
      <w:r>
        <w:t xml:space="preserve">La joven </w:t>
      </w:r>
      <w:r w:rsidR="00696DE3">
        <w:rPr>
          <w:i/>
          <w:iCs/>
        </w:rPr>
        <w:t>María</w:t>
      </w:r>
      <w:r w:rsidRPr="00BA2023">
        <w:rPr>
          <w:color w:val="C00000"/>
        </w:rPr>
        <w:t xml:space="preserve"> </w:t>
      </w:r>
      <w:r>
        <w:t xml:space="preserve">fue </w:t>
      </w:r>
      <w:r w:rsidR="004740E6">
        <w:t>madre a los 15 años</w:t>
      </w:r>
      <w:r w:rsidR="005E4AEF">
        <w:t>. En su embarazo anterior</w:t>
      </w:r>
      <w:r w:rsidR="006A65C5">
        <w:t>,</w:t>
      </w:r>
      <w:r w:rsidR="005E4AEF">
        <w:t xml:space="preserve"> enfrentó </w:t>
      </w:r>
      <w:r w:rsidR="0098078E">
        <w:t xml:space="preserve">complicaciones en el parto y </w:t>
      </w:r>
      <w:r w:rsidR="005E4AEF">
        <w:t xml:space="preserve">tuvo </w:t>
      </w:r>
      <w:r w:rsidR="0098078E">
        <w:t>preeclampsia</w:t>
      </w:r>
      <w:r w:rsidR="005E4AEF">
        <w:t xml:space="preserve">, lo que le </w:t>
      </w:r>
      <w:r w:rsidR="0098078E">
        <w:t>ocasionó</w:t>
      </w:r>
      <w:r w:rsidR="00AE4EF1">
        <w:t xml:space="preserve"> otros</w:t>
      </w:r>
      <w:r w:rsidR="0098078E">
        <w:t xml:space="preserve"> </w:t>
      </w:r>
      <w:r w:rsidR="008534C3">
        <w:t xml:space="preserve">padecimientos de salud. La noticia de </w:t>
      </w:r>
      <w:r w:rsidR="0088071A">
        <w:t>que cursaba un n</w:t>
      </w:r>
      <w:r w:rsidR="00F329B4">
        <w:t xml:space="preserve">uevo embarazo le </w:t>
      </w:r>
      <w:r w:rsidR="005E4AEF">
        <w:t xml:space="preserve">provocó </w:t>
      </w:r>
      <w:r w:rsidR="002A4B70">
        <w:t>intranquilidad y miedo</w:t>
      </w:r>
      <w:r w:rsidR="00462CE6">
        <w:t xml:space="preserve"> por su salud física.</w:t>
      </w:r>
    </w:p>
    <w:p w14:paraId="2844B3CE" w14:textId="26F85403" w:rsidR="00384375" w:rsidRDefault="001C7D6F" w:rsidP="00384375">
      <w:pPr>
        <w:pStyle w:val="Prrafo"/>
        <w:numPr>
          <w:ilvl w:val="0"/>
          <w:numId w:val="3"/>
        </w:numPr>
        <w:ind w:left="0" w:hanging="567"/>
      </w:pPr>
      <w:r>
        <w:t xml:space="preserve">El 12 de agosto de 2021, </w:t>
      </w:r>
      <w:r w:rsidR="003D215D">
        <w:t xml:space="preserve">la joven </w:t>
      </w:r>
      <w:r w:rsidR="00696DE3">
        <w:rPr>
          <w:i/>
          <w:iCs/>
        </w:rPr>
        <w:t>María</w:t>
      </w:r>
      <w:r w:rsidR="003D215D">
        <w:t xml:space="preserve"> ingresó a</w:t>
      </w:r>
      <w:r w:rsidR="00CC302A">
        <w:t>l área psiquiátrica del Hospital Civil de Guadalajara “Fray Antonio Alcalde”</w:t>
      </w:r>
      <w:r w:rsidR="00C043A5">
        <w:t>,</w:t>
      </w:r>
      <w:r w:rsidR="00834912">
        <w:t xml:space="preserve"> donde se diagnosticó padecía un episodio depresivo grave</w:t>
      </w:r>
      <w:r w:rsidR="00464DA1">
        <w:t xml:space="preserve"> con síntomas psicóticos</w:t>
      </w:r>
      <w:r w:rsidR="00D85FD6">
        <w:t xml:space="preserve"> e ideación suicida activa</w:t>
      </w:r>
      <w:r w:rsidR="00834912">
        <w:t xml:space="preserve">, trastorno de estrés postraumático, trastorno de </w:t>
      </w:r>
      <w:r w:rsidR="00B15E32">
        <w:t>p</w:t>
      </w:r>
      <w:r w:rsidR="00834912">
        <w:t>ánico</w:t>
      </w:r>
      <w:r w:rsidR="005D1031">
        <w:t>, trastornos mentales, además de anemia y sífilis.</w:t>
      </w:r>
      <w:r w:rsidR="00007BEC">
        <w:t xml:space="preserve"> Permaneció hospitalizada hasta e</w:t>
      </w:r>
      <w:r w:rsidR="00384375">
        <w:t>l 18 de agosto de 2021</w:t>
      </w:r>
      <w:r w:rsidR="006A7F4E">
        <w:t xml:space="preserve">, fecha en la que se </w:t>
      </w:r>
      <w:r w:rsidR="00007BEC">
        <w:t>autorizó su egreso del área psiquiátrica.</w:t>
      </w:r>
    </w:p>
    <w:p w14:paraId="362008D6" w14:textId="44706CFF" w:rsidR="00DB2953" w:rsidRDefault="00605AEC" w:rsidP="009834D8">
      <w:pPr>
        <w:pStyle w:val="Prrafo"/>
        <w:numPr>
          <w:ilvl w:val="0"/>
          <w:numId w:val="3"/>
        </w:numPr>
        <w:ind w:left="0" w:hanging="567"/>
      </w:pPr>
      <w:r>
        <w:t xml:space="preserve">Ese mismo día, </w:t>
      </w:r>
      <w:r w:rsidR="009D4829">
        <w:t xml:space="preserve">acompañada por el Grupo de Información en Reproducción Elegida </w:t>
      </w:r>
      <w:r w:rsidR="0034017A">
        <w:t>Asociación Civil</w:t>
      </w:r>
      <w:r w:rsidR="009D4829">
        <w:t xml:space="preserve">., </w:t>
      </w:r>
      <w:r w:rsidR="00C05F87">
        <w:t xml:space="preserve">presentó un escrito </w:t>
      </w:r>
      <w:r>
        <w:t xml:space="preserve">ante </w:t>
      </w:r>
      <w:r w:rsidR="00C05F87">
        <w:t>la Secretaría de Salud del Estado de Jalisco</w:t>
      </w:r>
      <w:r>
        <w:t xml:space="preserve"> en el que, bajo </w:t>
      </w:r>
      <w:r w:rsidR="00C05F87">
        <w:t xml:space="preserve">protesta de decir </w:t>
      </w:r>
      <w:r w:rsidR="00624109">
        <w:t>verdad</w:t>
      </w:r>
      <w:r>
        <w:t>, señaló</w:t>
      </w:r>
      <w:r w:rsidR="00624109">
        <w:t xml:space="preserve"> que fue víctima de violencia sexual y</w:t>
      </w:r>
      <w:r w:rsidR="00B24F61">
        <w:t>,</w:t>
      </w:r>
      <w:r w:rsidR="00624109">
        <w:t xml:space="preserve"> como consecuencia de ello, cursaba un </w:t>
      </w:r>
      <w:r w:rsidR="00BF316A">
        <w:t>embarazo forzado</w:t>
      </w:r>
      <w:r w:rsidR="005E4BF4">
        <w:t xml:space="preserve"> </w:t>
      </w:r>
      <w:r w:rsidR="008869B2">
        <w:t>por lo que solicitaba</w:t>
      </w:r>
      <w:r w:rsidR="006A7F4E">
        <w:t xml:space="preserve"> su </w:t>
      </w:r>
      <w:r w:rsidR="008869B2">
        <w:t>interrupción</w:t>
      </w:r>
      <w:r w:rsidR="006A7F4E">
        <w:t xml:space="preserve">. </w:t>
      </w:r>
      <w:r w:rsidR="001C742E">
        <w:t>D</w:t>
      </w:r>
      <w:r w:rsidR="008C4565">
        <w:t xml:space="preserve">ada la urgencia de su caso, </w:t>
      </w:r>
      <w:r w:rsidR="001C742E">
        <w:t xml:space="preserve">insistió en que se le indicara el hospital que prestaría el servicio médico de emergencia </w:t>
      </w:r>
      <w:r w:rsidR="008C4565">
        <w:t>en un plazo de 48 horas</w:t>
      </w:r>
      <w:r w:rsidR="001C742E">
        <w:t xml:space="preserve">, </w:t>
      </w:r>
      <w:r w:rsidR="00481463">
        <w:t xml:space="preserve">así como </w:t>
      </w:r>
      <w:r w:rsidR="00EB6350">
        <w:t>la fecha y hora en que debía acudir para que se llevara a cabo el procedimiento</w:t>
      </w:r>
      <w:r w:rsidR="001C742E">
        <w:t>.</w:t>
      </w:r>
      <w:r w:rsidR="007E33A1">
        <w:t xml:space="preserve"> Esta petición sigue sin r</w:t>
      </w:r>
      <w:r w:rsidR="000A041C">
        <w:t>espuesta.</w:t>
      </w:r>
    </w:p>
    <w:p w14:paraId="4CF3159D" w14:textId="77777777" w:rsidR="009E2C43" w:rsidRPr="00993889" w:rsidRDefault="009E2C43" w:rsidP="009E2C43">
      <w:pPr>
        <w:pStyle w:val="Ttulo3"/>
      </w:pPr>
      <w:r w:rsidRPr="00993889">
        <w:t>TRÁMITE DEL JUICIO DE AMPARO</w:t>
      </w:r>
    </w:p>
    <w:p w14:paraId="62E2F4C5" w14:textId="13FDC1BA" w:rsidR="006C1857" w:rsidRPr="006C5E5E" w:rsidRDefault="009E2C43" w:rsidP="006C1857">
      <w:pPr>
        <w:pStyle w:val="Prrafo"/>
        <w:numPr>
          <w:ilvl w:val="0"/>
          <w:numId w:val="3"/>
        </w:numPr>
        <w:ind w:left="0" w:hanging="567"/>
      </w:pPr>
      <w:r w:rsidRPr="006C5E5E">
        <w:rPr>
          <w:b/>
        </w:rPr>
        <w:t>Demanda de amparo.</w:t>
      </w:r>
      <w:r w:rsidRPr="006C5E5E">
        <w:t xml:space="preserve"> El 20 de agosto de 2021, </w:t>
      </w:r>
      <w:r w:rsidR="00696DE3">
        <w:rPr>
          <w:i/>
          <w:iCs/>
        </w:rPr>
        <w:t>Sandra</w:t>
      </w:r>
      <w:r w:rsidRPr="006C5E5E">
        <w:t xml:space="preserve">, en representación de </w:t>
      </w:r>
      <w:r w:rsidR="00696DE3">
        <w:rPr>
          <w:i/>
          <w:iCs/>
        </w:rPr>
        <w:t>María</w:t>
      </w:r>
      <w:r w:rsidRPr="006C5E5E">
        <w:t xml:space="preserve">, presentó en la Oficina de Correspondencia </w:t>
      </w:r>
      <w:r w:rsidRPr="006C5E5E">
        <w:rPr>
          <w:color w:val="000000"/>
        </w:rPr>
        <w:t xml:space="preserve">Común de los Juzgados de Distrito en Materias Administrativa, Civil y de Trabajo en el Estado de </w:t>
      </w:r>
      <w:r w:rsidRPr="006C5E5E">
        <w:rPr>
          <w:color w:val="000000"/>
        </w:rPr>
        <w:lastRenderedPageBreak/>
        <w:t xml:space="preserve">Jalisco, demanda de amparo </w:t>
      </w:r>
      <w:r w:rsidR="00776658" w:rsidRPr="006C5E5E">
        <w:rPr>
          <w:color w:val="000000"/>
        </w:rPr>
        <w:t>con carácter de urgente</w:t>
      </w:r>
      <w:r w:rsidR="00776658" w:rsidRPr="006C5E5E">
        <w:rPr>
          <w:rStyle w:val="Refdenotaalpie"/>
          <w:color w:val="000000"/>
        </w:rPr>
        <w:footnoteReference w:id="2"/>
      </w:r>
      <w:r w:rsidR="00776658" w:rsidRPr="006C5E5E">
        <w:rPr>
          <w:color w:val="000000"/>
        </w:rPr>
        <w:t xml:space="preserve"> </w:t>
      </w:r>
      <w:r w:rsidRPr="006C5E5E">
        <w:rPr>
          <w:color w:val="000000"/>
        </w:rPr>
        <w:t>contra</w:t>
      </w:r>
      <w:r w:rsidR="00F70A40" w:rsidRPr="006C5E5E">
        <w:rPr>
          <w:color w:val="000000"/>
        </w:rPr>
        <w:t xml:space="preserve"> </w:t>
      </w:r>
      <w:r w:rsidR="005D227A" w:rsidRPr="00BF316A">
        <w:rPr>
          <w:color w:val="000000"/>
        </w:rPr>
        <w:t>Fernando Petersen Aranguren</w:t>
      </w:r>
      <w:r w:rsidR="005D227A">
        <w:rPr>
          <w:color w:val="000000"/>
        </w:rPr>
        <w:t xml:space="preserve">, </w:t>
      </w:r>
      <w:r w:rsidR="00F70A40" w:rsidRPr="006C5E5E">
        <w:rPr>
          <w:color w:val="000000"/>
        </w:rPr>
        <w:t xml:space="preserve">el </w:t>
      </w:r>
      <w:r w:rsidR="006239B0">
        <w:rPr>
          <w:color w:val="000000"/>
        </w:rPr>
        <w:t>S</w:t>
      </w:r>
      <w:r w:rsidR="008A2552" w:rsidRPr="006C5E5E">
        <w:rPr>
          <w:color w:val="000000"/>
        </w:rPr>
        <w:t>ecretario</w:t>
      </w:r>
      <w:r w:rsidR="00F70A40" w:rsidRPr="006C5E5E">
        <w:rPr>
          <w:color w:val="000000"/>
        </w:rPr>
        <w:t xml:space="preserve"> de Salud del Estado de Jalisco</w:t>
      </w:r>
      <w:r w:rsidR="005D227A">
        <w:rPr>
          <w:color w:val="000000"/>
        </w:rPr>
        <w:t>,</w:t>
      </w:r>
      <w:r w:rsidR="00776658" w:rsidRPr="006C5E5E">
        <w:rPr>
          <w:color w:val="000000"/>
        </w:rPr>
        <w:t xml:space="preserve"> a quien atribuyó los siguientes</w:t>
      </w:r>
      <w:r w:rsidRPr="006C5E5E">
        <w:rPr>
          <w:rStyle w:val="Refdenotaalpie"/>
          <w:color w:val="000000"/>
        </w:rPr>
        <w:footnoteReference w:id="3"/>
      </w:r>
      <w:r w:rsidRPr="006C5E5E">
        <w:rPr>
          <w:color w:val="000000"/>
        </w:rPr>
        <w:t>:</w:t>
      </w:r>
    </w:p>
    <w:p w14:paraId="7940677F" w14:textId="77777777" w:rsidR="009E2C43" w:rsidRPr="006C5E5E" w:rsidRDefault="009E2C43" w:rsidP="009E2C43">
      <w:pPr>
        <w:pStyle w:val="Prrafo"/>
        <w:rPr>
          <w:b/>
        </w:rPr>
      </w:pPr>
      <w:r w:rsidRPr="006C5E5E">
        <w:rPr>
          <w:b/>
        </w:rPr>
        <w:t>Actos reclamados:</w:t>
      </w:r>
    </w:p>
    <w:p w14:paraId="4E916D79" w14:textId="76E29430" w:rsidR="009E2C43" w:rsidRPr="006C5E5E" w:rsidRDefault="005B1716" w:rsidP="00687245">
      <w:pPr>
        <w:pStyle w:val="Prrafo"/>
        <w:numPr>
          <w:ilvl w:val="0"/>
          <w:numId w:val="4"/>
        </w:numPr>
        <w:spacing w:before="60" w:after="60"/>
        <w:ind w:left="714" w:hanging="357"/>
      </w:pPr>
      <w:r w:rsidRPr="006C5E5E">
        <w:t>La omisión de contestar a su escrito de 18 de agosto de 2021</w:t>
      </w:r>
      <w:r w:rsidR="00776658" w:rsidRPr="006C5E5E">
        <w:t xml:space="preserve"> en el que solicitó la interrupción del embarazo producto de la violación de la que fue víctima</w:t>
      </w:r>
      <w:r w:rsidR="00187C45">
        <w:t>;</w:t>
      </w:r>
    </w:p>
    <w:p w14:paraId="53B6EC02" w14:textId="7512FEA3" w:rsidR="009E2C43" w:rsidRPr="006C5E5E" w:rsidRDefault="00776658" w:rsidP="00687245">
      <w:pPr>
        <w:pStyle w:val="Prrafo"/>
        <w:numPr>
          <w:ilvl w:val="0"/>
          <w:numId w:val="4"/>
        </w:numPr>
        <w:spacing w:before="60" w:after="60"/>
        <w:ind w:left="714" w:hanging="357"/>
      </w:pPr>
      <w:r w:rsidRPr="006C5E5E">
        <w:t>La falta de debida diligencia en la atención a su escrito en el que solicitó la interrupción del embarazo producto de una violación.</w:t>
      </w:r>
    </w:p>
    <w:p w14:paraId="74BF9D9C" w14:textId="71DE2DED" w:rsidR="00776658" w:rsidRPr="006C5E5E" w:rsidRDefault="00776658" w:rsidP="00687245">
      <w:pPr>
        <w:pStyle w:val="Prrafo"/>
        <w:numPr>
          <w:ilvl w:val="0"/>
          <w:numId w:val="4"/>
        </w:numPr>
        <w:spacing w:before="60" w:after="60"/>
        <w:ind w:left="714" w:hanging="357"/>
      </w:pPr>
      <w:r w:rsidRPr="006C5E5E">
        <w:t>Los tratos o penas crueles, inhuman</w:t>
      </w:r>
      <w:r w:rsidR="00187C45">
        <w:t>o</w:t>
      </w:r>
      <w:r w:rsidRPr="006C5E5E">
        <w:t>s y degradantes a que fue sometida</w:t>
      </w:r>
      <w:r w:rsidR="008135AB">
        <w:t xml:space="preserve"> por la imposición de continuar un embarazo forzado</w:t>
      </w:r>
      <w:r w:rsidR="008741A5">
        <w:t xml:space="preserve">, </w:t>
      </w:r>
      <w:r w:rsidR="008135AB">
        <w:t xml:space="preserve">esto es, </w:t>
      </w:r>
      <w:r w:rsidRPr="006C5E5E">
        <w:t>producto de una violación.</w:t>
      </w:r>
    </w:p>
    <w:p w14:paraId="7FC95BD2" w14:textId="4601409E" w:rsidR="00F70A40" w:rsidRPr="006C5E5E" w:rsidRDefault="009E2C43" w:rsidP="00F70A40">
      <w:pPr>
        <w:pStyle w:val="Prrafo"/>
        <w:numPr>
          <w:ilvl w:val="0"/>
          <w:numId w:val="3"/>
        </w:numPr>
        <w:ind w:left="0" w:hanging="567"/>
      </w:pPr>
      <w:r w:rsidRPr="006C5E5E">
        <w:t xml:space="preserve">En la demanda, </w:t>
      </w:r>
      <w:r w:rsidR="00776658" w:rsidRPr="006C5E5E">
        <w:t>la quejosa señaló como</w:t>
      </w:r>
      <w:r w:rsidRPr="006C5E5E">
        <w:t xml:space="preserve"> derechos violados en su perjuicio los reconocidos en los artículos 1º, 4</w:t>
      </w:r>
      <w:r w:rsidR="00776658" w:rsidRPr="006C5E5E">
        <w:t>, 20</w:t>
      </w:r>
      <w:r w:rsidRPr="006C5E5E">
        <w:t xml:space="preserve"> y 2</w:t>
      </w:r>
      <w:r w:rsidR="00776658" w:rsidRPr="006C5E5E">
        <w:t>2 d</w:t>
      </w:r>
      <w:r w:rsidRPr="006C5E5E">
        <w:t xml:space="preserve">e la Constitución Federal; </w:t>
      </w:r>
      <w:r w:rsidR="00776658" w:rsidRPr="006C5E5E">
        <w:t xml:space="preserve">5 </w:t>
      </w:r>
      <w:r w:rsidRPr="006C5E5E">
        <w:t>y 2</w:t>
      </w:r>
      <w:r w:rsidR="00776658" w:rsidRPr="006C5E5E">
        <w:t>6</w:t>
      </w:r>
      <w:r w:rsidRPr="006C5E5E">
        <w:t xml:space="preserve"> de la Convención Americana sobre Derechos Humanos</w:t>
      </w:r>
      <w:r w:rsidR="00776658" w:rsidRPr="006C5E5E">
        <w:t>; 12 del Pacto Internacional de Derechos Económicos, Sociales y Culturales, y 6 y 7 del Pacto de Derechos Civiles y Políticos</w:t>
      </w:r>
      <w:r w:rsidR="0010315B">
        <w:t>. P</w:t>
      </w:r>
      <w:r w:rsidRPr="006C5E5E">
        <w:t>recis</w:t>
      </w:r>
      <w:r w:rsidR="00776658" w:rsidRPr="006C5E5E">
        <w:t xml:space="preserve">ó </w:t>
      </w:r>
      <w:r w:rsidRPr="006C5E5E">
        <w:t>los antecedentes del caso</w:t>
      </w:r>
      <w:r w:rsidR="00776658" w:rsidRPr="006C5E5E">
        <w:t xml:space="preserve">, expresó las razones por las que se trata de un asunto que debía ser tramitado con carácter de urgente y formuló sus </w:t>
      </w:r>
      <w:r w:rsidRPr="006C5E5E">
        <w:t>conceptos de violación.</w:t>
      </w:r>
    </w:p>
    <w:p w14:paraId="4A096BB6" w14:textId="1A45796A" w:rsidR="00F70A40" w:rsidRPr="005D7FAE" w:rsidRDefault="00F70A40" w:rsidP="00F70A40">
      <w:pPr>
        <w:pStyle w:val="Prrafo"/>
        <w:numPr>
          <w:ilvl w:val="0"/>
          <w:numId w:val="3"/>
        </w:numPr>
        <w:ind w:left="0" w:hanging="567"/>
      </w:pPr>
      <w:r w:rsidRPr="005D7FAE">
        <w:t>Se turnó la demanda al</w:t>
      </w:r>
      <w:r w:rsidR="00C442BF">
        <w:t xml:space="preserve"> juzgado en guardia, el</w:t>
      </w:r>
      <w:r w:rsidRPr="005D7FAE">
        <w:t xml:space="preserve"> Juzgado Séptimo de Distrito en Materias Administrativa, Civil y de Trabajo del Estado de Jalisco. El 23 de agosto de 2021</w:t>
      </w:r>
      <w:r w:rsidR="0035168D">
        <w:t>, ese juez</w:t>
      </w:r>
      <w:r w:rsidR="00812583" w:rsidRPr="005D7FAE">
        <w:t xml:space="preserve"> determinó</w:t>
      </w:r>
      <w:r w:rsidR="002C11C5" w:rsidRPr="005D7FAE">
        <w:t xml:space="preserve"> que no se trataba de un caso urgente</w:t>
      </w:r>
      <w:r w:rsidR="00EF3779">
        <w:t xml:space="preserve">, pues no encuadraba en ninguno de los supuestos contemplados por el artículo </w:t>
      </w:r>
      <w:r w:rsidR="005E68C1">
        <w:t>48 del Acuerdo General del Pleno del Consejo de la Judicatura Federal que establece las disposiciones en materia administrativa de los órganos jurisdiccionales,</w:t>
      </w:r>
      <w:r w:rsidR="002C11C5" w:rsidRPr="005D7FAE">
        <w:t xml:space="preserve"> por lo que determinó no conocer de ella y la </w:t>
      </w:r>
      <w:r w:rsidR="00AC1CE1">
        <w:t xml:space="preserve">devolvió a la Oficina de Correspondencia común de los Juzgados de Distrito en </w:t>
      </w:r>
      <w:r w:rsidR="00AC1CE1">
        <w:lastRenderedPageBreak/>
        <w:t>Materias Administrativa, Civil y de Trabajo</w:t>
      </w:r>
      <w:r w:rsidR="002C11C5" w:rsidRPr="005D7FAE">
        <w:t xml:space="preserve"> para que se turnara</w:t>
      </w:r>
      <w:r w:rsidR="00E0604C" w:rsidRPr="005D7FAE">
        <w:t xml:space="preserve"> al juzgado correspondiente</w:t>
      </w:r>
      <w:r w:rsidR="005D7FAE">
        <w:t xml:space="preserve"> y se tramitara de manera ordinaria</w:t>
      </w:r>
      <w:r w:rsidR="00E0604C" w:rsidRPr="005D7FAE">
        <w:t>.</w:t>
      </w:r>
    </w:p>
    <w:p w14:paraId="587F2AC2" w14:textId="680F57B1" w:rsidR="00074312" w:rsidRPr="00762B46" w:rsidRDefault="009E2C43" w:rsidP="00AF138B">
      <w:pPr>
        <w:pStyle w:val="Prrafo"/>
        <w:numPr>
          <w:ilvl w:val="0"/>
          <w:numId w:val="3"/>
        </w:numPr>
        <w:ind w:left="0" w:hanging="567"/>
      </w:pPr>
      <w:r w:rsidRPr="005D7FAE">
        <w:t>El</w:t>
      </w:r>
      <w:r w:rsidRPr="005D7FAE">
        <w:rPr>
          <w:color w:val="000000"/>
        </w:rPr>
        <w:t xml:space="preserve"> </w:t>
      </w:r>
      <w:r w:rsidR="00F70A40" w:rsidRPr="005D7FAE">
        <w:rPr>
          <w:color w:val="000000"/>
        </w:rPr>
        <w:t>2</w:t>
      </w:r>
      <w:r w:rsidR="002C11C5" w:rsidRPr="005D7FAE">
        <w:rPr>
          <w:color w:val="000000"/>
        </w:rPr>
        <w:t>4</w:t>
      </w:r>
      <w:r w:rsidRPr="005D7FAE">
        <w:rPr>
          <w:color w:val="000000"/>
        </w:rPr>
        <w:t xml:space="preserve"> de </w:t>
      </w:r>
      <w:r w:rsidR="002C11C5" w:rsidRPr="005D7FAE">
        <w:rPr>
          <w:color w:val="000000"/>
        </w:rPr>
        <w:t>agosto de 2021</w:t>
      </w:r>
      <w:r w:rsidRPr="005D7FAE">
        <w:rPr>
          <w:color w:val="000000"/>
        </w:rPr>
        <w:t xml:space="preserve">, </w:t>
      </w:r>
      <w:r w:rsidR="007F3FA3">
        <w:rPr>
          <w:color w:val="000000"/>
        </w:rPr>
        <w:t>la jueza</w:t>
      </w:r>
      <w:r w:rsidRPr="005D7FAE">
        <w:rPr>
          <w:color w:val="000000"/>
        </w:rPr>
        <w:t xml:space="preserve"> </w:t>
      </w:r>
      <w:r w:rsidR="002C11C5" w:rsidRPr="005D7FAE">
        <w:rPr>
          <w:color w:val="000000"/>
        </w:rPr>
        <w:t>Decimop</w:t>
      </w:r>
      <w:r w:rsidRPr="005D7FAE">
        <w:rPr>
          <w:color w:val="000000"/>
        </w:rPr>
        <w:t>rimer</w:t>
      </w:r>
      <w:r w:rsidR="007F3FA3">
        <w:rPr>
          <w:color w:val="000000"/>
        </w:rPr>
        <w:t>a</w:t>
      </w:r>
      <w:r w:rsidRPr="005D7FAE">
        <w:rPr>
          <w:color w:val="000000"/>
        </w:rPr>
        <w:t xml:space="preserve"> de Distrito</w:t>
      </w:r>
      <w:r w:rsidR="002C11C5" w:rsidRPr="005D7FAE">
        <w:rPr>
          <w:color w:val="000000"/>
        </w:rPr>
        <w:t xml:space="preserve"> en Materias Administrativa, Civil y de Trabajo</w:t>
      </w:r>
      <w:r w:rsidRPr="005D7FAE">
        <w:rPr>
          <w:color w:val="000000"/>
        </w:rPr>
        <w:t xml:space="preserve"> en el Estado de </w:t>
      </w:r>
      <w:r w:rsidR="002C11C5" w:rsidRPr="005D7FAE">
        <w:rPr>
          <w:color w:val="000000"/>
        </w:rPr>
        <w:t xml:space="preserve">Jalisco </w:t>
      </w:r>
      <w:r w:rsidRPr="005D7FAE">
        <w:rPr>
          <w:color w:val="000000"/>
        </w:rPr>
        <w:t xml:space="preserve">admitió y registró la demanda de amparo con el número </w:t>
      </w:r>
      <w:r w:rsidR="001E2C70">
        <w:rPr>
          <w:color w:val="C00000"/>
        </w:rPr>
        <w:t>****</w:t>
      </w:r>
      <w:r w:rsidR="00346643" w:rsidRPr="005D7FAE">
        <w:t>.</w:t>
      </w:r>
      <w:r w:rsidR="00225994">
        <w:t xml:space="preserve"> </w:t>
      </w:r>
      <w:r w:rsidR="0027741B">
        <w:t>Asimismo, r</w:t>
      </w:r>
      <w:r w:rsidR="00225994">
        <w:t>equirió se designara representante</w:t>
      </w:r>
      <w:r w:rsidR="008C0F8D">
        <w:t>,</w:t>
      </w:r>
      <w:r w:rsidR="00225994">
        <w:t xml:space="preserve"> </w:t>
      </w:r>
      <w:r w:rsidR="00AF138B">
        <w:t xml:space="preserve">pues la </w:t>
      </w:r>
      <w:r w:rsidR="00D07F25">
        <w:t xml:space="preserve">quejosa </w:t>
      </w:r>
      <w:r w:rsidR="00AF138B">
        <w:t xml:space="preserve">tenía </w:t>
      </w:r>
      <w:r w:rsidR="00D07F25">
        <w:t>menos de 18 años</w:t>
      </w:r>
      <w:r w:rsidR="0027741B">
        <w:t xml:space="preserve">; requirió también </w:t>
      </w:r>
      <w:r w:rsidR="006A444B">
        <w:t>el informe justificado de la autoridad responsable</w:t>
      </w:r>
      <w:r w:rsidR="00494728">
        <w:t xml:space="preserve">; </w:t>
      </w:r>
      <w:r w:rsidR="006A444B">
        <w:t>f</w:t>
      </w:r>
      <w:r w:rsidR="00D07F25">
        <w:t>ijó fecha de audiencia constitucional para el 30 de septiembre de 2021</w:t>
      </w:r>
      <w:r w:rsidR="00D203FB">
        <w:t>, y</w:t>
      </w:r>
      <w:r w:rsidR="00494728">
        <w:t xml:space="preserve"> ordenó la apertura del incidente de suspensión.</w:t>
      </w:r>
      <w:r w:rsidR="00074312" w:rsidRPr="00074312">
        <w:t xml:space="preserve"> </w:t>
      </w:r>
      <w:r w:rsidR="00074312" w:rsidRPr="005D7FAE">
        <w:t xml:space="preserve">En auto de </w:t>
      </w:r>
      <w:r w:rsidR="00074312">
        <w:t>2</w:t>
      </w:r>
      <w:r w:rsidR="00074312" w:rsidRPr="005D7FAE">
        <w:t xml:space="preserve"> de septiembre de 2021, </w:t>
      </w:r>
      <w:r w:rsidR="00074312">
        <w:t xml:space="preserve">se </w:t>
      </w:r>
      <w:r w:rsidR="00074312" w:rsidRPr="005D7FAE">
        <w:t>tuvo como como representante a su hermana</w:t>
      </w:r>
      <w:r w:rsidR="00074312" w:rsidRPr="00AF138B">
        <w:rPr>
          <w:color w:val="C00000"/>
        </w:rPr>
        <w:t xml:space="preserve"> </w:t>
      </w:r>
      <w:r w:rsidR="001E2C70">
        <w:rPr>
          <w:i/>
          <w:iCs/>
        </w:rPr>
        <w:t>Sandra</w:t>
      </w:r>
      <w:r w:rsidR="00074312">
        <w:t>.</w:t>
      </w:r>
    </w:p>
    <w:p w14:paraId="45D89876" w14:textId="542EE626" w:rsidR="00463FFC" w:rsidRPr="003F140A" w:rsidRDefault="00967B45" w:rsidP="009E2C43">
      <w:pPr>
        <w:pStyle w:val="Prrafo"/>
        <w:numPr>
          <w:ilvl w:val="0"/>
          <w:numId w:val="3"/>
        </w:numPr>
        <w:ind w:left="0" w:hanging="567"/>
      </w:pPr>
      <w:r w:rsidRPr="003F140A">
        <w:t xml:space="preserve">El </w:t>
      </w:r>
      <w:r w:rsidR="00463FFC" w:rsidRPr="003F140A">
        <w:t xml:space="preserve">24 de agosto de 2021, </w:t>
      </w:r>
      <w:r w:rsidR="00672BB3" w:rsidRPr="003F140A">
        <w:t xml:space="preserve">la jueza </w:t>
      </w:r>
      <w:r w:rsidR="00463FFC" w:rsidRPr="003F140A">
        <w:t>negó la suspensión provisional</w:t>
      </w:r>
      <w:r w:rsidR="00A13DA9" w:rsidRPr="003F140A">
        <w:t xml:space="preserve"> y, celebrada la audiencia incidental el </w:t>
      </w:r>
      <w:r w:rsidR="005E7213" w:rsidRPr="003F140A">
        <w:t>7 de septiembre de 2021, negó también la suspensión definitiva por considerar –en ambas ocasiones– que la naturaleza de los actos reclamados era omisiva</w:t>
      </w:r>
      <w:r w:rsidR="00D5663E">
        <w:t xml:space="preserve">: </w:t>
      </w:r>
      <w:r w:rsidR="006440F6" w:rsidRPr="003F140A">
        <w:t>falta de respuesta a una petición por escrit</w:t>
      </w:r>
      <w:r w:rsidR="00D5663E">
        <w:t>o</w:t>
      </w:r>
      <w:r w:rsidR="005E7213" w:rsidRPr="003F140A">
        <w:t xml:space="preserve">, por lo que conceder la suspensión </w:t>
      </w:r>
      <w:r w:rsidR="005D7F26" w:rsidRPr="003F140A">
        <w:t xml:space="preserve">tendría </w:t>
      </w:r>
      <w:r w:rsidR="005E7213" w:rsidRPr="003F140A">
        <w:t>efectos restitutorios</w:t>
      </w:r>
      <w:r w:rsidR="006440F6" w:rsidRPr="003F140A">
        <w:t>.</w:t>
      </w:r>
    </w:p>
    <w:p w14:paraId="26612D8C" w14:textId="46052AC7" w:rsidR="007739ED" w:rsidRPr="00762B46" w:rsidRDefault="007739ED" w:rsidP="009E2C43">
      <w:pPr>
        <w:pStyle w:val="Prrafo"/>
        <w:numPr>
          <w:ilvl w:val="0"/>
          <w:numId w:val="3"/>
        </w:numPr>
        <w:ind w:left="0" w:hanging="567"/>
      </w:pPr>
      <w:r w:rsidRPr="00762B46">
        <w:t xml:space="preserve">El 17 de septiembre de 2021, la representante de la Secretaría de Salud del Estado de Jalisco rindió informe justificado en el que negó la existencia del acto reclamado y argumentó que </w:t>
      </w:r>
      <w:r w:rsidR="00B15E2D">
        <w:t xml:space="preserve">sí </w:t>
      </w:r>
      <w:r w:rsidRPr="00762B46">
        <w:t>dio trámite a la solicitud de interrupción del embarazo: señaló que re</w:t>
      </w:r>
      <w:r w:rsidR="007121E7" w:rsidRPr="00762B46">
        <w:t xml:space="preserve">mitió el escrito </w:t>
      </w:r>
      <w:r w:rsidRPr="00762B46">
        <w:t>al Hospital Civil de Guadalajara el 19 de agosto de 2021</w:t>
      </w:r>
      <w:r w:rsidR="00D567E6">
        <w:t xml:space="preserve"> para que fuera éste quien atendiera </w:t>
      </w:r>
      <w:r w:rsidR="00DE1F57">
        <w:t xml:space="preserve">la petición </w:t>
      </w:r>
      <w:r w:rsidR="00D567E6">
        <w:t xml:space="preserve">de la joven </w:t>
      </w:r>
      <w:r w:rsidR="001E2C70">
        <w:rPr>
          <w:i/>
          <w:iCs/>
        </w:rPr>
        <w:t>María</w:t>
      </w:r>
      <w:r w:rsidR="00244FDA">
        <w:t>.</w:t>
      </w:r>
    </w:p>
    <w:p w14:paraId="054B334B" w14:textId="0291F071" w:rsidR="00E0604C" w:rsidRPr="00FE179F" w:rsidRDefault="00346643" w:rsidP="00346643">
      <w:pPr>
        <w:pStyle w:val="Prrafo"/>
        <w:numPr>
          <w:ilvl w:val="0"/>
          <w:numId w:val="3"/>
        </w:numPr>
        <w:ind w:left="0" w:hanging="567"/>
      </w:pPr>
      <w:r w:rsidRPr="00FE179F">
        <w:t xml:space="preserve">El </w:t>
      </w:r>
      <w:r w:rsidR="00BC5DEB" w:rsidRPr="00FE179F">
        <w:rPr>
          <w:color w:val="000000"/>
        </w:rPr>
        <w:t>13 de octubre de 2021,</w:t>
      </w:r>
      <w:r w:rsidR="009E2C43" w:rsidRPr="00FE179F">
        <w:rPr>
          <w:color w:val="000000"/>
        </w:rPr>
        <w:t xml:space="preserve"> </w:t>
      </w:r>
      <w:r w:rsidRPr="00FE179F">
        <w:rPr>
          <w:color w:val="000000"/>
        </w:rPr>
        <w:t xml:space="preserve">la quejosa amplió su demanda de amparo y señaló como </w:t>
      </w:r>
      <w:r w:rsidR="009E2C43" w:rsidRPr="00FE179F">
        <w:rPr>
          <w:color w:val="000000"/>
        </w:rPr>
        <w:t>autoridad</w:t>
      </w:r>
      <w:r w:rsidRPr="00FE179F">
        <w:rPr>
          <w:color w:val="000000"/>
        </w:rPr>
        <w:t xml:space="preserve"> </w:t>
      </w:r>
      <w:r w:rsidR="009E2C43" w:rsidRPr="00FE179F">
        <w:rPr>
          <w:color w:val="000000"/>
        </w:rPr>
        <w:t>responsable</w:t>
      </w:r>
      <w:r w:rsidRPr="00FE179F">
        <w:rPr>
          <w:color w:val="000000"/>
        </w:rPr>
        <w:t xml:space="preserve"> al Hospital Civil de Guadalajara</w:t>
      </w:r>
      <w:r w:rsidR="007A1674" w:rsidRPr="00FE179F">
        <w:rPr>
          <w:color w:val="000000"/>
        </w:rPr>
        <w:t xml:space="preserve"> a quien atribuyó </w:t>
      </w:r>
      <w:r w:rsidR="00E0604C" w:rsidRPr="00FE179F">
        <w:rPr>
          <w:color w:val="000000"/>
        </w:rPr>
        <w:t>los siguientes actos reclamados:</w:t>
      </w:r>
    </w:p>
    <w:p w14:paraId="72757972" w14:textId="328A9A1B" w:rsidR="00E0604C" w:rsidRPr="00FE179F" w:rsidRDefault="00E0604C" w:rsidP="00687245">
      <w:pPr>
        <w:pStyle w:val="Prrafo"/>
        <w:numPr>
          <w:ilvl w:val="0"/>
          <w:numId w:val="11"/>
        </w:numPr>
        <w:spacing w:before="60" w:after="60"/>
      </w:pPr>
      <w:r w:rsidRPr="00FE179F">
        <w:rPr>
          <w:color w:val="000000"/>
        </w:rPr>
        <w:t>L</w:t>
      </w:r>
      <w:r w:rsidR="007A1674" w:rsidRPr="00FE179F">
        <w:rPr>
          <w:color w:val="000000"/>
        </w:rPr>
        <w:t xml:space="preserve">a omisión de dar contestación a su </w:t>
      </w:r>
      <w:r w:rsidR="007A1674" w:rsidRPr="00FE179F">
        <w:t>escrito</w:t>
      </w:r>
      <w:r w:rsidR="00FC2A13">
        <w:rPr>
          <w:color w:val="000000"/>
        </w:rPr>
        <w:t>;</w:t>
      </w:r>
    </w:p>
    <w:p w14:paraId="12FADE5F" w14:textId="0A46D04F" w:rsidR="00FC2A13" w:rsidRDefault="00E0604C" w:rsidP="00687245">
      <w:pPr>
        <w:pStyle w:val="Prrafo"/>
        <w:numPr>
          <w:ilvl w:val="0"/>
          <w:numId w:val="11"/>
        </w:numPr>
        <w:spacing w:before="60" w:after="60"/>
      </w:pPr>
      <w:r w:rsidRPr="00FE179F">
        <w:t>La falta de debida diligencia en la atención a su escrito en el que solicitó la interrupción del embarazo producto de una violación</w:t>
      </w:r>
      <w:r w:rsidR="00FC2A13">
        <w:t>, y</w:t>
      </w:r>
    </w:p>
    <w:p w14:paraId="5F89E25A" w14:textId="3752C392" w:rsidR="00346643" w:rsidRPr="00FE179F" w:rsidRDefault="00E0604C" w:rsidP="00687245">
      <w:pPr>
        <w:pStyle w:val="Prrafo"/>
        <w:numPr>
          <w:ilvl w:val="0"/>
          <w:numId w:val="11"/>
        </w:numPr>
        <w:spacing w:before="60" w:after="60"/>
      </w:pPr>
      <w:r w:rsidRPr="00FE179F">
        <w:rPr>
          <w:color w:val="000000"/>
        </w:rPr>
        <w:t>L</w:t>
      </w:r>
      <w:r w:rsidR="00BC5DEB" w:rsidRPr="00FE179F">
        <w:rPr>
          <w:color w:val="000000"/>
        </w:rPr>
        <w:t>os tratos o penas crueles, inhuman</w:t>
      </w:r>
      <w:r w:rsidRPr="00FE179F">
        <w:rPr>
          <w:color w:val="000000"/>
        </w:rPr>
        <w:t>o</w:t>
      </w:r>
      <w:r w:rsidR="00BC5DEB" w:rsidRPr="00FE179F">
        <w:rPr>
          <w:color w:val="000000"/>
        </w:rPr>
        <w:t xml:space="preserve">s y degradantes debido a la </w:t>
      </w:r>
      <w:r w:rsidR="00EC0D9B">
        <w:rPr>
          <w:color w:val="000000"/>
        </w:rPr>
        <w:t>imposición de continuar con un embarazo forzado.</w:t>
      </w:r>
    </w:p>
    <w:p w14:paraId="37255728" w14:textId="658E92A1" w:rsidR="009E2C43" w:rsidRPr="009A511D" w:rsidRDefault="009E2C43" w:rsidP="009E2C43">
      <w:pPr>
        <w:pStyle w:val="Prrafo"/>
        <w:numPr>
          <w:ilvl w:val="0"/>
          <w:numId w:val="3"/>
        </w:numPr>
        <w:ind w:left="0" w:hanging="567"/>
      </w:pPr>
      <w:r w:rsidRPr="009A511D">
        <w:lastRenderedPageBreak/>
        <w:t xml:space="preserve">En su escrito de ampliación, </w:t>
      </w:r>
      <w:r w:rsidR="00BC5DEB" w:rsidRPr="009A511D">
        <w:t>la quejosa señaló</w:t>
      </w:r>
      <w:r w:rsidRPr="009A511D">
        <w:t xml:space="preserve"> como derechos vulnerados los reconocidos en los artículos 1°, 4, 20 y </w:t>
      </w:r>
      <w:r w:rsidR="00BC5DEB" w:rsidRPr="009A511D">
        <w:t>22</w:t>
      </w:r>
      <w:r w:rsidRPr="009A511D">
        <w:t xml:space="preserve"> </w:t>
      </w:r>
      <w:r w:rsidRPr="009A511D">
        <w:rPr>
          <w:color w:val="000000"/>
        </w:rPr>
        <w:t xml:space="preserve">constitucionales; </w:t>
      </w:r>
      <w:r w:rsidR="00BC5DEB" w:rsidRPr="009A511D">
        <w:rPr>
          <w:color w:val="000000"/>
        </w:rPr>
        <w:t>5 y 26</w:t>
      </w:r>
      <w:r w:rsidRPr="009A511D">
        <w:rPr>
          <w:color w:val="000000"/>
        </w:rPr>
        <w:t xml:space="preserve"> de la Convención Americana sobre Derechos Humanos</w:t>
      </w:r>
      <w:r w:rsidR="00BC5DEB" w:rsidRPr="009A511D">
        <w:rPr>
          <w:color w:val="000000"/>
        </w:rPr>
        <w:t>;</w:t>
      </w:r>
      <w:r w:rsidRPr="009A511D">
        <w:rPr>
          <w:color w:val="000000"/>
        </w:rPr>
        <w:t xml:space="preserve"> </w:t>
      </w:r>
      <w:r w:rsidR="00BC5DEB" w:rsidRPr="009A511D">
        <w:rPr>
          <w:color w:val="000000"/>
        </w:rPr>
        <w:t>12 del Pacto Internacional de Derechos Económicos, Sociales y Culturales, y 6 y 7 del Pacto de Derechos Civiles y Políticos.</w:t>
      </w:r>
      <w:r w:rsidRPr="009A511D">
        <w:t xml:space="preserve"> Asimismo, formul</w:t>
      </w:r>
      <w:r w:rsidR="00BC5DEB" w:rsidRPr="009A511D">
        <w:t xml:space="preserve">ó sus </w:t>
      </w:r>
      <w:r w:rsidRPr="009A511D">
        <w:t>conceptos de violación.</w:t>
      </w:r>
    </w:p>
    <w:p w14:paraId="2E8D69EE" w14:textId="0B7E1D2D" w:rsidR="009E2C43" w:rsidRPr="009A511D" w:rsidRDefault="009E2C43" w:rsidP="009E2C43">
      <w:pPr>
        <w:pStyle w:val="Prrafo"/>
        <w:numPr>
          <w:ilvl w:val="0"/>
          <w:numId w:val="3"/>
        </w:numPr>
        <w:ind w:left="0" w:hanging="567"/>
      </w:pPr>
      <w:r w:rsidRPr="009A511D">
        <w:t>El</w:t>
      </w:r>
      <w:r w:rsidRPr="009A511D">
        <w:rPr>
          <w:color w:val="000000"/>
        </w:rPr>
        <w:t xml:space="preserve"> </w:t>
      </w:r>
      <w:r w:rsidR="00BC5DEB" w:rsidRPr="009A511D">
        <w:rPr>
          <w:color w:val="000000"/>
        </w:rPr>
        <w:t>14 de octubre de 2021</w:t>
      </w:r>
      <w:r w:rsidRPr="009A511D">
        <w:rPr>
          <w:color w:val="000000"/>
        </w:rPr>
        <w:t xml:space="preserve">, </w:t>
      </w:r>
      <w:r w:rsidR="00AF5596">
        <w:rPr>
          <w:color w:val="000000"/>
        </w:rPr>
        <w:t xml:space="preserve">la jueza de </w:t>
      </w:r>
      <w:r w:rsidRPr="009A511D">
        <w:rPr>
          <w:color w:val="000000"/>
        </w:rPr>
        <w:t>distrito admitió la ampliación</w:t>
      </w:r>
      <w:r w:rsidR="00596DCF">
        <w:rPr>
          <w:color w:val="000000"/>
        </w:rPr>
        <w:t xml:space="preserve"> y </w:t>
      </w:r>
      <w:r w:rsidR="006D57EF">
        <w:rPr>
          <w:color w:val="000000"/>
        </w:rPr>
        <w:t>requirió el informe justificado de la autori</w:t>
      </w:r>
      <w:r w:rsidR="00596DCF">
        <w:rPr>
          <w:color w:val="000000"/>
        </w:rPr>
        <w:t>dad responsable, quien cumplió ese requerimiento</w:t>
      </w:r>
      <w:r w:rsidRPr="009A511D">
        <w:rPr>
          <w:color w:val="000000"/>
        </w:rPr>
        <w:t xml:space="preserve">. Seguidos los trámites de ley, emitió sentencia </w:t>
      </w:r>
      <w:r w:rsidR="00BC5DEB" w:rsidRPr="009A511D">
        <w:rPr>
          <w:color w:val="000000"/>
        </w:rPr>
        <w:t>el 9</w:t>
      </w:r>
      <w:r w:rsidRPr="009A511D">
        <w:rPr>
          <w:color w:val="000000"/>
        </w:rPr>
        <w:t xml:space="preserve"> de </w:t>
      </w:r>
      <w:r w:rsidR="00BC5DEB" w:rsidRPr="009A511D">
        <w:rPr>
          <w:color w:val="000000"/>
        </w:rPr>
        <w:t xml:space="preserve">diciembre de 2021, </w:t>
      </w:r>
      <w:r w:rsidRPr="009A511D">
        <w:rPr>
          <w:color w:val="000000"/>
        </w:rPr>
        <w:t>en la cual sobreseyó en el juicio de amparo</w:t>
      </w:r>
      <w:r w:rsidR="006614E4">
        <w:rPr>
          <w:color w:val="000000"/>
        </w:rPr>
        <w:t xml:space="preserve"> respecto del Hospital Civil de Guadalajara –por no acreditarse la existencia de los actos</w:t>
      </w:r>
      <w:r w:rsidR="007E432F">
        <w:rPr>
          <w:color w:val="000000"/>
        </w:rPr>
        <w:t xml:space="preserve"> en relación con esa autoridad–</w:t>
      </w:r>
      <w:r w:rsidR="00BC5DEB" w:rsidRPr="009A511D">
        <w:rPr>
          <w:color w:val="000000"/>
        </w:rPr>
        <w:t xml:space="preserve"> y</w:t>
      </w:r>
      <w:r w:rsidRPr="009A511D">
        <w:rPr>
          <w:color w:val="000000"/>
        </w:rPr>
        <w:t xml:space="preserve"> </w:t>
      </w:r>
      <w:r w:rsidR="00BC5DEB" w:rsidRPr="009A511D">
        <w:rPr>
          <w:color w:val="000000"/>
        </w:rPr>
        <w:t xml:space="preserve">concedió </w:t>
      </w:r>
      <w:r w:rsidRPr="009A511D">
        <w:rPr>
          <w:color w:val="000000"/>
        </w:rPr>
        <w:t xml:space="preserve">la protección constitucional para </w:t>
      </w:r>
      <w:r w:rsidR="00D75761">
        <w:rPr>
          <w:color w:val="000000"/>
        </w:rPr>
        <w:t xml:space="preserve">el efecto de que el </w:t>
      </w:r>
      <w:r w:rsidR="00166D6F">
        <w:rPr>
          <w:color w:val="000000"/>
        </w:rPr>
        <w:t>S</w:t>
      </w:r>
      <w:r w:rsidR="003664BA">
        <w:rPr>
          <w:color w:val="000000"/>
        </w:rPr>
        <w:t>ecretario</w:t>
      </w:r>
      <w:r w:rsidR="00D75761">
        <w:rPr>
          <w:color w:val="000000"/>
        </w:rPr>
        <w:t xml:space="preserve"> de </w:t>
      </w:r>
      <w:r w:rsidR="00166D6F">
        <w:rPr>
          <w:color w:val="000000"/>
        </w:rPr>
        <w:t>S</w:t>
      </w:r>
      <w:r w:rsidR="00D75761">
        <w:rPr>
          <w:color w:val="000000"/>
        </w:rPr>
        <w:t xml:space="preserve">alud </w:t>
      </w:r>
      <w:r w:rsidR="00166D6F">
        <w:rPr>
          <w:color w:val="000000"/>
        </w:rPr>
        <w:t xml:space="preserve">del Estado de Jalisco </w:t>
      </w:r>
      <w:r w:rsidR="000700BA">
        <w:rPr>
          <w:color w:val="000000"/>
        </w:rPr>
        <w:t xml:space="preserve">contestase </w:t>
      </w:r>
      <w:r w:rsidR="00D75761">
        <w:rPr>
          <w:color w:val="000000"/>
        </w:rPr>
        <w:t>al escrito de la quejosa</w:t>
      </w:r>
      <w:r w:rsidRPr="009A511D">
        <w:rPr>
          <w:rStyle w:val="Refdenotaalpie"/>
          <w:color w:val="000000"/>
        </w:rPr>
        <w:footnoteReference w:id="4"/>
      </w:r>
      <w:r w:rsidRPr="009A511D">
        <w:rPr>
          <w:color w:val="000000"/>
        </w:rPr>
        <w:t>.</w:t>
      </w:r>
    </w:p>
    <w:p w14:paraId="12A9B3B8" w14:textId="657F3DE0" w:rsidR="00E67AE2" w:rsidRPr="008D5DD5" w:rsidRDefault="009E2C43" w:rsidP="008D5DD5">
      <w:pPr>
        <w:pStyle w:val="Prrafo"/>
        <w:numPr>
          <w:ilvl w:val="0"/>
          <w:numId w:val="3"/>
        </w:numPr>
        <w:ind w:left="0" w:hanging="567"/>
      </w:pPr>
      <w:r w:rsidRPr="00DA78CC">
        <w:rPr>
          <w:b/>
        </w:rPr>
        <w:t>Recurso de revisión.</w:t>
      </w:r>
      <w:r w:rsidRPr="00DA78CC">
        <w:t xml:space="preserve"> Inconforme con el fallo, </w:t>
      </w:r>
      <w:r w:rsidR="00D83105" w:rsidRPr="00DA78CC">
        <w:t xml:space="preserve">el 15 de diciembre de 2021, </w:t>
      </w:r>
      <w:r w:rsidRPr="00DA78CC">
        <w:t>l</w:t>
      </w:r>
      <w:r w:rsidR="00D83105" w:rsidRPr="00DA78CC">
        <w:t xml:space="preserve">a quejosa </w:t>
      </w:r>
      <w:r w:rsidR="00B37409">
        <w:t>interpuso</w:t>
      </w:r>
      <w:r w:rsidRPr="00DA78CC">
        <w:t xml:space="preserve"> recurso de revisión. </w:t>
      </w:r>
      <w:r w:rsidR="00587A3F">
        <w:t>El</w:t>
      </w:r>
      <w:r w:rsidRPr="00DA78CC">
        <w:t xml:space="preserve"> </w:t>
      </w:r>
      <w:r w:rsidR="00D83105" w:rsidRPr="00DA78CC">
        <w:t>16 de diciembre de 2021</w:t>
      </w:r>
      <w:r w:rsidRPr="00DA78CC">
        <w:t xml:space="preserve">, </w:t>
      </w:r>
      <w:r w:rsidR="00F61A99" w:rsidRPr="00DA78CC">
        <w:t>la jueza de distrito</w:t>
      </w:r>
      <w:r w:rsidRPr="00DA78CC">
        <w:t xml:space="preserve"> ordenó remitir el asunto al </w:t>
      </w:r>
      <w:r w:rsidR="00D83105" w:rsidRPr="00DA78CC">
        <w:t xml:space="preserve">tribunal colegiado del tercer circuito </w:t>
      </w:r>
      <w:r w:rsidRPr="00DA78CC">
        <w:t>en turno</w:t>
      </w:r>
      <w:r w:rsidRPr="00DA78CC">
        <w:rPr>
          <w:rStyle w:val="Refdenotaalpie"/>
          <w:color w:val="000000"/>
        </w:rPr>
        <w:footnoteReference w:id="5"/>
      </w:r>
      <w:r w:rsidRPr="00DA78CC">
        <w:t xml:space="preserve">. Correspondió conocer del recurso de revisión al </w:t>
      </w:r>
      <w:r w:rsidR="005064E9" w:rsidRPr="005064E9">
        <w:t>Segundo Tribunal Colegiado en Materia Administrativa del Tercer Circuito</w:t>
      </w:r>
      <w:r w:rsidRPr="00DA78CC">
        <w:t xml:space="preserve">, quien lo admitió a trámite el </w:t>
      </w:r>
      <w:r w:rsidR="00DA78CC" w:rsidRPr="00DA78CC">
        <w:t>11</w:t>
      </w:r>
      <w:r w:rsidRPr="00DA78CC">
        <w:t xml:space="preserve"> de </w:t>
      </w:r>
      <w:r w:rsidR="00DA78CC" w:rsidRPr="00DA78CC">
        <w:t>enero</w:t>
      </w:r>
      <w:r w:rsidRPr="00DA78CC">
        <w:t xml:space="preserve"> de 20</w:t>
      </w:r>
      <w:r w:rsidR="00DA78CC" w:rsidRPr="00DA78CC">
        <w:t>22</w:t>
      </w:r>
      <w:r w:rsidRPr="00DA78CC">
        <w:t xml:space="preserve"> y lo registró con el número </w:t>
      </w:r>
      <w:r w:rsidR="001E2C70">
        <w:rPr>
          <w:color w:val="C00000"/>
        </w:rPr>
        <w:t>*****</w:t>
      </w:r>
      <w:r w:rsidRPr="00DA78CC">
        <w:t>.</w:t>
      </w:r>
      <w:r w:rsidR="008D5DD5">
        <w:t xml:space="preserve"> </w:t>
      </w:r>
      <w:r w:rsidR="00E67AE2" w:rsidRPr="008D5DD5">
        <w:rPr>
          <w:bCs/>
        </w:rPr>
        <w:t>El 27 de diciembre de 2021, el Hospital Civil de Guadalajara, a través de su coordinadora General Jurídica</w:t>
      </w:r>
      <w:r w:rsidR="008D5DD5" w:rsidRPr="008D5DD5">
        <w:rPr>
          <w:bCs/>
        </w:rPr>
        <w:t>, interpuso recurso de revisión adhesiva.</w:t>
      </w:r>
    </w:p>
    <w:p w14:paraId="341FE2D5" w14:textId="77410E1F" w:rsidR="007A2676" w:rsidRPr="00471FAB" w:rsidRDefault="007A2676" w:rsidP="007A2676">
      <w:pPr>
        <w:pStyle w:val="Prrafo"/>
        <w:numPr>
          <w:ilvl w:val="0"/>
          <w:numId w:val="3"/>
        </w:numPr>
        <w:ind w:left="0" w:hanging="567"/>
      </w:pPr>
      <w:r w:rsidRPr="00471FAB">
        <w:rPr>
          <w:b/>
        </w:rPr>
        <w:t xml:space="preserve">Intervención del Ministerio Público Federal. </w:t>
      </w:r>
      <w:r w:rsidRPr="00471FAB">
        <w:t xml:space="preserve">El </w:t>
      </w:r>
      <w:r w:rsidR="00A31E47" w:rsidRPr="00471FAB">
        <w:t>27 de enero de 2022</w:t>
      </w:r>
      <w:r w:rsidRPr="00471FAB">
        <w:t>, la agente del Ministerio Público adscrita a</w:t>
      </w:r>
      <w:r w:rsidR="00A31E47" w:rsidRPr="00471FAB">
        <w:t xml:space="preserve">l tribunal colegiado del conocimiento </w:t>
      </w:r>
      <w:r w:rsidRPr="00471FAB">
        <w:t xml:space="preserve">presentó su intervención ministerial y expuso que la sentencia recurrida se debería </w:t>
      </w:r>
      <w:r w:rsidR="00842E9E" w:rsidRPr="00471FAB">
        <w:t>confirm</w:t>
      </w:r>
      <w:r w:rsidR="00B2625B" w:rsidRPr="00471FAB">
        <w:t>ar por ser infundados los agravios de la quejosa</w:t>
      </w:r>
      <w:r w:rsidRPr="00471FAB">
        <w:t>.</w:t>
      </w:r>
    </w:p>
    <w:p w14:paraId="794A273D" w14:textId="3F168D36" w:rsidR="009E2C43" w:rsidRPr="00993889" w:rsidRDefault="009E2C43" w:rsidP="009E2C43">
      <w:pPr>
        <w:pStyle w:val="Prrafo"/>
        <w:numPr>
          <w:ilvl w:val="0"/>
          <w:numId w:val="3"/>
        </w:numPr>
        <w:ind w:left="0" w:hanging="567"/>
      </w:pPr>
      <w:r w:rsidRPr="00993889">
        <w:rPr>
          <w:b/>
        </w:rPr>
        <w:t>Solicitud y trámite de la solicitud de ejercicio de la facultad de atracción.</w:t>
      </w:r>
      <w:r w:rsidRPr="00993889">
        <w:t xml:space="preserve"> </w:t>
      </w:r>
      <w:r>
        <w:t xml:space="preserve">En escrito de </w:t>
      </w:r>
      <w:r w:rsidR="00D83105">
        <w:t>11 de marzo de 2022</w:t>
      </w:r>
      <w:r w:rsidR="00B42C73">
        <w:t>,</w:t>
      </w:r>
      <w:r w:rsidRPr="00993889">
        <w:t xml:space="preserve"> </w:t>
      </w:r>
      <w:r>
        <w:t>recibido en l</w:t>
      </w:r>
      <w:r w:rsidRPr="00993889">
        <w:t xml:space="preserve">a Oficina de Certificación Judicial y Correspondencia de esta Suprema Corte de Justicia de la Nación, </w:t>
      </w:r>
      <w:r w:rsidRPr="00993889">
        <w:lastRenderedPageBreak/>
        <w:t>l</w:t>
      </w:r>
      <w:r w:rsidR="00D83105">
        <w:t xml:space="preserve">as autorizadas de la </w:t>
      </w:r>
      <w:r w:rsidR="00D058E7">
        <w:t xml:space="preserve">joven </w:t>
      </w:r>
      <w:r w:rsidR="001E2C70">
        <w:rPr>
          <w:i/>
          <w:iCs/>
        </w:rPr>
        <w:t>María</w:t>
      </w:r>
      <w:r w:rsidR="001A32DC">
        <w:rPr>
          <w:color w:val="C00000"/>
        </w:rPr>
        <w:t xml:space="preserve"> </w:t>
      </w:r>
      <w:r w:rsidR="00D83105">
        <w:t xml:space="preserve">solicitaron </w:t>
      </w:r>
      <w:r w:rsidRPr="00993889">
        <w:t xml:space="preserve">que la Primera Sala ejerciera su facultad de atracción para conocer del amparo en revisión </w:t>
      </w:r>
      <w:r w:rsidR="001E2C70">
        <w:rPr>
          <w:color w:val="C00000"/>
        </w:rPr>
        <w:t>*****</w:t>
      </w:r>
      <w:r w:rsidR="00D83105">
        <w:t xml:space="preserve"> </w:t>
      </w:r>
      <w:r w:rsidRPr="00993889">
        <w:t xml:space="preserve">del índice del Segundo Tribunal Colegiado </w:t>
      </w:r>
      <w:r w:rsidR="00D83105">
        <w:t xml:space="preserve">en Materia Administrativa </w:t>
      </w:r>
      <w:r w:rsidRPr="00993889">
        <w:t xml:space="preserve">del </w:t>
      </w:r>
      <w:r w:rsidR="00D83105">
        <w:t xml:space="preserve">Tercer </w:t>
      </w:r>
      <w:r w:rsidRPr="00993889">
        <w:t>Circuito</w:t>
      </w:r>
      <w:r w:rsidR="00876328">
        <w:t xml:space="preserve"> que se registró con el número </w:t>
      </w:r>
      <w:r w:rsidR="00876328">
        <w:rPr>
          <w:color w:val="C00000"/>
        </w:rPr>
        <w:t>***</w:t>
      </w:r>
      <w:r w:rsidRPr="00993889">
        <w:rPr>
          <w:rStyle w:val="Refdenotaalpie"/>
          <w:color w:val="000000"/>
        </w:rPr>
        <w:footnoteReference w:id="6"/>
      </w:r>
      <w:r w:rsidRPr="00993889">
        <w:t>.</w:t>
      </w:r>
    </w:p>
    <w:p w14:paraId="4B70CED7" w14:textId="32424AC4" w:rsidR="009E2C43" w:rsidRPr="00993889" w:rsidRDefault="009E2C43" w:rsidP="009E2C43">
      <w:pPr>
        <w:pStyle w:val="Prrafo"/>
        <w:numPr>
          <w:ilvl w:val="0"/>
          <w:numId w:val="3"/>
        </w:numPr>
        <w:ind w:left="0" w:hanging="567"/>
      </w:pPr>
      <w:r w:rsidRPr="00993889">
        <w:t xml:space="preserve">En sesión privada de </w:t>
      </w:r>
      <w:r w:rsidR="00D83105">
        <w:t>25 de mayo de 2022</w:t>
      </w:r>
      <w:r w:rsidRPr="00993889">
        <w:t>, ante la falta de legitimación de l</w:t>
      </w:r>
      <w:r w:rsidR="00D83105">
        <w:t xml:space="preserve">as </w:t>
      </w:r>
      <w:r w:rsidRPr="00993889">
        <w:t xml:space="preserve">solicitantes, el ministro </w:t>
      </w:r>
      <w:r w:rsidR="00D83105">
        <w:t xml:space="preserve">Juan Luis González Alcántara Carrancá </w:t>
      </w:r>
      <w:r w:rsidRPr="00993889">
        <w:t>hizo suya la peti</w:t>
      </w:r>
      <w:r>
        <w:t xml:space="preserve">ción referida y en sesión pública de </w:t>
      </w:r>
      <w:r w:rsidR="0080554C">
        <w:t>31 de agosto de 2022</w:t>
      </w:r>
      <w:r w:rsidRPr="00993889">
        <w:t xml:space="preserve">, la Primera Sala decidió </w:t>
      </w:r>
      <w:r>
        <w:t>ejercer la facultad de atracción</w:t>
      </w:r>
      <w:r w:rsidRPr="00993889">
        <w:t>.</w:t>
      </w:r>
    </w:p>
    <w:p w14:paraId="10080C88" w14:textId="64FBEE65" w:rsidR="00CC0D30" w:rsidRDefault="009E2C43" w:rsidP="009E2C43">
      <w:pPr>
        <w:pStyle w:val="Prrafo"/>
        <w:numPr>
          <w:ilvl w:val="0"/>
          <w:numId w:val="3"/>
        </w:numPr>
        <w:ind w:left="0" w:hanging="567"/>
      </w:pPr>
      <w:r w:rsidRPr="002B587F">
        <w:rPr>
          <w:b/>
        </w:rPr>
        <w:t>Trámite del amparo en revisión ante la Suprema Corte de Justicia de la Nación.</w:t>
      </w:r>
      <w:r w:rsidRPr="002B587F">
        <w:t xml:space="preserve"> El </w:t>
      </w:r>
      <w:r w:rsidR="0080554C" w:rsidRPr="002B587F">
        <w:t>25 de octubre</w:t>
      </w:r>
      <w:r w:rsidRPr="002B587F">
        <w:t xml:space="preserve"> de </w:t>
      </w:r>
      <w:r w:rsidR="009F4003" w:rsidRPr="002B587F">
        <w:t>2022</w:t>
      </w:r>
      <w:r w:rsidRPr="002B587F">
        <w:t xml:space="preserve">, el </w:t>
      </w:r>
      <w:r w:rsidR="00A906E0">
        <w:t xml:space="preserve">entonces ministro </w:t>
      </w:r>
      <w:r w:rsidRPr="002B587F">
        <w:t xml:space="preserve">presidente de la Suprema Corte de Justicia de la Nación ordenó formar y registrar el asunto con el número </w:t>
      </w:r>
      <w:r w:rsidR="009F4003" w:rsidRPr="002B587F">
        <w:t>550</w:t>
      </w:r>
      <w:r w:rsidRPr="002B587F">
        <w:t>/20</w:t>
      </w:r>
      <w:r w:rsidR="009F4003" w:rsidRPr="002B587F">
        <w:t>22</w:t>
      </w:r>
      <w:r w:rsidR="00CC0D30">
        <w:t>, así como su</w:t>
      </w:r>
      <w:r w:rsidRPr="002B587F">
        <w:t xml:space="preserve"> radicación en la Primera Sala</w:t>
      </w:r>
      <w:r w:rsidR="00CC0D30">
        <w:t xml:space="preserve"> y </w:t>
      </w:r>
      <w:r w:rsidRPr="002B587F">
        <w:t>su turno al ministro Alfredo Gutiérrez Ortiz Mena</w:t>
      </w:r>
      <w:r w:rsidR="003728E6" w:rsidRPr="002B587F">
        <w:t>.</w:t>
      </w:r>
    </w:p>
    <w:p w14:paraId="41BBF1E9" w14:textId="0D7B5FFA" w:rsidR="009E2C43" w:rsidRPr="002B587F" w:rsidRDefault="009E2C43" w:rsidP="009E2C43">
      <w:pPr>
        <w:pStyle w:val="Prrafo"/>
        <w:numPr>
          <w:ilvl w:val="0"/>
          <w:numId w:val="3"/>
        </w:numPr>
        <w:ind w:left="0" w:hanging="567"/>
      </w:pPr>
      <w:r w:rsidRPr="002B587F">
        <w:t xml:space="preserve">El </w:t>
      </w:r>
      <w:r w:rsidR="003728E6" w:rsidRPr="002B587F">
        <w:t>9 de febrero de 2023</w:t>
      </w:r>
      <w:r w:rsidRPr="002B587F">
        <w:t xml:space="preserve">, el </w:t>
      </w:r>
      <w:r w:rsidR="00A74478">
        <w:t xml:space="preserve">ministro </w:t>
      </w:r>
      <w:r w:rsidRPr="002B587F">
        <w:t>presidente de la Primera Sala se</w:t>
      </w:r>
      <w:r w:rsidR="00D9263D">
        <w:t>ñaló que la sala se a</w:t>
      </w:r>
      <w:r w:rsidR="00694311">
        <w:t>b</w:t>
      </w:r>
      <w:r w:rsidR="00D9263D">
        <w:t>ocaba</w:t>
      </w:r>
      <w:r w:rsidR="00E86993">
        <w:t xml:space="preserve"> el</w:t>
      </w:r>
      <w:r w:rsidRPr="002B587F">
        <w:t xml:space="preserve"> conocimiento del asunto y ordenó el envío de los autos a </w:t>
      </w:r>
      <w:r w:rsidR="00006D18">
        <w:t>la</w:t>
      </w:r>
      <w:r w:rsidR="003728E6" w:rsidRPr="002B587F">
        <w:t xml:space="preserve"> ponencia </w:t>
      </w:r>
      <w:r w:rsidR="00006D18">
        <w:t xml:space="preserve">del ministro Alfredo Gutiérrez Ortiz Mena </w:t>
      </w:r>
      <w:r w:rsidR="003728E6" w:rsidRPr="002B587F">
        <w:t xml:space="preserve">para </w:t>
      </w:r>
      <w:r w:rsidR="00F37DE9">
        <w:t>la elaboración del proyecto correspondiente</w:t>
      </w:r>
      <w:r w:rsidRPr="002B587F">
        <w:t>.</w:t>
      </w:r>
    </w:p>
    <w:p w14:paraId="3EBE5757" w14:textId="77777777" w:rsidR="009E2C43" w:rsidRPr="00993889" w:rsidRDefault="009E2C43" w:rsidP="009E2C43">
      <w:pPr>
        <w:pStyle w:val="Ttulo3"/>
      </w:pPr>
      <w:r w:rsidRPr="00993889">
        <w:t>COMPETENCIA</w:t>
      </w:r>
    </w:p>
    <w:p w14:paraId="27297E4C" w14:textId="668FB596" w:rsidR="009E2C43" w:rsidRPr="00993889" w:rsidRDefault="009E2C43" w:rsidP="009E2C43">
      <w:pPr>
        <w:pStyle w:val="Prrafo"/>
        <w:numPr>
          <w:ilvl w:val="0"/>
          <w:numId w:val="3"/>
        </w:numPr>
        <w:ind w:left="0" w:hanging="567"/>
      </w:pPr>
      <w:r w:rsidRPr="00993889">
        <w:t>Esta Primera Sala de la Suprema Corte de Justicia de la Nación es competente para conocer del presente recurso de revisión, en términos de los artículos 107, fracción VIII, de la Constitución Política de los Estados Unidos Mexicanos; 83 de la Ley de Amparo vigente; 21, fracción II</w:t>
      </w:r>
      <w:r w:rsidR="00DC6AAF">
        <w:t>,</w:t>
      </w:r>
      <w:r w:rsidR="00CC6965">
        <w:t xml:space="preserve"> </w:t>
      </w:r>
      <w:r w:rsidRPr="00993889">
        <w:t xml:space="preserve">de la Ley Orgánica del Poder Judicial de la Federación; </w:t>
      </w:r>
      <w:r w:rsidR="00E35A8B" w:rsidRPr="00E35A8B">
        <w:t>además, el Acuerdo General 5/2013</w:t>
      </w:r>
      <w:r w:rsidR="00C46686">
        <w:t>, emitido por el Pleno de esta Suprema Corte de Justicia de la Nación</w:t>
      </w:r>
      <w:r w:rsidRPr="00993889">
        <w:t xml:space="preserve">. El recurso de revisión se interpuso contra una sentencia dictada </w:t>
      </w:r>
      <w:r w:rsidR="00E723B3">
        <w:t xml:space="preserve">por la secretaria encargada del despacho de un juzgado </w:t>
      </w:r>
      <w:r w:rsidRPr="00993889">
        <w:t xml:space="preserve">de distrito en la audiencia </w:t>
      </w:r>
      <w:r w:rsidRPr="00993889">
        <w:lastRenderedPageBreak/>
        <w:t>constitucional de un juicio de amparo</w:t>
      </w:r>
      <w:r w:rsidR="00E723B3">
        <w:t xml:space="preserve"> indirecto</w:t>
      </w:r>
      <w:r w:rsidR="00A942CD">
        <w:t>. E</w:t>
      </w:r>
      <w:r w:rsidRPr="00993889">
        <w:t>sta Primera Sala ejerció su facultad de atracción</w:t>
      </w:r>
      <w:r w:rsidR="00A942CD">
        <w:t xml:space="preserve"> sobre el recurso</w:t>
      </w:r>
      <w:r w:rsidRPr="00993889">
        <w:t>.</w:t>
      </w:r>
    </w:p>
    <w:p w14:paraId="7DDEED57" w14:textId="77777777" w:rsidR="009E2C43" w:rsidRPr="00993889" w:rsidRDefault="009E2C43" w:rsidP="009E2C43">
      <w:pPr>
        <w:pStyle w:val="Ttulo3"/>
      </w:pPr>
      <w:r w:rsidRPr="00993889">
        <w:t>OPORTUNIDAD</w:t>
      </w:r>
    </w:p>
    <w:p w14:paraId="61F74331" w14:textId="4DBCC1D5" w:rsidR="00EF2B4B" w:rsidRDefault="009E2C43" w:rsidP="003728E6">
      <w:pPr>
        <w:pStyle w:val="Prrafo"/>
        <w:numPr>
          <w:ilvl w:val="0"/>
          <w:numId w:val="3"/>
        </w:numPr>
        <w:ind w:left="0" w:hanging="567"/>
      </w:pPr>
      <w:r w:rsidRPr="00C310FC">
        <w:t xml:space="preserve">El recurso de revisión se interpuso dentro del plazo correspondiente. La sentencia de amparo se notificó </w:t>
      </w:r>
      <w:r w:rsidR="003728E6" w:rsidRPr="00C310FC">
        <w:t>personalmente el 10 de diciembre de 2021</w:t>
      </w:r>
      <w:r w:rsidRPr="00C310FC">
        <w:t xml:space="preserve">, y surtió efectos al día hábil siguiente; es decir, el </w:t>
      </w:r>
      <w:r w:rsidR="003728E6" w:rsidRPr="00C310FC">
        <w:t>13</w:t>
      </w:r>
      <w:r w:rsidRPr="00C310FC">
        <w:t xml:space="preserve">. El plazo de 10 días, establecido por el artículo 86 de la Ley de Amparo, transcurrió del </w:t>
      </w:r>
      <w:r w:rsidR="003728E6" w:rsidRPr="00C310FC">
        <w:t xml:space="preserve">14 </w:t>
      </w:r>
      <w:r w:rsidRPr="00C310FC">
        <w:t xml:space="preserve">al </w:t>
      </w:r>
      <w:r w:rsidR="00522CA7">
        <w:t>27 de diciembre de 2021</w:t>
      </w:r>
      <w:r w:rsidRPr="00C310FC">
        <w:t xml:space="preserve">, sin contar en dicho cómputo los días </w:t>
      </w:r>
      <w:r w:rsidR="00834C07">
        <w:t>18, 19, 25 y 26 de diciembre</w:t>
      </w:r>
      <w:r w:rsidRPr="00C310FC">
        <w:t xml:space="preserve"> por ser inhábiles</w:t>
      </w:r>
      <w:r w:rsidRPr="00C310FC">
        <w:rPr>
          <w:rStyle w:val="Refdenotaalpie"/>
        </w:rPr>
        <w:footnoteReference w:id="7"/>
      </w:r>
      <w:r w:rsidRPr="00C310FC">
        <w:t>.</w:t>
      </w:r>
      <w:r w:rsidR="00C310FC" w:rsidRPr="00C310FC">
        <w:t xml:space="preserve"> </w:t>
      </w:r>
      <w:r w:rsidRPr="00C310FC">
        <w:t xml:space="preserve">La presentación del recurso de revisión fue el </w:t>
      </w:r>
      <w:r w:rsidR="003728E6" w:rsidRPr="00C310FC">
        <w:t xml:space="preserve">15 de diciembre de 2021. </w:t>
      </w:r>
      <w:r w:rsidRPr="00C310FC">
        <w:t>Por tanto, es oportuno.</w:t>
      </w:r>
    </w:p>
    <w:p w14:paraId="178B3A4C" w14:textId="6CC0F0D3" w:rsidR="00486069" w:rsidRPr="00EF2B4B" w:rsidRDefault="00FC47C3" w:rsidP="005F0AD1">
      <w:pPr>
        <w:pStyle w:val="Prrafo"/>
        <w:numPr>
          <w:ilvl w:val="0"/>
          <w:numId w:val="3"/>
        </w:numPr>
        <w:ind w:left="0" w:hanging="567"/>
      </w:pPr>
      <w:r w:rsidRPr="00EF2B4B">
        <w:t xml:space="preserve">Por otra parte, el acuerdo </w:t>
      </w:r>
      <w:r w:rsidR="003E5518">
        <w:t xml:space="preserve">por el que se tuvo por recibido el escrito de revisión principal </w:t>
      </w:r>
      <w:r w:rsidR="00486069">
        <w:t>en el juzgado de distrito</w:t>
      </w:r>
      <w:r w:rsidRPr="00EF2B4B">
        <w:t xml:space="preserve"> fue notificad</w:t>
      </w:r>
      <w:r w:rsidR="00F619E0" w:rsidRPr="00EF2B4B">
        <w:t xml:space="preserve">o por </w:t>
      </w:r>
      <w:r w:rsidR="006B2E81" w:rsidRPr="00EF2B4B">
        <w:t xml:space="preserve">oficio número </w:t>
      </w:r>
      <w:r w:rsidR="003C7BDB">
        <w:rPr>
          <w:color w:val="C00000"/>
        </w:rPr>
        <w:t>*****</w:t>
      </w:r>
      <w:r w:rsidR="00F619E0" w:rsidRPr="00EF2B4B">
        <w:t xml:space="preserve"> el </w:t>
      </w:r>
      <w:r w:rsidR="00276C17" w:rsidRPr="00EF2B4B">
        <w:t>20 de diciembre de 2021</w:t>
      </w:r>
      <w:r w:rsidR="00F619E0" w:rsidRPr="00EF2B4B">
        <w:t xml:space="preserve">. La notificación surtió efectos al día hábil siguiente, es decir, el </w:t>
      </w:r>
      <w:r w:rsidR="00276C17" w:rsidRPr="00EF2B4B">
        <w:t>21</w:t>
      </w:r>
      <w:r w:rsidR="001F5C54" w:rsidRPr="00EF2B4B">
        <w:t xml:space="preserve"> de diciembre</w:t>
      </w:r>
      <w:r w:rsidR="00F619E0" w:rsidRPr="00EF2B4B">
        <w:t xml:space="preserve">. El plazo de </w:t>
      </w:r>
      <w:r w:rsidR="0016581C" w:rsidRPr="00EF2B4B">
        <w:t>5</w:t>
      </w:r>
      <w:r w:rsidR="00F619E0" w:rsidRPr="00EF2B4B">
        <w:t xml:space="preserve"> días</w:t>
      </w:r>
      <w:r w:rsidR="005758D5">
        <w:t>,</w:t>
      </w:r>
      <w:r w:rsidR="00F619E0" w:rsidRPr="00EF2B4B">
        <w:t xml:space="preserve"> que otorga el artículo </w:t>
      </w:r>
      <w:r w:rsidR="0016581C" w:rsidRPr="00EF2B4B">
        <w:t>82</w:t>
      </w:r>
      <w:r w:rsidR="00F619E0" w:rsidRPr="00EF2B4B">
        <w:t xml:space="preserve"> de la Ley de Amparo, transcurrió, entonces, del </w:t>
      </w:r>
      <w:r w:rsidR="001B6573" w:rsidRPr="00EF2B4B">
        <w:t>22</w:t>
      </w:r>
      <w:r w:rsidR="00F619E0" w:rsidRPr="00EF2B4B">
        <w:t xml:space="preserve"> al </w:t>
      </w:r>
      <w:r w:rsidR="00E51D6B" w:rsidRPr="00EF2B4B">
        <w:t>2</w:t>
      </w:r>
      <w:r w:rsidR="00EF5897">
        <w:t>8</w:t>
      </w:r>
      <w:r w:rsidR="00E51D6B" w:rsidRPr="00EF2B4B">
        <w:t xml:space="preserve"> de diciembre de 2021,</w:t>
      </w:r>
      <w:r w:rsidR="00F619E0" w:rsidRPr="00EF2B4B">
        <w:t xml:space="preserve"> sin contar los días </w:t>
      </w:r>
      <w:r w:rsidR="00E51D6B" w:rsidRPr="00EF2B4B">
        <w:t>2</w:t>
      </w:r>
      <w:r w:rsidR="0067608E" w:rsidRPr="00EF2B4B">
        <w:t>5 y 26 del mismo mes</w:t>
      </w:r>
      <w:r w:rsidR="00FB1E58">
        <w:t>, por lo que también debe considerarse oportuno.</w:t>
      </w:r>
    </w:p>
    <w:p w14:paraId="751598F9" w14:textId="77777777" w:rsidR="009E2C43" w:rsidRPr="00993889" w:rsidRDefault="009E2C43" w:rsidP="009E2C43">
      <w:pPr>
        <w:pStyle w:val="Ttulo3"/>
      </w:pPr>
      <w:r w:rsidRPr="00993889">
        <w:t>LEGITIMACIÓN</w:t>
      </w:r>
    </w:p>
    <w:p w14:paraId="6F3430D5" w14:textId="4D88EABF" w:rsidR="003728E6" w:rsidRDefault="003728E6" w:rsidP="009E2C43">
      <w:pPr>
        <w:pStyle w:val="Prrafo"/>
        <w:numPr>
          <w:ilvl w:val="0"/>
          <w:numId w:val="3"/>
        </w:numPr>
        <w:ind w:left="0" w:hanging="567"/>
      </w:pPr>
      <w:r>
        <w:t>La</w:t>
      </w:r>
      <w:r w:rsidR="009E2C43" w:rsidRPr="00993889">
        <w:t xml:space="preserve"> recurrente está legitima</w:t>
      </w:r>
      <w:r>
        <w:t>da</w:t>
      </w:r>
      <w:r w:rsidR="009E2C43" w:rsidRPr="00993889">
        <w:t xml:space="preserve"> para interponer el recurso de revisión, pues en el juicio de amparo se le reconoció la calidad de quejos</w:t>
      </w:r>
      <w:r>
        <w:t xml:space="preserve">a </w:t>
      </w:r>
      <w:r w:rsidR="009E2C43" w:rsidRPr="00993889">
        <w:t>en términos del artículo 5, fracción I</w:t>
      </w:r>
      <w:r w:rsidR="005311A9">
        <w:t>,</w:t>
      </w:r>
      <w:r w:rsidR="009E2C43" w:rsidRPr="00993889">
        <w:t xml:space="preserve"> de la Ley de Amparo.</w:t>
      </w:r>
      <w:r w:rsidR="00BD4738">
        <w:t xml:space="preserve"> </w:t>
      </w:r>
      <w:r w:rsidRPr="00C956B7">
        <w:t xml:space="preserve">La recurrente adhesiva también está legitimada para interponer el recurso adhesivo, pues se trata de la </w:t>
      </w:r>
      <w:r w:rsidR="009F2810">
        <w:t xml:space="preserve">coordinadora general jurídica del organismo público </w:t>
      </w:r>
      <w:r w:rsidR="00802CE8">
        <w:t xml:space="preserve">señalado como autoridad responsable, el </w:t>
      </w:r>
      <w:r w:rsidR="009F2810">
        <w:t>Hospital Civil de Guadalajara</w:t>
      </w:r>
      <w:r w:rsidRPr="00C956B7">
        <w:t>.</w:t>
      </w:r>
    </w:p>
    <w:p w14:paraId="2B4A3E29" w14:textId="77777777" w:rsidR="003A409F" w:rsidRPr="00C956B7" w:rsidRDefault="003A409F" w:rsidP="003A409F">
      <w:pPr>
        <w:pStyle w:val="Prrafo"/>
      </w:pPr>
    </w:p>
    <w:p w14:paraId="3A403B50" w14:textId="77777777" w:rsidR="009E2C43" w:rsidRPr="00993889" w:rsidRDefault="009E2C43" w:rsidP="009E2C43">
      <w:pPr>
        <w:pStyle w:val="Ttulo3"/>
      </w:pPr>
      <w:r w:rsidRPr="00993889">
        <w:lastRenderedPageBreak/>
        <w:t>PROCEDENCIA</w:t>
      </w:r>
    </w:p>
    <w:p w14:paraId="4D304839" w14:textId="03266EF0" w:rsidR="009E2C43" w:rsidRPr="00993889" w:rsidRDefault="009E2C43" w:rsidP="009E2C43">
      <w:pPr>
        <w:pStyle w:val="Prrafo"/>
        <w:numPr>
          <w:ilvl w:val="0"/>
          <w:numId w:val="3"/>
        </w:numPr>
        <w:ind w:left="0" w:hanging="567"/>
      </w:pPr>
      <w:r w:rsidRPr="00993889">
        <w:t>El presente recurso resulta procedente, pues se interpuso contra una sentencia dictada por un juez de distrito en la audiencia constitucional de un juicio de amparo, por lo que se surten los extremos del punto tercero, en relación con el segundo, fracción III</w:t>
      </w:r>
      <w:r>
        <w:t>,</w:t>
      </w:r>
      <w:r w:rsidRPr="00993889">
        <w:t xml:space="preserve"> del Acuerdo General Plenario 5/2013, emitido el 13 de mayo de 2013 y publicado en el Diario Oficial de la Federación el 21 del mismo mes y año.</w:t>
      </w:r>
    </w:p>
    <w:p w14:paraId="504F9C94" w14:textId="77777777" w:rsidR="009E2C43" w:rsidRPr="00993889" w:rsidRDefault="009E2C43" w:rsidP="009E2C43">
      <w:pPr>
        <w:pStyle w:val="Ttulo3"/>
      </w:pPr>
      <w:r w:rsidRPr="00993889">
        <w:t>CUESTIONES PREVIAS</w:t>
      </w:r>
    </w:p>
    <w:p w14:paraId="66A3B3E3" w14:textId="77777777" w:rsidR="00836202" w:rsidRDefault="00421638" w:rsidP="00836202">
      <w:pPr>
        <w:pStyle w:val="Prrafo"/>
        <w:numPr>
          <w:ilvl w:val="0"/>
          <w:numId w:val="3"/>
        </w:numPr>
        <w:ind w:left="0" w:hanging="567"/>
      </w:pPr>
      <w:r>
        <w:t>Antes de e</w:t>
      </w:r>
      <w:r w:rsidR="009E2C43" w:rsidRPr="00993889">
        <w:t xml:space="preserve">ntrar al estudio de los agravios hechos valer por la parte recurrente, esta Primera Sala considera pertinente </w:t>
      </w:r>
      <w:r>
        <w:t xml:space="preserve">reseñar las </w:t>
      </w:r>
      <w:r w:rsidR="009E2C43" w:rsidRPr="00993889">
        <w:t>cuestiones necesarias para resolver el presente asunto.</w:t>
      </w:r>
    </w:p>
    <w:p w14:paraId="665DC765" w14:textId="589228BE" w:rsidR="009E2C43" w:rsidRPr="00836202" w:rsidRDefault="009E2C43" w:rsidP="001A5A8C">
      <w:pPr>
        <w:pStyle w:val="Ttulo9"/>
        <w:numPr>
          <w:ilvl w:val="0"/>
          <w:numId w:val="3"/>
        </w:numPr>
        <w:ind w:left="0" w:hanging="567"/>
        <w:rPr>
          <w:b w:val="0"/>
        </w:rPr>
      </w:pPr>
      <w:r w:rsidRPr="001A5A8C">
        <w:t>Demanda de amparo.</w:t>
      </w:r>
      <w:r w:rsidRPr="00836202">
        <w:rPr>
          <w:b w:val="0"/>
          <w:bCs/>
        </w:rPr>
        <w:t xml:space="preserve"> </w:t>
      </w:r>
      <w:r w:rsidR="003728E6" w:rsidRPr="00836202">
        <w:rPr>
          <w:b w:val="0"/>
          <w:bCs/>
        </w:rPr>
        <w:t>La quejosa planteó</w:t>
      </w:r>
      <w:r w:rsidRPr="00836202">
        <w:rPr>
          <w:b w:val="0"/>
          <w:bCs/>
        </w:rPr>
        <w:t xml:space="preserve"> los siguientes argumentos en los conceptos de violación</w:t>
      </w:r>
      <w:r w:rsidR="003728E6" w:rsidRPr="00836202">
        <w:rPr>
          <w:b w:val="0"/>
          <w:bCs/>
        </w:rPr>
        <w:t>:</w:t>
      </w:r>
    </w:p>
    <w:p w14:paraId="6098F6D5" w14:textId="0FCB0EC6" w:rsidR="009E2C43" w:rsidRDefault="00345359" w:rsidP="002D797F">
      <w:pPr>
        <w:pStyle w:val="Prrafo"/>
        <w:numPr>
          <w:ilvl w:val="0"/>
          <w:numId w:val="5"/>
        </w:numPr>
      </w:pPr>
      <w:r>
        <w:t>L</w:t>
      </w:r>
      <w:r w:rsidR="006C5E5E">
        <w:t>os actos reclamados constituye</w:t>
      </w:r>
      <w:r>
        <w:t>n</w:t>
      </w:r>
      <w:r w:rsidR="006C5E5E">
        <w:t xml:space="preserve"> una violación a los derechos de las víctimas</w:t>
      </w:r>
      <w:r>
        <w:t>, pues</w:t>
      </w:r>
      <w:r w:rsidR="006C5E5E">
        <w:t xml:space="preserve"> la autoridad obstaculizó y dilató su acceso a un servicio de salud de urgencia</w:t>
      </w:r>
      <w:r w:rsidR="00882569">
        <w:t>,</w:t>
      </w:r>
      <w:r w:rsidR="006C5E5E">
        <w:t xml:space="preserve"> </w:t>
      </w:r>
      <w:r>
        <w:t xml:space="preserve">tal como es </w:t>
      </w:r>
      <w:r w:rsidR="006C5E5E">
        <w:t xml:space="preserve">regulado en </w:t>
      </w:r>
      <w:r>
        <w:t>la Ley General de Víctimas</w:t>
      </w:r>
      <w:r w:rsidR="006403BD">
        <w:t xml:space="preserve">. </w:t>
      </w:r>
      <w:r w:rsidR="00AC730A">
        <w:t xml:space="preserve">Ese actuar </w:t>
      </w:r>
      <w:r w:rsidR="006403BD">
        <w:t xml:space="preserve">puso en </w:t>
      </w:r>
      <w:r w:rsidR="006C5E5E">
        <w:t>riesgo su vida, integridad personal y salud.</w:t>
      </w:r>
      <w:r w:rsidR="002D797F">
        <w:t xml:space="preserve"> En efecto, </w:t>
      </w:r>
      <w:r w:rsidR="002D797F" w:rsidRPr="00563139">
        <w:t xml:space="preserve">la </w:t>
      </w:r>
      <w:r w:rsidR="006403BD" w:rsidRPr="00563139">
        <w:t xml:space="preserve">Ley General de Víctimas </w:t>
      </w:r>
      <w:r w:rsidR="006C5E5E" w:rsidRPr="00563139">
        <w:t>garantiza el derecho a recibir</w:t>
      </w:r>
      <w:r w:rsidR="006403BD" w:rsidRPr="00563139">
        <w:t>,</w:t>
      </w:r>
      <w:r w:rsidR="00BA24C4" w:rsidRPr="00563139">
        <w:t xml:space="preserve"> </w:t>
      </w:r>
      <w:r w:rsidR="006C5E5E" w:rsidRPr="00563139">
        <w:t xml:space="preserve">desde la comisión del delito, </w:t>
      </w:r>
      <w:r w:rsidR="00BA24C4" w:rsidRPr="00563139">
        <w:t xml:space="preserve">atención médica y psicológica de urgencia. </w:t>
      </w:r>
      <w:r w:rsidR="00F82883" w:rsidRPr="00563139">
        <w:t>L</w:t>
      </w:r>
      <w:r w:rsidR="00BA24C4" w:rsidRPr="00563139">
        <w:t xml:space="preserve">a remisión a una segunda dependencia gubernamental para que sea ésta última </w:t>
      </w:r>
      <w:r w:rsidR="00C60A11" w:rsidRPr="00563139">
        <w:t>q</w:t>
      </w:r>
      <w:r w:rsidR="00BA24C4" w:rsidRPr="00563139">
        <w:t>u</w:t>
      </w:r>
      <w:r w:rsidR="00C60A11" w:rsidRPr="00563139">
        <w:t>i</w:t>
      </w:r>
      <w:r w:rsidR="00BA24C4" w:rsidRPr="00563139">
        <w:t>e</w:t>
      </w:r>
      <w:r w:rsidR="00C60A11" w:rsidRPr="00563139">
        <w:t>n</w:t>
      </w:r>
      <w:r w:rsidR="00BA24C4" w:rsidRPr="00563139">
        <w:t xml:space="preserve"> determine si es posible</w:t>
      </w:r>
      <w:r w:rsidR="00BA24C4">
        <w:t xml:space="preserve"> efectuar la interrupción</w:t>
      </w:r>
      <w:r w:rsidR="00952CFB">
        <w:t>,</w:t>
      </w:r>
      <w:r w:rsidR="00BA24C4">
        <w:t xml:space="preserve"> así como la demora en el acceso a los servicios de aborto</w:t>
      </w:r>
      <w:r w:rsidR="00F81274">
        <w:t>,</w:t>
      </w:r>
      <w:r w:rsidR="00BA24C4">
        <w:t xml:space="preserve"> o la negativa por parte de las autoridades judiciales y sanitarias de proveerlos a niñas, adolescentes y mujeres víctima</w:t>
      </w:r>
      <w:r w:rsidR="00764A01">
        <w:t>s</w:t>
      </w:r>
      <w:r w:rsidR="00BA24C4">
        <w:t xml:space="preserve"> de violación sexual </w:t>
      </w:r>
      <w:r w:rsidR="006466E8">
        <w:t xml:space="preserve">es contraria a los derechos a la integridad personal, a estar libre de tratos crueles, inhumanos y degradantes y a la salud, en su acepción más amplia. </w:t>
      </w:r>
    </w:p>
    <w:p w14:paraId="654DB334" w14:textId="428F5B7F" w:rsidR="00851A20" w:rsidRDefault="00815D10" w:rsidP="00687245">
      <w:pPr>
        <w:pStyle w:val="Prrafo"/>
        <w:numPr>
          <w:ilvl w:val="0"/>
          <w:numId w:val="5"/>
        </w:numPr>
      </w:pPr>
      <w:r>
        <w:lastRenderedPageBreak/>
        <w:t xml:space="preserve">En el </w:t>
      </w:r>
      <w:r w:rsidR="00851A20">
        <w:t xml:space="preserve">amparo indirecto </w:t>
      </w:r>
      <w:r w:rsidR="002B3A17">
        <w:rPr>
          <w:color w:val="C00000"/>
        </w:rPr>
        <w:t>*****</w:t>
      </w:r>
      <w:r w:rsidR="0000138C">
        <w:t xml:space="preserve">, </w:t>
      </w:r>
      <w:r w:rsidR="002A49E4">
        <w:t xml:space="preserve">en el que </w:t>
      </w:r>
      <w:r w:rsidR="009B11A9">
        <w:t>una mujer</w:t>
      </w:r>
      <w:r w:rsidR="00851A20">
        <w:t xml:space="preserve"> reclam</w:t>
      </w:r>
      <w:r w:rsidR="009B11A9">
        <w:t>ó</w:t>
      </w:r>
      <w:r w:rsidR="00851A20">
        <w:t xml:space="preserve"> la dilación</w:t>
      </w:r>
      <w:r w:rsidR="003111F8">
        <w:t xml:space="preserve"> en que incurrieron las autoridades sanitarias de Durango al atender</w:t>
      </w:r>
      <w:r w:rsidR="00851A20">
        <w:t xml:space="preserve"> la solicitud de interrupción del embarazo</w:t>
      </w:r>
      <w:r>
        <w:t>, el juez te</w:t>
      </w:r>
      <w:r w:rsidR="00851A20">
        <w:t xml:space="preserve">rcero de Distrito en </w:t>
      </w:r>
      <w:r w:rsidR="00AA4901">
        <w:t>esa entidad</w:t>
      </w:r>
      <w:r w:rsidR="00851A20">
        <w:t xml:space="preserve"> </w:t>
      </w:r>
      <w:r w:rsidR="00114256">
        <w:t>sostuvo</w:t>
      </w:r>
      <w:r w:rsidR="00851A20">
        <w:t>:</w:t>
      </w:r>
    </w:p>
    <w:p w14:paraId="5B322339" w14:textId="456DE23B" w:rsidR="00851A20" w:rsidRDefault="00851A20" w:rsidP="00687245">
      <w:pPr>
        <w:pStyle w:val="Prrafo"/>
        <w:numPr>
          <w:ilvl w:val="1"/>
          <w:numId w:val="5"/>
        </w:numPr>
      </w:pPr>
      <w:r>
        <w:t xml:space="preserve">Por la naturaleza de la petición que se le formuló al funcionario de salud, </w:t>
      </w:r>
      <w:r w:rsidR="00114256">
        <w:t xml:space="preserve">éste </w:t>
      </w:r>
      <w:r>
        <w:t xml:space="preserve">tenía el deber de atenderla en forma inmediata, pues </w:t>
      </w:r>
      <w:r w:rsidR="00932FB6">
        <w:t>–</w:t>
      </w:r>
      <w:r w:rsidR="00040E59">
        <w:t>al invocar un caso de atención médica urgente</w:t>
      </w:r>
      <w:r w:rsidR="00932FB6">
        <w:t>–</w:t>
      </w:r>
      <w:r w:rsidR="00040E59">
        <w:t xml:space="preserve"> queda claro que no es una simple </w:t>
      </w:r>
      <w:r>
        <w:t>petición administrativa</w:t>
      </w:r>
      <w:r w:rsidR="00040E59">
        <w:t xml:space="preserve">. </w:t>
      </w:r>
    </w:p>
    <w:p w14:paraId="00004354" w14:textId="54993D66" w:rsidR="00851A20" w:rsidRDefault="00851A20" w:rsidP="00687245">
      <w:pPr>
        <w:pStyle w:val="Prrafo"/>
        <w:numPr>
          <w:ilvl w:val="1"/>
          <w:numId w:val="5"/>
        </w:numPr>
      </w:pPr>
      <w:r>
        <w:t xml:space="preserve">La negativa de otorgar </w:t>
      </w:r>
      <w:r w:rsidR="005D6347">
        <w:t>el servicio</w:t>
      </w:r>
      <w:r>
        <w:t xml:space="preserve"> es una violación gra</w:t>
      </w:r>
      <w:r w:rsidR="00114256">
        <w:t>v</w:t>
      </w:r>
      <w:r>
        <w:t>e</w:t>
      </w:r>
      <w:r w:rsidR="00220168">
        <w:t xml:space="preserve"> de derechos humanos</w:t>
      </w:r>
      <w:r>
        <w:t xml:space="preserve"> al extender el sufrimiento, daño físico y psicológico que padece</w:t>
      </w:r>
      <w:r w:rsidR="00220168">
        <w:t>n las mujeres c</w:t>
      </w:r>
      <w:r>
        <w:t>omo consecuencia del acto delictivo.</w:t>
      </w:r>
    </w:p>
    <w:p w14:paraId="79EF742B" w14:textId="61745368" w:rsidR="005D6347" w:rsidRDefault="005D6347" w:rsidP="00687245">
      <w:pPr>
        <w:pStyle w:val="Prrafo"/>
        <w:numPr>
          <w:ilvl w:val="1"/>
          <w:numId w:val="5"/>
        </w:numPr>
      </w:pPr>
      <w:r>
        <w:t>Las autoridades sanitarias deben atender de manera eficiente e inmediata la solicitud de las mujeres que aducen ser agredidas en sus derechos humanos por ser víctimas de una violación sexual y estar embarazadas producto de ese acto.</w:t>
      </w:r>
    </w:p>
    <w:p w14:paraId="4C18E18F" w14:textId="5DD87526" w:rsidR="00BA24C4" w:rsidRDefault="00961494" w:rsidP="00687245">
      <w:pPr>
        <w:pStyle w:val="Prrafo"/>
        <w:numPr>
          <w:ilvl w:val="0"/>
          <w:numId w:val="5"/>
        </w:numPr>
      </w:pPr>
      <w:bookmarkStart w:id="0" w:name="_Hlk130473406"/>
      <w:r>
        <w:t>L</w:t>
      </w:r>
      <w:r w:rsidR="00BA24C4">
        <w:t xml:space="preserve">a autoridad responsable atentó contra sus derechos como </w:t>
      </w:r>
      <w:r w:rsidR="00254D02">
        <w:t>víctima de</w:t>
      </w:r>
      <w:r w:rsidR="00BA24C4">
        <w:t xml:space="preserve"> violación sexual</w:t>
      </w:r>
      <w:r w:rsidR="00982D79">
        <w:t xml:space="preserve"> </w:t>
      </w:r>
      <w:r w:rsidR="00BA24C4">
        <w:t xml:space="preserve">porque no actuó de manera diligente ni brindó respuesta expresa a su solicitud. </w:t>
      </w:r>
      <w:r w:rsidR="00120FD9">
        <w:t xml:space="preserve">Dicha </w:t>
      </w:r>
      <w:r w:rsidR="00BA24C4">
        <w:t xml:space="preserve">dilación </w:t>
      </w:r>
      <w:r w:rsidR="0092144B">
        <w:t>–</w:t>
      </w:r>
      <w:r w:rsidR="00BA24C4">
        <w:t>negativa de facto</w:t>
      </w:r>
      <w:r w:rsidR="0049104C">
        <w:t>–</w:t>
      </w:r>
      <w:r w:rsidR="004568E8">
        <w:t xml:space="preserve"> </w:t>
      </w:r>
      <w:r w:rsidR="007162D2">
        <w:t xml:space="preserve">constituye </w:t>
      </w:r>
      <w:r w:rsidR="004568E8">
        <w:t xml:space="preserve">no </w:t>
      </w:r>
      <w:r w:rsidR="007162D2">
        <w:t xml:space="preserve">sólo el </w:t>
      </w:r>
      <w:r w:rsidR="00BA24C4">
        <w:t>incumplimiento de</w:t>
      </w:r>
      <w:r w:rsidR="00114256">
        <w:t>l marco normativo</w:t>
      </w:r>
      <w:r w:rsidR="007162D2">
        <w:t xml:space="preserve"> en materia de víctimas, sino</w:t>
      </w:r>
      <w:r w:rsidR="00254EBC">
        <w:t xml:space="preserve"> que además </w:t>
      </w:r>
      <w:r w:rsidR="003D27FB">
        <w:t xml:space="preserve">una forma de </w:t>
      </w:r>
      <w:r w:rsidR="00BA24C4">
        <w:t>trat</w:t>
      </w:r>
      <w:r w:rsidR="003D27FB">
        <w:t xml:space="preserve">o </w:t>
      </w:r>
      <w:r w:rsidR="00BA24C4">
        <w:t>cruel, inhumano y degradante que afecta su vida e integridad personal.</w:t>
      </w:r>
    </w:p>
    <w:p w14:paraId="1BDFDEAA" w14:textId="458A8350" w:rsidR="00DD7DB7" w:rsidRDefault="0026742D" w:rsidP="00687245">
      <w:pPr>
        <w:pStyle w:val="Prrafo"/>
        <w:numPr>
          <w:ilvl w:val="0"/>
          <w:numId w:val="5"/>
        </w:numPr>
      </w:pPr>
      <w:r>
        <w:t xml:space="preserve">De esa manera, </w:t>
      </w:r>
      <w:r w:rsidR="00D0355E">
        <w:t xml:space="preserve">no sólo debe ordenarse a la autoridad responsable que lleve a cabo </w:t>
      </w:r>
      <w:r w:rsidR="000F6AC6">
        <w:t xml:space="preserve">la interrupción del embarazo, sino también decretar la violación a derechos humanos </w:t>
      </w:r>
      <w:r w:rsidR="009E433D">
        <w:t>y ordenar la reparación integral del daño.</w:t>
      </w:r>
    </w:p>
    <w:p w14:paraId="7B8F9025" w14:textId="2EDE979A" w:rsidR="005D6347" w:rsidRDefault="00252ABC" w:rsidP="00687245">
      <w:pPr>
        <w:pStyle w:val="Prrafo"/>
        <w:numPr>
          <w:ilvl w:val="0"/>
          <w:numId w:val="5"/>
        </w:numPr>
      </w:pPr>
      <w:bookmarkStart w:id="1" w:name="_Hlk130473660"/>
      <w:bookmarkEnd w:id="0"/>
      <w:r>
        <w:t>L</w:t>
      </w:r>
      <w:r w:rsidR="005D6347">
        <w:t>as omisiones de la autoridad atenta</w:t>
      </w:r>
      <w:r w:rsidR="00720880">
        <w:t>ron</w:t>
      </w:r>
      <w:r w:rsidR="005D6347">
        <w:t xml:space="preserve"> contra su derecho a la integridad personal</w:t>
      </w:r>
      <w:r w:rsidR="008806B2">
        <w:t xml:space="preserve">. A pesar </w:t>
      </w:r>
      <w:r w:rsidR="005D6347">
        <w:t xml:space="preserve">de que el aborto en caso de violación se encuentra regulado y permitido por el marco normativo, no se le </w:t>
      </w:r>
      <w:r w:rsidR="00720880">
        <w:t>dio</w:t>
      </w:r>
      <w:r w:rsidR="005D6347">
        <w:t xml:space="preserve"> la </w:t>
      </w:r>
      <w:r w:rsidR="005D6347">
        <w:lastRenderedPageBreak/>
        <w:t>atención</w:t>
      </w:r>
      <w:r w:rsidR="008806B2">
        <w:t xml:space="preserve"> requerida</w:t>
      </w:r>
      <w:r>
        <w:t xml:space="preserve">. Esa </w:t>
      </w:r>
      <w:r w:rsidR="00720880">
        <w:t xml:space="preserve">situación </w:t>
      </w:r>
      <w:r w:rsidR="005D6347">
        <w:t>no sólo p</w:t>
      </w:r>
      <w:r w:rsidR="00720880">
        <w:t>uso</w:t>
      </w:r>
      <w:r w:rsidR="005D6347">
        <w:t xml:space="preserve"> en riesgo su salud y vida, sino que permit</w:t>
      </w:r>
      <w:r w:rsidR="00720880">
        <w:t>ió</w:t>
      </w:r>
      <w:r w:rsidR="005D6347">
        <w:t xml:space="preserve"> que las consecuencias de la violación sexual </w:t>
      </w:r>
      <w:r w:rsidR="008A5BC3">
        <w:t xml:space="preserve">se </w:t>
      </w:r>
      <w:r w:rsidR="008806B2">
        <w:t xml:space="preserve">prolongaran </w:t>
      </w:r>
      <w:r w:rsidR="005D6347">
        <w:t>en el tiempo.</w:t>
      </w:r>
      <w:r w:rsidR="00187281">
        <w:t xml:space="preserve"> </w:t>
      </w:r>
      <w:r w:rsidR="009D1FB1">
        <w:t>A</w:t>
      </w:r>
      <w:r w:rsidR="009372A9">
        <w:t>l vers</w:t>
      </w:r>
      <w:r w:rsidR="00B44A87">
        <w:t xml:space="preserve">e obligada a seguir afrontando una situación dolorosa y atemorizante para su vida, </w:t>
      </w:r>
      <w:r w:rsidR="003F3DCC">
        <w:t>se materializaron tratos crueles, inhumanos y degradantes.</w:t>
      </w:r>
    </w:p>
    <w:p w14:paraId="1BFB0599" w14:textId="28E4FBEB" w:rsidR="002E61A9" w:rsidRDefault="00BA5A30" w:rsidP="00687245">
      <w:pPr>
        <w:pStyle w:val="Prrafo"/>
        <w:numPr>
          <w:ilvl w:val="0"/>
          <w:numId w:val="5"/>
        </w:numPr>
      </w:pPr>
      <w:bookmarkStart w:id="2" w:name="_Hlk130474875"/>
      <w:bookmarkEnd w:id="1"/>
      <w:r>
        <w:t>E</w:t>
      </w:r>
      <w:r w:rsidR="002E61A9">
        <w:t>l derecho a la salud impone al Estado la obligación</w:t>
      </w:r>
      <w:r w:rsidR="000B2AB6">
        <w:t xml:space="preserve"> </w:t>
      </w:r>
      <w:r w:rsidR="002E61A9">
        <w:t>no sólo de abstenerse de inferir con el ejercicio de este derecho, sino también de adoptar todas las medidas necesarias y posibles para que las personas alcance</w:t>
      </w:r>
      <w:r w:rsidR="003548B2">
        <w:t>n</w:t>
      </w:r>
      <w:r w:rsidR="002E61A9">
        <w:t xml:space="preserve"> el máximo nivel de bienestar (físico, mental y social). </w:t>
      </w:r>
      <w:r w:rsidR="001F7115">
        <w:t xml:space="preserve">Las </w:t>
      </w:r>
      <w:r w:rsidR="00834EED">
        <w:t>mujeres</w:t>
      </w:r>
      <w:r w:rsidR="002E61A9">
        <w:t xml:space="preserve"> </w:t>
      </w:r>
      <w:r w:rsidR="00834EED">
        <w:t>y personas gestante</w:t>
      </w:r>
      <w:r w:rsidR="001F7115">
        <w:t>s</w:t>
      </w:r>
      <w:r w:rsidR="00834EED">
        <w:t xml:space="preserve"> tienen</w:t>
      </w:r>
      <w:r w:rsidR="002E61A9">
        <w:t xml:space="preserve"> derecho a beneficiarse de todas las medidas que les permitan gozar del mejor estado de salud incluyendo los servicios de salud sexual y reproductiva</w:t>
      </w:r>
      <w:r w:rsidR="002E61A9" w:rsidRPr="00E47DC4">
        <w:t xml:space="preserve">. </w:t>
      </w:r>
      <w:r w:rsidR="001F7115" w:rsidRPr="00E47DC4">
        <w:t xml:space="preserve">De hecho, </w:t>
      </w:r>
      <w:r w:rsidR="000A0AB5" w:rsidRPr="00E47DC4">
        <w:t>la</w:t>
      </w:r>
      <w:r w:rsidR="008C5AE2" w:rsidRPr="00E47DC4">
        <w:t xml:space="preserve"> Primera Sala de la Suprema Corte </w:t>
      </w:r>
      <w:r w:rsidR="000A0AB5" w:rsidRPr="00E47DC4">
        <w:t xml:space="preserve">ha dicho que </w:t>
      </w:r>
      <w:r w:rsidR="008C5AE2" w:rsidRPr="00E47DC4">
        <w:t>el Estado tiene la obligación de prevenir razonablemente los riesgos asociados</w:t>
      </w:r>
      <w:r w:rsidR="008C5AE2">
        <w:t xml:space="preserve"> con el embarazo y con el aborto inseguro, lo que abarca tanto</w:t>
      </w:r>
      <w:r w:rsidR="00D6243A">
        <w:t xml:space="preserve"> su </w:t>
      </w:r>
      <w:r w:rsidR="008C5AE2">
        <w:t>valoración adecuada</w:t>
      </w:r>
      <w:r w:rsidR="00A643A8">
        <w:t xml:space="preserve"> </w:t>
      </w:r>
      <w:r w:rsidR="008C5AE2">
        <w:t>como el acceso pronto a los servicios de aborto que resulten necesarios para preservar la vida de la</w:t>
      </w:r>
      <w:r w:rsidR="00A643A8">
        <w:t>s mujeres y personas gestantes.</w:t>
      </w:r>
    </w:p>
    <w:p w14:paraId="29F5CCA3" w14:textId="10A664D9" w:rsidR="005D6347" w:rsidRDefault="00615F4E" w:rsidP="00687245">
      <w:pPr>
        <w:pStyle w:val="Prrafo"/>
        <w:numPr>
          <w:ilvl w:val="0"/>
          <w:numId w:val="5"/>
        </w:numPr>
      </w:pPr>
      <w:r>
        <w:t>E</w:t>
      </w:r>
      <w:r w:rsidR="000A0AB5">
        <w:t xml:space="preserve">sa misma Sala </w:t>
      </w:r>
      <w:r w:rsidR="008C5AE2">
        <w:t>ha establecido que el derecho a la salud no sólo comprende la obligación de asegurar el máximo nivel posible de salud física, sino que el término salud debe entenderse en su concepto más amplio, incluyendo así la salud psicológica y social.</w:t>
      </w:r>
      <w:r w:rsidR="00411CBE">
        <w:t xml:space="preserve"> En su </w:t>
      </w:r>
      <w:r w:rsidR="002E61A9">
        <w:t>caso,</w:t>
      </w:r>
      <w:r w:rsidR="005D6347">
        <w:t xml:space="preserve"> </w:t>
      </w:r>
      <w:r w:rsidR="008E74A4">
        <w:t>la autoridad responsable atentó contra su derecho a la salud, pues su falta de diligencia, respuesta y atención médica implicaron</w:t>
      </w:r>
      <w:r w:rsidR="0043162E">
        <w:t xml:space="preserve"> </w:t>
      </w:r>
      <w:r w:rsidR="008E74A4">
        <w:t>la continuación de las consecuencias de la violación sexual en su salud</w:t>
      </w:r>
      <w:r w:rsidR="0043162E">
        <w:t xml:space="preserve"> </w:t>
      </w:r>
      <w:r w:rsidR="008E74A4">
        <w:t xml:space="preserve">y </w:t>
      </w:r>
      <w:r w:rsidR="003B1674">
        <w:t xml:space="preserve">su exposición a peligros </w:t>
      </w:r>
      <w:r w:rsidR="008E74A4">
        <w:t>en tanto ha sido diagnosticada con ideación suicida activa, trastorno depresivo mayor, anemia y sífilis.</w:t>
      </w:r>
    </w:p>
    <w:p w14:paraId="17065832" w14:textId="43DFF8F0" w:rsidR="008E74A4" w:rsidRPr="00A34C7E" w:rsidRDefault="005B2B63" w:rsidP="00687245">
      <w:pPr>
        <w:pStyle w:val="Prrafo"/>
        <w:numPr>
          <w:ilvl w:val="0"/>
          <w:numId w:val="5"/>
        </w:numPr>
      </w:pPr>
      <w:r>
        <w:t xml:space="preserve">La </w:t>
      </w:r>
      <w:r w:rsidR="008E74A4" w:rsidRPr="00A34C7E">
        <w:t xml:space="preserve">negativa de realizar la interrupción de un embarazo </w:t>
      </w:r>
      <w:r w:rsidR="003B1674" w:rsidRPr="00A34C7E">
        <w:t xml:space="preserve">forzado </w:t>
      </w:r>
      <w:r w:rsidR="007F431C" w:rsidRPr="00A34C7E">
        <w:t xml:space="preserve">evidencia la discriminación histórica y sistemática que han padecido las mujeres y las personas gestantes. </w:t>
      </w:r>
      <w:r w:rsidR="008E74A4" w:rsidRPr="00A34C7E">
        <w:t xml:space="preserve">Sostuvo, entonces, que el acto reclamado es inconstitucional por ser contrario al artículo 1 de la Constitución Federal y a los diversos tratados internacionales, suscritos </w:t>
      </w:r>
      <w:r w:rsidR="008E74A4" w:rsidRPr="00A34C7E">
        <w:lastRenderedPageBreak/>
        <w:t>por el Estado Mexicano que prohíben la discriminación, particularmente la discriminación por razones de sexo/género.</w:t>
      </w:r>
    </w:p>
    <w:p w14:paraId="069B3DED" w14:textId="25979D53" w:rsidR="008E74A4" w:rsidRDefault="00FA54D6" w:rsidP="00687245">
      <w:pPr>
        <w:pStyle w:val="Prrafo"/>
        <w:numPr>
          <w:ilvl w:val="0"/>
          <w:numId w:val="5"/>
        </w:numPr>
      </w:pPr>
      <w:r>
        <w:t>L</w:t>
      </w:r>
      <w:r w:rsidR="008E74A4">
        <w:t xml:space="preserve">os estereotipos vinculados con la maternidad permean el sistema jurídico y social y se materializan, por </w:t>
      </w:r>
      <w:r w:rsidR="002E61A9">
        <w:t>ejemplo,</w:t>
      </w:r>
      <w:r w:rsidR="008E74A4">
        <w:t xml:space="preserve"> en la criminalización del aborto</w:t>
      </w:r>
      <w:r w:rsidR="002E61A9">
        <w:t xml:space="preserve">. </w:t>
      </w:r>
      <w:r>
        <w:t>L</w:t>
      </w:r>
      <w:r w:rsidR="002E61A9">
        <w:t xml:space="preserve">a mortalidad y morbilidad causadas por la falta de acceso a los servicios de salud reproductiva, entre ellos el aborto legal y seguro, son manifestaciones de violaciones de derechos para las cuales no existe una violación paralela </w:t>
      </w:r>
      <w:r w:rsidR="00972869">
        <w:t xml:space="preserve">en el caso de los </w:t>
      </w:r>
      <w:r w:rsidR="002E61A9">
        <w:t>hombres</w:t>
      </w:r>
      <w:r w:rsidR="00972869">
        <w:t xml:space="preserve">. </w:t>
      </w:r>
    </w:p>
    <w:p w14:paraId="35552DB3" w14:textId="767A7F8E" w:rsidR="002E61A9" w:rsidRDefault="00FA54D6" w:rsidP="00687245">
      <w:pPr>
        <w:pStyle w:val="Prrafo"/>
        <w:numPr>
          <w:ilvl w:val="0"/>
          <w:numId w:val="5"/>
        </w:numPr>
      </w:pPr>
      <w:r>
        <w:t>E</w:t>
      </w:r>
      <w:r w:rsidR="002E61A9">
        <w:t>rradicar la discriminación hacia las mujeres y personas gestantes</w:t>
      </w:r>
      <w:r w:rsidR="00C63DBA">
        <w:t xml:space="preserve"> </w:t>
      </w:r>
      <w:r w:rsidR="002E61A9">
        <w:t xml:space="preserve">en el contexto de la salud reproductiva implica un enfoque integral que garantice el acceso a otros derechos como la educación, el acceso a la información relativa a métodos anticonceptivos, la eliminación de </w:t>
      </w:r>
      <w:r w:rsidR="009311D0">
        <w:t>la discriminación</w:t>
      </w:r>
      <w:r w:rsidR="002E61A9">
        <w:t xml:space="preserve"> dentro de la familia y, en general, todas las formas de violencia hacia las mujeres</w:t>
      </w:r>
      <w:r w:rsidR="00BE434B">
        <w:t>.</w:t>
      </w:r>
    </w:p>
    <w:p w14:paraId="25F49957" w14:textId="15D31832" w:rsidR="009311D0" w:rsidRDefault="00E212B5" w:rsidP="00687245">
      <w:pPr>
        <w:pStyle w:val="Prrafo"/>
        <w:numPr>
          <w:ilvl w:val="0"/>
          <w:numId w:val="5"/>
        </w:numPr>
      </w:pPr>
      <w:r>
        <w:t>D</w:t>
      </w:r>
      <w:r w:rsidR="009311D0">
        <w:t>etrás del acto de la autoridad responsable</w:t>
      </w:r>
      <w:r>
        <w:t>,</w:t>
      </w:r>
      <w:r w:rsidR="009311D0">
        <w:t xml:space="preserve"> existe un problema de discriminación en el ejercicio de los derechos sexuales y reproductivos, así como </w:t>
      </w:r>
      <w:r>
        <w:t xml:space="preserve">en </w:t>
      </w:r>
      <w:r w:rsidR="008777BE">
        <w:t xml:space="preserve">el </w:t>
      </w:r>
      <w:r w:rsidR="009311D0">
        <w:t>acceso a la justicia</w:t>
      </w:r>
      <w:r w:rsidR="008777BE">
        <w:t xml:space="preserve">, pues </w:t>
      </w:r>
      <w:r w:rsidR="009311D0">
        <w:t xml:space="preserve">el acto reclamado implicó la perpetuación de la condición desfavorable </w:t>
      </w:r>
      <w:r w:rsidR="00F025D1">
        <w:t>a que han sido sujetas las mujeres</w:t>
      </w:r>
      <w:r w:rsidR="00993D59">
        <w:t>,</w:t>
      </w:r>
      <w:r w:rsidR="00F025D1">
        <w:t xml:space="preserve"> y reprodujo una situación de discriminación estructural, especialmente dañina para las mujeres. </w:t>
      </w:r>
    </w:p>
    <w:p w14:paraId="0C051DFD" w14:textId="73FEE115" w:rsidR="00F025D1" w:rsidRDefault="00E212B5" w:rsidP="00687245">
      <w:pPr>
        <w:pStyle w:val="Prrafo"/>
        <w:numPr>
          <w:ilvl w:val="0"/>
          <w:numId w:val="5"/>
        </w:numPr>
      </w:pPr>
      <w:r>
        <w:t>L</w:t>
      </w:r>
      <w:r w:rsidR="00F025D1">
        <w:t xml:space="preserve">a negativa para acceder a servicios de salud reproductiva es el legado de severos prejuicios y estereotipos de género discriminatorios que han privilegiado históricamente la función reproductiva y </w:t>
      </w:r>
      <w:r w:rsidR="009A067C">
        <w:t>maternidad</w:t>
      </w:r>
      <w:r w:rsidR="00F025D1">
        <w:t xml:space="preserve"> de las </w:t>
      </w:r>
      <w:r w:rsidR="009A067C">
        <w:t>mujeres a costa del disfrute y ejercicio de otros derechos</w:t>
      </w:r>
      <w:r w:rsidR="00F15A13">
        <w:t xml:space="preserve">. </w:t>
      </w:r>
    </w:p>
    <w:p w14:paraId="5953F06A" w14:textId="11B34D9E" w:rsidR="009A067C" w:rsidRDefault="00E212B5" w:rsidP="00687245">
      <w:pPr>
        <w:pStyle w:val="Prrafo"/>
        <w:numPr>
          <w:ilvl w:val="0"/>
          <w:numId w:val="5"/>
        </w:numPr>
      </w:pPr>
      <w:r>
        <w:t>E</w:t>
      </w:r>
      <w:r w:rsidR="009A067C">
        <w:t>l régimen constitucional mexicano y el internacional otorgan a las mujeres una diversidad de derechos, por lo que el negarles los beneficios sociales y jurídicos que son accesibles en materia del derecho a la autonomía reproductiva</w:t>
      </w:r>
      <w:r w:rsidR="00944F9A">
        <w:t xml:space="preserve">, implica tratar a las mujeres como si fueran ciudadanas de segunda clase </w:t>
      </w:r>
      <w:r w:rsidR="006A6945">
        <w:t xml:space="preserve">y, por tanto, </w:t>
      </w:r>
      <w:r w:rsidR="00944F9A">
        <w:t>sus derechos</w:t>
      </w:r>
      <w:r w:rsidR="00C1055B">
        <w:t>,</w:t>
      </w:r>
      <w:r w:rsidR="00944F9A">
        <w:t xml:space="preserve"> en </w:t>
      </w:r>
      <w:r w:rsidR="00944F9A">
        <w:lastRenderedPageBreak/>
        <w:t>especial sus derechos sexuales y reproductivos</w:t>
      </w:r>
      <w:r w:rsidR="00C1055B">
        <w:t>,</w:t>
      </w:r>
      <w:r w:rsidR="00944F9A">
        <w:t xml:space="preserve"> pueden ser sometidos a intereses y decisiones ajenas.</w:t>
      </w:r>
    </w:p>
    <w:p w14:paraId="32850458" w14:textId="3D72FD0D" w:rsidR="00944F9A" w:rsidRDefault="00E212B5" w:rsidP="00687245">
      <w:pPr>
        <w:pStyle w:val="Prrafo"/>
        <w:numPr>
          <w:ilvl w:val="0"/>
          <w:numId w:val="5"/>
        </w:numPr>
      </w:pPr>
      <w:r>
        <w:t>L</w:t>
      </w:r>
      <w:r w:rsidR="00944F9A">
        <w:t>a negativa de interrumpir el embarazo se traduce en una doble discriminación</w:t>
      </w:r>
      <w:r w:rsidR="00BB628B">
        <w:t>,</w:t>
      </w:r>
      <w:r w:rsidR="00944F9A">
        <w:t xml:space="preserve"> pues no sólo se priva a las mujeres y personas con capacidad de gestar de los beneficios expresos de</w:t>
      </w:r>
      <w:r w:rsidR="00B0444F">
        <w:t>l</w:t>
      </w:r>
      <w:r w:rsidR="00944F9A">
        <w:t xml:space="preserve"> derecho a la igualdad y no discriminación que surgen del reconocimiento de que hombres y mujeres deben disfrutar en igualdad de condiciones de los mismos derechos y oportunidades, sino también se les excluye de los beneficios materiales al negárseles el acceso a una atención integral a su salud, que incluye la salud reproductiva. </w:t>
      </w:r>
    </w:p>
    <w:p w14:paraId="6FA8D693" w14:textId="3C96B5D7" w:rsidR="00FB1F1C" w:rsidRDefault="00E212B5" w:rsidP="00687245">
      <w:pPr>
        <w:pStyle w:val="Prrafo"/>
        <w:numPr>
          <w:ilvl w:val="0"/>
          <w:numId w:val="5"/>
        </w:numPr>
      </w:pPr>
      <w:r>
        <w:t>D</w:t>
      </w:r>
      <w:r w:rsidR="00FB1F1C">
        <w:t>e acuerdo con las normas constitucionales e internacionales, la falta de previsión legal, restricción o negación de servicios de salud que sólo las mujeres necesita</w:t>
      </w:r>
      <w:r w:rsidR="001D02FF">
        <w:t>n</w:t>
      </w:r>
      <w:r w:rsidR="00FB1F1C">
        <w:t>, como los servicios de salud reproductiva</w:t>
      </w:r>
      <w:r w:rsidR="009E3F6C">
        <w:t>,</w:t>
      </w:r>
      <w:r w:rsidR="00FB1F1C">
        <w:t xml:space="preserve"> es discriminación. </w:t>
      </w:r>
    </w:p>
    <w:p w14:paraId="0A0B51F4" w14:textId="05235EC4" w:rsidR="00FB1F1C" w:rsidRDefault="00E212B5" w:rsidP="00687245">
      <w:pPr>
        <w:pStyle w:val="Prrafo"/>
        <w:numPr>
          <w:ilvl w:val="0"/>
          <w:numId w:val="5"/>
        </w:numPr>
      </w:pPr>
      <w:r>
        <w:t>A</w:t>
      </w:r>
      <w:r w:rsidR="00FB1F1C">
        <w:t>ctos como el que se reclama traen como consecuencia la concretización de esa discriminación y aumenta</w:t>
      </w:r>
      <w:r w:rsidR="00D52EE7">
        <w:t>n</w:t>
      </w:r>
      <w:r w:rsidR="00FB1F1C">
        <w:t xml:space="preserve"> la brecha de la desigualdad en el acceso </w:t>
      </w:r>
      <w:r w:rsidR="00AF5F28">
        <w:t xml:space="preserve">al respeto, protección y garantía de sus </w:t>
      </w:r>
      <w:r w:rsidR="00FB1F1C">
        <w:t xml:space="preserve">derechos reproductivos y derecho a la salud. </w:t>
      </w:r>
    </w:p>
    <w:p w14:paraId="54077FE8" w14:textId="52419FAF" w:rsidR="00715CF5" w:rsidRPr="00993889" w:rsidRDefault="00E212B5" w:rsidP="00687245">
      <w:pPr>
        <w:pStyle w:val="Prrafo"/>
        <w:numPr>
          <w:ilvl w:val="0"/>
          <w:numId w:val="5"/>
        </w:numPr>
      </w:pPr>
      <w:r>
        <w:t xml:space="preserve">El </w:t>
      </w:r>
      <w:r w:rsidR="00715CF5">
        <w:t xml:space="preserve">acto reclamado atentó contra el principio del interés superior de la infancia, puesto que la falta de debida diligencia y actuar omiso de la autoridad responsable implicó afectaciones diferenciadas a ella como adolescente. Advirtió que la Segunda Sala de la Suprema Corte de Justicia de la Nación ha establecido </w:t>
      </w:r>
      <w:r w:rsidR="009C56F3">
        <w:t>que,</w:t>
      </w:r>
      <w:r w:rsidR="00715CF5">
        <w:t xml:space="preserve"> en toda decisión, acto, conducta, propuesta, servicios, procedimientos y demás iniciativas adoptadas por las autoridades, que pueda afectar a una niña, niño o adolescente debe tenerse en cuenta el interés superior de la infancia como consideración primordial. </w:t>
      </w:r>
    </w:p>
    <w:bookmarkEnd w:id="2"/>
    <w:p w14:paraId="6742258A" w14:textId="6CD8B5BE" w:rsidR="009E2C43" w:rsidRPr="009E2C43" w:rsidRDefault="009E2C43" w:rsidP="001A5A8C">
      <w:pPr>
        <w:pStyle w:val="Ttulo9"/>
        <w:numPr>
          <w:ilvl w:val="0"/>
          <w:numId w:val="3"/>
        </w:numPr>
        <w:ind w:left="0" w:hanging="567"/>
        <w:rPr>
          <w:b w:val="0"/>
          <w:bCs/>
        </w:rPr>
      </w:pPr>
      <w:r w:rsidRPr="009E2C43">
        <w:t>Ampliación de la demanda de amparo.</w:t>
      </w:r>
      <w:r w:rsidRPr="009E2C43">
        <w:rPr>
          <w:b w:val="0"/>
          <w:bCs/>
        </w:rPr>
        <w:t xml:space="preserve"> En su escrito de ampliación, </w:t>
      </w:r>
      <w:r w:rsidR="003728E6">
        <w:rPr>
          <w:b w:val="0"/>
          <w:bCs/>
        </w:rPr>
        <w:t xml:space="preserve">la </w:t>
      </w:r>
      <w:r w:rsidR="00173E61">
        <w:rPr>
          <w:b w:val="0"/>
          <w:bCs/>
        </w:rPr>
        <w:t>representante de la quejosa</w:t>
      </w:r>
      <w:r w:rsidR="003728E6">
        <w:rPr>
          <w:b w:val="0"/>
          <w:bCs/>
        </w:rPr>
        <w:t xml:space="preserve"> señaló </w:t>
      </w:r>
      <w:r w:rsidRPr="009E2C43">
        <w:rPr>
          <w:b w:val="0"/>
          <w:bCs/>
        </w:rPr>
        <w:t>lo siguiente:</w:t>
      </w:r>
    </w:p>
    <w:p w14:paraId="2CB5B59E" w14:textId="20F78374" w:rsidR="009E2C43" w:rsidRDefault="009F5C17" w:rsidP="00687245">
      <w:pPr>
        <w:pStyle w:val="Prrafo"/>
        <w:numPr>
          <w:ilvl w:val="0"/>
          <w:numId w:val="6"/>
        </w:numPr>
      </w:pPr>
      <w:r>
        <w:lastRenderedPageBreak/>
        <w:t>L</w:t>
      </w:r>
      <w:r w:rsidR="00646E4A">
        <w:t>os actos reclamados constituyeron una violación a los derechos de las víctimas</w:t>
      </w:r>
      <w:r w:rsidR="009C56F3">
        <w:t xml:space="preserve">. </w:t>
      </w:r>
      <w:r w:rsidR="00C3121D">
        <w:t>E</w:t>
      </w:r>
      <w:r w:rsidR="00646E4A">
        <w:t>l actuar de la autoridad obstaculizó y dilató el acceso a un servicio de salud de urgencia regulado por el marco normativo aplicable</w:t>
      </w:r>
      <w:r w:rsidR="001E3B2E">
        <w:t xml:space="preserve"> y puso</w:t>
      </w:r>
      <w:r w:rsidR="00646E4A">
        <w:t xml:space="preserve"> en riesgo </w:t>
      </w:r>
      <w:r w:rsidR="00306CBC">
        <w:t>la</w:t>
      </w:r>
      <w:r w:rsidR="00646E4A">
        <w:t xml:space="preserve"> integridad personal y salud</w:t>
      </w:r>
      <w:r w:rsidR="00306CBC">
        <w:t xml:space="preserve"> de </w:t>
      </w:r>
      <w:r w:rsidR="002B3A17">
        <w:rPr>
          <w:i/>
          <w:iCs/>
        </w:rPr>
        <w:t>María</w:t>
      </w:r>
      <w:r w:rsidR="00306CBC">
        <w:rPr>
          <w:color w:val="C00000"/>
        </w:rPr>
        <w:t>.</w:t>
      </w:r>
    </w:p>
    <w:p w14:paraId="5969F5DE" w14:textId="3510C4CC" w:rsidR="00646E4A" w:rsidRDefault="00CA0BB0" w:rsidP="00687245">
      <w:pPr>
        <w:pStyle w:val="Prrafo"/>
        <w:numPr>
          <w:ilvl w:val="0"/>
          <w:numId w:val="6"/>
        </w:numPr>
        <w:ind w:left="714" w:hanging="357"/>
      </w:pPr>
      <w:r>
        <w:t>E</w:t>
      </w:r>
      <w:r w:rsidR="00646E4A">
        <w:t xml:space="preserve">l marco normativo aplicable le garantiza a la víctima el derecho a recibir desde la comisión del delito atención médica y psicológica de urgencia. </w:t>
      </w:r>
    </w:p>
    <w:p w14:paraId="12C582EB" w14:textId="6AF5A5A8" w:rsidR="009E2C43" w:rsidRDefault="00CA0BB0" w:rsidP="00687245">
      <w:pPr>
        <w:pStyle w:val="Prrafo"/>
        <w:numPr>
          <w:ilvl w:val="0"/>
          <w:numId w:val="6"/>
        </w:numPr>
        <w:ind w:left="714" w:hanging="357"/>
      </w:pPr>
      <w:r>
        <w:t>L</w:t>
      </w:r>
      <w:r w:rsidR="00646E4A">
        <w:t xml:space="preserve">a remisión a una segunda dependencia gubernamental para que sea esta última la que determine si es posible efectuar la interrupción, así como la demora en el acceso a los servicios de aborto legal o la negativa por parte de las autoridades judiciales y sanitarias de proveerlos a niñas, adolescentes y mujeres víctimas de violación </w:t>
      </w:r>
      <w:r w:rsidR="00D9525B">
        <w:t xml:space="preserve">sexual constituye una violación a sus derechos. </w:t>
      </w:r>
    </w:p>
    <w:p w14:paraId="457044C6" w14:textId="205044A0" w:rsidR="00D9525B" w:rsidRDefault="00CA0BB0" w:rsidP="00687245">
      <w:pPr>
        <w:pStyle w:val="Prrafo"/>
        <w:numPr>
          <w:ilvl w:val="0"/>
          <w:numId w:val="6"/>
        </w:numPr>
        <w:ind w:left="714" w:hanging="357"/>
      </w:pPr>
      <w:r>
        <w:t>E</w:t>
      </w:r>
      <w:r w:rsidR="00D9525B">
        <w:t xml:space="preserve">n el amparo indirecto </w:t>
      </w:r>
      <w:r w:rsidR="00B64F0F" w:rsidRPr="00B64F0F">
        <w:rPr>
          <w:color w:val="C00000"/>
        </w:rPr>
        <w:t>*****</w:t>
      </w:r>
      <w:r w:rsidR="00B01B2E">
        <w:t xml:space="preserve">, una mujer </w:t>
      </w:r>
      <w:r w:rsidR="00D9525B">
        <w:t>reclam</w:t>
      </w:r>
      <w:r w:rsidR="00B01B2E">
        <w:t>ó</w:t>
      </w:r>
      <w:r w:rsidR="00D9525B">
        <w:t xml:space="preserve"> la dilación en la atención de la solicitud de interrupción del embarazo por parte de las autoridades sanitarias de Durando</w:t>
      </w:r>
      <w:r w:rsidR="00B01B2E">
        <w:t xml:space="preserve"> y que </w:t>
      </w:r>
      <w:r w:rsidR="00D9525B">
        <w:t>el Juez Tercero de Distrito en el Estado de Durango estableció, en esencia, lo siguiente:</w:t>
      </w:r>
    </w:p>
    <w:p w14:paraId="7F0B37D1" w14:textId="630B908A" w:rsidR="00D9525B" w:rsidRDefault="00D9525B" w:rsidP="00687245">
      <w:pPr>
        <w:pStyle w:val="Prrafo"/>
        <w:numPr>
          <w:ilvl w:val="1"/>
          <w:numId w:val="6"/>
        </w:numPr>
      </w:pPr>
      <w:r>
        <w:t>Por la naturaleza de la petición que se le formuló al funcionario de salud, tenía el deber de atenderla en forma inmediata, pues no se trató de una simple petición administrativa al invocar un caso de atención médica urgente</w:t>
      </w:r>
      <w:r w:rsidR="007525FB">
        <w:t>.</w:t>
      </w:r>
    </w:p>
    <w:p w14:paraId="6C694F99" w14:textId="382D5319" w:rsidR="00D9525B" w:rsidRDefault="00D9525B" w:rsidP="00687245">
      <w:pPr>
        <w:pStyle w:val="Prrafo"/>
        <w:numPr>
          <w:ilvl w:val="1"/>
          <w:numId w:val="6"/>
        </w:numPr>
        <w:ind w:hanging="357"/>
      </w:pPr>
      <w:r>
        <w:t>La negativa de otorgar el servicio es una violación gra</w:t>
      </w:r>
      <w:r w:rsidR="007525FB">
        <w:t xml:space="preserve">ve de derechos humanos pues extendió injusta y arbitrariamente </w:t>
      </w:r>
      <w:r>
        <w:t>el sufrimiento, daño físico y psicológico que padece</w:t>
      </w:r>
      <w:r w:rsidR="00B718A3">
        <w:t>n</w:t>
      </w:r>
      <w:r>
        <w:t xml:space="preserve"> la</w:t>
      </w:r>
      <w:r w:rsidR="00B718A3">
        <w:t>s</w:t>
      </w:r>
      <w:r>
        <w:t xml:space="preserve"> mujer</w:t>
      </w:r>
      <w:r w:rsidR="00B718A3">
        <w:t>es</w:t>
      </w:r>
      <w:r>
        <w:t xml:space="preserve"> como consecuencia del acto delictivo. </w:t>
      </w:r>
    </w:p>
    <w:p w14:paraId="1F1F9865" w14:textId="77777777" w:rsidR="00D9525B" w:rsidRDefault="00D9525B" w:rsidP="00687245">
      <w:pPr>
        <w:pStyle w:val="Prrafo"/>
        <w:numPr>
          <w:ilvl w:val="1"/>
          <w:numId w:val="6"/>
        </w:numPr>
        <w:ind w:hanging="357"/>
      </w:pPr>
      <w:r>
        <w:t xml:space="preserve">Las autoridades sanitarias deben atender de manera eficiente e inmediata la solicitud de las mujeres que aducen ser agredidas en sus derechos humanos por ser víctimas de una violación sexual y estar embarazadas producto de ese acto. </w:t>
      </w:r>
    </w:p>
    <w:p w14:paraId="235667AB" w14:textId="17E55903" w:rsidR="000D5168" w:rsidRDefault="00CA0BB0" w:rsidP="00687245">
      <w:pPr>
        <w:pStyle w:val="Prrafodelista"/>
        <w:numPr>
          <w:ilvl w:val="0"/>
          <w:numId w:val="6"/>
        </w:numPr>
        <w:spacing w:before="240" w:after="240" w:line="360" w:lineRule="auto"/>
        <w:ind w:hanging="357"/>
        <w:rPr>
          <w:sz w:val="26"/>
          <w:szCs w:val="26"/>
        </w:rPr>
      </w:pPr>
      <w:r>
        <w:rPr>
          <w:sz w:val="26"/>
          <w:szCs w:val="26"/>
        </w:rPr>
        <w:lastRenderedPageBreak/>
        <w:t>L</w:t>
      </w:r>
      <w:r w:rsidR="00D9525B" w:rsidRPr="00D9525B">
        <w:rPr>
          <w:sz w:val="26"/>
          <w:szCs w:val="26"/>
        </w:rPr>
        <w:t xml:space="preserve">a autoridad responsable atentó contra </w:t>
      </w:r>
      <w:r w:rsidR="00B01B2E">
        <w:rPr>
          <w:sz w:val="26"/>
          <w:szCs w:val="26"/>
        </w:rPr>
        <w:t xml:space="preserve">los </w:t>
      </w:r>
      <w:r w:rsidR="00D9525B" w:rsidRPr="00D9525B">
        <w:rPr>
          <w:sz w:val="26"/>
          <w:szCs w:val="26"/>
        </w:rPr>
        <w:t xml:space="preserve">derechos </w:t>
      </w:r>
      <w:r w:rsidR="00B01B2E">
        <w:rPr>
          <w:sz w:val="26"/>
          <w:szCs w:val="26"/>
        </w:rPr>
        <w:t>de</w:t>
      </w:r>
      <w:r w:rsidR="00B64F0F" w:rsidRPr="00B64F0F">
        <w:rPr>
          <w:i/>
          <w:iCs/>
        </w:rPr>
        <w:t xml:space="preserve"> </w:t>
      </w:r>
      <w:r w:rsidR="00B64F0F">
        <w:rPr>
          <w:i/>
          <w:iCs/>
        </w:rPr>
        <w:t>María</w:t>
      </w:r>
      <w:r w:rsidR="00B01B2E" w:rsidRPr="00D9525B">
        <w:rPr>
          <w:sz w:val="26"/>
          <w:szCs w:val="26"/>
        </w:rPr>
        <w:t xml:space="preserve"> </w:t>
      </w:r>
      <w:r w:rsidR="00D9525B" w:rsidRPr="00D9525B">
        <w:rPr>
          <w:sz w:val="26"/>
          <w:szCs w:val="26"/>
        </w:rPr>
        <w:t xml:space="preserve">como víctima del delito de violación sexual. </w:t>
      </w:r>
      <w:r w:rsidR="00B97758">
        <w:rPr>
          <w:sz w:val="26"/>
          <w:szCs w:val="26"/>
        </w:rPr>
        <w:t>N</w:t>
      </w:r>
      <w:r w:rsidR="00D9525B" w:rsidRPr="00D9525B">
        <w:rPr>
          <w:sz w:val="26"/>
          <w:szCs w:val="26"/>
        </w:rPr>
        <w:t>o se actuó de manera diligente ni se brindó respuesta expresa y atención a su solicitud. Aclaró que dicha dilación y negativa de facto se tradujo en un incumplimiento de la normativa aplicable, así como en tratos crueles, inhumanos y degradantes que afecta</w:t>
      </w:r>
      <w:r w:rsidR="003A6480">
        <w:rPr>
          <w:sz w:val="26"/>
          <w:szCs w:val="26"/>
        </w:rPr>
        <w:t>ron</w:t>
      </w:r>
      <w:r w:rsidR="00D9525B" w:rsidRPr="00D9525B">
        <w:rPr>
          <w:sz w:val="26"/>
          <w:szCs w:val="26"/>
        </w:rPr>
        <w:t xml:space="preserve"> su vida e integridad personal. </w:t>
      </w:r>
    </w:p>
    <w:p w14:paraId="0B7E7308" w14:textId="77777777" w:rsidR="00D33896" w:rsidRDefault="00D33896" w:rsidP="00D33896">
      <w:pPr>
        <w:pStyle w:val="Prrafodelista"/>
        <w:spacing w:before="240" w:after="240" w:line="360" w:lineRule="auto"/>
        <w:rPr>
          <w:sz w:val="26"/>
          <w:szCs w:val="26"/>
        </w:rPr>
      </w:pPr>
    </w:p>
    <w:p w14:paraId="50CF5AF7" w14:textId="5F217DAD" w:rsidR="00D9525B" w:rsidRPr="003A579D" w:rsidRDefault="00B97758" w:rsidP="00687245">
      <w:pPr>
        <w:pStyle w:val="Prrafodelista"/>
        <w:numPr>
          <w:ilvl w:val="0"/>
          <w:numId w:val="6"/>
        </w:numPr>
        <w:spacing w:before="240" w:after="240" w:line="360" w:lineRule="auto"/>
        <w:ind w:hanging="357"/>
        <w:rPr>
          <w:sz w:val="26"/>
          <w:szCs w:val="26"/>
        </w:rPr>
      </w:pPr>
      <w:r>
        <w:rPr>
          <w:sz w:val="26"/>
          <w:szCs w:val="26"/>
        </w:rPr>
        <w:t>D</w:t>
      </w:r>
      <w:r w:rsidR="000D5168">
        <w:rPr>
          <w:sz w:val="26"/>
          <w:szCs w:val="26"/>
        </w:rPr>
        <w:t>ebe reconocerse la violación a derechos humanos</w:t>
      </w:r>
      <w:r w:rsidR="00F475CB">
        <w:rPr>
          <w:sz w:val="26"/>
          <w:szCs w:val="26"/>
        </w:rPr>
        <w:t xml:space="preserve"> y ordenarse la reparación integral del daño</w:t>
      </w:r>
      <w:r w:rsidR="00B338A1">
        <w:rPr>
          <w:sz w:val="26"/>
          <w:szCs w:val="26"/>
        </w:rPr>
        <w:t>, máxime que a más de un mes de presentada la solicitud</w:t>
      </w:r>
      <w:r w:rsidR="00B86E77">
        <w:rPr>
          <w:sz w:val="26"/>
          <w:szCs w:val="26"/>
        </w:rPr>
        <w:t xml:space="preserve">, la autoridad no dio atención </w:t>
      </w:r>
      <w:r w:rsidR="00B86E77" w:rsidRPr="003A579D">
        <w:rPr>
          <w:sz w:val="26"/>
          <w:szCs w:val="26"/>
        </w:rPr>
        <w:t xml:space="preserve">alguna ni intentó contactar a </w:t>
      </w:r>
      <w:r w:rsidR="00B64F0F">
        <w:rPr>
          <w:i/>
          <w:iCs/>
        </w:rPr>
        <w:t>María</w:t>
      </w:r>
      <w:r w:rsidR="00B86E77" w:rsidRPr="003A579D">
        <w:rPr>
          <w:sz w:val="26"/>
          <w:szCs w:val="26"/>
        </w:rPr>
        <w:t xml:space="preserve">. </w:t>
      </w:r>
    </w:p>
    <w:p w14:paraId="2D874CF3" w14:textId="77777777" w:rsidR="007D54D2" w:rsidRDefault="007D54D2" w:rsidP="007D54D2">
      <w:pPr>
        <w:pStyle w:val="Prrafodelista"/>
        <w:spacing w:before="240" w:after="240" w:line="360" w:lineRule="auto"/>
        <w:rPr>
          <w:sz w:val="26"/>
          <w:szCs w:val="26"/>
        </w:rPr>
      </w:pPr>
    </w:p>
    <w:p w14:paraId="65331649" w14:textId="1FAF5EED" w:rsidR="00D9525B" w:rsidRPr="00D9525B" w:rsidRDefault="00B97758" w:rsidP="00687245">
      <w:pPr>
        <w:pStyle w:val="Prrafodelista"/>
        <w:numPr>
          <w:ilvl w:val="0"/>
          <w:numId w:val="6"/>
        </w:numPr>
        <w:spacing w:before="240" w:after="240" w:line="360" w:lineRule="auto"/>
        <w:ind w:hanging="357"/>
        <w:rPr>
          <w:sz w:val="26"/>
          <w:szCs w:val="26"/>
        </w:rPr>
      </w:pPr>
      <w:r>
        <w:rPr>
          <w:sz w:val="26"/>
          <w:szCs w:val="26"/>
        </w:rPr>
        <w:t>E</w:t>
      </w:r>
      <w:r w:rsidR="00D9525B" w:rsidRPr="00D9525B">
        <w:rPr>
          <w:sz w:val="26"/>
          <w:szCs w:val="26"/>
        </w:rPr>
        <w:t xml:space="preserve">l actuar y las omisiones de la autoridad atentan contra </w:t>
      </w:r>
      <w:r w:rsidR="00F024E0">
        <w:rPr>
          <w:sz w:val="26"/>
          <w:szCs w:val="26"/>
        </w:rPr>
        <w:t xml:space="preserve">el </w:t>
      </w:r>
      <w:r w:rsidR="00D9525B" w:rsidRPr="00D9525B">
        <w:rPr>
          <w:sz w:val="26"/>
          <w:szCs w:val="26"/>
        </w:rPr>
        <w:t>derecho a la integridad personal</w:t>
      </w:r>
      <w:r w:rsidR="00F024E0">
        <w:rPr>
          <w:sz w:val="26"/>
          <w:szCs w:val="26"/>
        </w:rPr>
        <w:t xml:space="preserve"> de la quejosa</w:t>
      </w:r>
      <w:r w:rsidR="00D9525B" w:rsidRPr="00D9525B">
        <w:rPr>
          <w:sz w:val="26"/>
          <w:szCs w:val="26"/>
        </w:rPr>
        <w:t xml:space="preserve">, en tanto </w:t>
      </w:r>
      <w:r w:rsidR="00B27CCF">
        <w:rPr>
          <w:sz w:val="26"/>
          <w:szCs w:val="26"/>
        </w:rPr>
        <w:t xml:space="preserve">de que </w:t>
      </w:r>
      <w:r w:rsidR="00D9525B" w:rsidRPr="00D9525B">
        <w:rPr>
          <w:sz w:val="26"/>
          <w:szCs w:val="26"/>
        </w:rPr>
        <w:t xml:space="preserve">a pesar de que el aborto en caso de violación se encuentra regulado y permitido por el marco </w:t>
      </w:r>
      <w:r w:rsidR="009D1A43" w:rsidRPr="00D9525B">
        <w:rPr>
          <w:sz w:val="26"/>
          <w:szCs w:val="26"/>
        </w:rPr>
        <w:t>normativo, no</w:t>
      </w:r>
      <w:r w:rsidR="00D9525B" w:rsidRPr="00D9525B">
        <w:rPr>
          <w:sz w:val="26"/>
          <w:szCs w:val="26"/>
        </w:rPr>
        <w:t xml:space="preserve"> se le </w:t>
      </w:r>
      <w:r w:rsidR="0002669C">
        <w:rPr>
          <w:sz w:val="26"/>
          <w:szCs w:val="26"/>
        </w:rPr>
        <w:t>dio</w:t>
      </w:r>
      <w:r w:rsidR="00D9525B" w:rsidRPr="00D9525B">
        <w:rPr>
          <w:sz w:val="26"/>
          <w:szCs w:val="26"/>
        </w:rPr>
        <w:t xml:space="preserve"> la atención que requ</w:t>
      </w:r>
      <w:r w:rsidR="0002669C">
        <w:rPr>
          <w:sz w:val="26"/>
          <w:szCs w:val="26"/>
        </w:rPr>
        <w:t>ería</w:t>
      </w:r>
      <w:r w:rsidR="00D9525B" w:rsidRPr="00D9525B">
        <w:rPr>
          <w:sz w:val="26"/>
          <w:szCs w:val="26"/>
        </w:rPr>
        <w:t xml:space="preserve">. </w:t>
      </w:r>
      <w:r w:rsidR="00E25043">
        <w:rPr>
          <w:sz w:val="26"/>
          <w:szCs w:val="26"/>
        </w:rPr>
        <w:t xml:space="preserve">Se </w:t>
      </w:r>
      <w:r w:rsidR="0099476C">
        <w:rPr>
          <w:sz w:val="26"/>
          <w:szCs w:val="26"/>
        </w:rPr>
        <w:t xml:space="preserve">puso en riesgo </w:t>
      </w:r>
      <w:r w:rsidR="007441A0">
        <w:rPr>
          <w:sz w:val="26"/>
          <w:szCs w:val="26"/>
        </w:rPr>
        <w:t>su vida y</w:t>
      </w:r>
      <w:r w:rsidR="0099476C">
        <w:rPr>
          <w:sz w:val="26"/>
          <w:szCs w:val="26"/>
        </w:rPr>
        <w:t xml:space="preserve"> </w:t>
      </w:r>
      <w:r w:rsidR="00E25043">
        <w:rPr>
          <w:sz w:val="26"/>
          <w:szCs w:val="26"/>
        </w:rPr>
        <w:t xml:space="preserve">se </w:t>
      </w:r>
      <w:r w:rsidR="009D1A43">
        <w:rPr>
          <w:sz w:val="26"/>
          <w:szCs w:val="26"/>
        </w:rPr>
        <w:t xml:space="preserve">permitió que las consecuencias de la violación sexual </w:t>
      </w:r>
      <w:r w:rsidR="006E29A2">
        <w:rPr>
          <w:sz w:val="26"/>
          <w:szCs w:val="26"/>
        </w:rPr>
        <w:t xml:space="preserve">se </w:t>
      </w:r>
      <w:r w:rsidR="00B97EC7">
        <w:rPr>
          <w:sz w:val="26"/>
          <w:szCs w:val="26"/>
        </w:rPr>
        <w:t xml:space="preserve">prolongasen. </w:t>
      </w:r>
    </w:p>
    <w:p w14:paraId="582E7543" w14:textId="721EBBD3" w:rsidR="00E11584" w:rsidRDefault="00B64F0F" w:rsidP="00687245">
      <w:pPr>
        <w:pStyle w:val="Prrafo"/>
        <w:numPr>
          <w:ilvl w:val="0"/>
          <w:numId w:val="6"/>
        </w:numPr>
      </w:pPr>
      <w:r>
        <w:rPr>
          <w:i/>
          <w:iCs/>
        </w:rPr>
        <w:t>María</w:t>
      </w:r>
      <w:r w:rsidR="00801CD6">
        <w:t xml:space="preserve"> </w:t>
      </w:r>
      <w:r w:rsidR="00E25043">
        <w:t>fue forzada a</w:t>
      </w:r>
      <w:r w:rsidR="00E11584">
        <w:t xml:space="preserve"> seguir afrontando una situación dolorosa y atemorizante para su vida</w:t>
      </w:r>
      <w:r w:rsidR="00B97EC7">
        <w:t xml:space="preserve">, lo que configura </w:t>
      </w:r>
      <w:r w:rsidR="00E11584">
        <w:t xml:space="preserve">tratos crueles, inhumanos y degradantes. </w:t>
      </w:r>
    </w:p>
    <w:p w14:paraId="4505FFDE" w14:textId="19411133" w:rsidR="007A7A47" w:rsidRPr="007A7A47" w:rsidRDefault="004F5FD5" w:rsidP="00687245">
      <w:pPr>
        <w:pStyle w:val="Prrafodelista"/>
        <w:numPr>
          <w:ilvl w:val="0"/>
          <w:numId w:val="6"/>
        </w:numPr>
        <w:spacing w:before="240" w:after="240" w:line="360" w:lineRule="auto"/>
        <w:ind w:hanging="357"/>
        <w:rPr>
          <w:sz w:val="26"/>
          <w:szCs w:val="26"/>
        </w:rPr>
      </w:pPr>
      <w:r>
        <w:rPr>
          <w:sz w:val="26"/>
          <w:szCs w:val="26"/>
        </w:rPr>
        <w:t>El</w:t>
      </w:r>
      <w:r w:rsidR="007A7A47" w:rsidRPr="007A7A47">
        <w:rPr>
          <w:sz w:val="26"/>
          <w:szCs w:val="26"/>
        </w:rPr>
        <w:t xml:space="preserve"> derecho a la salud impone al Estado la obligación no sólo de abstenerse de inferir con el ejercicio de este derecho, sino también de adoptar todas las medidas necesarias y posibles para que las personas alcance</w:t>
      </w:r>
      <w:r w:rsidR="002930F1">
        <w:rPr>
          <w:sz w:val="26"/>
          <w:szCs w:val="26"/>
        </w:rPr>
        <w:t>n</w:t>
      </w:r>
      <w:r w:rsidR="007A7A47" w:rsidRPr="007A7A47">
        <w:rPr>
          <w:sz w:val="26"/>
          <w:szCs w:val="26"/>
        </w:rPr>
        <w:t xml:space="preserve"> el máximo nivel de bienestar (físico, mental y social). </w:t>
      </w:r>
    </w:p>
    <w:p w14:paraId="695C296F" w14:textId="77777777" w:rsidR="000C6B99" w:rsidRDefault="000C6B99" w:rsidP="000C6B99">
      <w:pPr>
        <w:pStyle w:val="Prrafodelista"/>
        <w:spacing w:before="240" w:after="240" w:line="360" w:lineRule="auto"/>
        <w:rPr>
          <w:sz w:val="26"/>
          <w:szCs w:val="26"/>
        </w:rPr>
      </w:pPr>
    </w:p>
    <w:p w14:paraId="66BD607E" w14:textId="77777777" w:rsidR="0077285F" w:rsidRDefault="0077285F" w:rsidP="00687245">
      <w:pPr>
        <w:pStyle w:val="Prrafodelista"/>
        <w:numPr>
          <w:ilvl w:val="0"/>
          <w:numId w:val="6"/>
        </w:numPr>
        <w:spacing w:before="240" w:after="240" w:line="360" w:lineRule="auto"/>
        <w:ind w:hanging="357"/>
        <w:rPr>
          <w:sz w:val="26"/>
          <w:szCs w:val="26"/>
        </w:rPr>
      </w:pPr>
      <w:r>
        <w:rPr>
          <w:sz w:val="26"/>
          <w:szCs w:val="26"/>
        </w:rPr>
        <w:t xml:space="preserve">Las </w:t>
      </w:r>
      <w:r w:rsidR="00B24FDE">
        <w:rPr>
          <w:sz w:val="26"/>
          <w:szCs w:val="26"/>
        </w:rPr>
        <w:t xml:space="preserve">mujeres </w:t>
      </w:r>
      <w:r w:rsidR="007A7A47" w:rsidRPr="007A7A47">
        <w:rPr>
          <w:sz w:val="26"/>
          <w:szCs w:val="26"/>
        </w:rPr>
        <w:t xml:space="preserve">tienen derecho a beneficiarse de todas las medidas que les permitan gozar del mejor estado de salud incluyendo los servicios de salud sexual y reproductiva. </w:t>
      </w:r>
    </w:p>
    <w:p w14:paraId="0A2BBEC2" w14:textId="77777777" w:rsidR="0077285F" w:rsidRPr="0077285F" w:rsidRDefault="0077285F" w:rsidP="0077285F">
      <w:pPr>
        <w:pStyle w:val="Prrafodelista"/>
        <w:rPr>
          <w:sz w:val="26"/>
          <w:szCs w:val="26"/>
        </w:rPr>
      </w:pPr>
    </w:p>
    <w:p w14:paraId="1235C7B6" w14:textId="5B68464A" w:rsidR="007A7A47" w:rsidRPr="007A7A47" w:rsidRDefault="0077285F" w:rsidP="00687245">
      <w:pPr>
        <w:pStyle w:val="Prrafodelista"/>
        <w:numPr>
          <w:ilvl w:val="0"/>
          <w:numId w:val="6"/>
        </w:numPr>
        <w:spacing w:before="240" w:after="240" w:line="360" w:lineRule="auto"/>
        <w:ind w:hanging="357"/>
        <w:rPr>
          <w:sz w:val="26"/>
          <w:szCs w:val="26"/>
        </w:rPr>
      </w:pPr>
      <w:r>
        <w:rPr>
          <w:sz w:val="26"/>
          <w:szCs w:val="26"/>
        </w:rPr>
        <w:lastRenderedPageBreak/>
        <w:t>L</w:t>
      </w:r>
      <w:r w:rsidR="00050970">
        <w:rPr>
          <w:sz w:val="26"/>
          <w:szCs w:val="26"/>
        </w:rPr>
        <w:t>a</w:t>
      </w:r>
      <w:r w:rsidR="007A7A47" w:rsidRPr="007A7A47">
        <w:rPr>
          <w:sz w:val="26"/>
          <w:szCs w:val="26"/>
        </w:rPr>
        <w:t xml:space="preserve"> Primera Sala de la Suprema Corte de Justicia de la Nación </w:t>
      </w:r>
      <w:r w:rsidR="00050970">
        <w:rPr>
          <w:sz w:val="26"/>
          <w:szCs w:val="26"/>
        </w:rPr>
        <w:t xml:space="preserve">ha dicho que </w:t>
      </w:r>
      <w:r w:rsidR="007A7A47" w:rsidRPr="007A7A47">
        <w:rPr>
          <w:sz w:val="26"/>
          <w:szCs w:val="26"/>
        </w:rPr>
        <w:t>el Estado tiene la obligación de prevenir razonablemente los riesgos asociados con el embarazo y con el aborto inseguro, lo que abarca tanto una valoración adecuada</w:t>
      </w:r>
      <w:r>
        <w:rPr>
          <w:sz w:val="26"/>
          <w:szCs w:val="26"/>
        </w:rPr>
        <w:t xml:space="preserve"> de esos riesgos</w:t>
      </w:r>
      <w:r w:rsidR="007A7A47" w:rsidRPr="007A7A47">
        <w:rPr>
          <w:sz w:val="26"/>
          <w:szCs w:val="26"/>
        </w:rPr>
        <w:t xml:space="preserve">, como el acceso pronto a los servicios de aborto que resulten necesarios para preservar la vida </w:t>
      </w:r>
      <w:r w:rsidR="00601E36">
        <w:rPr>
          <w:sz w:val="26"/>
          <w:szCs w:val="26"/>
        </w:rPr>
        <w:t xml:space="preserve">y la salud </w:t>
      </w:r>
      <w:r w:rsidR="007A7A47" w:rsidRPr="007A7A47">
        <w:rPr>
          <w:sz w:val="26"/>
          <w:szCs w:val="26"/>
        </w:rPr>
        <w:t>de la</w:t>
      </w:r>
      <w:r w:rsidR="00601E36">
        <w:rPr>
          <w:sz w:val="26"/>
          <w:szCs w:val="26"/>
        </w:rPr>
        <w:t>s</w:t>
      </w:r>
      <w:r w:rsidR="007A7A47" w:rsidRPr="007A7A47">
        <w:rPr>
          <w:sz w:val="26"/>
          <w:szCs w:val="26"/>
        </w:rPr>
        <w:t xml:space="preserve"> mujer</w:t>
      </w:r>
      <w:r w:rsidR="00601E36">
        <w:rPr>
          <w:sz w:val="26"/>
          <w:szCs w:val="26"/>
        </w:rPr>
        <w:t>es y personas gestantes.</w:t>
      </w:r>
      <w:r w:rsidR="007A7A47" w:rsidRPr="007A7A47">
        <w:rPr>
          <w:sz w:val="26"/>
          <w:szCs w:val="26"/>
        </w:rPr>
        <w:t xml:space="preserve"> </w:t>
      </w:r>
    </w:p>
    <w:p w14:paraId="08E5E859" w14:textId="77777777" w:rsidR="007D54D2" w:rsidRDefault="007D54D2" w:rsidP="007D54D2">
      <w:pPr>
        <w:pStyle w:val="Prrafodelista"/>
        <w:spacing w:before="240" w:after="240" w:line="360" w:lineRule="auto"/>
        <w:rPr>
          <w:sz w:val="26"/>
          <w:szCs w:val="26"/>
        </w:rPr>
      </w:pPr>
    </w:p>
    <w:p w14:paraId="343B3F59" w14:textId="4C6B4406" w:rsidR="007A7A47" w:rsidRPr="007A7A47" w:rsidRDefault="0077285F" w:rsidP="00687245">
      <w:pPr>
        <w:pStyle w:val="Prrafodelista"/>
        <w:numPr>
          <w:ilvl w:val="0"/>
          <w:numId w:val="6"/>
        </w:numPr>
        <w:spacing w:before="240" w:after="240" w:line="360" w:lineRule="auto"/>
        <w:ind w:hanging="357"/>
        <w:rPr>
          <w:sz w:val="26"/>
          <w:szCs w:val="26"/>
        </w:rPr>
      </w:pPr>
      <w:r>
        <w:rPr>
          <w:sz w:val="26"/>
          <w:szCs w:val="26"/>
        </w:rPr>
        <w:t>E</w:t>
      </w:r>
      <w:r w:rsidR="00FA1F89">
        <w:rPr>
          <w:sz w:val="26"/>
          <w:szCs w:val="26"/>
        </w:rPr>
        <w:t xml:space="preserve">sa misma Sala </w:t>
      </w:r>
      <w:r w:rsidR="007A7A47" w:rsidRPr="007A7A47">
        <w:rPr>
          <w:sz w:val="26"/>
          <w:szCs w:val="26"/>
        </w:rPr>
        <w:t xml:space="preserve">de la Suprema Corte de Justicia de la Nación ha establecido que el derecho a la salud no sólo comprende la obligación de asegurar el máximo nivel posible de salud física, sino que el término salud debe entenderse en su concepto más amplio, incluyendo así la </w:t>
      </w:r>
      <w:r w:rsidR="007A7A47" w:rsidRPr="005A73DA">
        <w:rPr>
          <w:i/>
          <w:iCs/>
          <w:sz w:val="26"/>
          <w:szCs w:val="26"/>
        </w:rPr>
        <w:t>salud</w:t>
      </w:r>
      <w:r w:rsidR="007A7A47" w:rsidRPr="007A7A47">
        <w:rPr>
          <w:sz w:val="26"/>
          <w:szCs w:val="26"/>
        </w:rPr>
        <w:t xml:space="preserve"> psicológica y social. </w:t>
      </w:r>
    </w:p>
    <w:p w14:paraId="4AB56901" w14:textId="77777777" w:rsidR="00C04636" w:rsidRDefault="00C04636" w:rsidP="00C04636">
      <w:pPr>
        <w:pStyle w:val="Prrafodelista"/>
        <w:spacing w:before="240" w:after="240" w:line="360" w:lineRule="auto"/>
        <w:rPr>
          <w:sz w:val="26"/>
          <w:szCs w:val="26"/>
        </w:rPr>
      </w:pPr>
    </w:p>
    <w:p w14:paraId="5FFA15F1" w14:textId="64AB8E7B" w:rsidR="007A7A47" w:rsidRPr="007A7A47" w:rsidRDefault="00A212B8" w:rsidP="00687245">
      <w:pPr>
        <w:pStyle w:val="Prrafodelista"/>
        <w:numPr>
          <w:ilvl w:val="0"/>
          <w:numId w:val="6"/>
        </w:numPr>
        <w:spacing w:before="240" w:after="240" w:line="360" w:lineRule="auto"/>
        <w:ind w:hanging="357"/>
        <w:rPr>
          <w:sz w:val="26"/>
          <w:szCs w:val="26"/>
        </w:rPr>
      </w:pPr>
      <w:r>
        <w:rPr>
          <w:sz w:val="26"/>
          <w:szCs w:val="26"/>
        </w:rPr>
        <w:t>L</w:t>
      </w:r>
      <w:r w:rsidR="007A7A47" w:rsidRPr="007A7A47">
        <w:rPr>
          <w:sz w:val="26"/>
          <w:szCs w:val="26"/>
        </w:rPr>
        <w:t xml:space="preserve">a autoridad responsable atentó contra </w:t>
      </w:r>
      <w:r w:rsidR="00AF4124">
        <w:rPr>
          <w:sz w:val="26"/>
          <w:szCs w:val="26"/>
        </w:rPr>
        <w:t xml:space="preserve">el </w:t>
      </w:r>
      <w:r w:rsidR="007A7A47" w:rsidRPr="007A7A47">
        <w:rPr>
          <w:sz w:val="26"/>
          <w:szCs w:val="26"/>
        </w:rPr>
        <w:t>derecho a la salud</w:t>
      </w:r>
      <w:r w:rsidR="00AF4124">
        <w:rPr>
          <w:sz w:val="26"/>
          <w:szCs w:val="26"/>
        </w:rPr>
        <w:t xml:space="preserve"> de </w:t>
      </w:r>
      <w:r w:rsidR="00B64F0F">
        <w:rPr>
          <w:i/>
          <w:iCs/>
        </w:rPr>
        <w:t>María</w:t>
      </w:r>
      <w:r w:rsidR="007A7A47" w:rsidRPr="007A7A47">
        <w:rPr>
          <w:sz w:val="26"/>
          <w:szCs w:val="26"/>
        </w:rPr>
        <w:t>, pues su falta de diligencia, respuesta y atención médica implicaron la continuación de las consecuencias de la violación sexual en su salud</w:t>
      </w:r>
      <w:r w:rsidR="00DE79F3">
        <w:rPr>
          <w:sz w:val="26"/>
          <w:szCs w:val="26"/>
        </w:rPr>
        <w:t>,</w:t>
      </w:r>
      <w:r>
        <w:rPr>
          <w:sz w:val="26"/>
          <w:szCs w:val="26"/>
        </w:rPr>
        <w:t xml:space="preserve"> y que fuera puesta en peligro </w:t>
      </w:r>
      <w:r w:rsidR="007A7A47" w:rsidRPr="007A7A47">
        <w:rPr>
          <w:sz w:val="26"/>
          <w:szCs w:val="26"/>
        </w:rPr>
        <w:t xml:space="preserve">en tanto ha sido diagnosticada con ideación suicida activa, trastorno depresivo mayor, anemia y sífilis. </w:t>
      </w:r>
    </w:p>
    <w:p w14:paraId="0447B2EA" w14:textId="77777777" w:rsidR="007D54D2" w:rsidRDefault="007D54D2" w:rsidP="007D54D2">
      <w:pPr>
        <w:pStyle w:val="Prrafodelista"/>
        <w:spacing w:before="240" w:after="240" w:line="360" w:lineRule="auto"/>
        <w:rPr>
          <w:sz w:val="26"/>
          <w:szCs w:val="26"/>
        </w:rPr>
      </w:pPr>
    </w:p>
    <w:p w14:paraId="1828ABE0" w14:textId="2128D601" w:rsidR="007A7A47" w:rsidRPr="007A7A47" w:rsidRDefault="00A212B8" w:rsidP="00687245">
      <w:pPr>
        <w:pStyle w:val="Prrafodelista"/>
        <w:numPr>
          <w:ilvl w:val="0"/>
          <w:numId w:val="6"/>
        </w:numPr>
        <w:spacing w:before="240" w:after="240" w:line="360" w:lineRule="auto"/>
        <w:ind w:hanging="357"/>
        <w:rPr>
          <w:sz w:val="26"/>
          <w:szCs w:val="26"/>
        </w:rPr>
      </w:pPr>
      <w:r>
        <w:rPr>
          <w:sz w:val="26"/>
          <w:szCs w:val="26"/>
        </w:rPr>
        <w:t>D</w:t>
      </w:r>
      <w:r w:rsidR="007A7A47" w:rsidRPr="007A7A47">
        <w:rPr>
          <w:sz w:val="26"/>
          <w:szCs w:val="26"/>
        </w:rPr>
        <w:t xml:space="preserve">etrás de la negativa de realizar la interrupción de un embarazo </w:t>
      </w:r>
      <w:r>
        <w:rPr>
          <w:sz w:val="26"/>
          <w:szCs w:val="26"/>
        </w:rPr>
        <w:t>forzado s</w:t>
      </w:r>
      <w:r w:rsidR="007A7A47" w:rsidRPr="007A7A47">
        <w:rPr>
          <w:sz w:val="26"/>
          <w:szCs w:val="26"/>
        </w:rPr>
        <w:t xml:space="preserve">e encuentra </w:t>
      </w:r>
      <w:r w:rsidR="003559BF">
        <w:rPr>
          <w:sz w:val="26"/>
          <w:szCs w:val="26"/>
        </w:rPr>
        <w:t xml:space="preserve">la </w:t>
      </w:r>
      <w:r w:rsidR="007A7A47" w:rsidRPr="007A7A47">
        <w:rPr>
          <w:sz w:val="26"/>
          <w:szCs w:val="26"/>
        </w:rPr>
        <w:t>discriminación que</w:t>
      </w:r>
      <w:r w:rsidR="00665521">
        <w:rPr>
          <w:sz w:val="26"/>
          <w:szCs w:val="26"/>
        </w:rPr>
        <w:t xml:space="preserve">, históricamente, </w:t>
      </w:r>
      <w:r w:rsidR="00C21320">
        <w:rPr>
          <w:sz w:val="26"/>
          <w:szCs w:val="26"/>
        </w:rPr>
        <w:t xml:space="preserve">han padecido </w:t>
      </w:r>
      <w:r w:rsidR="007A7A47" w:rsidRPr="007A7A47">
        <w:rPr>
          <w:sz w:val="26"/>
          <w:szCs w:val="26"/>
        </w:rPr>
        <w:t>las mujeres</w:t>
      </w:r>
      <w:r w:rsidR="00665521">
        <w:rPr>
          <w:sz w:val="26"/>
          <w:szCs w:val="26"/>
        </w:rPr>
        <w:t xml:space="preserve"> </w:t>
      </w:r>
      <w:r w:rsidR="00D877D3">
        <w:rPr>
          <w:sz w:val="26"/>
          <w:szCs w:val="26"/>
        </w:rPr>
        <w:t>E</w:t>
      </w:r>
      <w:r w:rsidR="007A7A47" w:rsidRPr="007A7A47">
        <w:rPr>
          <w:sz w:val="26"/>
          <w:szCs w:val="26"/>
        </w:rPr>
        <w:t>l acto reclamado es inconstitucional por ser contrario al artículo 1 de la Constitución Federal y a los diversos tratados internacionales, suscritos por el Estado Mexicano que prohíben la</w:t>
      </w:r>
      <w:r w:rsidR="00AF4124">
        <w:rPr>
          <w:sz w:val="26"/>
          <w:szCs w:val="26"/>
        </w:rPr>
        <w:t xml:space="preserve"> </w:t>
      </w:r>
      <w:r w:rsidR="007A7A47" w:rsidRPr="007A7A47">
        <w:rPr>
          <w:sz w:val="26"/>
          <w:szCs w:val="26"/>
        </w:rPr>
        <w:t xml:space="preserve">discriminación, particularmente la discriminación por razones de sexo/género. </w:t>
      </w:r>
    </w:p>
    <w:p w14:paraId="04502974" w14:textId="77777777" w:rsidR="008900CE" w:rsidRDefault="008900CE" w:rsidP="008900CE">
      <w:pPr>
        <w:pStyle w:val="Prrafodelista"/>
        <w:spacing w:before="240" w:after="240" w:line="360" w:lineRule="auto"/>
        <w:rPr>
          <w:sz w:val="26"/>
          <w:szCs w:val="26"/>
        </w:rPr>
      </w:pPr>
    </w:p>
    <w:p w14:paraId="6B56645F" w14:textId="7B31B004" w:rsidR="007A7A47" w:rsidRPr="007A7A47" w:rsidRDefault="00D877D3" w:rsidP="00687245">
      <w:pPr>
        <w:pStyle w:val="Prrafodelista"/>
        <w:numPr>
          <w:ilvl w:val="0"/>
          <w:numId w:val="6"/>
        </w:numPr>
        <w:spacing w:before="240" w:after="240" w:line="360" w:lineRule="auto"/>
        <w:ind w:hanging="357"/>
        <w:rPr>
          <w:sz w:val="26"/>
          <w:szCs w:val="26"/>
        </w:rPr>
      </w:pPr>
      <w:r>
        <w:rPr>
          <w:sz w:val="26"/>
          <w:szCs w:val="26"/>
        </w:rPr>
        <w:t>L</w:t>
      </w:r>
      <w:r w:rsidR="007A7A47" w:rsidRPr="007A7A47">
        <w:rPr>
          <w:sz w:val="26"/>
          <w:szCs w:val="26"/>
        </w:rPr>
        <w:t xml:space="preserve">os estereotipos vinculados con la maternidad permean el sistema jurídico y social y se materializan, por ejemplo, en la criminalización del aborto. </w:t>
      </w:r>
      <w:r>
        <w:rPr>
          <w:sz w:val="26"/>
          <w:szCs w:val="26"/>
        </w:rPr>
        <w:t>L</w:t>
      </w:r>
      <w:r w:rsidR="007A7A47" w:rsidRPr="007A7A47">
        <w:rPr>
          <w:sz w:val="26"/>
          <w:szCs w:val="26"/>
        </w:rPr>
        <w:t>a mortalidad causada por la falta de acceso a los servicios de salud reproductiva, entre ellos el aborto legal y seguro, son violaciones de derechos</w:t>
      </w:r>
      <w:r w:rsidR="00BA6F5D">
        <w:rPr>
          <w:sz w:val="26"/>
          <w:szCs w:val="26"/>
        </w:rPr>
        <w:t>.</w:t>
      </w:r>
    </w:p>
    <w:p w14:paraId="556AA500" w14:textId="77777777" w:rsidR="008900CE" w:rsidRDefault="008900CE" w:rsidP="008900CE">
      <w:pPr>
        <w:pStyle w:val="Prrafodelista"/>
        <w:spacing w:before="240" w:after="240" w:line="360" w:lineRule="auto"/>
        <w:rPr>
          <w:sz w:val="26"/>
          <w:szCs w:val="26"/>
        </w:rPr>
      </w:pPr>
    </w:p>
    <w:p w14:paraId="6C5592F6" w14:textId="09D7D066" w:rsidR="007A7A47" w:rsidRPr="007A7A47" w:rsidRDefault="00D877D3" w:rsidP="00687245">
      <w:pPr>
        <w:pStyle w:val="Prrafodelista"/>
        <w:numPr>
          <w:ilvl w:val="0"/>
          <w:numId w:val="6"/>
        </w:numPr>
        <w:spacing w:before="240" w:after="240" w:line="360" w:lineRule="auto"/>
        <w:ind w:hanging="357"/>
        <w:rPr>
          <w:sz w:val="26"/>
          <w:szCs w:val="26"/>
        </w:rPr>
      </w:pPr>
      <w:r>
        <w:rPr>
          <w:sz w:val="26"/>
          <w:szCs w:val="26"/>
        </w:rPr>
        <w:t>E</w:t>
      </w:r>
      <w:r w:rsidR="007A7A47" w:rsidRPr="007A7A47">
        <w:rPr>
          <w:sz w:val="26"/>
          <w:szCs w:val="26"/>
        </w:rPr>
        <w:t xml:space="preserve">rradicar la discriminación hacia las mujeres y otras personas gestantes en el contexto de la salud reproductiva </w:t>
      </w:r>
      <w:r w:rsidR="001B00BD">
        <w:rPr>
          <w:sz w:val="26"/>
          <w:szCs w:val="26"/>
        </w:rPr>
        <w:t xml:space="preserve">exige </w:t>
      </w:r>
      <w:r w:rsidR="007A7A47" w:rsidRPr="007A7A47">
        <w:rPr>
          <w:sz w:val="26"/>
          <w:szCs w:val="26"/>
        </w:rPr>
        <w:t xml:space="preserve">un enfoque integral que garantice el acceso a otros derechos como la educación, el acceso a la información relativa a métodos anticonceptivos, la eliminación de la discriminación dentro de la familia y, en general, todas las formas de violencia hacia las mujeres. </w:t>
      </w:r>
    </w:p>
    <w:p w14:paraId="725EA236" w14:textId="77777777" w:rsidR="007A6254" w:rsidRDefault="007A6254" w:rsidP="007A6254">
      <w:pPr>
        <w:pStyle w:val="Prrafodelista"/>
        <w:spacing w:before="240" w:after="240" w:line="360" w:lineRule="auto"/>
        <w:rPr>
          <w:sz w:val="26"/>
          <w:szCs w:val="26"/>
        </w:rPr>
      </w:pPr>
    </w:p>
    <w:p w14:paraId="29F3CA59" w14:textId="050109DD" w:rsidR="007A7A47" w:rsidRPr="007A7A47" w:rsidRDefault="001B00BD" w:rsidP="00687245">
      <w:pPr>
        <w:pStyle w:val="Prrafodelista"/>
        <w:numPr>
          <w:ilvl w:val="0"/>
          <w:numId w:val="6"/>
        </w:numPr>
        <w:spacing w:before="240" w:after="240" w:line="360" w:lineRule="auto"/>
        <w:ind w:hanging="357"/>
        <w:rPr>
          <w:sz w:val="26"/>
          <w:szCs w:val="26"/>
        </w:rPr>
      </w:pPr>
      <w:r>
        <w:rPr>
          <w:sz w:val="26"/>
          <w:szCs w:val="26"/>
        </w:rPr>
        <w:t>D</w:t>
      </w:r>
      <w:r w:rsidR="007A7A47" w:rsidRPr="007A7A47">
        <w:rPr>
          <w:sz w:val="26"/>
          <w:szCs w:val="26"/>
        </w:rPr>
        <w:t>etrás del acto de la autoridad responsable</w:t>
      </w:r>
      <w:r>
        <w:rPr>
          <w:sz w:val="26"/>
          <w:szCs w:val="26"/>
        </w:rPr>
        <w:t>,</w:t>
      </w:r>
      <w:r w:rsidR="007A7A47" w:rsidRPr="007A7A47">
        <w:rPr>
          <w:sz w:val="26"/>
          <w:szCs w:val="26"/>
        </w:rPr>
        <w:t xml:space="preserve"> existe discriminación en el ejercicio de los derechos sexuales y reproductivos, así </w:t>
      </w:r>
      <w:r w:rsidR="0036288F">
        <w:rPr>
          <w:sz w:val="26"/>
          <w:szCs w:val="26"/>
        </w:rPr>
        <w:t xml:space="preserve">como </w:t>
      </w:r>
      <w:r w:rsidR="00622F61">
        <w:rPr>
          <w:sz w:val="26"/>
          <w:szCs w:val="26"/>
        </w:rPr>
        <w:t xml:space="preserve">en el </w:t>
      </w:r>
      <w:r w:rsidR="007A7A47" w:rsidRPr="007A7A47">
        <w:rPr>
          <w:sz w:val="26"/>
          <w:szCs w:val="26"/>
        </w:rPr>
        <w:t xml:space="preserve">acceso a la justicia. </w:t>
      </w:r>
      <w:r w:rsidR="00622F61">
        <w:rPr>
          <w:sz w:val="26"/>
          <w:szCs w:val="26"/>
        </w:rPr>
        <w:t>E</w:t>
      </w:r>
      <w:r w:rsidR="007A7A47" w:rsidRPr="007A7A47">
        <w:rPr>
          <w:sz w:val="26"/>
          <w:szCs w:val="26"/>
        </w:rPr>
        <w:t xml:space="preserve">l acto reclamado </w:t>
      </w:r>
      <w:r w:rsidR="0036288F">
        <w:rPr>
          <w:sz w:val="26"/>
          <w:szCs w:val="26"/>
        </w:rPr>
        <w:t xml:space="preserve">es una forma de </w:t>
      </w:r>
      <w:r w:rsidR="007A7A47" w:rsidRPr="007A7A47">
        <w:rPr>
          <w:sz w:val="26"/>
          <w:szCs w:val="26"/>
        </w:rPr>
        <w:t>perpetuación de la condición desfavorable a que han sido sujetas las mujeres y reprodujo una situación de discriminación estructural, especialmente dañina para las mujeres</w:t>
      </w:r>
      <w:r w:rsidR="00353C63">
        <w:rPr>
          <w:sz w:val="26"/>
          <w:szCs w:val="26"/>
        </w:rPr>
        <w:t xml:space="preserve"> y personas gestantes. </w:t>
      </w:r>
      <w:r w:rsidR="007A7A47" w:rsidRPr="007A7A47">
        <w:rPr>
          <w:sz w:val="26"/>
          <w:szCs w:val="26"/>
        </w:rPr>
        <w:t xml:space="preserve"> </w:t>
      </w:r>
    </w:p>
    <w:p w14:paraId="0EA60B7D" w14:textId="77777777" w:rsidR="00622F61" w:rsidRDefault="00622F61" w:rsidP="00622F61">
      <w:pPr>
        <w:pStyle w:val="Prrafodelista"/>
        <w:spacing w:before="240" w:after="240" w:line="360" w:lineRule="auto"/>
        <w:rPr>
          <w:sz w:val="26"/>
          <w:szCs w:val="26"/>
        </w:rPr>
      </w:pPr>
    </w:p>
    <w:p w14:paraId="08A6903A" w14:textId="3EFC2A4F" w:rsidR="007A7A47" w:rsidRPr="007A7A47" w:rsidRDefault="00622F61" w:rsidP="00687245">
      <w:pPr>
        <w:pStyle w:val="Prrafodelista"/>
        <w:numPr>
          <w:ilvl w:val="0"/>
          <w:numId w:val="6"/>
        </w:numPr>
        <w:spacing w:before="240" w:after="240" w:line="360" w:lineRule="auto"/>
        <w:ind w:hanging="357"/>
        <w:rPr>
          <w:sz w:val="26"/>
          <w:szCs w:val="26"/>
        </w:rPr>
      </w:pPr>
      <w:r>
        <w:rPr>
          <w:sz w:val="26"/>
          <w:szCs w:val="26"/>
        </w:rPr>
        <w:t>L</w:t>
      </w:r>
      <w:r w:rsidR="007A7A47" w:rsidRPr="007A7A47">
        <w:rPr>
          <w:sz w:val="26"/>
          <w:szCs w:val="26"/>
        </w:rPr>
        <w:t>a negativa para acceder a servicios de salud reproductiva es el legado de severos prejuicios y estereotipos de género discriminatorios que han privilegiado históricamente la función reproductiva y maternidad de las mujeres a costa del disfrute y ejercicio de otros derechos</w:t>
      </w:r>
      <w:r w:rsidR="00353C63">
        <w:rPr>
          <w:sz w:val="26"/>
          <w:szCs w:val="26"/>
        </w:rPr>
        <w:t xml:space="preserve">. Cuestión que </w:t>
      </w:r>
      <w:r w:rsidR="007A7A47" w:rsidRPr="007A7A47">
        <w:rPr>
          <w:sz w:val="26"/>
          <w:szCs w:val="26"/>
        </w:rPr>
        <w:t xml:space="preserve">no ha ocurrido con los hombres. </w:t>
      </w:r>
    </w:p>
    <w:p w14:paraId="42F008B8" w14:textId="77777777" w:rsidR="00FC726C" w:rsidRDefault="00FC726C" w:rsidP="00FC726C">
      <w:pPr>
        <w:pStyle w:val="Prrafodelista"/>
        <w:spacing w:before="240" w:after="240" w:line="360" w:lineRule="auto"/>
        <w:rPr>
          <w:sz w:val="26"/>
          <w:szCs w:val="26"/>
        </w:rPr>
      </w:pPr>
    </w:p>
    <w:p w14:paraId="3CF6048B" w14:textId="4AA0FF15" w:rsidR="007A7A47" w:rsidRPr="007A7A47" w:rsidRDefault="00622F61" w:rsidP="00687245">
      <w:pPr>
        <w:pStyle w:val="Prrafodelista"/>
        <w:numPr>
          <w:ilvl w:val="0"/>
          <w:numId w:val="6"/>
        </w:numPr>
        <w:spacing w:before="240" w:after="240" w:line="360" w:lineRule="auto"/>
        <w:ind w:hanging="357"/>
        <w:rPr>
          <w:sz w:val="26"/>
          <w:szCs w:val="26"/>
        </w:rPr>
      </w:pPr>
      <w:r>
        <w:rPr>
          <w:sz w:val="26"/>
          <w:szCs w:val="26"/>
        </w:rPr>
        <w:t>E</w:t>
      </w:r>
      <w:r w:rsidR="007A7A47" w:rsidRPr="007A7A47">
        <w:rPr>
          <w:sz w:val="26"/>
          <w:szCs w:val="26"/>
        </w:rPr>
        <w:t>l régimen constitucional mexicano y el internacional otorgan a las mujeres una diversidad de derechos</w:t>
      </w:r>
      <w:r w:rsidR="0038224A">
        <w:rPr>
          <w:sz w:val="26"/>
          <w:szCs w:val="26"/>
        </w:rPr>
        <w:t xml:space="preserve">. Negarles </w:t>
      </w:r>
      <w:r w:rsidR="007A7A47" w:rsidRPr="007A7A47">
        <w:rPr>
          <w:sz w:val="26"/>
          <w:szCs w:val="26"/>
        </w:rPr>
        <w:t>los beneficios sociales y jurídicos</w:t>
      </w:r>
      <w:r w:rsidR="0038224A">
        <w:rPr>
          <w:sz w:val="26"/>
          <w:szCs w:val="26"/>
        </w:rPr>
        <w:t>,</w:t>
      </w:r>
      <w:r w:rsidR="007A7A47" w:rsidRPr="007A7A47">
        <w:rPr>
          <w:sz w:val="26"/>
          <w:szCs w:val="26"/>
        </w:rPr>
        <w:t xml:space="preserve"> </w:t>
      </w:r>
      <w:r w:rsidR="0038224A">
        <w:rPr>
          <w:sz w:val="26"/>
          <w:szCs w:val="26"/>
        </w:rPr>
        <w:t xml:space="preserve">asociados al </w:t>
      </w:r>
      <w:r w:rsidR="007A7A47" w:rsidRPr="007A7A47">
        <w:rPr>
          <w:sz w:val="26"/>
          <w:szCs w:val="26"/>
        </w:rPr>
        <w:t>derecho a la autonomía reproductiva</w:t>
      </w:r>
      <w:r w:rsidR="0038224A">
        <w:rPr>
          <w:sz w:val="26"/>
          <w:szCs w:val="26"/>
        </w:rPr>
        <w:t xml:space="preserve">, </w:t>
      </w:r>
      <w:r w:rsidR="007A7A47" w:rsidRPr="007A7A47">
        <w:rPr>
          <w:sz w:val="26"/>
          <w:szCs w:val="26"/>
        </w:rPr>
        <w:t>implica tratar a las mujeres como ciudadanas de segunda clase</w:t>
      </w:r>
      <w:r w:rsidR="003074D0">
        <w:rPr>
          <w:sz w:val="26"/>
          <w:szCs w:val="26"/>
        </w:rPr>
        <w:t>. Por tanto, sus derechos,</w:t>
      </w:r>
      <w:r w:rsidR="007A7A47" w:rsidRPr="007A7A47">
        <w:rPr>
          <w:sz w:val="26"/>
          <w:szCs w:val="26"/>
        </w:rPr>
        <w:t xml:space="preserve"> en especial sus derechos sexuales y reproductivos</w:t>
      </w:r>
      <w:r w:rsidR="006520BD">
        <w:rPr>
          <w:sz w:val="26"/>
          <w:szCs w:val="26"/>
        </w:rPr>
        <w:t>,</w:t>
      </w:r>
      <w:r w:rsidR="007A7A47" w:rsidRPr="007A7A47">
        <w:rPr>
          <w:sz w:val="26"/>
          <w:szCs w:val="26"/>
        </w:rPr>
        <w:t xml:space="preserve"> pueden ser sometidos a intereses y decisiones ajenas. </w:t>
      </w:r>
    </w:p>
    <w:p w14:paraId="45191094" w14:textId="77777777" w:rsidR="00FC726C" w:rsidRPr="00FC726C" w:rsidRDefault="00FC726C" w:rsidP="00FC726C">
      <w:pPr>
        <w:pStyle w:val="Prrafodelista"/>
        <w:rPr>
          <w:sz w:val="26"/>
          <w:szCs w:val="26"/>
        </w:rPr>
      </w:pPr>
    </w:p>
    <w:p w14:paraId="52350C43" w14:textId="1F065C06" w:rsidR="007A7A47" w:rsidRPr="007A7A47" w:rsidRDefault="0080781C" w:rsidP="00687245">
      <w:pPr>
        <w:pStyle w:val="Prrafodelista"/>
        <w:numPr>
          <w:ilvl w:val="0"/>
          <w:numId w:val="6"/>
        </w:numPr>
        <w:spacing w:before="240" w:after="240" w:line="360" w:lineRule="auto"/>
        <w:ind w:hanging="357"/>
        <w:rPr>
          <w:sz w:val="26"/>
          <w:szCs w:val="26"/>
        </w:rPr>
      </w:pPr>
      <w:r>
        <w:rPr>
          <w:sz w:val="26"/>
          <w:szCs w:val="26"/>
        </w:rPr>
        <w:t>L</w:t>
      </w:r>
      <w:r w:rsidR="007A7A47" w:rsidRPr="007A7A47">
        <w:rPr>
          <w:sz w:val="26"/>
          <w:szCs w:val="26"/>
        </w:rPr>
        <w:t>a negativa de interrumpir el embarazo se traduce en una doble discriminación</w:t>
      </w:r>
      <w:r w:rsidR="00FC726C">
        <w:rPr>
          <w:sz w:val="26"/>
          <w:szCs w:val="26"/>
        </w:rPr>
        <w:t>,</w:t>
      </w:r>
      <w:r w:rsidR="007A7A47" w:rsidRPr="007A7A47">
        <w:rPr>
          <w:sz w:val="26"/>
          <w:szCs w:val="26"/>
        </w:rPr>
        <w:t xml:space="preserve"> pues no sólo se priva a las mujeres y personas con capacidad de gestar de los beneficios expresos de derecho a la igualdad y no discriminación que surgen del reconocimiento de que </w:t>
      </w:r>
      <w:r w:rsidR="007A7A47" w:rsidRPr="007A7A47">
        <w:rPr>
          <w:sz w:val="26"/>
          <w:szCs w:val="26"/>
        </w:rPr>
        <w:lastRenderedPageBreak/>
        <w:t>hombres y mujeres deben poder disfrutar en igualdad de condiciones de los mismos derechos y oportunidades, sino también se les excluye de los beneficios materiales al negárseles el acceso a una atención integral a su salud</w:t>
      </w:r>
      <w:r w:rsidR="000A19E0">
        <w:rPr>
          <w:sz w:val="26"/>
          <w:szCs w:val="26"/>
        </w:rPr>
        <w:t xml:space="preserve">, la cual incluye </w:t>
      </w:r>
      <w:r w:rsidR="007A7A47" w:rsidRPr="007A7A47">
        <w:rPr>
          <w:sz w:val="26"/>
          <w:szCs w:val="26"/>
        </w:rPr>
        <w:t xml:space="preserve">la salud reproductiva. </w:t>
      </w:r>
    </w:p>
    <w:p w14:paraId="42FFE69A" w14:textId="77777777" w:rsidR="006520BD" w:rsidRDefault="006520BD" w:rsidP="006520BD">
      <w:pPr>
        <w:pStyle w:val="Prrafodelista"/>
        <w:spacing w:before="240" w:after="240" w:line="360" w:lineRule="auto"/>
        <w:rPr>
          <w:sz w:val="26"/>
          <w:szCs w:val="26"/>
        </w:rPr>
      </w:pPr>
    </w:p>
    <w:p w14:paraId="58245143" w14:textId="37A60893" w:rsidR="007A7A47" w:rsidRPr="007A7A47" w:rsidRDefault="00903C92" w:rsidP="00687245">
      <w:pPr>
        <w:pStyle w:val="Prrafodelista"/>
        <w:numPr>
          <w:ilvl w:val="0"/>
          <w:numId w:val="6"/>
        </w:numPr>
        <w:spacing w:before="240" w:after="240" w:line="360" w:lineRule="auto"/>
        <w:ind w:hanging="357"/>
        <w:rPr>
          <w:sz w:val="26"/>
          <w:szCs w:val="26"/>
        </w:rPr>
      </w:pPr>
      <w:r>
        <w:rPr>
          <w:sz w:val="26"/>
          <w:szCs w:val="26"/>
        </w:rPr>
        <w:t xml:space="preserve">Impedir </w:t>
      </w:r>
      <w:r w:rsidR="007A7A47" w:rsidRPr="007A7A47">
        <w:rPr>
          <w:sz w:val="26"/>
          <w:szCs w:val="26"/>
        </w:rPr>
        <w:t xml:space="preserve">que las mujeres </w:t>
      </w:r>
      <w:r w:rsidR="00387E75">
        <w:rPr>
          <w:sz w:val="26"/>
          <w:szCs w:val="26"/>
        </w:rPr>
        <w:t xml:space="preserve">y personas que pueden gestar </w:t>
      </w:r>
      <w:r>
        <w:rPr>
          <w:sz w:val="26"/>
          <w:szCs w:val="26"/>
        </w:rPr>
        <w:t xml:space="preserve">interrumpan </w:t>
      </w:r>
      <w:r w:rsidR="007A7A47" w:rsidRPr="007A7A47">
        <w:rPr>
          <w:sz w:val="26"/>
          <w:szCs w:val="26"/>
        </w:rPr>
        <w:t xml:space="preserve">su embarazo constituye una violación al derecho a la igualdad y no discriminación por razones de género, ya que niega la posibilidad de que ejerzan sus derechos sexuales y reproductivos y </w:t>
      </w:r>
      <w:r w:rsidR="005314BF">
        <w:rPr>
          <w:sz w:val="26"/>
          <w:szCs w:val="26"/>
        </w:rPr>
        <w:t xml:space="preserve">accedan </w:t>
      </w:r>
      <w:r w:rsidR="007A7A47" w:rsidRPr="007A7A47">
        <w:rPr>
          <w:sz w:val="26"/>
          <w:szCs w:val="26"/>
        </w:rPr>
        <w:t xml:space="preserve">a servicios de salud reproductiva. </w:t>
      </w:r>
    </w:p>
    <w:p w14:paraId="2BBA68D9" w14:textId="77777777" w:rsidR="0038486F" w:rsidRDefault="0038486F" w:rsidP="0038486F">
      <w:pPr>
        <w:pStyle w:val="Prrafodelista"/>
        <w:spacing w:before="240" w:after="240" w:line="360" w:lineRule="auto"/>
        <w:rPr>
          <w:sz w:val="26"/>
          <w:szCs w:val="26"/>
        </w:rPr>
      </w:pPr>
    </w:p>
    <w:p w14:paraId="26DDE4AD" w14:textId="29B234C0" w:rsidR="00657A58" w:rsidRPr="00DA3306" w:rsidRDefault="00F92B27" w:rsidP="00DA3306">
      <w:pPr>
        <w:pStyle w:val="Prrafodelista"/>
        <w:numPr>
          <w:ilvl w:val="0"/>
          <w:numId w:val="6"/>
        </w:numPr>
        <w:spacing w:before="240" w:after="240" w:line="360" w:lineRule="auto"/>
        <w:ind w:hanging="357"/>
        <w:rPr>
          <w:sz w:val="26"/>
          <w:szCs w:val="26"/>
        </w:rPr>
      </w:pPr>
      <w:r>
        <w:rPr>
          <w:sz w:val="26"/>
          <w:szCs w:val="26"/>
        </w:rPr>
        <w:t>D</w:t>
      </w:r>
      <w:r w:rsidR="007A7A47" w:rsidRPr="007A7A47">
        <w:rPr>
          <w:sz w:val="26"/>
          <w:szCs w:val="26"/>
        </w:rPr>
        <w:t>e acuerdo con las normas constitucionales e internacionales, la falta de previsión legal, restricción o negación de servicios de salud que sólo las mujeres necesita</w:t>
      </w:r>
      <w:r w:rsidR="00894AF3">
        <w:rPr>
          <w:sz w:val="26"/>
          <w:szCs w:val="26"/>
        </w:rPr>
        <w:t>n</w:t>
      </w:r>
      <w:r w:rsidR="007A7A47" w:rsidRPr="007A7A47">
        <w:rPr>
          <w:sz w:val="26"/>
          <w:szCs w:val="26"/>
        </w:rPr>
        <w:t>, como los servicios de salud reproductiva</w:t>
      </w:r>
      <w:r w:rsidR="005314BF">
        <w:rPr>
          <w:sz w:val="26"/>
          <w:szCs w:val="26"/>
        </w:rPr>
        <w:t>,</w:t>
      </w:r>
      <w:r w:rsidR="007A7A47" w:rsidRPr="007A7A47">
        <w:rPr>
          <w:sz w:val="26"/>
          <w:szCs w:val="26"/>
        </w:rPr>
        <w:t xml:space="preserve"> es discriminación. </w:t>
      </w:r>
    </w:p>
    <w:p w14:paraId="6B19F2C3" w14:textId="77777777" w:rsidR="00657A58" w:rsidRPr="00657A58" w:rsidRDefault="00657A58" w:rsidP="00657A58">
      <w:pPr>
        <w:pStyle w:val="Prrafodelista"/>
        <w:rPr>
          <w:sz w:val="26"/>
          <w:szCs w:val="26"/>
        </w:rPr>
      </w:pPr>
    </w:p>
    <w:p w14:paraId="277B9CEF" w14:textId="4398F418" w:rsidR="00A146F1" w:rsidRDefault="00F92B27" w:rsidP="00687245">
      <w:pPr>
        <w:pStyle w:val="Prrafodelista"/>
        <w:numPr>
          <w:ilvl w:val="0"/>
          <w:numId w:val="6"/>
        </w:numPr>
        <w:spacing w:before="240" w:after="240" w:line="360" w:lineRule="auto"/>
        <w:ind w:hanging="357"/>
        <w:rPr>
          <w:sz w:val="26"/>
          <w:szCs w:val="26"/>
        </w:rPr>
      </w:pPr>
      <w:r>
        <w:rPr>
          <w:sz w:val="26"/>
          <w:szCs w:val="26"/>
        </w:rPr>
        <w:t>E</w:t>
      </w:r>
      <w:r w:rsidR="007A7A47" w:rsidRPr="007A7A47">
        <w:rPr>
          <w:sz w:val="26"/>
          <w:szCs w:val="26"/>
        </w:rPr>
        <w:t xml:space="preserve">l acto reclamado atentó contra el principio del interés superior de la infancia, puesto que la falta de </w:t>
      </w:r>
      <w:r w:rsidR="007A7A47" w:rsidRPr="003A579D">
        <w:rPr>
          <w:sz w:val="26"/>
          <w:szCs w:val="26"/>
        </w:rPr>
        <w:t xml:space="preserve">debida diligencia y actuar omiso de la autoridad responsable implicó afectaciones diferenciadas a </w:t>
      </w:r>
      <w:r w:rsidR="00B64F0F">
        <w:rPr>
          <w:i/>
          <w:iCs/>
        </w:rPr>
        <w:t>María</w:t>
      </w:r>
      <w:r w:rsidR="009A5F26" w:rsidRPr="003A579D">
        <w:rPr>
          <w:sz w:val="26"/>
          <w:szCs w:val="26"/>
        </w:rPr>
        <w:t xml:space="preserve"> </w:t>
      </w:r>
      <w:r w:rsidR="007A7A47" w:rsidRPr="003A579D">
        <w:rPr>
          <w:sz w:val="26"/>
          <w:szCs w:val="26"/>
        </w:rPr>
        <w:t xml:space="preserve">como adolescente. </w:t>
      </w:r>
      <w:r>
        <w:rPr>
          <w:sz w:val="26"/>
          <w:szCs w:val="26"/>
        </w:rPr>
        <w:t>L</w:t>
      </w:r>
      <w:r w:rsidR="007A7A47" w:rsidRPr="003A579D">
        <w:rPr>
          <w:sz w:val="26"/>
          <w:szCs w:val="26"/>
        </w:rPr>
        <w:t xml:space="preserve">a Segunda Sala de la Suprema Corte de Justicia de la Nación ha establecido </w:t>
      </w:r>
      <w:r w:rsidR="009A5F26" w:rsidRPr="003A579D">
        <w:rPr>
          <w:sz w:val="26"/>
          <w:szCs w:val="26"/>
        </w:rPr>
        <w:t>que,</w:t>
      </w:r>
      <w:r w:rsidR="007A7A47" w:rsidRPr="003A579D">
        <w:rPr>
          <w:sz w:val="26"/>
          <w:szCs w:val="26"/>
        </w:rPr>
        <w:t xml:space="preserve"> en toda decisión, acto, conducta, propuesta, servicios, procedimientos y demás iniciativas adoptadas por las autoridades</w:t>
      </w:r>
      <w:r w:rsidR="00082E5C">
        <w:rPr>
          <w:sz w:val="26"/>
          <w:szCs w:val="26"/>
        </w:rPr>
        <w:t xml:space="preserve"> </w:t>
      </w:r>
      <w:r w:rsidR="007A7A47" w:rsidRPr="003A579D">
        <w:rPr>
          <w:sz w:val="26"/>
          <w:szCs w:val="26"/>
        </w:rPr>
        <w:t xml:space="preserve">que pueda afectar a una niña, niño o adolescente debe tenerse en cuenta el interés superior de la infancia como consideración primordial. </w:t>
      </w:r>
    </w:p>
    <w:p w14:paraId="4C403B9D" w14:textId="77777777" w:rsidR="00A146F1" w:rsidRPr="00A146F1" w:rsidRDefault="00A146F1" w:rsidP="00A146F1">
      <w:pPr>
        <w:pStyle w:val="Prrafodelista"/>
        <w:rPr>
          <w:sz w:val="26"/>
          <w:szCs w:val="26"/>
        </w:rPr>
      </w:pPr>
    </w:p>
    <w:p w14:paraId="0B8EA580" w14:textId="6DC18C6B" w:rsidR="00D9525B" w:rsidRPr="003A579D" w:rsidRDefault="00A146F1" w:rsidP="00687245">
      <w:pPr>
        <w:pStyle w:val="Prrafodelista"/>
        <w:numPr>
          <w:ilvl w:val="0"/>
          <w:numId w:val="6"/>
        </w:numPr>
        <w:spacing w:before="240" w:after="240" w:line="360" w:lineRule="auto"/>
        <w:ind w:hanging="357"/>
        <w:rPr>
          <w:sz w:val="26"/>
          <w:szCs w:val="26"/>
        </w:rPr>
      </w:pPr>
      <w:r>
        <w:rPr>
          <w:sz w:val="26"/>
          <w:szCs w:val="26"/>
        </w:rPr>
        <w:t>D</w:t>
      </w:r>
      <w:r w:rsidR="00F52CB8" w:rsidRPr="003A579D">
        <w:rPr>
          <w:sz w:val="26"/>
          <w:szCs w:val="26"/>
        </w:rPr>
        <w:t xml:space="preserve">ebe reconocerse la violación a derechos humanos y ordenar la reparación integral del daño. </w:t>
      </w:r>
      <w:r w:rsidR="00744964" w:rsidRPr="003A579D">
        <w:rPr>
          <w:sz w:val="26"/>
          <w:szCs w:val="26"/>
        </w:rPr>
        <w:t>Máxime que a más de un mes de presentada la solicitud</w:t>
      </w:r>
      <w:r w:rsidR="007C3411" w:rsidRPr="003A579D">
        <w:rPr>
          <w:sz w:val="26"/>
          <w:szCs w:val="26"/>
        </w:rPr>
        <w:t xml:space="preserve">, la autoridad no dio </w:t>
      </w:r>
      <w:r w:rsidR="00012C3D" w:rsidRPr="003A579D">
        <w:rPr>
          <w:sz w:val="26"/>
          <w:szCs w:val="26"/>
        </w:rPr>
        <w:t>atención</w:t>
      </w:r>
      <w:r w:rsidR="007C3411" w:rsidRPr="003A579D">
        <w:rPr>
          <w:sz w:val="26"/>
          <w:szCs w:val="26"/>
        </w:rPr>
        <w:t xml:space="preserve"> alguna ni intentó contactar a </w:t>
      </w:r>
      <w:r w:rsidR="00B64F0F">
        <w:rPr>
          <w:i/>
          <w:iCs/>
        </w:rPr>
        <w:t>María</w:t>
      </w:r>
      <w:r w:rsidR="007C3411" w:rsidRPr="003A579D">
        <w:rPr>
          <w:sz w:val="26"/>
          <w:szCs w:val="26"/>
        </w:rPr>
        <w:t>.</w:t>
      </w:r>
    </w:p>
    <w:p w14:paraId="3E3C2812" w14:textId="48A8F5F9" w:rsidR="009E2C43" w:rsidRPr="009E2C43" w:rsidRDefault="009E2C43" w:rsidP="00932FB6">
      <w:pPr>
        <w:pStyle w:val="Ttulo9"/>
        <w:numPr>
          <w:ilvl w:val="0"/>
          <w:numId w:val="3"/>
        </w:numPr>
        <w:ind w:left="0" w:hanging="567"/>
        <w:rPr>
          <w:b w:val="0"/>
          <w:bCs/>
        </w:rPr>
      </w:pPr>
      <w:r w:rsidRPr="009E2C43">
        <w:t>Sentencia de amparo.</w:t>
      </w:r>
      <w:r w:rsidRPr="009E2C43">
        <w:rPr>
          <w:b w:val="0"/>
          <w:bCs/>
        </w:rPr>
        <w:t xml:space="preserve"> </w:t>
      </w:r>
      <w:r w:rsidR="00D836EA">
        <w:rPr>
          <w:b w:val="0"/>
          <w:bCs/>
        </w:rPr>
        <w:t>La jueza</w:t>
      </w:r>
      <w:r w:rsidRPr="009E2C43">
        <w:rPr>
          <w:b w:val="0"/>
          <w:bCs/>
        </w:rPr>
        <w:t xml:space="preserve"> del conocimiento </w:t>
      </w:r>
      <w:r w:rsidR="008132CA">
        <w:rPr>
          <w:b w:val="0"/>
          <w:bCs/>
        </w:rPr>
        <w:t xml:space="preserve">sobreseyó </w:t>
      </w:r>
      <w:r w:rsidR="003728E6">
        <w:rPr>
          <w:b w:val="0"/>
          <w:bCs/>
        </w:rPr>
        <w:t>en el juicio respecto del Hospital Civil de Guadalajara y conced</w:t>
      </w:r>
      <w:r w:rsidR="008132CA">
        <w:rPr>
          <w:b w:val="0"/>
          <w:bCs/>
        </w:rPr>
        <w:t xml:space="preserve">ió </w:t>
      </w:r>
      <w:r w:rsidR="003728E6">
        <w:rPr>
          <w:b w:val="0"/>
          <w:bCs/>
        </w:rPr>
        <w:t xml:space="preserve">el amparo a la quejosa </w:t>
      </w:r>
      <w:r w:rsidR="003728E6">
        <w:rPr>
          <w:b w:val="0"/>
          <w:bCs/>
        </w:rPr>
        <w:lastRenderedPageBreak/>
        <w:t>contra la omisión de responder al escrito en el que solicitó la interrupción del embarazo con base en las siguientes consideraciones</w:t>
      </w:r>
      <w:r w:rsidRPr="009E2C43">
        <w:rPr>
          <w:b w:val="0"/>
          <w:bCs/>
        </w:rPr>
        <w:t>:</w:t>
      </w:r>
    </w:p>
    <w:p w14:paraId="4B8F2A5C" w14:textId="11380D8A" w:rsidR="009E2C43" w:rsidRDefault="00BA25C2" w:rsidP="00687245">
      <w:pPr>
        <w:pStyle w:val="Prrafo"/>
        <w:numPr>
          <w:ilvl w:val="0"/>
          <w:numId w:val="7"/>
        </w:numPr>
        <w:rPr>
          <w:color w:val="000000"/>
        </w:rPr>
      </w:pPr>
      <w:r>
        <w:rPr>
          <w:color w:val="000000"/>
        </w:rPr>
        <w:t xml:space="preserve">En primer lugar, fijó como único acto reclamado la omisión de </w:t>
      </w:r>
      <w:r w:rsidR="001E5A72">
        <w:rPr>
          <w:color w:val="000000"/>
        </w:rPr>
        <w:t>responder el</w:t>
      </w:r>
      <w:r>
        <w:rPr>
          <w:color w:val="000000"/>
        </w:rPr>
        <w:t xml:space="preserve"> escrito present</w:t>
      </w:r>
      <w:r w:rsidR="001E5A72">
        <w:rPr>
          <w:color w:val="000000"/>
        </w:rPr>
        <w:t>ado por</w:t>
      </w:r>
      <w:r>
        <w:rPr>
          <w:color w:val="000000"/>
        </w:rPr>
        <w:t xml:space="preserve"> </w:t>
      </w:r>
      <w:r w:rsidR="00446CBF">
        <w:rPr>
          <w:color w:val="000000"/>
        </w:rPr>
        <w:t xml:space="preserve">la quejosa </w:t>
      </w:r>
      <w:r>
        <w:rPr>
          <w:color w:val="000000"/>
        </w:rPr>
        <w:t>el 18 de agosto de 2021. Sostuvo que los tratos o penas crueles, inhuman</w:t>
      </w:r>
      <w:r w:rsidR="005023D7">
        <w:rPr>
          <w:color w:val="000000"/>
        </w:rPr>
        <w:t>o</w:t>
      </w:r>
      <w:r>
        <w:rPr>
          <w:color w:val="000000"/>
        </w:rPr>
        <w:t xml:space="preserve">s y degradantes </w:t>
      </w:r>
      <w:r w:rsidR="001E5A72">
        <w:rPr>
          <w:color w:val="000000"/>
        </w:rPr>
        <w:t xml:space="preserve">alegados por la quejosa </w:t>
      </w:r>
      <w:r>
        <w:rPr>
          <w:color w:val="000000"/>
        </w:rPr>
        <w:t>no</w:t>
      </w:r>
      <w:r w:rsidR="007B671E">
        <w:rPr>
          <w:color w:val="000000"/>
        </w:rPr>
        <w:t xml:space="preserve"> son </w:t>
      </w:r>
      <w:r>
        <w:rPr>
          <w:color w:val="000000"/>
        </w:rPr>
        <w:t xml:space="preserve">actos reclamados </w:t>
      </w:r>
      <w:r w:rsidR="007B671E">
        <w:rPr>
          <w:color w:val="000000"/>
        </w:rPr>
        <w:t>autónomos</w:t>
      </w:r>
      <w:r w:rsidR="001E5A72">
        <w:rPr>
          <w:color w:val="000000"/>
        </w:rPr>
        <w:t xml:space="preserve">, </w:t>
      </w:r>
      <w:r w:rsidR="007B671E">
        <w:rPr>
          <w:color w:val="000000"/>
        </w:rPr>
        <w:t>sino consecuencias asociadas a</w:t>
      </w:r>
      <w:r w:rsidR="001E5A72">
        <w:rPr>
          <w:color w:val="000000"/>
        </w:rPr>
        <w:t xml:space="preserve"> esa falta de respuesta, tal como puede deducirse de los </w:t>
      </w:r>
      <w:r w:rsidR="007B671E">
        <w:rPr>
          <w:color w:val="000000"/>
        </w:rPr>
        <w:t xml:space="preserve">conceptos de violación expresados por la quejosa. </w:t>
      </w:r>
    </w:p>
    <w:p w14:paraId="2CDC7E41" w14:textId="7A762A93" w:rsidR="00ED7BB7" w:rsidRPr="00A262FE" w:rsidRDefault="00BA25C2" w:rsidP="00687245">
      <w:pPr>
        <w:pStyle w:val="Prrafo"/>
        <w:numPr>
          <w:ilvl w:val="0"/>
          <w:numId w:val="7"/>
        </w:numPr>
        <w:rPr>
          <w:color w:val="000000"/>
        </w:rPr>
      </w:pPr>
      <w:r w:rsidRPr="00A262FE">
        <w:rPr>
          <w:color w:val="000000"/>
        </w:rPr>
        <w:t>Consideró inexistente la omisión respecto del Hospital Civil de Guadalajara, pues del acuse que</w:t>
      </w:r>
      <w:r w:rsidR="00470222" w:rsidRPr="00A262FE">
        <w:rPr>
          <w:color w:val="000000"/>
        </w:rPr>
        <w:t xml:space="preserve"> </w:t>
      </w:r>
      <w:r w:rsidR="00984D70" w:rsidRPr="00A262FE">
        <w:rPr>
          <w:color w:val="000000"/>
        </w:rPr>
        <w:t xml:space="preserve">la quejosa </w:t>
      </w:r>
      <w:r w:rsidRPr="00A262FE">
        <w:rPr>
          <w:color w:val="000000"/>
        </w:rPr>
        <w:t xml:space="preserve">ofreció </w:t>
      </w:r>
      <w:r w:rsidR="00CA4B20" w:rsidRPr="00A262FE">
        <w:rPr>
          <w:color w:val="000000"/>
        </w:rPr>
        <w:t xml:space="preserve">como anexo a su demanda </w:t>
      </w:r>
      <w:r w:rsidRPr="00A262FE">
        <w:rPr>
          <w:color w:val="000000"/>
        </w:rPr>
        <w:t>sólo se desprende que presentó su escrito ante la Secretaría de Salud.</w:t>
      </w:r>
      <w:r w:rsidR="004934B8" w:rsidRPr="00A262FE">
        <w:rPr>
          <w:color w:val="000000"/>
        </w:rPr>
        <w:t xml:space="preserve"> </w:t>
      </w:r>
      <w:r w:rsidRPr="00A262FE">
        <w:rPr>
          <w:color w:val="000000"/>
        </w:rPr>
        <w:t>Fue la directora general de Asuntos Jurídicos de la Secretaría de Salud del Estado de Jalisco quien señaló que ese escrito fue remitido al Hospital Civil de Guadalajara para que lo atendiera y contestara.</w:t>
      </w:r>
      <w:r w:rsidR="00217D24" w:rsidRPr="00A262FE">
        <w:rPr>
          <w:color w:val="000000"/>
        </w:rPr>
        <w:t xml:space="preserve"> </w:t>
      </w:r>
      <w:r w:rsidRPr="00A262FE">
        <w:rPr>
          <w:color w:val="000000"/>
        </w:rPr>
        <w:t>Sin embargo, la coordinadora general jurídica, apoderada judicial, negó el acto reclam</w:t>
      </w:r>
      <w:r w:rsidR="00ED7BB7" w:rsidRPr="00A262FE">
        <w:rPr>
          <w:color w:val="000000"/>
        </w:rPr>
        <w:t>a</w:t>
      </w:r>
      <w:r w:rsidRPr="00A262FE">
        <w:rPr>
          <w:color w:val="000000"/>
        </w:rPr>
        <w:t>do: señaló que nunca se le remitió el escrito de la quejosa.</w:t>
      </w:r>
    </w:p>
    <w:p w14:paraId="66155503" w14:textId="3526B14D" w:rsidR="00ED7BB7" w:rsidRPr="00F81B79" w:rsidRDefault="00ED7BB7" w:rsidP="00687245">
      <w:pPr>
        <w:pStyle w:val="Prrafo"/>
        <w:numPr>
          <w:ilvl w:val="0"/>
          <w:numId w:val="7"/>
        </w:numPr>
        <w:rPr>
          <w:color w:val="000000"/>
        </w:rPr>
      </w:pPr>
      <w:r>
        <w:rPr>
          <w:color w:val="000000"/>
        </w:rPr>
        <w:t>Tampoco consider</w:t>
      </w:r>
      <w:r w:rsidR="0027701E">
        <w:rPr>
          <w:color w:val="000000"/>
        </w:rPr>
        <w:t>ó</w:t>
      </w:r>
      <w:r>
        <w:rPr>
          <w:color w:val="000000"/>
        </w:rPr>
        <w:t xml:space="preserve"> que la </w:t>
      </w:r>
      <w:r w:rsidR="00C70119">
        <w:rPr>
          <w:color w:val="000000"/>
        </w:rPr>
        <w:t>S</w:t>
      </w:r>
      <w:r>
        <w:rPr>
          <w:color w:val="000000"/>
        </w:rPr>
        <w:t xml:space="preserve">ecretaría de </w:t>
      </w:r>
      <w:r w:rsidR="00C70119">
        <w:rPr>
          <w:color w:val="000000"/>
        </w:rPr>
        <w:t>S</w:t>
      </w:r>
      <w:r>
        <w:rPr>
          <w:color w:val="000000"/>
        </w:rPr>
        <w:t xml:space="preserve">alud acreditara </w:t>
      </w:r>
      <w:r w:rsidR="00652E5B">
        <w:rPr>
          <w:color w:val="000000"/>
        </w:rPr>
        <w:t>la entrega d</w:t>
      </w:r>
      <w:r>
        <w:rPr>
          <w:color w:val="000000"/>
        </w:rPr>
        <w:t xml:space="preserve">el escrito a ese hospital. La jueza consideró que el oficio </w:t>
      </w:r>
      <w:r w:rsidR="00C11054">
        <w:rPr>
          <w:color w:val="C00000"/>
        </w:rPr>
        <w:t>*****</w:t>
      </w:r>
      <w:r w:rsidR="009958BC">
        <w:rPr>
          <w:color w:val="000000"/>
        </w:rPr>
        <w:t xml:space="preserve">, exhibido por </w:t>
      </w:r>
      <w:r>
        <w:rPr>
          <w:color w:val="000000"/>
        </w:rPr>
        <w:t xml:space="preserve">la </w:t>
      </w:r>
      <w:r w:rsidR="00C70119">
        <w:rPr>
          <w:color w:val="000000"/>
        </w:rPr>
        <w:t>S</w:t>
      </w:r>
      <w:r>
        <w:rPr>
          <w:color w:val="000000"/>
        </w:rPr>
        <w:t xml:space="preserve">ecretaría de </w:t>
      </w:r>
      <w:r w:rsidR="00C70119">
        <w:rPr>
          <w:color w:val="000000"/>
        </w:rPr>
        <w:t>S</w:t>
      </w:r>
      <w:r>
        <w:rPr>
          <w:color w:val="000000"/>
        </w:rPr>
        <w:t>alud</w:t>
      </w:r>
      <w:r w:rsidR="009958BC">
        <w:rPr>
          <w:color w:val="000000"/>
        </w:rPr>
        <w:t>, solo cuenta con</w:t>
      </w:r>
      <w:r>
        <w:rPr>
          <w:color w:val="000000"/>
        </w:rPr>
        <w:t xml:space="preserve"> un sello</w:t>
      </w:r>
      <w:r w:rsidR="009D26EE">
        <w:rPr>
          <w:color w:val="000000"/>
        </w:rPr>
        <w:t xml:space="preserve"> de recepción</w:t>
      </w:r>
      <w:r>
        <w:rPr>
          <w:color w:val="000000"/>
        </w:rPr>
        <w:t xml:space="preserve"> de la Dirección General del Hospital Civil de Guadalajara</w:t>
      </w:r>
      <w:r w:rsidR="009579A0">
        <w:rPr>
          <w:color w:val="000000"/>
        </w:rPr>
        <w:t>,</w:t>
      </w:r>
      <w:r>
        <w:rPr>
          <w:color w:val="000000"/>
        </w:rPr>
        <w:t xml:space="preserve"> donde se señala la fecha de 20 de agosto de 2021</w:t>
      </w:r>
      <w:r w:rsidR="009D26EE">
        <w:rPr>
          <w:color w:val="000000"/>
        </w:rPr>
        <w:t xml:space="preserve">, lo que estimó insuficiente para </w:t>
      </w:r>
      <w:r w:rsidR="00A600A0">
        <w:rPr>
          <w:color w:val="000000"/>
        </w:rPr>
        <w:t xml:space="preserve">acreditar </w:t>
      </w:r>
      <w:r w:rsidR="00350CD4">
        <w:rPr>
          <w:color w:val="000000"/>
        </w:rPr>
        <w:t xml:space="preserve">la ausencia de respuesta. </w:t>
      </w:r>
      <w:r w:rsidR="00F81B79" w:rsidRPr="00F81B79">
        <w:rPr>
          <w:color w:val="000000"/>
        </w:rPr>
        <w:t>Por ese motivo</w:t>
      </w:r>
      <w:r w:rsidRPr="00F81B79">
        <w:rPr>
          <w:color w:val="000000"/>
        </w:rPr>
        <w:t>, sobrese</w:t>
      </w:r>
      <w:r w:rsidR="00F81B79">
        <w:rPr>
          <w:color w:val="000000"/>
        </w:rPr>
        <w:t>yó</w:t>
      </w:r>
      <w:r w:rsidRPr="00F81B79">
        <w:rPr>
          <w:color w:val="000000"/>
        </w:rPr>
        <w:t xml:space="preserve"> en el juicio respecto del Hospital Civil de Guadalajara.</w:t>
      </w:r>
    </w:p>
    <w:p w14:paraId="3A6BA6A4" w14:textId="29164F16" w:rsidR="00ED7BB7" w:rsidRDefault="00ED7BB7" w:rsidP="00687245">
      <w:pPr>
        <w:pStyle w:val="Prrafo"/>
        <w:numPr>
          <w:ilvl w:val="0"/>
          <w:numId w:val="7"/>
        </w:numPr>
        <w:rPr>
          <w:color w:val="000000"/>
        </w:rPr>
      </w:pPr>
      <w:r>
        <w:rPr>
          <w:color w:val="000000"/>
        </w:rPr>
        <w:t>En el fondo, observ</w:t>
      </w:r>
      <w:r w:rsidR="00F849AE">
        <w:rPr>
          <w:color w:val="000000"/>
        </w:rPr>
        <w:t>ó</w:t>
      </w:r>
      <w:r>
        <w:rPr>
          <w:color w:val="000000"/>
        </w:rPr>
        <w:t xml:space="preserve"> que –en efecto– </w:t>
      </w:r>
      <w:r w:rsidR="0063680E">
        <w:rPr>
          <w:color w:val="000000"/>
        </w:rPr>
        <w:t xml:space="preserve">el escrito de la quejosa fue recibido por la Secretaría de Salud el 18 de agosto de 2021, sin que al momento de dictar sentencia </w:t>
      </w:r>
      <w:r w:rsidR="005963C6">
        <w:rPr>
          <w:color w:val="000000"/>
        </w:rPr>
        <w:t xml:space="preserve">la dependencia </w:t>
      </w:r>
      <w:r w:rsidR="0063680E">
        <w:rPr>
          <w:color w:val="000000"/>
        </w:rPr>
        <w:t xml:space="preserve">hubiera respondido a </w:t>
      </w:r>
      <w:r w:rsidR="00C11054">
        <w:rPr>
          <w:i/>
          <w:iCs/>
        </w:rPr>
        <w:t>María</w:t>
      </w:r>
      <w:r w:rsidR="0063680E">
        <w:rPr>
          <w:color w:val="000000"/>
        </w:rPr>
        <w:t>. De esta manera, sost</w:t>
      </w:r>
      <w:r w:rsidR="00F849AE">
        <w:rPr>
          <w:color w:val="000000"/>
        </w:rPr>
        <w:t>uvo</w:t>
      </w:r>
      <w:r w:rsidR="0063680E">
        <w:rPr>
          <w:color w:val="000000"/>
        </w:rPr>
        <w:t xml:space="preserve"> que se violó en su perjuicio el derecho de petición (artículo 8 constitucional) que obliga a todas las autoridades a responder a las peticiones formuladas ante ellas de manera escrita, </w:t>
      </w:r>
      <w:r w:rsidR="0063680E">
        <w:rPr>
          <w:color w:val="000000"/>
        </w:rPr>
        <w:lastRenderedPageBreak/>
        <w:t>pacífica y respetuosa, además de notificar a las peticionarias su determinación en breve.</w:t>
      </w:r>
    </w:p>
    <w:p w14:paraId="015F78E4" w14:textId="1768D9AF" w:rsidR="0022778A" w:rsidRPr="00ED7BB7" w:rsidRDefault="0022778A" w:rsidP="00687245">
      <w:pPr>
        <w:pStyle w:val="Prrafo"/>
        <w:numPr>
          <w:ilvl w:val="0"/>
          <w:numId w:val="7"/>
        </w:numPr>
        <w:rPr>
          <w:color w:val="000000"/>
        </w:rPr>
      </w:pPr>
      <w:r>
        <w:rPr>
          <w:color w:val="000000"/>
        </w:rPr>
        <w:t xml:space="preserve">Precisó que los efectos de la concesión del amparo, por tanto, </w:t>
      </w:r>
      <w:r w:rsidR="003C7FF5">
        <w:rPr>
          <w:color w:val="000000"/>
        </w:rPr>
        <w:t>obligaban a la Secretaría de Salud a responder de inmediato a la quejosa a su escrito y notificárselo oportunamente.</w:t>
      </w:r>
    </w:p>
    <w:p w14:paraId="4E58EAE1" w14:textId="0AFAC1DC" w:rsidR="009E2C43" w:rsidRPr="009E2C43" w:rsidRDefault="009E2C43" w:rsidP="00932FB6">
      <w:pPr>
        <w:pStyle w:val="Ttulo9"/>
        <w:numPr>
          <w:ilvl w:val="0"/>
          <w:numId w:val="3"/>
        </w:numPr>
        <w:ind w:left="0" w:hanging="567"/>
        <w:rPr>
          <w:b w:val="0"/>
          <w:bCs/>
        </w:rPr>
      </w:pPr>
      <w:r w:rsidRPr="009E2C43">
        <w:t>Recurso de revisión.</w:t>
      </w:r>
      <w:r w:rsidRPr="009E2C43">
        <w:rPr>
          <w:b w:val="0"/>
          <w:bCs/>
        </w:rPr>
        <w:t xml:space="preserve"> </w:t>
      </w:r>
      <w:r w:rsidR="00E03F46">
        <w:rPr>
          <w:b w:val="0"/>
          <w:bCs/>
        </w:rPr>
        <w:t>El autorizado</w:t>
      </w:r>
      <w:r w:rsidR="000A45EF">
        <w:rPr>
          <w:b w:val="0"/>
          <w:bCs/>
        </w:rPr>
        <w:t xml:space="preserve"> de</w:t>
      </w:r>
      <w:r w:rsidR="00C11054" w:rsidRPr="00C11054">
        <w:rPr>
          <w:b w:val="0"/>
          <w:bCs/>
          <w:i/>
          <w:iCs/>
        </w:rPr>
        <w:t xml:space="preserve"> María</w:t>
      </w:r>
      <w:r w:rsidR="000A45EF" w:rsidRPr="00C11054">
        <w:rPr>
          <w:b w:val="0"/>
          <w:bCs/>
        </w:rPr>
        <w:t xml:space="preserve"> </w:t>
      </w:r>
      <w:r w:rsidR="002E18CF">
        <w:rPr>
          <w:b w:val="0"/>
          <w:bCs/>
        </w:rPr>
        <w:t>formuló</w:t>
      </w:r>
      <w:r w:rsidR="000A45EF">
        <w:rPr>
          <w:b w:val="0"/>
          <w:bCs/>
        </w:rPr>
        <w:t xml:space="preserve"> </w:t>
      </w:r>
      <w:r w:rsidRPr="009E2C43">
        <w:rPr>
          <w:b w:val="0"/>
          <w:bCs/>
        </w:rPr>
        <w:t>los siguientes agravios:</w:t>
      </w:r>
    </w:p>
    <w:p w14:paraId="40C3A22E" w14:textId="4174351A" w:rsidR="0063680E" w:rsidRPr="003C7FF5" w:rsidRDefault="0063680E" w:rsidP="00687245">
      <w:pPr>
        <w:pStyle w:val="Prrafo"/>
        <w:numPr>
          <w:ilvl w:val="0"/>
          <w:numId w:val="8"/>
        </w:numPr>
      </w:pPr>
      <w:r w:rsidRPr="003C7FF5">
        <w:t xml:space="preserve">La sentencia recurrida no resolvió la controversia que le fue planteada de manera íntegra, exhaustiva y congruente. Tampoco es acorde con los hechos </w:t>
      </w:r>
      <w:r w:rsidR="00F453AA">
        <w:t>narrados</w:t>
      </w:r>
      <w:r w:rsidRPr="003C7FF5">
        <w:t xml:space="preserve"> por la joven </w:t>
      </w:r>
      <w:r w:rsidR="00C11054">
        <w:rPr>
          <w:i/>
          <w:iCs/>
        </w:rPr>
        <w:t>María</w:t>
      </w:r>
      <w:r w:rsidRPr="003C7FF5">
        <w:t>.</w:t>
      </w:r>
    </w:p>
    <w:p w14:paraId="0480694B" w14:textId="670A3BE7" w:rsidR="000A45EF" w:rsidRPr="003C7FF5" w:rsidRDefault="000A45EF" w:rsidP="00A94042">
      <w:pPr>
        <w:pStyle w:val="Prrafo"/>
        <w:numPr>
          <w:ilvl w:val="0"/>
          <w:numId w:val="8"/>
        </w:numPr>
      </w:pPr>
      <w:r w:rsidRPr="003C7FF5">
        <w:t xml:space="preserve">Es obligación de las autoridades jurisdiccionales examinar exhaustivamente todas las cuestiones </w:t>
      </w:r>
      <w:r w:rsidR="00A94042">
        <w:t xml:space="preserve">planteadas en el asunto </w:t>
      </w:r>
      <w:r w:rsidRPr="003C7FF5">
        <w:t>ante ellas</w:t>
      </w:r>
      <w:r w:rsidR="004A0B8E">
        <w:t xml:space="preserve">; esto es, </w:t>
      </w:r>
      <w:r w:rsidRPr="003C7FF5">
        <w:t>an</w:t>
      </w:r>
      <w:r w:rsidR="00A94042">
        <w:t xml:space="preserve">alizar </w:t>
      </w:r>
      <w:r w:rsidRPr="003C7FF5">
        <w:t>acucios</w:t>
      </w:r>
      <w:r w:rsidR="004A7E06">
        <w:t>a</w:t>
      </w:r>
      <w:r w:rsidRPr="003C7FF5">
        <w:t>, detenid</w:t>
      </w:r>
      <w:r w:rsidR="004A7E06">
        <w:t>a</w:t>
      </w:r>
      <w:r w:rsidRPr="003C7FF5">
        <w:t xml:space="preserve"> y profun</w:t>
      </w:r>
      <w:r w:rsidR="00A94042">
        <w:t xml:space="preserve">damente lo planteado para que no escape ningún aspecto </w:t>
      </w:r>
      <w:r w:rsidRPr="003C7FF5">
        <w:t>significativo para encontrar la verdad sobre los hechos controvertidos o de las posibilidades que ofrezcan los medios probatorios.</w:t>
      </w:r>
    </w:p>
    <w:p w14:paraId="63FF5C05" w14:textId="2E7E1B72" w:rsidR="000A45EF" w:rsidRDefault="000A45EF" w:rsidP="00687245">
      <w:pPr>
        <w:pStyle w:val="Prrafo"/>
        <w:numPr>
          <w:ilvl w:val="0"/>
          <w:numId w:val="8"/>
        </w:numPr>
      </w:pPr>
      <w:r>
        <w:t>En su opinión, fu</w:t>
      </w:r>
      <w:r w:rsidR="00F861A1">
        <w:t>e</w:t>
      </w:r>
      <w:r>
        <w:t xml:space="preserve"> inadecuada la fijación de la litis</w:t>
      </w:r>
      <w:r w:rsidR="00F82375">
        <w:t xml:space="preserve">. </w:t>
      </w:r>
      <w:r w:rsidR="00D377F7">
        <w:t xml:space="preserve">La jueza </w:t>
      </w:r>
      <w:r>
        <w:t xml:space="preserve">de distrito </w:t>
      </w:r>
      <w:r w:rsidR="00597650">
        <w:t xml:space="preserve">omitió </w:t>
      </w:r>
      <w:r>
        <w:t>el estudio de la falta de atención, los tratos o penas crueles, inhuman</w:t>
      </w:r>
      <w:r w:rsidR="00612126">
        <w:t>o</w:t>
      </w:r>
      <w:r>
        <w:t>s y degradantes</w:t>
      </w:r>
      <w:r w:rsidR="002A2639">
        <w:t xml:space="preserve"> </w:t>
      </w:r>
      <w:r>
        <w:t>denunciados</w:t>
      </w:r>
      <w:r w:rsidR="00612126">
        <w:t xml:space="preserve">, derivados </w:t>
      </w:r>
      <w:r>
        <w:t>de la falta de debida diligencia para atender la solicitud de interrupción de</w:t>
      </w:r>
      <w:r w:rsidR="00612126">
        <w:t xml:space="preserve"> un </w:t>
      </w:r>
      <w:r>
        <w:t>embarazo</w:t>
      </w:r>
      <w:r w:rsidR="00612126">
        <w:t xml:space="preserve"> forzado</w:t>
      </w:r>
      <w:r>
        <w:t>.</w:t>
      </w:r>
    </w:p>
    <w:p w14:paraId="27D21883" w14:textId="270E0062" w:rsidR="000A45EF" w:rsidRDefault="000A45EF" w:rsidP="00687245">
      <w:pPr>
        <w:pStyle w:val="Prrafo"/>
        <w:numPr>
          <w:ilvl w:val="0"/>
          <w:numId w:val="8"/>
        </w:numPr>
      </w:pPr>
      <w:r>
        <w:t xml:space="preserve">La pretensión de la quejosa era que se ordenara a la autoridad responsable que llevara a cabo la interrupción del embarazo, se constataran las violaciones a derechos humanos derivadas de la falta de debida diligencia, dilación y negativa de prestar ese servicio y que se reconociera la calidad de víctima de </w:t>
      </w:r>
      <w:r w:rsidR="00C11054">
        <w:rPr>
          <w:i/>
          <w:iCs/>
        </w:rPr>
        <w:t>María</w:t>
      </w:r>
      <w:r>
        <w:t>. Nunc</w:t>
      </w:r>
      <w:r w:rsidR="00CC5668">
        <w:t xml:space="preserve">a </w:t>
      </w:r>
      <w:r>
        <w:t>pretendió obtener una respuesta</w:t>
      </w:r>
      <w:r w:rsidR="006E74D4">
        <w:t xml:space="preserve"> meramente</w:t>
      </w:r>
      <w:r>
        <w:t>; los actos reclamados tenían graves implicaciones en su salud, integridad y vida.</w:t>
      </w:r>
    </w:p>
    <w:p w14:paraId="57990328" w14:textId="077BA7DE" w:rsidR="000A45EF" w:rsidRDefault="000A45EF" w:rsidP="00687245">
      <w:pPr>
        <w:pStyle w:val="Prrafo"/>
        <w:numPr>
          <w:ilvl w:val="0"/>
          <w:numId w:val="8"/>
        </w:numPr>
      </w:pPr>
      <w:r>
        <w:lastRenderedPageBreak/>
        <w:t xml:space="preserve">Así, se inconforman con la omisión </w:t>
      </w:r>
      <w:r w:rsidR="00D836EA">
        <w:t>de la jueza</w:t>
      </w:r>
      <w:r>
        <w:t xml:space="preserve"> de distrito de estudiar la falta de diligencia al atender la solicitud presentada. Aun a la fecha de presentación del escrito de agravios, </w:t>
      </w:r>
      <w:r w:rsidR="00C11054">
        <w:rPr>
          <w:i/>
          <w:iCs/>
        </w:rPr>
        <w:t>María</w:t>
      </w:r>
      <w:r>
        <w:t xml:space="preserve"> no ha sido atendida ni se le ha dado respuesta alguna.</w:t>
      </w:r>
    </w:p>
    <w:p w14:paraId="6A6B73B9" w14:textId="12F57D48" w:rsidR="000A45EF" w:rsidRDefault="000A45EF" w:rsidP="00687245">
      <w:pPr>
        <w:pStyle w:val="Prrafo"/>
        <w:numPr>
          <w:ilvl w:val="0"/>
          <w:numId w:val="8"/>
        </w:numPr>
      </w:pPr>
      <w:r>
        <w:t xml:space="preserve">El propio Hospital Civil de Guadalajara señaló que </w:t>
      </w:r>
      <w:r w:rsidR="00D573C7">
        <w:t xml:space="preserve">no </w:t>
      </w:r>
      <w:r>
        <w:t xml:space="preserve">pudo brindar atención médica a </w:t>
      </w:r>
      <w:r w:rsidR="00C11054">
        <w:rPr>
          <w:i/>
          <w:iCs/>
        </w:rPr>
        <w:t>María</w:t>
      </w:r>
      <w:r w:rsidR="000A441A">
        <w:rPr>
          <w:color w:val="C00000"/>
        </w:rPr>
        <w:t>,</w:t>
      </w:r>
      <w:r>
        <w:t xml:space="preserve"> debido a que la Secretaría de Salud </w:t>
      </w:r>
      <w:r w:rsidR="00D573C7">
        <w:t xml:space="preserve">no </w:t>
      </w:r>
      <w:r>
        <w:t>remitió la solicitud, n</w:t>
      </w:r>
      <w:r w:rsidR="008524DE">
        <w:t>i</w:t>
      </w:r>
      <w:r>
        <w:t xml:space="preserve"> proporcionó sus datos y, tiempo después, aseguró que ya se habían hecho cargo de la petición, sin que eso fuera verdad.</w:t>
      </w:r>
    </w:p>
    <w:p w14:paraId="234AFC36" w14:textId="3DA41BA8" w:rsidR="000A45EF" w:rsidRDefault="00D836EA" w:rsidP="00687245">
      <w:pPr>
        <w:pStyle w:val="Prrafo"/>
        <w:numPr>
          <w:ilvl w:val="0"/>
          <w:numId w:val="8"/>
        </w:numPr>
      </w:pPr>
      <w:r>
        <w:t>La jueza</w:t>
      </w:r>
      <w:r w:rsidR="00876DED">
        <w:t xml:space="preserve"> de distrito actuó indebidamente al limitarse a estudiar el asunto en términos del derecho de petición y conceder el amparo para que –más de tres meses después de promovido el juicio– se diera una respuesta a </w:t>
      </w:r>
      <w:r w:rsidR="006134ED">
        <w:t xml:space="preserve">la joven </w:t>
      </w:r>
      <w:r w:rsidR="00C11054">
        <w:rPr>
          <w:i/>
          <w:iCs/>
        </w:rPr>
        <w:t>María.</w:t>
      </w:r>
    </w:p>
    <w:p w14:paraId="65A8FECA" w14:textId="4E0C4179" w:rsidR="00230207" w:rsidRDefault="00230207" w:rsidP="00687245">
      <w:pPr>
        <w:pStyle w:val="Prrafo"/>
        <w:numPr>
          <w:ilvl w:val="0"/>
          <w:numId w:val="8"/>
        </w:numPr>
      </w:pPr>
      <w:r>
        <w:t xml:space="preserve">Desde que se presentó la demanda de amparo, los juzgados de distrito que conocieron del asunto obviaron su carácter de urgente cuando se solicitaba atención médica de urgencia; al </w:t>
      </w:r>
      <w:r w:rsidR="00757746">
        <w:t>contrario,</w:t>
      </w:r>
      <w:r>
        <w:t xml:space="preserve"> permitieron la subsistencia de las violaciones denunciadas.</w:t>
      </w:r>
    </w:p>
    <w:p w14:paraId="3EF0CD7B" w14:textId="06419583" w:rsidR="00AD0F7C" w:rsidRDefault="006411C3" w:rsidP="00687245">
      <w:pPr>
        <w:pStyle w:val="Prrafo"/>
        <w:numPr>
          <w:ilvl w:val="0"/>
          <w:numId w:val="8"/>
        </w:numPr>
      </w:pPr>
      <w:r>
        <w:t xml:space="preserve">También fue </w:t>
      </w:r>
      <w:r w:rsidR="003E475B">
        <w:t xml:space="preserve">incorrecta </w:t>
      </w:r>
      <w:r w:rsidR="00AD0F7C">
        <w:t xml:space="preserve">la caracterización que hizo </w:t>
      </w:r>
      <w:r w:rsidR="003E475B">
        <w:t xml:space="preserve">la jueza </w:t>
      </w:r>
      <w:r w:rsidR="00AD0F7C">
        <w:t>de los tratos o penas crueles, inhumanas y degradantes crueles e inhumanos</w:t>
      </w:r>
      <w:r w:rsidR="007B0C18">
        <w:t xml:space="preserve"> como consecuencias de las que se duele la quejosa por la falta de contestación a su solicitud. Por el contrario, desde su perspectiva, no tenerlos como acto reclamado implicó que se dejaran del lado todos los conceptos de violación relativos a las </w:t>
      </w:r>
      <w:r w:rsidR="008A330E">
        <w:t>vulneraciones</w:t>
      </w:r>
      <w:r w:rsidR="00797E43">
        <w:t xml:space="preserve"> –</w:t>
      </w:r>
      <w:r w:rsidR="00E7216A">
        <w:t>producto de</w:t>
      </w:r>
      <w:r w:rsidR="001231B2">
        <w:t xml:space="preserve"> </w:t>
      </w:r>
      <w:r w:rsidR="007B0C18">
        <w:t>la dilación del servicio de interrupción del embarazo</w:t>
      </w:r>
      <w:r w:rsidR="00797E43">
        <w:t>–</w:t>
      </w:r>
      <w:r w:rsidR="007B0C18">
        <w:t>a los derechos a la salud, a la integridad personal, a la igualdad y no discriminación,</w:t>
      </w:r>
      <w:r w:rsidR="00CA71CE">
        <w:t xml:space="preserve"> a los </w:t>
      </w:r>
      <w:r w:rsidR="007B0C18">
        <w:t>que como víctima le corresponden y al principio de interés superior de niñas, niños y adolescentes.</w:t>
      </w:r>
    </w:p>
    <w:p w14:paraId="6A8417D5" w14:textId="57337ED9" w:rsidR="007B0C18" w:rsidRPr="00F864E7" w:rsidRDefault="00CA71CE" w:rsidP="00687245">
      <w:pPr>
        <w:pStyle w:val="Prrafo"/>
        <w:numPr>
          <w:ilvl w:val="0"/>
          <w:numId w:val="8"/>
        </w:numPr>
      </w:pPr>
      <w:r w:rsidRPr="00F864E7">
        <w:t>L</w:t>
      </w:r>
      <w:r w:rsidR="000400A2" w:rsidRPr="00F864E7">
        <w:t xml:space="preserve">a legislación en materia de víctimas </w:t>
      </w:r>
      <w:r w:rsidR="00374116" w:rsidRPr="00F864E7">
        <w:t>le garantiza el derecho a recibir</w:t>
      </w:r>
      <w:r w:rsidR="00B96A00" w:rsidRPr="00F864E7">
        <w:t>,</w:t>
      </w:r>
      <w:r w:rsidR="00374116" w:rsidRPr="00F864E7">
        <w:t xml:space="preserve"> desde la comisión del delito, atención médica y psicológica de urgencia</w:t>
      </w:r>
      <w:r w:rsidR="00D0327B" w:rsidRPr="00F864E7">
        <w:t>, por lo que</w:t>
      </w:r>
      <w:r w:rsidR="001879CF" w:rsidRPr="00F864E7">
        <w:t xml:space="preserve"> la remisión a una segunda dependencia gubernamental para </w:t>
      </w:r>
      <w:r w:rsidR="001879CF" w:rsidRPr="00F864E7">
        <w:lastRenderedPageBreak/>
        <w:t xml:space="preserve">que sea ésta última la que determine si es posible efectuar la </w:t>
      </w:r>
      <w:r w:rsidR="000C61D8" w:rsidRPr="00F864E7">
        <w:t>interrupción,</w:t>
      </w:r>
      <w:r w:rsidR="001879CF" w:rsidRPr="00F864E7">
        <w:t xml:space="preserve"> así como la demora en el acceso a los servicios de aborto legal o la negativa por parte de las autoridades judiciales y sanitarias de proveerlos a niñas, adolescentes y mujeres víctimas de una violación sexual constituye una violación a sus derechos.</w:t>
      </w:r>
    </w:p>
    <w:p w14:paraId="17F2A9A1" w14:textId="4C3265A5" w:rsidR="001879CF" w:rsidRDefault="006878CD" w:rsidP="00687245">
      <w:pPr>
        <w:pStyle w:val="Prrafo"/>
        <w:numPr>
          <w:ilvl w:val="0"/>
          <w:numId w:val="8"/>
        </w:numPr>
      </w:pPr>
      <w:r>
        <w:t>E</w:t>
      </w:r>
      <w:r w:rsidR="00503737">
        <w:t>ra</w:t>
      </w:r>
      <w:r w:rsidR="0003258B">
        <w:t xml:space="preserve"> necesario analizar cómo es que la autoridad responsable atentó contra los derechos de </w:t>
      </w:r>
      <w:r w:rsidR="00C11054">
        <w:rPr>
          <w:i/>
          <w:iCs/>
        </w:rPr>
        <w:t>María</w:t>
      </w:r>
      <w:r w:rsidR="0003258B">
        <w:t xml:space="preserve"> como víctima del delito de violación sexual, en tanto que no actuó de manera diligente ni se le brindó respuesta expresa y atención a su solicitud. </w:t>
      </w:r>
      <w:r w:rsidR="00A0031C">
        <w:t xml:space="preserve">Por </w:t>
      </w:r>
      <w:r w:rsidR="0003258B">
        <w:t xml:space="preserve">la inadecuada fijación de la litis y la falta de exhaustividad en el estudio, </w:t>
      </w:r>
      <w:r w:rsidR="00696ECB">
        <w:t xml:space="preserve">se dejaron de atender </w:t>
      </w:r>
      <w:r w:rsidR="001244E6">
        <w:t>otras cuestiones más trascendentes</w:t>
      </w:r>
      <w:r w:rsidR="00B61E5D">
        <w:t>.</w:t>
      </w:r>
    </w:p>
    <w:p w14:paraId="788DE573" w14:textId="4D32BAD6" w:rsidR="0003258B" w:rsidRDefault="00B61E5D" w:rsidP="00687245">
      <w:pPr>
        <w:pStyle w:val="Prrafo"/>
        <w:numPr>
          <w:ilvl w:val="0"/>
          <w:numId w:val="8"/>
        </w:numPr>
      </w:pPr>
      <w:r>
        <w:t xml:space="preserve">Reiteró que </w:t>
      </w:r>
      <w:r w:rsidR="0003258B">
        <w:t>los tratos crueles, inhumanos y degradantes surgieron de la falta de atención médica</w:t>
      </w:r>
      <w:r w:rsidR="00750871">
        <w:t>. S</w:t>
      </w:r>
      <w:r w:rsidR="0003258B">
        <w:t>ituación que no fue valorada</w:t>
      </w:r>
      <w:r w:rsidR="00A26A83">
        <w:t>,</w:t>
      </w:r>
      <w:r w:rsidR="0003258B">
        <w:t xml:space="preserve"> a pesar de haberse señalado como un acto reclamado autónomo</w:t>
      </w:r>
      <w:r>
        <w:t>.</w:t>
      </w:r>
    </w:p>
    <w:p w14:paraId="47A71AA6" w14:textId="508D79E7" w:rsidR="0003258B" w:rsidRDefault="00B61E5D" w:rsidP="00687245">
      <w:pPr>
        <w:pStyle w:val="Prrafo"/>
        <w:numPr>
          <w:ilvl w:val="0"/>
          <w:numId w:val="8"/>
        </w:numPr>
      </w:pPr>
      <w:r>
        <w:t>A</w:t>
      </w:r>
      <w:r w:rsidR="0003258B">
        <w:t xml:space="preserve"> más de </w:t>
      </w:r>
      <w:r>
        <w:t>tres</w:t>
      </w:r>
      <w:r w:rsidR="0003258B">
        <w:t xml:space="preserve"> meses de haber solicitado la interrupción del embarazo</w:t>
      </w:r>
      <w:r w:rsidR="00750871">
        <w:t>,</w:t>
      </w:r>
      <w:r w:rsidR="0003258B">
        <w:t xml:space="preserve"> resulta </w:t>
      </w:r>
      <w:r w:rsidR="006A1418">
        <w:t>irrisorio</w:t>
      </w:r>
      <w:r w:rsidR="0003258B">
        <w:t xml:space="preserve"> </w:t>
      </w:r>
      <w:r w:rsidR="00750871">
        <w:t>afirmar la simple orden para q</w:t>
      </w:r>
      <w:r w:rsidR="0003258B">
        <w:t xml:space="preserve">ue la autoridad emita una respuesta al escrito </w:t>
      </w:r>
      <w:r w:rsidR="00D360EA">
        <w:t xml:space="preserve">restituya </w:t>
      </w:r>
      <w:r w:rsidR="0003258B">
        <w:t>los derechos de la quejosa.</w:t>
      </w:r>
    </w:p>
    <w:p w14:paraId="309B7EEE" w14:textId="620484F6" w:rsidR="00CD2D8A" w:rsidRDefault="00750871" w:rsidP="00687245">
      <w:pPr>
        <w:pStyle w:val="Prrafo"/>
        <w:numPr>
          <w:ilvl w:val="0"/>
          <w:numId w:val="8"/>
        </w:numPr>
      </w:pPr>
      <w:r>
        <w:t>L</w:t>
      </w:r>
      <w:r w:rsidR="00F118DF">
        <w:t>a resolución</w:t>
      </w:r>
      <w:r w:rsidR="00CD2D8A">
        <w:t xml:space="preserve"> ignoró la violencia contra la mujer denunciada y permitió que las autoridades en materia de salud no brind</w:t>
      </w:r>
      <w:r w:rsidR="00CB4E18">
        <w:t>aran</w:t>
      </w:r>
      <w:r w:rsidR="00CD2D8A">
        <w:t xml:space="preserve"> atención durante un periodo considerable de tiempo a pesar de estar obligad</w:t>
      </w:r>
      <w:r w:rsidR="00F118DF">
        <w:t>as a hacerlo</w:t>
      </w:r>
      <w:r w:rsidR="00CD2D8A">
        <w:t>.</w:t>
      </w:r>
    </w:p>
    <w:p w14:paraId="6172D9F8" w14:textId="3EADC6CA" w:rsidR="00757746" w:rsidRDefault="00F118DF" w:rsidP="00687245">
      <w:pPr>
        <w:pStyle w:val="Prrafo"/>
        <w:numPr>
          <w:ilvl w:val="0"/>
          <w:numId w:val="8"/>
        </w:numPr>
      </w:pPr>
      <w:r>
        <w:t xml:space="preserve">La </w:t>
      </w:r>
      <w:r w:rsidR="00503737">
        <w:t>resolución impugnada carece de perspectiva de género</w:t>
      </w:r>
      <w:r w:rsidR="00804EF2">
        <w:t xml:space="preserve"> e incumple la obligación de las autoridades jurisdiccionales de verificar, en cualquier caso, si existen situaciones </w:t>
      </w:r>
      <w:r w:rsidR="007F5EFA">
        <w:t xml:space="preserve">de </w:t>
      </w:r>
      <w:r w:rsidR="00503737">
        <w:t>violencia o vulnerabilidad que impida</w:t>
      </w:r>
      <w:r w:rsidR="00804EF2">
        <w:t xml:space="preserve">n la impartición de </w:t>
      </w:r>
      <w:r w:rsidR="00503737">
        <w:t>justicia de manera completa e igualitaria.</w:t>
      </w:r>
    </w:p>
    <w:p w14:paraId="6A606A1C" w14:textId="6FD0D24C" w:rsidR="00503737" w:rsidRDefault="00804EF2" w:rsidP="00687245">
      <w:pPr>
        <w:pStyle w:val="Prrafo"/>
        <w:numPr>
          <w:ilvl w:val="0"/>
          <w:numId w:val="8"/>
        </w:numPr>
      </w:pPr>
      <w:r>
        <w:t xml:space="preserve">La jueza desatendió la </w:t>
      </w:r>
      <w:r w:rsidR="00503737">
        <w:t xml:space="preserve">jurisprudencia </w:t>
      </w:r>
      <w:r>
        <w:t xml:space="preserve">de </w:t>
      </w:r>
      <w:r w:rsidR="00503737">
        <w:t>la Suprema Corte</w:t>
      </w:r>
      <w:r>
        <w:t xml:space="preserve">, pues </w:t>
      </w:r>
      <w:r w:rsidR="00FC38B8">
        <w:t xml:space="preserve">no tomó </w:t>
      </w:r>
      <w:r w:rsidR="00503737">
        <w:t xml:space="preserve">en cuenta aspectos dirigidos a garantizar el desarrollo y ejercicio de los derechos de </w:t>
      </w:r>
      <w:r w:rsidR="00FC38B8">
        <w:t xml:space="preserve">la joven </w:t>
      </w:r>
      <w:r w:rsidR="00C11054">
        <w:rPr>
          <w:i/>
          <w:iCs/>
        </w:rPr>
        <w:t>María</w:t>
      </w:r>
      <w:r w:rsidR="00FC38B8">
        <w:t>.</w:t>
      </w:r>
      <w:r w:rsidR="002475B5">
        <w:t xml:space="preserve"> </w:t>
      </w:r>
      <w:r w:rsidR="00FC38B8">
        <w:t xml:space="preserve">El caso exigía ese </w:t>
      </w:r>
      <w:r w:rsidR="00503737">
        <w:t>análisis</w:t>
      </w:r>
      <w:r w:rsidR="00FC38B8">
        <w:t xml:space="preserve"> para el</w:t>
      </w:r>
      <w:r w:rsidR="00503737">
        <w:t xml:space="preserve"> </w:t>
      </w:r>
      <w:r w:rsidR="00503737">
        <w:lastRenderedPageBreak/>
        <w:t>reconocimiento y sanción de un acto de discriminación contra las mujeres</w:t>
      </w:r>
      <w:r w:rsidR="002475B5">
        <w:t>.</w:t>
      </w:r>
    </w:p>
    <w:p w14:paraId="42BDA97C" w14:textId="0F0818D7" w:rsidR="00D27207" w:rsidRDefault="00244F64" w:rsidP="00687245">
      <w:pPr>
        <w:pStyle w:val="Prrafo"/>
        <w:numPr>
          <w:ilvl w:val="0"/>
          <w:numId w:val="8"/>
        </w:numPr>
      </w:pPr>
      <w:r>
        <w:t xml:space="preserve">Recordaron </w:t>
      </w:r>
      <w:r w:rsidR="00E47513">
        <w:t>que,</w:t>
      </w:r>
      <w:r>
        <w:t xml:space="preserve"> para </w:t>
      </w:r>
      <w:r w:rsidR="00D27207">
        <w:t>cumplir el mandato constitucional, así como las obligaciones contraídas por nuestro país en instrumentos internacionales (</w:t>
      </w:r>
      <w:r w:rsidR="00F96CD0" w:rsidRPr="00F96CD0">
        <w:t>Comité para la Eliminación de la Discriminación contra la Mujer</w:t>
      </w:r>
      <w:r w:rsidR="00D27207">
        <w:t xml:space="preserve"> y Convención de Belém do Pará), el estudio de los asuntos en los que existan indicios sobre la existencia de cualquier tipo de discriminación contra la mujer debe realizarse desde una perspectiva de género.</w:t>
      </w:r>
    </w:p>
    <w:p w14:paraId="49D10FC0" w14:textId="7C4528AA" w:rsidR="00D27207" w:rsidRDefault="00070787" w:rsidP="00687245">
      <w:pPr>
        <w:pStyle w:val="Prrafo"/>
        <w:numPr>
          <w:ilvl w:val="0"/>
          <w:numId w:val="8"/>
        </w:numPr>
      </w:pPr>
      <w:r>
        <w:t xml:space="preserve">Al resolver el </w:t>
      </w:r>
      <w:r w:rsidR="008456A7">
        <w:t>amparo en revisión 1388/2015</w:t>
      </w:r>
      <w:r w:rsidR="009B3E61">
        <w:t xml:space="preserve"> –</w:t>
      </w:r>
      <w:r w:rsidR="008456A7">
        <w:t>sobre la negativa de acceso al servicio de interrupción del embarazo por motivos de salud</w:t>
      </w:r>
      <w:r w:rsidR="00437E0B">
        <w:t xml:space="preserve">, </w:t>
      </w:r>
      <w:r w:rsidR="008456A7">
        <w:t xml:space="preserve">la Primera Sala </w:t>
      </w:r>
      <w:r w:rsidR="000E3A3E">
        <w:t>estableció que</w:t>
      </w:r>
      <w:r w:rsidR="008456A7">
        <w:t xml:space="preserve"> </w:t>
      </w:r>
      <w:r w:rsidR="0087045F">
        <w:t>la procedencia del amparo</w:t>
      </w:r>
      <w:r w:rsidR="00CC5E11">
        <w:t>,</w:t>
      </w:r>
      <w:r w:rsidR="0087045F">
        <w:t xml:space="preserve"> en los casos en </w:t>
      </w:r>
      <w:r w:rsidR="00913613">
        <w:t xml:space="preserve">que se pretende </w:t>
      </w:r>
      <w:r w:rsidR="0087045F">
        <w:t xml:space="preserve">combatir un presunto accionar autoritario </w:t>
      </w:r>
      <w:r w:rsidR="004A695B">
        <w:t xml:space="preserve">de las autoridades encargadas de </w:t>
      </w:r>
      <w:r w:rsidR="00860511">
        <w:t>provee</w:t>
      </w:r>
      <w:r w:rsidR="0032398F">
        <w:t>r</w:t>
      </w:r>
      <w:r w:rsidR="00913613">
        <w:t xml:space="preserve"> </w:t>
      </w:r>
      <w:r w:rsidR="00860511">
        <w:t>servicios relacionados con el embarazo</w:t>
      </w:r>
      <w:r w:rsidR="000E3A3E">
        <w:t>, debe estudiarse con perspectiva de género.</w:t>
      </w:r>
    </w:p>
    <w:p w14:paraId="0870D11B" w14:textId="4882C640" w:rsidR="00F9211F" w:rsidRDefault="00FC0306" w:rsidP="00687245">
      <w:pPr>
        <w:pStyle w:val="Prrafo"/>
        <w:numPr>
          <w:ilvl w:val="0"/>
          <w:numId w:val="8"/>
        </w:numPr>
      </w:pPr>
      <w:r>
        <w:t xml:space="preserve">De </w:t>
      </w:r>
      <w:r w:rsidR="003720ED">
        <w:t>manera similar</w:t>
      </w:r>
      <w:r w:rsidR="00793D0F">
        <w:t>, a</w:t>
      </w:r>
      <w:r w:rsidR="003720ED">
        <w:t>l resolver el amparo en revisión 1</w:t>
      </w:r>
      <w:r w:rsidR="008008C4">
        <w:t>170/2017, la Segunda Sal</w:t>
      </w:r>
      <w:r w:rsidR="000A45A1">
        <w:t xml:space="preserve">a </w:t>
      </w:r>
      <w:r w:rsidR="00063E31">
        <w:t xml:space="preserve">estableció que la litis </w:t>
      </w:r>
      <w:r w:rsidR="00CA712D">
        <w:t>que prevalece en el control de constitucionalidad implica no sólo analizar el retraso en la atención médi</w:t>
      </w:r>
      <w:r w:rsidR="00640638">
        <w:t>ca o</w:t>
      </w:r>
      <w:r w:rsidR="00326B18">
        <w:t xml:space="preserve"> la</w:t>
      </w:r>
      <w:r w:rsidR="00640638">
        <w:t xml:space="preserve"> negativa de interrupción del embarazo producto de una violación sexual, sino también establecer si tal situación se traduce es un hecho victimizarte ante actos crueles </w:t>
      </w:r>
      <w:r w:rsidR="00844011">
        <w:t>equiparables a tortura</w:t>
      </w:r>
      <w:r w:rsidR="00A300E6">
        <w:t xml:space="preserve"> que podrían </w:t>
      </w:r>
      <w:r w:rsidR="00025090">
        <w:t>actualizar el derecho a una indemnización justa.</w:t>
      </w:r>
    </w:p>
    <w:p w14:paraId="37957E38" w14:textId="211F4FEE" w:rsidR="008E1848" w:rsidRDefault="00C106FF" w:rsidP="00687245">
      <w:pPr>
        <w:pStyle w:val="Prrafo"/>
        <w:numPr>
          <w:ilvl w:val="0"/>
          <w:numId w:val="8"/>
        </w:numPr>
      </w:pPr>
      <w:r>
        <w:t xml:space="preserve">Recordaron que en los amparos en revisión 1388/2015 y 438/2020, </w:t>
      </w:r>
      <w:r w:rsidR="002D0AEE">
        <w:t xml:space="preserve">la Primera Sala </w:t>
      </w:r>
      <w:r w:rsidR="00BE78C3">
        <w:t xml:space="preserve">estableció que </w:t>
      </w:r>
      <w:r>
        <w:t xml:space="preserve">el derecho a la salud no sólo comprende la obligación de asegurar el máximo nivel posible </w:t>
      </w:r>
      <w:r w:rsidR="00FF164B">
        <w:t xml:space="preserve">de salud física, sino que debe entenderse en su concepto más amplio, </w:t>
      </w:r>
      <w:r w:rsidR="00205D29">
        <w:t xml:space="preserve">para incluir </w:t>
      </w:r>
      <w:r w:rsidR="009843E1">
        <w:t xml:space="preserve">la salud psicológica y social. </w:t>
      </w:r>
      <w:r w:rsidR="00424DD7">
        <w:t xml:space="preserve">Por </w:t>
      </w:r>
      <w:r w:rsidR="00205D29">
        <w:t xml:space="preserve">esto, </w:t>
      </w:r>
      <w:r w:rsidR="00424DD7">
        <w:t xml:space="preserve">la salud </w:t>
      </w:r>
      <w:r w:rsidR="00A745E6">
        <w:t>desde la perspectiva de bienestar implica entender que una mujer</w:t>
      </w:r>
      <w:r w:rsidR="004E7D1B">
        <w:t>, o cualquier otra persona</w:t>
      </w:r>
      <w:r w:rsidR="007C684E">
        <w:t xml:space="preserve"> con capacidad para gestar, debe poder</w:t>
      </w:r>
      <w:r w:rsidR="00B95DE9">
        <w:t xml:space="preserve"> acceder a un aborto</w:t>
      </w:r>
      <w:r w:rsidR="00D249CA">
        <w:t xml:space="preserve"> –como servicio </w:t>
      </w:r>
      <w:r w:rsidR="00D249CA">
        <w:lastRenderedPageBreak/>
        <w:t>de salud– si el embarazo genera una afectación a su salud en sentido amplio.</w:t>
      </w:r>
    </w:p>
    <w:p w14:paraId="58B2C903" w14:textId="48D8B9D0" w:rsidR="00620F07" w:rsidRDefault="00620F07" w:rsidP="00687245">
      <w:pPr>
        <w:pStyle w:val="Prrafo"/>
        <w:numPr>
          <w:ilvl w:val="0"/>
          <w:numId w:val="8"/>
        </w:numPr>
      </w:pPr>
      <w:r>
        <w:t>Advirtieron que</w:t>
      </w:r>
      <w:r w:rsidR="00D84416">
        <w:t xml:space="preserve">, específicamente en casos relacionados con aborto por violación, al resolver los amparos en revisión </w:t>
      </w:r>
      <w:r w:rsidR="00263740">
        <w:t>601/2017 y 1170/2017, la Segunda Sala</w:t>
      </w:r>
      <w:r w:rsidR="002E0313">
        <w:t xml:space="preserve"> </w:t>
      </w:r>
      <w:r w:rsidR="000F116C">
        <w:t xml:space="preserve">estableció que </w:t>
      </w:r>
      <w:r w:rsidR="00B11A7A">
        <w:t xml:space="preserve">dilatar </w:t>
      </w:r>
      <w:r w:rsidR="002E0313">
        <w:t>o</w:t>
      </w:r>
      <w:r w:rsidR="00B11A7A">
        <w:t xml:space="preserve"> negar la interrupción </w:t>
      </w:r>
      <w:r w:rsidR="00B10799">
        <w:t>del e</w:t>
      </w:r>
      <w:r w:rsidR="009A2C57">
        <w:t xml:space="preserve">mbarazo </w:t>
      </w:r>
      <w:r w:rsidR="00A231DB">
        <w:t xml:space="preserve">permite </w:t>
      </w:r>
      <w:r w:rsidR="005847E1">
        <w:t>la permanencia y materialización de violaciones graves a los derechos humanos</w:t>
      </w:r>
      <w:r w:rsidR="003D56F6">
        <w:t xml:space="preserve">. </w:t>
      </w:r>
      <w:r w:rsidR="00A231DB">
        <w:t>E</w:t>
      </w:r>
      <w:r w:rsidR="003D56F6">
        <w:t xml:space="preserve">l personal de salud no puede obstaculizar ni negar el servicio médico de interrupción </w:t>
      </w:r>
      <w:r w:rsidR="009E5786">
        <w:t>del embarazo producto de la violación.</w:t>
      </w:r>
    </w:p>
    <w:p w14:paraId="6FBE3700" w14:textId="7B48DE96" w:rsidR="00EC5793" w:rsidRDefault="00756281" w:rsidP="00687245">
      <w:pPr>
        <w:pStyle w:val="Prrafo"/>
        <w:numPr>
          <w:ilvl w:val="0"/>
          <w:numId w:val="8"/>
        </w:numPr>
      </w:pPr>
      <w:r>
        <w:t xml:space="preserve">La resolución impugnada, </w:t>
      </w:r>
      <w:r w:rsidR="001102E4">
        <w:t>al carecer de perspectiva de género</w:t>
      </w:r>
      <w:r w:rsidR="00676F74">
        <w:t xml:space="preserve">, </w:t>
      </w:r>
      <w:r w:rsidR="00350709">
        <w:t xml:space="preserve">deja </w:t>
      </w:r>
      <w:r w:rsidR="001C3E46">
        <w:t xml:space="preserve">impunes </w:t>
      </w:r>
      <w:r w:rsidR="00676F74">
        <w:t xml:space="preserve">los hechos denunciados por </w:t>
      </w:r>
      <w:r w:rsidR="00FD7C01">
        <w:rPr>
          <w:i/>
          <w:iCs/>
        </w:rPr>
        <w:t>María</w:t>
      </w:r>
      <w:r w:rsidR="00676F74">
        <w:rPr>
          <w:color w:val="C00000"/>
        </w:rPr>
        <w:t xml:space="preserve"> </w:t>
      </w:r>
      <w:r w:rsidR="00CC1CFF">
        <w:t>e</w:t>
      </w:r>
      <w:r w:rsidR="00AF73EB">
        <w:t xml:space="preserve"> ignorando todas las consecuencias que </w:t>
      </w:r>
      <w:r w:rsidR="00CC1CFF">
        <w:t xml:space="preserve">las </w:t>
      </w:r>
      <w:r w:rsidR="00AF73EB">
        <w:t xml:space="preserve">omisiones </w:t>
      </w:r>
      <w:r w:rsidR="00CC1CFF">
        <w:t xml:space="preserve">reclamadas </w:t>
      </w:r>
      <w:r w:rsidR="00AF73EB">
        <w:t xml:space="preserve">tuvieron sobre </w:t>
      </w:r>
      <w:r w:rsidR="00F90111">
        <w:t>su</w:t>
      </w:r>
      <w:r w:rsidR="00AF73EB">
        <w:t xml:space="preserve"> salud</w:t>
      </w:r>
      <w:r w:rsidR="00F90111">
        <w:t xml:space="preserve"> e integridad.</w:t>
      </w:r>
    </w:p>
    <w:p w14:paraId="6EF1DDC9" w14:textId="0D820C54" w:rsidR="00734E0C" w:rsidRDefault="00CC1CFF" w:rsidP="00687245">
      <w:pPr>
        <w:pStyle w:val="Prrafo"/>
        <w:numPr>
          <w:ilvl w:val="0"/>
          <w:numId w:val="8"/>
        </w:numPr>
      </w:pPr>
      <w:r>
        <w:t>Recordaron que l</w:t>
      </w:r>
      <w:r w:rsidR="00106AB5">
        <w:t xml:space="preserve">a Primera Sala ha dicho </w:t>
      </w:r>
      <w:r w:rsidR="00B32C61">
        <w:t xml:space="preserve">el interés superior </w:t>
      </w:r>
      <w:r>
        <w:t xml:space="preserve">de la niñez exige a </w:t>
      </w:r>
      <w:r w:rsidR="00B32C61">
        <w:t xml:space="preserve">los órganos jurisdiccionales </w:t>
      </w:r>
      <w:r w:rsidR="00196462">
        <w:t xml:space="preserve">la realización de un escrutinio mucho más estricto </w:t>
      </w:r>
      <w:r w:rsidR="006A1318">
        <w:t>en relación con la necesidad y proporcionalidad de la</w:t>
      </w:r>
      <w:r>
        <w:t>s</w:t>
      </w:r>
      <w:r w:rsidR="006A1318">
        <w:t xml:space="preserve"> medida</w:t>
      </w:r>
      <w:r>
        <w:t>s</w:t>
      </w:r>
      <w:r w:rsidR="006A1318">
        <w:t xml:space="preserve"> </w:t>
      </w:r>
      <w:r w:rsidR="005270CC">
        <w:t>legislativas o administrativas que afecten derechos de niñas, niños o adolescentes.</w:t>
      </w:r>
    </w:p>
    <w:p w14:paraId="198F81A2" w14:textId="6EC97411" w:rsidR="006A1318" w:rsidRDefault="00BB5FCE" w:rsidP="00687245">
      <w:pPr>
        <w:pStyle w:val="Prrafo"/>
        <w:numPr>
          <w:ilvl w:val="0"/>
          <w:numId w:val="8"/>
        </w:numPr>
      </w:pPr>
      <w:r>
        <w:t xml:space="preserve">En </w:t>
      </w:r>
      <w:r w:rsidR="00D0752B">
        <w:t>el amparo directo en revisión 107</w:t>
      </w:r>
      <w:r w:rsidR="0029193E">
        <w:t>2/2014</w:t>
      </w:r>
      <w:r>
        <w:t xml:space="preserve">, </w:t>
      </w:r>
      <w:r w:rsidR="0029193E">
        <w:t xml:space="preserve">la Primera </w:t>
      </w:r>
      <w:r w:rsidR="00AD7571">
        <w:t xml:space="preserve">Sala </w:t>
      </w:r>
      <w:r w:rsidR="009E10F7">
        <w:t xml:space="preserve">se pronunció </w:t>
      </w:r>
      <w:r w:rsidR="00352514">
        <w:t xml:space="preserve">sobre los derechos de niñas </w:t>
      </w:r>
      <w:r w:rsidR="00D6743A">
        <w:t xml:space="preserve">y niños </w:t>
      </w:r>
      <w:r w:rsidR="00352514">
        <w:t xml:space="preserve">víctimas frente al derecho penal </w:t>
      </w:r>
      <w:r w:rsidR="008C278A">
        <w:t xml:space="preserve">y el interés superior </w:t>
      </w:r>
      <w:r w:rsidR="00925A4B">
        <w:t>de la niñez –</w:t>
      </w:r>
      <w:r w:rsidR="003E2990">
        <w:t>consideraciones</w:t>
      </w:r>
      <w:r w:rsidR="00355EE8">
        <w:t xml:space="preserve"> </w:t>
      </w:r>
      <w:r w:rsidR="00D14B5D">
        <w:t xml:space="preserve">aplicables al </w:t>
      </w:r>
      <w:r w:rsidR="00F90245">
        <w:t xml:space="preserve">este </w:t>
      </w:r>
      <w:r w:rsidR="00D14B5D">
        <w:t xml:space="preserve">caso pues se trata de una </w:t>
      </w:r>
      <w:r w:rsidR="00BC24D6">
        <w:t xml:space="preserve">adolescente </w:t>
      </w:r>
      <w:r w:rsidR="00D14B5D">
        <w:t>víctima del delito de violación</w:t>
      </w:r>
      <w:r w:rsidR="005F2002">
        <w:t>– y d</w:t>
      </w:r>
      <w:r w:rsidR="00753D48">
        <w:t>ijo:</w:t>
      </w:r>
    </w:p>
    <w:p w14:paraId="16793017" w14:textId="77777777" w:rsidR="00574164" w:rsidRDefault="005D0DB0" w:rsidP="00687245">
      <w:pPr>
        <w:pStyle w:val="Prrafo"/>
        <w:numPr>
          <w:ilvl w:val="1"/>
          <w:numId w:val="8"/>
        </w:numPr>
      </w:pPr>
      <w:r>
        <w:t>E</w:t>
      </w:r>
      <w:r w:rsidR="00026785">
        <w:t xml:space="preserve">s indispensable diferenciar el tratamiento de un </w:t>
      </w:r>
      <w:r w:rsidR="00F97143">
        <w:t xml:space="preserve">niño, niña o adolescente </w:t>
      </w:r>
      <w:r w:rsidR="00026785">
        <w:t xml:space="preserve">dentro del aparato de administración de justicia, pues, como ha señalado la Corte Interamericana de Derechos Humanos, en caso contrario, se corre el riesgo de desconocer </w:t>
      </w:r>
      <w:r w:rsidR="00FD6476">
        <w:t xml:space="preserve">la realidad y omitir la adopción de medidas especiales para la protección de </w:t>
      </w:r>
      <w:r w:rsidR="00574164">
        <w:t xml:space="preserve">las infancias. </w:t>
      </w:r>
    </w:p>
    <w:p w14:paraId="5CB2269C" w14:textId="589F9D87" w:rsidR="005D0DB0" w:rsidRDefault="005D0DB0" w:rsidP="00687245">
      <w:pPr>
        <w:pStyle w:val="Prrafo"/>
        <w:numPr>
          <w:ilvl w:val="1"/>
          <w:numId w:val="8"/>
        </w:numPr>
      </w:pPr>
      <w:r>
        <w:lastRenderedPageBreak/>
        <w:t>L</w:t>
      </w:r>
      <w:r w:rsidR="00240BF5">
        <w:t xml:space="preserve">os juzgadores deben guiarse por el criterio de </w:t>
      </w:r>
      <w:r w:rsidR="00FE5EB6">
        <w:t>mayor</w:t>
      </w:r>
      <w:r w:rsidR="00240BF5">
        <w:t xml:space="preserve"> beneficio </w:t>
      </w:r>
      <w:r w:rsidR="00522B9F">
        <w:t xml:space="preserve">para </w:t>
      </w:r>
      <w:r w:rsidR="004064C0">
        <w:t xml:space="preserve">el niño, niña o adolescente </w:t>
      </w:r>
      <w:r w:rsidR="00240BF5">
        <w:t>para acreditar sus necesidades en el contexto y naturaleza del acto criminal sufrido</w:t>
      </w:r>
      <w:r>
        <w:t xml:space="preserve">. </w:t>
      </w:r>
    </w:p>
    <w:p w14:paraId="7DCE9AFE" w14:textId="1F59F1D7" w:rsidR="00745614" w:rsidRDefault="005D0DB0" w:rsidP="00687245">
      <w:pPr>
        <w:pStyle w:val="Prrafo"/>
        <w:numPr>
          <w:ilvl w:val="1"/>
          <w:numId w:val="8"/>
        </w:numPr>
      </w:pPr>
      <w:r>
        <w:t>E</w:t>
      </w:r>
      <w:r w:rsidR="00FB3E41">
        <w:t>l principio del interés superior de la</w:t>
      </w:r>
      <w:r w:rsidR="00EC2C68">
        <w:t>s</w:t>
      </w:r>
      <w:r w:rsidR="00FB3E41">
        <w:t xml:space="preserve"> niñas, niños y adolescentes </w:t>
      </w:r>
      <w:r>
        <w:t>exige</w:t>
      </w:r>
      <w:r w:rsidR="008E683F">
        <w:t xml:space="preserve"> impedir la victimización secundaria o revictimización de las personas menores de edad</w:t>
      </w:r>
      <w:r w:rsidR="00013112">
        <w:t xml:space="preserve">, </w:t>
      </w:r>
      <w:r w:rsidR="00C91F4A">
        <w:t xml:space="preserve">derivada </w:t>
      </w:r>
      <w:r w:rsidR="00013112">
        <w:t xml:space="preserve">de </w:t>
      </w:r>
      <w:r w:rsidR="00EB128F">
        <w:t>respuesta</w:t>
      </w:r>
      <w:r w:rsidR="00C91F4A">
        <w:t>s</w:t>
      </w:r>
      <w:r w:rsidR="00EB128F">
        <w:t xml:space="preserve"> indebida</w:t>
      </w:r>
      <w:r w:rsidR="00C91F4A">
        <w:t>s</w:t>
      </w:r>
      <w:r w:rsidR="00EB128F">
        <w:t xml:space="preserve"> de las instituciones públicas y de las personas hacia </w:t>
      </w:r>
      <w:r w:rsidR="000B37AC">
        <w:t>ellas</w:t>
      </w:r>
      <w:r w:rsidR="00EB128F">
        <w:t xml:space="preserve"> </w:t>
      </w:r>
      <w:r w:rsidR="00745614">
        <w:t>en su calidad de víctima</w:t>
      </w:r>
      <w:r w:rsidR="000B37AC">
        <w:t>s</w:t>
      </w:r>
      <w:r w:rsidR="00745614">
        <w:t xml:space="preserve">. </w:t>
      </w:r>
    </w:p>
    <w:p w14:paraId="5B3EBF49" w14:textId="45B6F569" w:rsidR="00EC529A" w:rsidRDefault="00CD3348" w:rsidP="00687245">
      <w:pPr>
        <w:pStyle w:val="Prrafo"/>
        <w:numPr>
          <w:ilvl w:val="1"/>
          <w:numId w:val="8"/>
        </w:numPr>
      </w:pPr>
      <w:r>
        <w:t xml:space="preserve">En el caso de las víctimas </w:t>
      </w:r>
      <w:r w:rsidR="006F5427">
        <w:t>niñas, niños y adolescentes</w:t>
      </w:r>
      <w:r>
        <w:t>, la victimización secundaria</w:t>
      </w:r>
      <w:r w:rsidR="00714E87">
        <w:t>, sobre to</w:t>
      </w:r>
      <w:r w:rsidR="00E23AEB">
        <w:t>d</w:t>
      </w:r>
      <w:r w:rsidR="00714E87">
        <w:t xml:space="preserve">o en los casos </w:t>
      </w:r>
      <w:r w:rsidR="00E23AEB">
        <w:t>de agresión sexual,</w:t>
      </w:r>
      <w:r w:rsidR="00714E87">
        <w:t xml:space="preserve"> se traduce en una amenaza en contra de la seguridad del menor y produce consecuencia</w:t>
      </w:r>
      <w:r w:rsidR="00E23AEB">
        <w:t>s</w:t>
      </w:r>
      <w:r w:rsidR="00714E87">
        <w:t xml:space="preserve"> negativas a largo plazo en la persona. </w:t>
      </w:r>
    </w:p>
    <w:p w14:paraId="426B8E29" w14:textId="587758CF" w:rsidR="00E23AEB" w:rsidRDefault="00820223" w:rsidP="00687245">
      <w:pPr>
        <w:pStyle w:val="Prrafo"/>
        <w:numPr>
          <w:ilvl w:val="1"/>
          <w:numId w:val="8"/>
        </w:numPr>
      </w:pPr>
      <w:r>
        <w:t xml:space="preserve">Los juzgadores deben </w:t>
      </w:r>
      <w:r w:rsidR="005A1B8C">
        <w:t>tomar las medidas necesarias para evitar la revictimización del menor</w:t>
      </w:r>
      <w:r w:rsidR="003841D0">
        <w:t>. Éstas</w:t>
      </w:r>
      <w:r w:rsidR="00772BED">
        <w:t xml:space="preserve"> </w:t>
      </w:r>
      <w:r w:rsidR="005A1B8C">
        <w:t xml:space="preserve">se deben guiar por el criterio de más beneficio al menor y atender sus necesidades. </w:t>
      </w:r>
    </w:p>
    <w:p w14:paraId="31A85CC4" w14:textId="2381E1A9" w:rsidR="004A6D5B" w:rsidRPr="00503737" w:rsidRDefault="00535009" w:rsidP="00687245">
      <w:pPr>
        <w:pStyle w:val="Prrafo"/>
        <w:numPr>
          <w:ilvl w:val="0"/>
          <w:numId w:val="8"/>
        </w:numPr>
      </w:pPr>
      <w:r>
        <w:t xml:space="preserve">Finalmente, </w:t>
      </w:r>
      <w:r w:rsidR="006549C6">
        <w:t xml:space="preserve">advirtieron que tampoco </w:t>
      </w:r>
      <w:r w:rsidR="00860E14">
        <w:t xml:space="preserve">se </w:t>
      </w:r>
      <w:r w:rsidR="001F7CC1">
        <w:t xml:space="preserve">atendió al </w:t>
      </w:r>
      <w:r w:rsidR="006549C6">
        <w:t xml:space="preserve">interés superior de </w:t>
      </w:r>
      <w:r w:rsidR="001F7CC1">
        <w:t>la quejosa</w:t>
      </w:r>
      <w:r w:rsidR="002560C4">
        <w:t xml:space="preserve"> que exigía que llevaran a cabo acciones para garantizar </w:t>
      </w:r>
      <w:r w:rsidR="00780165">
        <w:t>su</w:t>
      </w:r>
      <w:r w:rsidR="00B85FAA">
        <w:t>s derechos</w:t>
      </w:r>
      <w:r w:rsidR="00780165">
        <w:t xml:space="preserve">, como aplicar una amplia suplencia de la queja o allegarse de las pruebas </w:t>
      </w:r>
      <w:r w:rsidR="006102A3">
        <w:t>necesarias para una mejor solución del asunto.</w:t>
      </w:r>
    </w:p>
    <w:p w14:paraId="7B348876" w14:textId="33155A09" w:rsidR="0063680E" w:rsidRPr="009E2C43" w:rsidRDefault="0063680E" w:rsidP="00932FB6">
      <w:pPr>
        <w:pStyle w:val="Ttulo9"/>
        <w:numPr>
          <w:ilvl w:val="0"/>
          <w:numId w:val="3"/>
        </w:numPr>
        <w:ind w:left="0" w:hanging="567"/>
        <w:rPr>
          <w:b w:val="0"/>
          <w:bCs/>
        </w:rPr>
      </w:pPr>
      <w:r w:rsidRPr="009E2C43">
        <w:t>Recurso de revisión</w:t>
      </w:r>
      <w:r w:rsidR="007B0C18">
        <w:t xml:space="preserve"> adhesiva</w:t>
      </w:r>
      <w:r w:rsidRPr="009E2C43">
        <w:t>.</w:t>
      </w:r>
      <w:r w:rsidRPr="009E2C43">
        <w:rPr>
          <w:b w:val="0"/>
          <w:bCs/>
        </w:rPr>
        <w:t xml:space="preserve"> </w:t>
      </w:r>
      <w:r w:rsidR="008D5DD5">
        <w:rPr>
          <w:b w:val="0"/>
          <w:bCs/>
        </w:rPr>
        <w:t>El Hospital Civil de Guadalajara,</w:t>
      </w:r>
      <w:r>
        <w:rPr>
          <w:b w:val="0"/>
          <w:bCs/>
        </w:rPr>
        <w:t xml:space="preserve"> </w:t>
      </w:r>
      <w:r w:rsidR="007B0C18">
        <w:rPr>
          <w:b w:val="0"/>
          <w:bCs/>
        </w:rPr>
        <w:t xml:space="preserve">autoridad responsable </w:t>
      </w:r>
      <w:r w:rsidR="00860E14">
        <w:rPr>
          <w:b w:val="0"/>
          <w:bCs/>
        </w:rPr>
        <w:t>adherente</w:t>
      </w:r>
      <w:r w:rsidR="009D0EE7">
        <w:rPr>
          <w:b w:val="0"/>
          <w:bCs/>
        </w:rPr>
        <w:t>,</w:t>
      </w:r>
      <w:r w:rsidR="00860E14">
        <w:rPr>
          <w:b w:val="0"/>
          <w:bCs/>
        </w:rPr>
        <w:t xml:space="preserve"> </w:t>
      </w:r>
      <w:r>
        <w:rPr>
          <w:b w:val="0"/>
          <w:bCs/>
        </w:rPr>
        <w:t xml:space="preserve">formuló </w:t>
      </w:r>
      <w:r w:rsidRPr="009E2C43">
        <w:rPr>
          <w:b w:val="0"/>
          <w:bCs/>
        </w:rPr>
        <w:t>los siguientes agravios:</w:t>
      </w:r>
    </w:p>
    <w:p w14:paraId="5CC89A95" w14:textId="4D14E3CE" w:rsidR="0063680E" w:rsidRDefault="00860E14" w:rsidP="00687245">
      <w:pPr>
        <w:pStyle w:val="Prrafo"/>
        <w:numPr>
          <w:ilvl w:val="0"/>
          <w:numId w:val="12"/>
        </w:numPr>
      </w:pPr>
      <w:r>
        <w:t>S</w:t>
      </w:r>
      <w:r w:rsidR="00F21985">
        <w:t>e</w:t>
      </w:r>
      <w:r w:rsidR="005F716E">
        <w:t xml:space="preserve"> violaron en su perjuicio los artículos 74 y 75, primer párrafo</w:t>
      </w:r>
      <w:r w:rsidR="00C5220F">
        <w:t>,</w:t>
      </w:r>
      <w:r w:rsidR="005F716E">
        <w:t xml:space="preserve"> de la Ley de Amparo</w:t>
      </w:r>
      <w:r w:rsidR="00B952CF">
        <w:t xml:space="preserve">. </w:t>
      </w:r>
      <w:r>
        <w:t>E</w:t>
      </w:r>
      <w:r w:rsidR="00F21985">
        <w:t>n su opinión</w:t>
      </w:r>
      <w:r>
        <w:t>, la juzgadora</w:t>
      </w:r>
      <w:r w:rsidR="00B31DBA">
        <w:t xml:space="preserve"> </w:t>
      </w:r>
      <w:r w:rsidR="006F4224">
        <w:t xml:space="preserve">omitió el </w:t>
      </w:r>
      <w:r w:rsidR="00B31DBA">
        <w:t>estudio de las competencias, facultades y gestiones de cada una de las autoridades responsables</w:t>
      </w:r>
      <w:r w:rsidR="008D488B">
        <w:t>, para el cumplimiento</w:t>
      </w:r>
      <w:r w:rsidR="00183BF1">
        <w:t xml:space="preserve"> de su objetivo, de conformidad a los instrumentos</w:t>
      </w:r>
      <w:r w:rsidR="00A566CB">
        <w:t xml:space="preserve"> de coordinación en materia de salud.</w:t>
      </w:r>
    </w:p>
    <w:p w14:paraId="1D86547F" w14:textId="5355C5E7" w:rsidR="00A566CB" w:rsidRDefault="00932DBC" w:rsidP="00687245">
      <w:pPr>
        <w:pStyle w:val="Prrafo"/>
        <w:numPr>
          <w:ilvl w:val="0"/>
          <w:numId w:val="12"/>
        </w:numPr>
      </w:pPr>
      <w:r>
        <w:lastRenderedPageBreak/>
        <w:t>S</w:t>
      </w:r>
      <w:r w:rsidR="00A566CB">
        <w:t>i bien</w:t>
      </w:r>
      <w:r w:rsidR="005F6E3C">
        <w:t xml:space="preserve"> </w:t>
      </w:r>
      <w:r w:rsidR="00786D6C">
        <w:t>fue acertado el sobreseimiento respecto d</w:t>
      </w:r>
      <w:r w:rsidR="009D0EE7">
        <w:t>e su representado, el Hospital</w:t>
      </w:r>
      <w:r w:rsidR="00786D6C">
        <w:t>, opina que la jueza de distrito debió</w:t>
      </w:r>
      <w:r w:rsidR="006200D7">
        <w:t xml:space="preserve"> </w:t>
      </w:r>
      <w:r w:rsidR="00C35BDA">
        <w:t>entrar al estudio de las competencias planteadas en el informe con justificación</w:t>
      </w:r>
      <w:r w:rsidR="00F610C5">
        <w:t xml:space="preserve">. </w:t>
      </w:r>
      <w:r w:rsidR="006D6102">
        <w:t xml:space="preserve">Esto es, </w:t>
      </w:r>
      <w:r w:rsidR="00B765C3">
        <w:t>la jueza</w:t>
      </w:r>
      <w:r w:rsidR="001D3459">
        <w:t xml:space="preserve"> </w:t>
      </w:r>
      <w:r w:rsidR="00B765C3">
        <w:t xml:space="preserve">no observó </w:t>
      </w:r>
      <w:r w:rsidR="001D3459">
        <w:t xml:space="preserve">que el Hospital </w:t>
      </w:r>
      <w:r w:rsidR="002D35EF">
        <w:t>Civil de Guadalajara brindó atención médica a la quejosa</w:t>
      </w:r>
      <w:r w:rsidR="0037641C">
        <w:t xml:space="preserve"> y que</w:t>
      </w:r>
      <w:r w:rsidR="00F34BE6">
        <w:t xml:space="preserve">, respecto de la respuesta al escrito de petición de la quejosa, </w:t>
      </w:r>
      <w:r w:rsidR="00BB3CA9">
        <w:t xml:space="preserve">no contó con elementos para dilucidar si era de su competencia o atribución </w:t>
      </w:r>
      <w:r w:rsidR="00C60484">
        <w:t xml:space="preserve">dar respuesta al escrito, presentado ante el </w:t>
      </w:r>
      <w:r w:rsidR="00074632">
        <w:t>S</w:t>
      </w:r>
      <w:r w:rsidR="00C60484">
        <w:t>ecretario de Salud del Estado de Jalisco</w:t>
      </w:r>
      <w:r w:rsidR="00BB6D35">
        <w:t>.</w:t>
      </w:r>
    </w:p>
    <w:p w14:paraId="6A555ACC" w14:textId="4B6C852C" w:rsidR="00BB6D35" w:rsidRDefault="00583414" w:rsidP="00687245">
      <w:pPr>
        <w:pStyle w:val="Prrafo"/>
        <w:numPr>
          <w:ilvl w:val="0"/>
          <w:numId w:val="12"/>
        </w:numPr>
      </w:pPr>
      <w:r>
        <w:t>Por su naturaleza</w:t>
      </w:r>
      <w:r w:rsidR="00AD3584">
        <w:t xml:space="preserve">, </w:t>
      </w:r>
      <w:r>
        <w:t xml:space="preserve">los actos reclamados no le son atribuibles, pues </w:t>
      </w:r>
      <w:r w:rsidR="00AD3584">
        <w:t>no se encuentra en los supuestos de autoridad responsable ordenadora, o ejecutor</w:t>
      </w:r>
      <w:r w:rsidR="00774103">
        <w:t xml:space="preserve">a. </w:t>
      </w:r>
      <w:r w:rsidR="0025082F">
        <w:t xml:space="preserve">Al contrario, el hospital simplemente </w:t>
      </w:r>
      <w:r w:rsidR="00C57E5F">
        <w:t xml:space="preserve">recibió un deficiente mandamiento del </w:t>
      </w:r>
      <w:r w:rsidR="00683808">
        <w:t>S</w:t>
      </w:r>
      <w:r w:rsidR="00C57E5F">
        <w:t xml:space="preserve">ecretario de </w:t>
      </w:r>
      <w:r w:rsidR="00683808">
        <w:t>S</w:t>
      </w:r>
      <w:r w:rsidR="00C57E5F">
        <w:t>alud</w:t>
      </w:r>
      <w:r w:rsidR="00683808">
        <w:t xml:space="preserve"> del Estado de Jalisco</w:t>
      </w:r>
      <w:r w:rsidR="0052644E">
        <w:t xml:space="preserve">, sin contar con el escrito materia </w:t>
      </w:r>
      <w:r w:rsidR="004912CF">
        <w:t xml:space="preserve">del </w:t>
      </w:r>
      <w:r w:rsidR="0052644E">
        <w:t>amparo.</w:t>
      </w:r>
    </w:p>
    <w:p w14:paraId="56E0B374" w14:textId="7103148D" w:rsidR="00B9430E" w:rsidRDefault="005D5897" w:rsidP="00687245">
      <w:pPr>
        <w:pStyle w:val="Prrafo"/>
        <w:numPr>
          <w:ilvl w:val="0"/>
          <w:numId w:val="12"/>
        </w:numPr>
      </w:pPr>
      <w:r>
        <w:t xml:space="preserve">La jueza </w:t>
      </w:r>
      <w:r w:rsidR="00326704">
        <w:t>omitió analizar</w:t>
      </w:r>
      <w:r w:rsidR="00E02E1B">
        <w:t>, valorar y resolver respect</w:t>
      </w:r>
      <w:r w:rsidR="000E6CD1">
        <w:t>o del principio de definitividad</w:t>
      </w:r>
      <w:r w:rsidR="00B11A7B">
        <w:t xml:space="preserve">, a pesar de que se hizo valer </w:t>
      </w:r>
      <w:r w:rsidR="00B9171D">
        <w:t>en el informe justificado</w:t>
      </w:r>
      <w:r w:rsidR="00D94D49">
        <w:t xml:space="preserve"> que era obligación única</w:t>
      </w:r>
      <w:r w:rsidR="00675ED9">
        <w:t>mente</w:t>
      </w:r>
      <w:r w:rsidR="00D94D49">
        <w:t xml:space="preserve"> </w:t>
      </w:r>
      <w:r w:rsidR="004A0652">
        <w:t xml:space="preserve">del </w:t>
      </w:r>
      <w:r w:rsidR="00BA1B03">
        <w:t>S</w:t>
      </w:r>
      <w:r w:rsidR="004A0652">
        <w:t>ecretario de Salud del Estado de Jalisco contestar a la solicitud realizada.</w:t>
      </w:r>
    </w:p>
    <w:p w14:paraId="709EACA1" w14:textId="4D611F7C" w:rsidR="009E2C43" w:rsidRDefault="009E2C43" w:rsidP="009E2C43">
      <w:pPr>
        <w:pStyle w:val="Prrafo"/>
        <w:numPr>
          <w:ilvl w:val="0"/>
          <w:numId w:val="3"/>
        </w:numPr>
        <w:ind w:left="0" w:hanging="567"/>
      </w:pPr>
      <w:r w:rsidRPr="00D4348A">
        <w:t xml:space="preserve">Corresponde </w:t>
      </w:r>
      <w:r w:rsidR="00E75755">
        <w:t>ahora</w:t>
      </w:r>
      <w:r w:rsidRPr="00D4348A">
        <w:t xml:space="preserve"> a esta Primera Sala, en primer lugar, determinar si el sobreseimiento decretado por </w:t>
      </w:r>
      <w:r w:rsidR="006712F5">
        <w:t xml:space="preserve">la </w:t>
      </w:r>
      <w:r w:rsidRPr="00D4348A">
        <w:t>juez</w:t>
      </w:r>
      <w:r w:rsidR="006712F5">
        <w:t>a</w:t>
      </w:r>
      <w:r w:rsidRPr="00D4348A">
        <w:t xml:space="preserve"> de distrito fue correcto, para después, analizar si las autoridades señaladas como responsables incumplieron las obligaciones derivadas de</w:t>
      </w:r>
      <w:r w:rsidR="00EE7C18">
        <w:t xml:space="preserve">l derecho a la salud </w:t>
      </w:r>
      <w:r w:rsidR="00C24D9D" w:rsidRPr="00D4348A">
        <w:t xml:space="preserve">y si </w:t>
      </w:r>
      <w:r w:rsidRPr="00D4348A">
        <w:t xml:space="preserve">su actuación satisfizo los estándares </w:t>
      </w:r>
      <w:r w:rsidR="00C24D9D" w:rsidRPr="00D4348A">
        <w:t>aceptables para atender y proporcionar servicios de atención médic</w:t>
      </w:r>
      <w:r w:rsidR="005838B4">
        <w:t>a -</w:t>
      </w:r>
      <w:r w:rsidR="00C24D9D" w:rsidRPr="00D4348A">
        <w:t>en particular, de interrupción del embarazo en casos de violación</w:t>
      </w:r>
      <w:r w:rsidR="005838B4">
        <w:t>-</w:t>
      </w:r>
      <w:r w:rsidR="00C24D9D" w:rsidRPr="00D4348A">
        <w:t xml:space="preserve"> con la debida diligencia y urgencia.</w:t>
      </w:r>
    </w:p>
    <w:p w14:paraId="349A0A40" w14:textId="2500A260" w:rsidR="006D6C23" w:rsidRDefault="006D6C23" w:rsidP="006D6C23">
      <w:pPr>
        <w:pStyle w:val="Ttulo3"/>
      </w:pPr>
      <w:r>
        <w:t>PRECISIÓN DE LOS ACTOS RECLAMADOS</w:t>
      </w:r>
    </w:p>
    <w:p w14:paraId="68B5EAE2" w14:textId="43FDA400" w:rsidR="006316C9" w:rsidRDefault="006316C9" w:rsidP="006316C9">
      <w:pPr>
        <w:pStyle w:val="Prrafo"/>
        <w:numPr>
          <w:ilvl w:val="0"/>
          <w:numId w:val="3"/>
        </w:numPr>
        <w:ind w:left="0" w:hanging="567"/>
      </w:pPr>
      <w:r>
        <w:t xml:space="preserve">Esta Sala estima conveniente, en primer término, precisar cuáles fueron los actos reclamados. </w:t>
      </w:r>
      <w:r w:rsidR="007937A0">
        <w:t>L</w:t>
      </w:r>
      <w:r>
        <w:t>a demanda de amparo señala</w:t>
      </w:r>
      <w:r w:rsidR="00CB35CC">
        <w:t>b</w:t>
      </w:r>
      <w:r>
        <w:t xml:space="preserve">a tres actos, </w:t>
      </w:r>
      <w:r w:rsidR="007937A0">
        <w:t>pero la</w:t>
      </w:r>
      <w:r w:rsidR="00A43086">
        <w:t xml:space="preserve"> </w:t>
      </w:r>
      <w:r w:rsidR="007937A0">
        <w:t xml:space="preserve">juzgadora de amparo afirmó que, </w:t>
      </w:r>
      <w:r>
        <w:t>en realidad</w:t>
      </w:r>
      <w:r w:rsidR="007937A0">
        <w:t>,</w:t>
      </w:r>
      <w:r>
        <w:t xml:space="preserve"> </w:t>
      </w:r>
      <w:r w:rsidR="00A43086">
        <w:t xml:space="preserve">la quejosa </w:t>
      </w:r>
      <w:r>
        <w:t xml:space="preserve">sólo se inconformaba con la falta de respuesta a su escrito de 18 de agosto de 2021, </w:t>
      </w:r>
      <w:r>
        <w:lastRenderedPageBreak/>
        <w:t xml:space="preserve">en el que solicitó la interrupción del embarazo. En opinión de la juzgadora, </w:t>
      </w:r>
      <w:r w:rsidR="00A34650">
        <w:t xml:space="preserve">los actos que se referían a la falta de diligencia </w:t>
      </w:r>
      <w:r w:rsidR="007C7E12">
        <w:t>de las autoridades</w:t>
      </w:r>
      <w:r w:rsidR="00A34650">
        <w:t xml:space="preserve"> y </w:t>
      </w:r>
      <w:r>
        <w:t>a los tratos crueles, inhumanos y degradantes que resultaron de la dilación y negativa de practicar el procedimiento solicitado formaba</w:t>
      </w:r>
      <w:r w:rsidR="00C9269B">
        <w:t>n</w:t>
      </w:r>
      <w:r>
        <w:t xml:space="preserve"> parte de </w:t>
      </w:r>
      <w:r w:rsidR="00C9269B">
        <w:t xml:space="preserve">los argumentos </w:t>
      </w:r>
      <w:r>
        <w:t xml:space="preserve">por </w:t>
      </w:r>
      <w:r w:rsidR="00C9269B">
        <w:t xml:space="preserve">los </w:t>
      </w:r>
      <w:r>
        <w:t xml:space="preserve">cuales </w:t>
      </w:r>
      <w:r w:rsidR="00F7558D">
        <w:t xml:space="preserve">la quejosa </w:t>
      </w:r>
      <w:r>
        <w:t>estimó que la falta de respuesta era violatoria de sus derechos.</w:t>
      </w:r>
    </w:p>
    <w:p w14:paraId="2600C5DB" w14:textId="7FB1DA44" w:rsidR="006316C9" w:rsidRDefault="00A87C0C" w:rsidP="006316C9">
      <w:pPr>
        <w:pStyle w:val="Prrafo"/>
        <w:numPr>
          <w:ilvl w:val="0"/>
          <w:numId w:val="3"/>
        </w:numPr>
        <w:ind w:left="0" w:hanging="567"/>
      </w:pPr>
      <w:r>
        <w:t xml:space="preserve">Esta Sala considera que esta </w:t>
      </w:r>
      <w:r w:rsidR="00F47D88">
        <w:t xml:space="preserve">determinación es incorrecta y, en consecuencia, es </w:t>
      </w:r>
      <w:r w:rsidR="006316C9">
        <w:t xml:space="preserve">fundado el agravio de la quejosa en el que </w:t>
      </w:r>
      <w:r w:rsidR="00D56CC9">
        <w:t xml:space="preserve">cuestiona la </w:t>
      </w:r>
      <w:r w:rsidR="006316C9">
        <w:t>fijación de la litis.</w:t>
      </w:r>
      <w:r w:rsidR="005C12AA">
        <w:t xml:space="preserve"> </w:t>
      </w:r>
      <w:r w:rsidR="00217EB5">
        <w:t xml:space="preserve">En efecto, fue </w:t>
      </w:r>
      <w:r w:rsidR="006316C9">
        <w:t xml:space="preserve">inadecuado que </w:t>
      </w:r>
      <w:r w:rsidR="001D55B0">
        <w:t xml:space="preserve">la jueza </w:t>
      </w:r>
      <w:r w:rsidR="006316C9">
        <w:t xml:space="preserve">limitara el estudio de fondo a </w:t>
      </w:r>
      <w:r w:rsidR="00217EB5">
        <w:t>la supervisión de la falta de respuesta al escrito</w:t>
      </w:r>
      <w:r w:rsidR="006316C9">
        <w:t>, a la luz del derecho de petición</w:t>
      </w:r>
      <w:r w:rsidR="00217EB5">
        <w:t>,</w:t>
      </w:r>
      <w:r w:rsidR="006316C9">
        <w:t xml:space="preserve"> contemplado en el artículo 8 constitucional.</w:t>
      </w:r>
    </w:p>
    <w:p w14:paraId="6F09A2E9" w14:textId="426153C8" w:rsidR="00E35BD0" w:rsidRDefault="006316C9" w:rsidP="00E35BD0">
      <w:pPr>
        <w:pStyle w:val="Prrafo"/>
        <w:numPr>
          <w:ilvl w:val="0"/>
          <w:numId w:val="3"/>
        </w:numPr>
        <w:ind w:left="0" w:hanging="567"/>
      </w:pPr>
      <w:r>
        <w:t>Esta Suprema Corte ya ha sostenido que corresponde a las juezas constitucionales estudiar de manera integral las demandas de amparo</w:t>
      </w:r>
      <w:r w:rsidR="000950F0">
        <w:t xml:space="preserve"> para advertir </w:t>
      </w:r>
      <w:r>
        <w:t>cuáles son los actos que –por estimarlos violatorios de derechos fundamentales–</w:t>
      </w:r>
      <w:r w:rsidR="003F0CFD">
        <w:t xml:space="preserve"> </w:t>
      </w:r>
      <w:r>
        <w:t>combat</w:t>
      </w:r>
      <w:r w:rsidR="003F0CFD">
        <w:t>en</w:t>
      </w:r>
      <w:r>
        <w:t xml:space="preserve"> las personas sujetas a la jurisdicción del Estado al acudir al juicio de amparo</w:t>
      </w:r>
      <w:r>
        <w:rPr>
          <w:rStyle w:val="Refdenotaalpie"/>
        </w:rPr>
        <w:footnoteReference w:id="8"/>
      </w:r>
      <w:r>
        <w:t xml:space="preserve">. En el caso, esta Sala </w:t>
      </w:r>
      <w:r w:rsidR="003F0CFD">
        <w:t xml:space="preserve">observa la desatención de ese deber: </w:t>
      </w:r>
      <w:r>
        <w:t xml:space="preserve">la juzgadora </w:t>
      </w:r>
      <w:r w:rsidR="001923EA">
        <w:t>se equivoc</w:t>
      </w:r>
      <w:r w:rsidR="003F0CFD">
        <w:t>a</w:t>
      </w:r>
      <w:r w:rsidR="006407BF">
        <w:t xml:space="preserve"> cuando </w:t>
      </w:r>
      <w:r w:rsidR="001923EA">
        <w:t>interpret</w:t>
      </w:r>
      <w:r w:rsidR="003F0CFD">
        <w:t>a</w:t>
      </w:r>
      <w:r w:rsidR="001923EA">
        <w:t xml:space="preserve"> </w:t>
      </w:r>
      <w:r>
        <w:t xml:space="preserve">la inconformidad de la quejosa </w:t>
      </w:r>
      <w:r w:rsidR="00F03248">
        <w:t xml:space="preserve">sólo </w:t>
      </w:r>
      <w:r w:rsidR="000D7961">
        <w:t>como resultado de</w:t>
      </w:r>
      <w:r>
        <w:t xml:space="preserve"> </w:t>
      </w:r>
      <w:r w:rsidR="00E94960">
        <w:t xml:space="preserve">la ausencia de </w:t>
      </w:r>
      <w:r>
        <w:t>respuesta de parte del secretario de salud de la entidad</w:t>
      </w:r>
      <w:r w:rsidR="000F51D2">
        <w:t xml:space="preserve">. </w:t>
      </w:r>
      <w:r w:rsidR="00F03248">
        <w:t xml:space="preserve">Esto significa que </w:t>
      </w:r>
      <w:r w:rsidR="00833262">
        <w:t>desvió el trasfondo de la petición.</w:t>
      </w:r>
    </w:p>
    <w:p w14:paraId="1643B688" w14:textId="76E9B9B5" w:rsidR="00806581" w:rsidRPr="008A371D" w:rsidRDefault="00E35BD0" w:rsidP="008A371D">
      <w:pPr>
        <w:pStyle w:val="Prrafo"/>
        <w:numPr>
          <w:ilvl w:val="0"/>
          <w:numId w:val="3"/>
        </w:numPr>
        <w:ind w:left="0" w:hanging="567"/>
      </w:pPr>
      <w:r>
        <w:t xml:space="preserve">Tal como lo señala la quejosa, es evidente que su pretensión última era que se le practicara </w:t>
      </w:r>
      <w:r w:rsidR="00833262">
        <w:t xml:space="preserve">la </w:t>
      </w:r>
      <w:r>
        <w:t>interru</w:t>
      </w:r>
      <w:r w:rsidR="00833262">
        <w:t xml:space="preserve">pción del </w:t>
      </w:r>
      <w:r>
        <w:t>embarazo que cursaba</w:t>
      </w:r>
      <w:r w:rsidR="000B300D">
        <w:t xml:space="preserve">, con la finalidad –como ella </w:t>
      </w:r>
      <w:r w:rsidR="00494077">
        <w:t xml:space="preserve">misma argumentó– </w:t>
      </w:r>
      <w:r w:rsidR="00833262">
        <w:t xml:space="preserve">de </w:t>
      </w:r>
      <w:r w:rsidR="00494077">
        <w:t>salvaguardar</w:t>
      </w:r>
      <w:r w:rsidR="00ED33FD">
        <w:t xml:space="preserve"> y restablecer</w:t>
      </w:r>
      <w:r w:rsidR="00494077">
        <w:t xml:space="preserve"> su estado de salud mental y física</w:t>
      </w:r>
      <w:r>
        <w:t>.</w:t>
      </w:r>
      <w:r w:rsidR="00740F91">
        <w:t xml:space="preserve"> Esto es,</w:t>
      </w:r>
      <w:r>
        <w:t xml:space="preserve"> </w:t>
      </w:r>
      <w:r w:rsidR="00CD41D3">
        <w:t xml:space="preserve">la joven </w:t>
      </w:r>
      <w:r w:rsidR="00FD7C01">
        <w:rPr>
          <w:i/>
          <w:iCs/>
        </w:rPr>
        <w:t>María</w:t>
      </w:r>
      <w:r w:rsidR="007B2687" w:rsidRPr="00761163">
        <w:rPr>
          <w:color w:val="C00000"/>
        </w:rPr>
        <w:t xml:space="preserve"> </w:t>
      </w:r>
      <w:r w:rsidR="00CD41D3">
        <w:t xml:space="preserve">no buscaba –como entendió la juzgadora de amparo– obtener una respuesta –cualquier respuesta– a su </w:t>
      </w:r>
      <w:r w:rsidR="00CD41D3">
        <w:lastRenderedPageBreak/>
        <w:t xml:space="preserve">escrito, sino </w:t>
      </w:r>
      <w:r>
        <w:t>una resolución favorable a su petición de parte de la autoridad sanitaria</w:t>
      </w:r>
      <w:r w:rsidR="00CD41D3">
        <w:t xml:space="preserve"> y</w:t>
      </w:r>
      <w:r>
        <w:t xml:space="preserve"> –finalmente– que se llevara a cabo </w:t>
      </w:r>
      <w:r w:rsidR="00ED33FD">
        <w:t>la</w:t>
      </w:r>
      <w:r>
        <w:t xml:space="preserve"> interrupción </w:t>
      </w:r>
      <w:r w:rsidR="008574BE">
        <w:t xml:space="preserve">lo más pronto </w:t>
      </w:r>
      <w:r>
        <w:t>posible</w:t>
      </w:r>
      <w:r w:rsidR="00803348">
        <w:t xml:space="preserve"> y en la dependencia que la autoridad le indic</w:t>
      </w:r>
      <w:r w:rsidR="00B26DEF">
        <w:t>ara</w:t>
      </w:r>
      <w:r>
        <w:t>.</w:t>
      </w:r>
    </w:p>
    <w:p w14:paraId="6369D842" w14:textId="3EFE7044" w:rsidR="00E5375F" w:rsidRDefault="006316C9" w:rsidP="0051517C">
      <w:pPr>
        <w:pStyle w:val="Prrafo"/>
        <w:numPr>
          <w:ilvl w:val="0"/>
          <w:numId w:val="3"/>
        </w:numPr>
        <w:ind w:left="0" w:hanging="567"/>
      </w:pPr>
      <w:r>
        <w:t xml:space="preserve">Como consecuencia de ese error, la juzgadora de amparo omitió el estudio de </w:t>
      </w:r>
      <w:r w:rsidR="0008477D">
        <w:t xml:space="preserve">la falta de diligencia con la que se </w:t>
      </w:r>
      <w:r w:rsidR="0031350B">
        <w:t>recibió y</w:t>
      </w:r>
      <w:r w:rsidR="003A49FB">
        <w:t xml:space="preserve"> </w:t>
      </w:r>
      <w:r w:rsidR="00196F52">
        <w:t>atendió</w:t>
      </w:r>
      <w:r w:rsidR="00484EA1">
        <w:t xml:space="preserve"> al escrito </w:t>
      </w:r>
      <w:r w:rsidR="003A49FB">
        <w:t>solicitud, así como</w:t>
      </w:r>
      <w:r>
        <w:t xml:space="preserve"> los tratos crueles, inhumanos y degradantes que </w:t>
      </w:r>
      <w:r w:rsidR="00795D0B">
        <w:t xml:space="preserve">provinieron </w:t>
      </w:r>
      <w:r>
        <w:t>de la dilación y negativa de prestar el servicio. Esta Sala entiende ese señalamiento como una inconformidad de la joven</w:t>
      </w:r>
      <w:r w:rsidR="00FD7C01" w:rsidRPr="00FD7C01">
        <w:rPr>
          <w:i/>
          <w:iCs/>
        </w:rPr>
        <w:t xml:space="preserve"> </w:t>
      </w:r>
      <w:r w:rsidR="00FD7C01">
        <w:rPr>
          <w:i/>
          <w:iCs/>
        </w:rPr>
        <w:t>María</w:t>
      </w:r>
      <w:r>
        <w:t xml:space="preserve"> contra la dilación en la prestación del servicio de interrupción del embarazo </w:t>
      </w:r>
      <w:r w:rsidR="007727EF">
        <w:t>que,</w:t>
      </w:r>
      <w:r>
        <w:t xml:space="preserve"> por no otorgarse de manera oportuna y adecuada, se tradujo en una </w:t>
      </w:r>
      <w:r w:rsidR="00A93E53">
        <w:t>omisión</w:t>
      </w:r>
      <w:r>
        <w:t xml:space="preserve"> que obligaba a la quejosa a continuar con </w:t>
      </w:r>
      <w:r w:rsidR="001C18CE">
        <w:t>un embarazo forzado</w:t>
      </w:r>
      <w:r w:rsidR="00795D0B">
        <w:t xml:space="preserve"> y que comprometía seriamente su salud y su vida</w:t>
      </w:r>
      <w:r w:rsidR="003C2599">
        <w:t xml:space="preserve">. </w:t>
      </w:r>
      <w:r w:rsidR="00E5375F">
        <w:t xml:space="preserve">De acuerdo con la quejosa, esa </w:t>
      </w:r>
      <w:r w:rsidR="000C63C1">
        <w:t xml:space="preserve">dilación propició </w:t>
      </w:r>
      <w:r w:rsidR="001C18CE">
        <w:t>distintas violaciones de derechos humanos</w:t>
      </w:r>
      <w:r w:rsidR="00CC28BF">
        <w:t xml:space="preserve"> que deben ser materia del estudio </w:t>
      </w:r>
      <w:r w:rsidR="00CB10E1">
        <w:t>de fondo.</w:t>
      </w:r>
    </w:p>
    <w:p w14:paraId="50E47CB6" w14:textId="3F55BE2F" w:rsidR="0051517C" w:rsidRDefault="004E54B4" w:rsidP="0051517C">
      <w:pPr>
        <w:pStyle w:val="Prrafo"/>
        <w:numPr>
          <w:ilvl w:val="0"/>
          <w:numId w:val="3"/>
        </w:numPr>
        <w:ind w:left="0" w:hanging="567"/>
      </w:pPr>
      <w:r>
        <w:t xml:space="preserve">El </w:t>
      </w:r>
      <w:r w:rsidR="009253CF">
        <w:t xml:space="preserve">objetivo </w:t>
      </w:r>
      <w:r>
        <w:t>de la joven cuando acudió a</w:t>
      </w:r>
      <w:r w:rsidR="009253CF">
        <w:t xml:space="preserve">l amparo era </w:t>
      </w:r>
      <w:r w:rsidR="00570A4A">
        <w:t xml:space="preserve">lograr la interrupción de su embarazo de forma segura y rápida para </w:t>
      </w:r>
      <w:r w:rsidR="00204F71">
        <w:t xml:space="preserve">preservar y garantizar </w:t>
      </w:r>
      <w:r w:rsidR="002F18D0">
        <w:t>su</w:t>
      </w:r>
      <w:r w:rsidR="00204F71">
        <w:t xml:space="preserve"> salud mental y física. Cada día de postergación de su solicitud aumentaba el riesgo y la posibilidad de secuelas</w:t>
      </w:r>
      <w:r w:rsidR="009253CF">
        <w:t xml:space="preserve">. Al simplificar la materia del asunto y clasificar las violaciones reclamadas como violaciones al derecho de petición, la juzgadora </w:t>
      </w:r>
      <w:r w:rsidR="0051517C">
        <w:t xml:space="preserve">extendió los efectos de la negligencia de las autoridades y omitió pronunciarse sobre las violaciones de derechos humanos de las que eran responsables. </w:t>
      </w:r>
    </w:p>
    <w:p w14:paraId="11115958" w14:textId="5C001B46" w:rsidR="006316C9" w:rsidRPr="00714A17" w:rsidRDefault="006316C9" w:rsidP="006316C9">
      <w:pPr>
        <w:pStyle w:val="Prrafo"/>
        <w:numPr>
          <w:ilvl w:val="0"/>
          <w:numId w:val="3"/>
        </w:numPr>
        <w:ind w:left="0" w:hanging="567"/>
      </w:pPr>
      <w:r w:rsidRPr="00714A17">
        <w:t xml:space="preserve">Esta Sala determina, entonces, que constituyen actos reclamados </w:t>
      </w:r>
      <w:r w:rsidR="00F70504">
        <w:t>los siguientes</w:t>
      </w:r>
      <w:r w:rsidRPr="00714A17">
        <w:t>:</w:t>
      </w:r>
    </w:p>
    <w:p w14:paraId="619D33F2" w14:textId="3DD3C843" w:rsidR="006316C9" w:rsidRDefault="006316C9" w:rsidP="00687245">
      <w:pPr>
        <w:pStyle w:val="Prrafo"/>
        <w:numPr>
          <w:ilvl w:val="0"/>
          <w:numId w:val="9"/>
        </w:numPr>
      </w:pPr>
      <w:r>
        <w:t xml:space="preserve">La omisión de dar contestación al escrito </w:t>
      </w:r>
      <w:r w:rsidR="00C53AA3">
        <w:t xml:space="preserve">donde </w:t>
      </w:r>
      <w:r w:rsidR="00FD7C01">
        <w:rPr>
          <w:i/>
          <w:iCs/>
        </w:rPr>
        <w:t>María</w:t>
      </w:r>
      <w:r>
        <w:t xml:space="preserve"> solicitó la interrupción del embarazo producto de una </w:t>
      </w:r>
      <w:r w:rsidR="00274C77">
        <w:t xml:space="preserve">violación; </w:t>
      </w:r>
    </w:p>
    <w:p w14:paraId="66DEC6D8" w14:textId="25E03BE4" w:rsidR="006316C9" w:rsidRDefault="006316C9" w:rsidP="00687245">
      <w:pPr>
        <w:pStyle w:val="Prrafo"/>
        <w:numPr>
          <w:ilvl w:val="0"/>
          <w:numId w:val="9"/>
        </w:numPr>
      </w:pPr>
      <w:r>
        <w:t>La falta de diligencia</w:t>
      </w:r>
      <w:r w:rsidR="00274C77">
        <w:t xml:space="preserve"> reforzada</w:t>
      </w:r>
      <w:r>
        <w:t xml:space="preserve"> al atender esa solicitu</w:t>
      </w:r>
      <w:r w:rsidR="00274C77">
        <w:t>d, dado que se trat</w:t>
      </w:r>
      <w:r w:rsidR="007520E6">
        <w:t>aba</w:t>
      </w:r>
      <w:r w:rsidR="00274C77">
        <w:t xml:space="preserve"> de una adolescente en peligro grave; </w:t>
      </w:r>
    </w:p>
    <w:p w14:paraId="0B7F36F2" w14:textId="257C5464" w:rsidR="006316C9" w:rsidRDefault="00362766" w:rsidP="00687245">
      <w:pPr>
        <w:pStyle w:val="Prrafo"/>
        <w:numPr>
          <w:ilvl w:val="0"/>
          <w:numId w:val="9"/>
        </w:numPr>
      </w:pPr>
      <w:r>
        <w:lastRenderedPageBreak/>
        <w:t>L</w:t>
      </w:r>
      <w:r w:rsidR="006316C9">
        <w:t xml:space="preserve">a </w:t>
      </w:r>
      <w:r w:rsidR="00AC4D5B">
        <w:t xml:space="preserve">omisión de prestar el servicio </w:t>
      </w:r>
      <w:r w:rsidR="006316C9">
        <w:t>de interrupción de</w:t>
      </w:r>
      <w:r w:rsidR="00274C77">
        <w:t xml:space="preserve"> un </w:t>
      </w:r>
      <w:r w:rsidR="006316C9">
        <w:t xml:space="preserve">embarazo </w:t>
      </w:r>
      <w:r w:rsidR="00625C4A">
        <w:t>forzado</w:t>
      </w:r>
      <w:r w:rsidR="00274C77">
        <w:t>,</w:t>
      </w:r>
      <w:r w:rsidR="00435422">
        <w:t xml:space="preserve"> lo que </w:t>
      </w:r>
      <w:r w:rsidR="00435422">
        <w:rPr>
          <w:i/>
          <w:iCs/>
        </w:rPr>
        <w:t xml:space="preserve">prima facie </w:t>
      </w:r>
      <w:r w:rsidR="00CF079C">
        <w:t xml:space="preserve">es una </w:t>
      </w:r>
      <w:r w:rsidR="00435422">
        <w:t>forma de trato cruel inhumano y degradante</w:t>
      </w:r>
      <w:r w:rsidR="004C000B">
        <w:rPr>
          <w:rStyle w:val="Refdenotaalpie"/>
        </w:rPr>
        <w:footnoteReference w:id="9"/>
      </w:r>
      <w:r w:rsidR="001177AE">
        <w:t>.</w:t>
      </w:r>
    </w:p>
    <w:p w14:paraId="004DFF77" w14:textId="2B89479E" w:rsidR="002E5C1A" w:rsidRDefault="00F70504" w:rsidP="002E5C1A">
      <w:pPr>
        <w:pStyle w:val="Prrafo"/>
        <w:numPr>
          <w:ilvl w:val="0"/>
          <w:numId w:val="3"/>
        </w:numPr>
        <w:ind w:left="0" w:hanging="567"/>
      </w:pPr>
      <w:r w:rsidRPr="00737F36">
        <w:t xml:space="preserve">Antes de evaluar el sobreseimiento decretado por la juzgadora de amparo, </w:t>
      </w:r>
      <w:r w:rsidR="00DA49BB" w:rsidRPr="00737F36">
        <w:t>conviene precisar que esta Sala entiende</w:t>
      </w:r>
      <w:r w:rsidR="00D72B7F">
        <w:t xml:space="preserve"> que el</w:t>
      </w:r>
      <w:r w:rsidR="00DA49BB" w:rsidRPr="00737F36">
        <w:t xml:space="preserve"> Hospital Civil de Guadalajara </w:t>
      </w:r>
      <w:r w:rsidR="00D72B7F">
        <w:t xml:space="preserve">está </w:t>
      </w:r>
      <w:r w:rsidR="00DA49BB" w:rsidRPr="00737F36">
        <w:t xml:space="preserve">vinculado </w:t>
      </w:r>
      <w:r w:rsidR="00D72B7F">
        <w:t>con l</w:t>
      </w:r>
      <w:r w:rsidR="00DA49BB" w:rsidRPr="00737F36">
        <w:t>os actos reclamados. La inadecuada precisión de los actos determinó también que la juzgadora omitiera evaluar la responsabilidad de esta autoridad en relación con el resto de los actos que le atribuyó la quejosa</w:t>
      </w:r>
      <w:r w:rsidR="008675D0" w:rsidRPr="00737F36">
        <w:t xml:space="preserve">. Esto es, </w:t>
      </w:r>
      <w:r w:rsidR="00CD1484" w:rsidRPr="00737F36">
        <w:t>la falta de diligencia reforzada al atender esa solicitud, dado que se trataba de una adolescente en peligro grave</w:t>
      </w:r>
      <w:r w:rsidR="00457D89" w:rsidRPr="00737F36">
        <w:t xml:space="preserve">, y la dilación y negativa de la interrupción de un embarazo forzado, lo que prima </w:t>
      </w:r>
      <w:r w:rsidR="00457D89" w:rsidRPr="00737F36">
        <w:rPr>
          <w:i/>
          <w:iCs/>
        </w:rPr>
        <w:t>facie</w:t>
      </w:r>
      <w:r w:rsidR="00457D89" w:rsidRPr="00737F36">
        <w:t xml:space="preserve"> </w:t>
      </w:r>
      <w:r w:rsidR="000D59CE">
        <w:t xml:space="preserve">es </w:t>
      </w:r>
      <w:r w:rsidR="00457D89" w:rsidRPr="00737F36">
        <w:t xml:space="preserve">una forma de trato cruel inhumano y degradante. Por tanto, se entienden atribuidos los tres actos al </w:t>
      </w:r>
      <w:r w:rsidR="00155934">
        <w:t>S</w:t>
      </w:r>
      <w:r w:rsidR="00457D89" w:rsidRPr="00737F36">
        <w:t xml:space="preserve">ecretario de Salud </w:t>
      </w:r>
      <w:r w:rsidR="00155934">
        <w:t xml:space="preserve">del Estado de Jalisco </w:t>
      </w:r>
      <w:r w:rsidR="00457D89" w:rsidRPr="00737F36">
        <w:t>y al Hospital Civil de Guadalajara.</w:t>
      </w:r>
    </w:p>
    <w:p w14:paraId="12519E91" w14:textId="1B823914" w:rsidR="009E2C43" w:rsidRPr="00993889" w:rsidRDefault="009E2C43" w:rsidP="009E2C43">
      <w:pPr>
        <w:pStyle w:val="Ttulo3"/>
      </w:pPr>
      <w:r>
        <w:t xml:space="preserve">EVALUACIÓN DEL SOBRESEIMIENTO DECRETADO </w:t>
      </w:r>
      <w:r w:rsidR="002A728E">
        <w:t>EN LA SENTENCIA DE AMPARO</w:t>
      </w:r>
    </w:p>
    <w:p w14:paraId="5B35E39C" w14:textId="110710AA" w:rsidR="00F64173" w:rsidRDefault="00F151D2" w:rsidP="00826CC3">
      <w:pPr>
        <w:pStyle w:val="Prrafo"/>
        <w:numPr>
          <w:ilvl w:val="0"/>
          <w:numId w:val="3"/>
        </w:numPr>
        <w:ind w:left="0" w:hanging="567"/>
      </w:pPr>
      <w:r>
        <w:t xml:space="preserve">Una vez identificados los actos </w:t>
      </w:r>
      <w:r w:rsidR="00F02A01">
        <w:t>sujetos a supervisión constitucional, corresponde a esta Sala</w:t>
      </w:r>
      <w:r w:rsidR="00C278E2">
        <w:t>, primero,</w:t>
      </w:r>
      <w:r w:rsidR="00F02A01">
        <w:t xml:space="preserve"> determinar si el sobreseimiento decretado por la juzgadora de amparo </w:t>
      </w:r>
      <w:r w:rsidR="00A71B06">
        <w:t>fue correcto</w:t>
      </w:r>
      <w:r w:rsidR="00E74283">
        <w:t xml:space="preserve"> y</w:t>
      </w:r>
      <w:r w:rsidR="00C278E2">
        <w:t>, segundo,</w:t>
      </w:r>
      <w:r w:rsidR="00E74283">
        <w:t xml:space="preserve"> verificar si </w:t>
      </w:r>
      <w:r w:rsidR="00A03719">
        <w:t xml:space="preserve">se actualiza </w:t>
      </w:r>
      <w:r w:rsidR="00A03719">
        <w:lastRenderedPageBreak/>
        <w:t>en el caso alguna causal de improcedencia</w:t>
      </w:r>
      <w:r w:rsidR="00C278E2">
        <w:t xml:space="preserve"> que impida entrar al estudio de fondo.</w:t>
      </w:r>
    </w:p>
    <w:p w14:paraId="4CA23505" w14:textId="3CC235EF" w:rsidR="008479D8" w:rsidRDefault="00DD482E" w:rsidP="000D7232">
      <w:pPr>
        <w:pStyle w:val="Prrafo"/>
        <w:numPr>
          <w:ilvl w:val="0"/>
          <w:numId w:val="3"/>
        </w:numPr>
        <w:ind w:left="0" w:hanging="567"/>
      </w:pPr>
      <w:r>
        <w:t>La jueza</w:t>
      </w:r>
      <w:r w:rsidR="009E2C43">
        <w:t xml:space="preserve"> consideró que no se acreditó la existencia de </w:t>
      </w:r>
      <w:r w:rsidR="008658C6">
        <w:t>la omisión de contestar la solicitud presentada por escrito</w:t>
      </w:r>
      <w:r w:rsidR="00A54578">
        <w:t xml:space="preserve"> el 18 de agosto de 2021</w:t>
      </w:r>
      <w:r w:rsidR="006F6AD0">
        <w:t xml:space="preserve"> en relación con el Hospital Civil de Guadalajara</w:t>
      </w:r>
      <w:r w:rsidR="00C24D9D" w:rsidRPr="00EB77DA">
        <w:t>, pues al rendir su informe</w:t>
      </w:r>
      <w:r w:rsidR="004C7971">
        <w:t>,</w:t>
      </w:r>
      <w:r w:rsidR="00C24D9D" w:rsidRPr="00EB77DA">
        <w:t xml:space="preserve"> </w:t>
      </w:r>
      <w:r w:rsidR="004C7971">
        <w:t xml:space="preserve">esta autoridad </w:t>
      </w:r>
      <w:r w:rsidR="00C24D9D" w:rsidRPr="00EB77DA">
        <w:t xml:space="preserve">negó que hubiera recibido –de parte del </w:t>
      </w:r>
      <w:r w:rsidR="0031142D">
        <w:t>Secretario de Salud del Estado de Jalisco</w:t>
      </w:r>
      <w:r w:rsidR="00C24D9D" w:rsidRPr="00EB77DA">
        <w:t>– el escrito en que la quejosa hizo esas peticiones</w:t>
      </w:r>
      <w:r w:rsidR="009E2C43" w:rsidRPr="00EB77DA">
        <w:t>.</w:t>
      </w:r>
      <w:r w:rsidR="006F6AD0">
        <w:t xml:space="preserve"> Por esa razón, sobreseyó en el juicio respecto de esa autoridad.</w:t>
      </w:r>
    </w:p>
    <w:p w14:paraId="05D6BF0D" w14:textId="65074D16" w:rsidR="00494F40" w:rsidRPr="007B7CF1" w:rsidRDefault="00C024F8" w:rsidP="000D7232">
      <w:pPr>
        <w:pStyle w:val="Prrafo"/>
        <w:numPr>
          <w:ilvl w:val="0"/>
          <w:numId w:val="3"/>
        </w:numPr>
        <w:ind w:left="0" w:hanging="567"/>
      </w:pPr>
      <w:r w:rsidRPr="007B7CF1">
        <w:t xml:space="preserve">Además de los argumentos expuestos por la </w:t>
      </w:r>
      <w:r w:rsidR="00F21C29" w:rsidRPr="007B7CF1">
        <w:t>recurrente principal, e</w:t>
      </w:r>
      <w:r w:rsidR="00494F40" w:rsidRPr="007B7CF1">
        <w:t xml:space="preserve">n este punto también se abordan los agravios hechos valer por </w:t>
      </w:r>
      <w:r w:rsidR="0099751B" w:rsidRPr="007B7CF1">
        <w:t>la coordinadora General Jurídica del Organismo Público Descentralizado Hospital Civil de Guadalajara,</w:t>
      </w:r>
      <w:r w:rsidR="00494F40" w:rsidRPr="007B7CF1">
        <w:t xml:space="preserve"> </w:t>
      </w:r>
      <w:r w:rsidR="00086E88" w:rsidRPr="007B7CF1">
        <w:t>quien</w:t>
      </w:r>
      <w:r w:rsidR="00494F40" w:rsidRPr="007B7CF1">
        <w:t xml:space="preserve"> acudió a esta instancia como recurrente adhesiva</w:t>
      </w:r>
      <w:r w:rsidR="003A7B16" w:rsidRPr="007B7CF1">
        <w:t>, pues están dirigidos a sostener</w:t>
      </w:r>
      <w:r w:rsidR="00246EA6" w:rsidRPr="007B7CF1">
        <w:t>, con razonamientos adicionales,</w:t>
      </w:r>
      <w:r w:rsidR="003A7B16" w:rsidRPr="007B7CF1">
        <w:t xml:space="preserve"> el sobreseimiento respecto de </w:t>
      </w:r>
      <w:r w:rsidR="0099751B" w:rsidRPr="007B7CF1">
        <w:t>la entidad que representa</w:t>
      </w:r>
      <w:r w:rsidR="00494F40" w:rsidRPr="007B7CF1">
        <w:t xml:space="preserve">. En ellos, esencialmente alegó que los actos reclamados no le son atribuibles, pues no le correspondía a este órgano dar contestación por escrito a la petición de la quejosa. Ante el supuesto mandato deficiente que recibió por parte del </w:t>
      </w:r>
      <w:r w:rsidR="00E30DD3" w:rsidRPr="007B7CF1">
        <w:t>secretario</w:t>
      </w:r>
      <w:r w:rsidR="00494F40" w:rsidRPr="007B7CF1">
        <w:t xml:space="preserve"> de Salud de la entidad, afirma que no contaba con elementos para dilucidar si </w:t>
      </w:r>
      <w:r w:rsidR="003655C5" w:rsidRPr="007B7CF1">
        <w:t>le correspondía</w:t>
      </w:r>
      <w:r w:rsidR="00494F40" w:rsidRPr="007B7CF1">
        <w:t xml:space="preserve"> o </w:t>
      </w:r>
      <w:r w:rsidR="003655C5" w:rsidRPr="007B7CF1">
        <w:t>no responder</w:t>
      </w:r>
      <w:r w:rsidR="00494F40" w:rsidRPr="007B7CF1">
        <w:t xml:space="preserve"> al escrito.</w:t>
      </w:r>
    </w:p>
    <w:p w14:paraId="5A9B865C" w14:textId="406FC167" w:rsidR="00C663FB" w:rsidRDefault="00781C47" w:rsidP="000D7232">
      <w:pPr>
        <w:pStyle w:val="Prrafo"/>
        <w:numPr>
          <w:ilvl w:val="0"/>
          <w:numId w:val="3"/>
        </w:numPr>
        <w:ind w:left="0" w:hanging="567"/>
      </w:pPr>
      <w:r w:rsidRPr="007B7CF1">
        <w:t>E</w:t>
      </w:r>
      <w:r w:rsidR="009E2C43" w:rsidRPr="007B7CF1">
        <w:t xml:space="preserve">sta Sala </w:t>
      </w:r>
      <w:r w:rsidR="00F208CA" w:rsidRPr="007B7CF1">
        <w:t xml:space="preserve">estima que </w:t>
      </w:r>
      <w:r w:rsidR="00B203DE" w:rsidRPr="007B7CF1">
        <w:t>los agravios de la quejosa son fundados, los expuestos por la autoridad responsable son infundados y, en consecuencia, la determinación de sobreseer respecto de esta autoridad es incorrecta</w:t>
      </w:r>
      <w:r w:rsidR="001841E7" w:rsidRPr="007B7CF1">
        <w:t>.</w:t>
      </w:r>
      <w:r w:rsidR="001841E7" w:rsidRPr="00EB77DA">
        <w:t xml:space="preserve"> Contrario a lo que sostuvo la jueza de distrito, </w:t>
      </w:r>
      <w:r w:rsidR="00967098" w:rsidRPr="00EB77DA">
        <w:t xml:space="preserve">se advierte que </w:t>
      </w:r>
      <w:r w:rsidR="000D7232" w:rsidRPr="00EB77DA">
        <w:t xml:space="preserve">el 20 de agosto de 2021 </w:t>
      </w:r>
      <w:r w:rsidR="007A4655" w:rsidRPr="00EB77DA">
        <w:t xml:space="preserve">se recibió </w:t>
      </w:r>
      <w:r w:rsidR="000D7232" w:rsidRPr="00EB77DA">
        <w:t>–tal como informó la apoderada del hospital– en la dirección general de ese lugar</w:t>
      </w:r>
      <w:r w:rsidR="002519D8" w:rsidRPr="007739BC">
        <w:rPr>
          <w:rStyle w:val="Refdenotaalpie"/>
        </w:rPr>
        <w:footnoteReference w:id="10"/>
      </w:r>
      <w:r w:rsidR="000D7232" w:rsidRPr="00EB77DA">
        <w:t xml:space="preserve"> </w:t>
      </w:r>
      <w:r w:rsidR="000D0E07">
        <w:t xml:space="preserve">el oficio número </w:t>
      </w:r>
      <w:r w:rsidR="00C27D0E">
        <w:rPr>
          <w:color w:val="C00000"/>
        </w:rPr>
        <w:t>*****</w:t>
      </w:r>
      <w:r w:rsidR="009A4638">
        <w:t xml:space="preserve"> de parte del </w:t>
      </w:r>
      <w:r w:rsidR="00C86053">
        <w:t>Secretario de Salud del Estado de Jalisco</w:t>
      </w:r>
      <w:r w:rsidR="009A4638">
        <w:t xml:space="preserve"> en el que </w:t>
      </w:r>
      <w:r w:rsidR="002620B4">
        <w:t>solicit</w:t>
      </w:r>
      <w:r w:rsidR="007A4655">
        <w:t xml:space="preserve">aba </w:t>
      </w:r>
      <w:r w:rsidR="002620B4">
        <w:t>al Hospital diera respuesta</w:t>
      </w:r>
      <w:r w:rsidR="00833740">
        <w:t xml:space="preserve">, </w:t>
      </w:r>
      <w:r w:rsidR="002620B4">
        <w:t>de conformidad con la normatividad aplicable</w:t>
      </w:r>
      <w:r w:rsidR="00833740">
        <w:t>,</w:t>
      </w:r>
      <w:r w:rsidR="002620B4">
        <w:t xml:space="preserve"> a la petición formulada por la </w:t>
      </w:r>
      <w:r w:rsidR="009773BF">
        <w:t>joven</w:t>
      </w:r>
      <w:r w:rsidR="002620B4">
        <w:t xml:space="preserve"> </w:t>
      </w:r>
      <w:r w:rsidR="00A87DCD">
        <w:rPr>
          <w:i/>
          <w:iCs/>
        </w:rPr>
        <w:t>María.</w:t>
      </w:r>
    </w:p>
    <w:p w14:paraId="2E8B66A8" w14:textId="1C61387C" w:rsidR="00493E1B" w:rsidRDefault="00370863" w:rsidP="000D7232">
      <w:pPr>
        <w:pStyle w:val="Prrafo"/>
        <w:numPr>
          <w:ilvl w:val="0"/>
          <w:numId w:val="3"/>
        </w:numPr>
        <w:ind w:left="0" w:hanging="567"/>
      </w:pPr>
      <w:r>
        <w:lastRenderedPageBreak/>
        <w:t xml:space="preserve">Con </w:t>
      </w:r>
      <w:r w:rsidR="002812FE">
        <w:t>su</w:t>
      </w:r>
      <w:r>
        <w:t xml:space="preserve"> sola negativa, e</w:t>
      </w:r>
      <w:r w:rsidR="00C663FB">
        <w:t xml:space="preserve">l Hospital no desacredita la existencia del acto. Al contrario, </w:t>
      </w:r>
      <w:r w:rsidR="00CA495F">
        <w:t xml:space="preserve">de su respuesta se observa que </w:t>
      </w:r>
      <w:r w:rsidR="00C663FB">
        <w:t>el personal del hospital estuvo enterado de que quien había sido su paciente días anteriores requería la prestación de un servicio de salud</w:t>
      </w:r>
      <w:r w:rsidR="00B24F23">
        <w:t xml:space="preserve"> (por llamada, se enteró de que el servicio que solicitó era precisamente la interrupción del embarazo)</w:t>
      </w:r>
      <w:r w:rsidR="00C663FB">
        <w:t>. Esto inde</w:t>
      </w:r>
      <w:r w:rsidR="00493E1B">
        <w:t xml:space="preserve">pendientemente de </w:t>
      </w:r>
      <w:r w:rsidR="002E50B2">
        <w:t xml:space="preserve">que </w:t>
      </w:r>
      <w:r w:rsidR="00556237">
        <w:t>–</w:t>
      </w:r>
      <w:r w:rsidR="002E50B2">
        <w:t xml:space="preserve">según </w:t>
      </w:r>
      <w:r w:rsidR="00044F7A">
        <w:t>su dicho</w:t>
      </w:r>
      <w:r w:rsidR="00556237">
        <w:t>–</w:t>
      </w:r>
      <w:r w:rsidR="00707583">
        <w:t xml:space="preserve"> buscaron</w:t>
      </w:r>
      <w:r w:rsidR="00121D74">
        <w:t xml:space="preserve"> </w:t>
      </w:r>
      <w:r w:rsidR="005500C6">
        <w:t xml:space="preserve">sin éxito </w:t>
      </w:r>
      <w:r w:rsidR="00493E1B">
        <w:t>a la paciente</w:t>
      </w:r>
      <w:r w:rsidR="002E50B2">
        <w:t xml:space="preserve"> </w:t>
      </w:r>
      <w:r w:rsidR="00DC503C">
        <w:t xml:space="preserve">para informarle </w:t>
      </w:r>
      <w:r w:rsidR="00700913">
        <w:t xml:space="preserve">sobre </w:t>
      </w:r>
      <w:r w:rsidR="00C663FB">
        <w:t>los servicios a que tiene derecho</w:t>
      </w:r>
      <w:r w:rsidR="00926A8C">
        <w:t>.</w:t>
      </w:r>
      <w:r w:rsidR="00DC503C">
        <w:t xml:space="preserve"> La certeza de estas afirmaciones es </w:t>
      </w:r>
      <w:r w:rsidR="00337F00">
        <w:t>–</w:t>
      </w:r>
      <w:r w:rsidR="00DC503C">
        <w:t>sin duda</w:t>
      </w:r>
      <w:r w:rsidR="00337F00">
        <w:t>–</w:t>
      </w:r>
      <w:r w:rsidR="00DC503C">
        <w:t xml:space="preserve"> materia de</w:t>
      </w:r>
      <w:r w:rsidR="00337F00">
        <w:t xml:space="preserve"> </w:t>
      </w:r>
      <w:r w:rsidR="00DC503C">
        <w:t>fondo del asunto.</w:t>
      </w:r>
    </w:p>
    <w:p w14:paraId="0C3B1EE6" w14:textId="47B84A6A" w:rsidR="00757050" w:rsidRDefault="00757050" w:rsidP="00757050">
      <w:pPr>
        <w:pStyle w:val="Prrafo"/>
        <w:numPr>
          <w:ilvl w:val="0"/>
          <w:numId w:val="3"/>
        </w:numPr>
        <w:ind w:left="0" w:hanging="567"/>
      </w:pPr>
      <w:r w:rsidRPr="0086272B">
        <w:t xml:space="preserve">De acuerdo con la apoderada del hospital, esa autoridad no contaba con competencias para </w:t>
      </w:r>
      <w:r w:rsidR="002E1564" w:rsidRPr="0086272B">
        <w:t>emitir una respuesta a</w:t>
      </w:r>
      <w:r w:rsidRPr="0086272B">
        <w:t xml:space="preserve"> la solicitud </w:t>
      </w:r>
      <w:r w:rsidR="00D66D95" w:rsidRPr="0086272B">
        <w:t xml:space="preserve">de la joven </w:t>
      </w:r>
      <w:r w:rsidR="00A87DCD">
        <w:rPr>
          <w:i/>
          <w:iCs/>
        </w:rPr>
        <w:t>María</w:t>
      </w:r>
      <w:r w:rsidR="00D66D95" w:rsidRPr="0086272B">
        <w:t>,</w:t>
      </w:r>
      <w:r w:rsidRPr="0086272B">
        <w:t xml:space="preserve"> </w:t>
      </w:r>
      <w:r w:rsidR="00057724" w:rsidRPr="0086272B">
        <w:t xml:space="preserve">por lo que no es posible atribuirle el acto que se reclama. </w:t>
      </w:r>
      <w:r w:rsidR="00B33E68" w:rsidRPr="0086272B">
        <w:t>Si</w:t>
      </w:r>
      <w:r w:rsidR="00A80BF6" w:rsidRPr="0086272B">
        <w:t xml:space="preserve">n embargo, si se sitúa la </w:t>
      </w:r>
      <w:r w:rsidR="00B33E68" w:rsidRPr="0086272B">
        <w:t xml:space="preserve">inconformidad de la quejosa </w:t>
      </w:r>
      <w:r w:rsidR="00A80BF6" w:rsidRPr="0086272B">
        <w:t xml:space="preserve">en </w:t>
      </w:r>
      <w:r w:rsidR="00B33E68" w:rsidRPr="0086272B">
        <w:t xml:space="preserve">la imposibilidad </w:t>
      </w:r>
      <w:r w:rsidR="00A80BF6" w:rsidRPr="0086272B">
        <w:t>de acceder a la interrupción de</w:t>
      </w:r>
      <w:r w:rsidR="00B33E68" w:rsidRPr="0086272B">
        <w:t xml:space="preserve"> </w:t>
      </w:r>
      <w:r w:rsidR="00A80BF6" w:rsidRPr="0086272B">
        <w:t xml:space="preserve">su </w:t>
      </w:r>
      <w:r w:rsidR="00B33E68" w:rsidRPr="0086272B">
        <w:t xml:space="preserve">embarazo </w:t>
      </w:r>
      <w:r w:rsidR="00A80BF6" w:rsidRPr="0086272B">
        <w:t xml:space="preserve">de manera pronta y segura </w:t>
      </w:r>
      <w:r w:rsidR="00B33E68" w:rsidRPr="0086272B">
        <w:t xml:space="preserve">en el Hospital </w:t>
      </w:r>
      <w:r w:rsidR="00FB1BD6" w:rsidRPr="0086272B">
        <w:t>señalado como responsable, el asunto no versa</w:t>
      </w:r>
      <w:r w:rsidR="00DF2F01" w:rsidRPr="0086272B">
        <w:t>ría</w:t>
      </w:r>
      <w:r w:rsidR="00FB1BD6" w:rsidRPr="0086272B">
        <w:t xml:space="preserve"> sobre </w:t>
      </w:r>
      <w:r w:rsidR="005A584B" w:rsidRPr="0086272B">
        <w:t>l</w:t>
      </w:r>
      <w:r w:rsidR="007302A8" w:rsidRPr="0086272B">
        <w:t>a competencia del</w:t>
      </w:r>
      <w:r w:rsidR="00A80BF6" w:rsidRPr="0086272B">
        <w:t xml:space="preserve"> Hospital </w:t>
      </w:r>
      <w:r w:rsidR="007302A8" w:rsidRPr="0086272B">
        <w:t>para r</w:t>
      </w:r>
      <w:r w:rsidR="00A80BF6" w:rsidRPr="0086272B">
        <w:t xml:space="preserve">esponder peticiones por escrito, sino </w:t>
      </w:r>
      <w:r w:rsidR="007302A8" w:rsidRPr="0086272B">
        <w:t xml:space="preserve">en su capacidad de despachar el procedimiento médico. </w:t>
      </w:r>
      <w:r w:rsidR="005A584B" w:rsidRPr="0086272B">
        <w:t>La decisión al respecto es materia del fondo del asunto, según el criterio de es</w:t>
      </w:r>
      <w:r w:rsidR="00057724" w:rsidRPr="0086272B">
        <w:t>ta Sala</w:t>
      </w:r>
      <w:r w:rsidR="005A584B" w:rsidRPr="0086272B">
        <w:t>.</w:t>
      </w:r>
    </w:p>
    <w:p w14:paraId="23476A83" w14:textId="1C8AAE68" w:rsidR="002D45E5" w:rsidRPr="009827EB" w:rsidRDefault="002748E9" w:rsidP="00757050">
      <w:pPr>
        <w:pStyle w:val="Prrafo"/>
        <w:numPr>
          <w:ilvl w:val="0"/>
          <w:numId w:val="3"/>
        </w:numPr>
        <w:ind w:left="0" w:hanging="567"/>
      </w:pPr>
      <w:r w:rsidRPr="00C429CF">
        <w:t xml:space="preserve">No obstante, </w:t>
      </w:r>
      <w:r w:rsidR="00853179" w:rsidRPr="00C429CF">
        <w:t>precisamente por tratarse del</w:t>
      </w:r>
      <w:r w:rsidRPr="00C429CF">
        <w:t xml:space="preserve"> ente encargado de practicar los procedimientos médicos</w:t>
      </w:r>
      <w:r w:rsidR="00745674" w:rsidRPr="00C429CF">
        <w:rPr>
          <w:rStyle w:val="Refdenotaalpie"/>
        </w:rPr>
        <w:footnoteReference w:id="11"/>
      </w:r>
      <w:r w:rsidR="001B18C4" w:rsidRPr="00C429CF">
        <w:rPr>
          <w:lang w:val="es-ES"/>
        </w:rPr>
        <w:t xml:space="preserve"> </w:t>
      </w:r>
      <w:r w:rsidR="0030245A" w:rsidRPr="00C429CF">
        <w:rPr>
          <w:lang w:val="es-ES"/>
        </w:rPr>
        <w:t xml:space="preserve">y </w:t>
      </w:r>
      <w:r w:rsidR="001B18C4" w:rsidRPr="00C429CF">
        <w:rPr>
          <w:lang w:val="es-ES"/>
        </w:rPr>
        <w:t xml:space="preserve">al haber tratado a la quejosa </w:t>
      </w:r>
      <w:r w:rsidR="00EE35E6" w:rsidRPr="00C429CF">
        <w:rPr>
          <w:lang w:val="es-ES"/>
        </w:rPr>
        <w:t xml:space="preserve">antes de que </w:t>
      </w:r>
      <w:r w:rsidR="0046694D">
        <w:rPr>
          <w:lang w:val="es-ES"/>
        </w:rPr>
        <w:t>é</w:t>
      </w:r>
      <w:r w:rsidR="00EE35E6" w:rsidRPr="00C429CF">
        <w:rPr>
          <w:lang w:val="es-ES"/>
        </w:rPr>
        <w:t>sta formulara su</w:t>
      </w:r>
      <w:r w:rsidR="001B18C4" w:rsidRPr="00C429CF">
        <w:rPr>
          <w:lang w:val="es-ES"/>
        </w:rPr>
        <w:t xml:space="preserve"> solicitud</w:t>
      </w:r>
      <w:r w:rsidR="00EE35E6" w:rsidRPr="00C429CF">
        <w:rPr>
          <w:lang w:val="es-ES"/>
        </w:rPr>
        <w:t xml:space="preserve">, </w:t>
      </w:r>
      <w:r w:rsidR="0030245A" w:rsidRPr="00C429CF">
        <w:rPr>
          <w:lang w:val="es-ES"/>
        </w:rPr>
        <w:t xml:space="preserve">para esta Sala </w:t>
      </w:r>
      <w:r w:rsidR="00C429CF" w:rsidRPr="00C429CF">
        <w:rPr>
          <w:lang w:val="es-ES"/>
        </w:rPr>
        <w:t>resulta sensato</w:t>
      </w:r>
      <w:r w:rsidR="0030245A" w:rsidRPr="00C429CF">
        <w:t xml:space="preserve"> presumir que</w:t>
      </w:r>
      <w:r w:rsidR="00F92208" w:rsidRPr="00C429CF">
        <w:t xml:space="preserve"> </w:t>
      </w:r>
      <w:r w:rsidR="00EE35E6" w:rsidRPr="00C429CF">
        <w:rPr>
          <w:lang w:val="es-ES"/>
        </w:rPr>
        <w:t xml:space="preserve">contaba </w:t>
      </w:r>
      <w:r w:rsidR="001B18C4" w:rsidRPr="00C429CF">
        <w:rPr>
          <w:lang w:val="es-ES"/>
        </w:rPr>
        <w:t>con sus datos de contacto</w:t>
      </w:r>
      <w:r w:rsidR="00F92208" w:rsidRPr="00C429CF">
        <w:rPr>
          <w:lang w:val="es-ES"/>
        </w:rPr>
        <w:t>. Por lo que</w:t>
      </w:r>
      <w:r w:rsidR="001B18C4" w:rsidRPr="00C429CF">
        <w:rPr>
          <w:lang w:val="es-ES"/>
        </w:rPr>
        <w:t xml:space="preserve"> también</w:t>
      </w:r>
      <w:r w:rsidR="00F92208" w:rsidRPr="00C429CF">
        <w:rPr>
          <w:lang w:val="es-ES"/>
        </w:rPr>
        <w:t xml:space="preserve"> puede entenderse que</w:t>
      </w:r>
      <w:r w:rsidR="001B18C4" w:rsidRPr="00C429CF">
        <w:rPr>
          <w:lang w:val="es-ES"/>
        </w:rPr>
        <w:t xml:space="preserve"> tenía </w:t>
      </w:r>
      <w:r w:rsidR="001B18C4" w:rsidRPr="00C429CF">
        <w:rPr>
          <w:lang w:val="es-ES"/>
        </w:rPr>
        <w:lastRenderedPageBreak/>
        <w:t>el deber de contestar dicha petición y atenderla con urgencia, aunque el escrito no se hubiere dirigido directamente al Hospital</w:t>
      </w:r>
      <w:r w:rsidR="00F92208" w:rsidRPr="00C429CF">
        <w:rPr>
          <w:lang w:val="es-ES"/>
        </w:rPr>
        <w:t>.</w:t>
      </w:r>
      <w:r w:rsidR="0023048A" w:rsidRPr="00C429CF">
        <w:t xml:space="preserve"> </w:t>
      </w:r>
      <w:r w:rsidR="00F92208" w:rsidRPr="00C429CF">
        <w:t xml:space="preserve">De manera que, se insiste, ambas autoridades –el </w:t>
      </w:r>
      <w:r w:rsidR="0046694D">
        <w:t>Secretario de Salud del Estado de Jalisco</w:t>
      </w:r>
      <w:r w:rsidR="00F92208" w:rsidRPr="00C429CF">
        <w:t xml:space="preserve"> y el Hospital Civil de</w:t>
      </w:r>
      <w:r w:rsidR="00F92208" w:rsidRPr="0046694D">
        <w:t xml:space="preserve"> </w:t>
      </w:r>
      <w:r w:rsidR="00F92208" w:rsidRPr="00C429CF">
        <w:t xml:space="preserve">Guadalajara– </w:t>
      </w:r>
      <w:r w:rsidR="0023048A" w:rsidRPr="00C429CF">
        <w:t>se entienden vinculadas a los tres actos</w:t>
      </w:r>
      <w:r w:rsidR="00104D4C" w:rsidRPr="00C429CF">
        <w:t xml:space="preserve"> precisados en el apartado anterior.</w:t>
      </w:r>
    </w:p>
    <w:p w14:paraId="1DE2C6F0" w14:textId="345C23D6" w:rsidR="006F15E9" w:rsidRDefault="009E2C43" w:rsidP="006F15E9">
      <w:pPr>
        <w:pStyle w:val="Prrafo"/>
        <w:numPr>
          <w:ilvl w:val="0"/>
          <w:numId w:val="3"/>
        </w:numPr>
        <w:ind w:left="0" w:hanging="567"/>
      </w:pPr>
      <w:r w:rsidRPr="00491454">
        <w:t xml:space="preserve">Por tanto, esta Sala estima que se debe revocar el sobreseimiento decretado por </w:t>
      </w:r>
      <w:r w:rsidR="00DD482E" w:rsidRPr="00491454">
        <w:t xml:space="preserve">la jueza </w:t>
      </w:r>
      <w:r w:rsidRPr="00491454">
        <w:t xml:space="preserve">de distrito respecto de </w:t>
      </w:r>
      <w:r w:rsidR="00491454">
        <w:t>esa autoridad</w:t>
      </w:r>
      <w:r w:rsidRPr="00491454">
        <w:t xml:space="preserve"> y, en términos del artículo </w:t>
      </w:r>
      <w:r w:rsidR="008440C2">
        <w:t>8</w:t>
      </w:r>
      <w:r w:rsidR="00680A2F">
        <w:t>3</w:t>
      </w:r>
      <w:r w:rsidRPr="00491454">
        <w:t xml:space="preserve"> de la Ley de Amparo, proceder al estudio de los actos reclamados</w:t>
      </w:r>
      <w:r w:rsidR="000643A5">
        <w:t xml:space="preserve"> que la joven y su representante le atribuyen.</w:t>
      </w:r>
    </w:p>
    <w:p w14:paraId="6321C424" w14:textId="4A42AAF9" w:rsidR="00A33576" w:rsidRDefault="00A33576" w:rsidP="006F15E9">
      <w:pPr>
        <w:pStyle w:val="Prrafo"/>
        <w:numPr>
          <w:ilvl w:val="0"/>
          <w:numId w:val="3"/>
        </w:numPr>
        <w:ind w:left="0" w:hanging="567"/>
      </w:pPr>
      <w:r>
        <w:t xml:space="preserve">Por otro lado, se advierte </w:t>
      </w:r>
      <w:r w:rsidR="00D503CF">
        <w:t>que</w:t>
      </w:r>
      <w:r w:rsidR="00104D4C">
        <w:t>,</w:t>
      </w:r>
      <w:r w:rsidR="00D503CF">
        <w:t xml:space="preserve"> al momento de presentar</w:t>
      </w:r>
      <w:r>
        <w:t xml:space="preserve"> la demanda</w:t>
      </w:r>
      <w:r w:rsidR="003A24ED">
        <w:t xml:space="preserve">, la </w:t>
      </w:r>
      <w:r w:rsidR="00736CB2">
        <w:t xml:space="preserve">joven </w:t>
      </w:r>
      <w:r w:rsidR="00A87DCD">
        <w:rPr>
          <w:i/>
          <w:iCs/>
        </w:rPr>
        <w:t>María</w:t>
      </w:r>
      <w:r w:rsidR="00A87DCD" w:rsidRPr="00BA2023">
        <w:rPr>
          <w:color w:val="C00000"/>
        </w:rPr>
        <w:t xml:space="preserve"> </w:t>
      </w:r>
      <w:r w:rsidR="00736CB2">
        <w:t>cursaba</w:t>
      </w:r>
      <w:r>
        <w:t xml:space="preserve"> un embarazo de alrededor de </w:t>
      </w:r>
      <w:r w:rsidR="00AF579E">
        <w:t xml:space="preserve">28 semanas de gestación, sin que se advierta de las constancias que haya acudido a alguna otra institución </w:t>
      </w:r>
      <w:r w:rsidR="003A24ED">
        <w:t xml:space="preserve">para interrumpirlo </w:t>
      </w:r>
      <w:r w:rsidR="00C65EC3">
        <w:t xml:space="preserve">o bien, </w:t>
      </w:r>
      <w:r w:rsidR="003A24ED">
        <w:t xml:space="preserve">que aquél haya llegado a su </w:t>
      </w:r>
      <w:r w:rsidR="00C65EC3">
        <w:t>término</w:t>
      </w:r>
      <w:r w:rsidR="00AF579E">
        <w:t xml:space="preserve">. Sin embargo, </w:t>
      </w:r>
      <w:r w:rsidR="00C65EC3">
        <w:t xml:space="preserve">esta circunstancia no implica que </w:t>
      </w:r>
      <w:r w:rsidR="00CD6245">
        <w:t>deba sobreseerse en el juicio, pues tal como lo ha sostenido esta Primera Sala</w:t>
      </w:r>
      <w:r w:rsidR="00CD6245">
        <w:rPr>
          <w:rStyle w:val="Refdenotaalpie"/>
        </w:rPr>
        <w:footnoteReference w:id="12"/>
      </w:r>
      <w:r w:rsidR="00CD6245">
        <w:t>, la procedencia del amparo</w:t>
      </w:r>
      <w:r w:rsidR="00C63025">
        <w:t xml:space="preserve"> –especialmente en casos donde se combaten actuaciones de autoridades relacionadas con </w:t>
      </w:r>
      <w:r w:rsidR="00261603">
        <w:t>servicios que deben proveer en relación con el embarazo– debe estudiarse con perspectiva de género.</w:t>
      </w:r>
    </w:p>
    <w:p w14:paraId="27C9606C" w14:textId="71FB9040" w:rsidR="00261603" w:rsidRDefault="00736CB2" w:rsidP="009A213B">
      <w:pPr>
        <w:pStyle w:val="Prrafo"/>
        <w:numPr>
          <w:ilvl w:val="0"/>
          <w:numId w:val="3"/>
        </w:numPr>
        <w:ind w:left="0" w:hanging="567"/>
      </w:pPr>
      <w:r>
        <w:t>Según el precedente, en</w:t>
      </w:r>
      <w:r w:rsidR="004944E3">
        <w:t xml:space="preserve">tender </w:t>
      </w:r>
      <w:r w:rsidR="000B045C">
        <w:t>que ha desaparecido el objeto del juicio</w:t>
      </w:r>
      <w:r w:rsidR="00EC34F0">
        <w:t xml:space="preserve"> </w:t>
      </w:r>
      <w:r w:rsidR="000B045C">
        <w:t xml:space="preserve">cuando se ha practicado la interrupción o el embarazo </w:t>
      </w:r>
      <w:r w:rsidR="00BF3251">
        <w:t xml:space="preserve">se ha seguido hasta el parto, </w:t>
      </w:r>
      <w:r w:rsidR="0019331C">
        <w:t xml:space="preserve">provocaría que </w:t>
      </w:r>
      <w:r w:rsidR="00BF3251">
        <w:t>las vicisitudes de un proceso biológico</w:t>
      </w:r>
      <w:r w:rsidR="0019331C">
        <w:t>,</w:t>
      </w:r>
      <w:r w:rsidR="00BF3251">
        <w:t xml:space="preserve"> que sólo pueden experimentar las personas con un aparato reproductor </w:t>
      </w:r>
      <w:r w:rsidR="00065A61">
        <w:t>femenino</w:t>
      </w:r>
      <w:r w:rsidR="0019331C">
        <w:t>,</w:t>
      </w:r>
      <w:r w:rsidR="00BF3251">
        <w:t xml:space="preserve"> </w:t>
      </w:r>
      <w:r w:rsidR="008C0897">
        <w:t>determine</w:t>
      </w:r>
      <w:r w:rsidR="00746822">
        <w:t>n</w:t>
      </w:r>
      <w:r w:rsidR="00BF3251">
        <w:t xml:space="preserve"> su acceso a la restitución de derechos y a la corrección de las autoridades que es propia del </w:t>
      </w:r>
      <w:r w:rsidR="0056605B">
        <w:t>juicio de amparo.</w:t>
      </w:r>
    </w:p>
    <w:p w14:paraId="689BA687" w14:textId="7EB3105C" w:rsidR="0056605B" w:rsidRDefault="00396E1D" w:rsidP="006F15E9">
      <w:pPr>
        <w:pStyle w:val="Prrafo"/>
        <w:numPr>
          <w:ilvl w:val="0"/>
          <w:numId w:val="3"/>
        </w:numPr>
        <w:ind w:left="0" w:hanging="567"/>
      </w:pPr>
      <w:r>
        <w:t>S</w:t>
      </w:r>
      <w:r w:rsidR="0056605B">
        <w:t xml:space="preserve">i la causal de cesación de efectos </w:t>
      </w:r>
      <w:r w:rsidR="006532B1">
        <w:t xml:space="preserve">o la relativa a que haya dejado de existir el objeto o materia del acto reclamado fuera aplicada tajantemente en todos los casos donde se utiliza este recurso para inconformarse por violaciones de derechos humanos cometidas por las autoridades en cuestiones relacionadas </w:t>
      </w:r>
      <w:r w:rsidR="006532B1">
        <w:lastRenderedPageBreak/>
        <w:t>con el embarazo, el resultado sería que el juicio de amparo –y la restitución de derechos que</w:t>
      </w:r>
      <w:r w:rsidR="00024069">
        <w:t xml:space="preserve"> éste persigue– fue</w:t>
      </w:r>
      <w:r w:rsidR="00BF46A3">
        <w:t>ra la más de las veces inaccesible a las mujeres y personas con capacidad de gestar</w:t>
      </w:r>
      <w:r w:rsidR="002D61CC">
        <w:t xml:space="preserve"> </w:t>
      </w:r>
      <w:r w:rsidR="00BF46A3">
        <w:t>cuando las autoridades les obstaculicen el acceso a un servicio de salud que sólo ellas necesitan</w:t>
      </w:r>
      <w:r w:rsidR="00D84281">
        <w:t>, a pesar de que los derechos en juego puedan ser evidentemente restituidos.</w:t>
      </w:r>
    </w:p>
    <w:p w14:paraId="2853D9F7" w14:textId="03A2D732" w:rsidR="00D84281" w:rsidRDefault="00D84281" w:rsidP="006F15E9">
      <w:pPr>
        <w:pStyle w:val="Prrafo"/>
        <w:numPr>
          <w:ilvl w:val="0"/>
          <w:numId w:val="3"/>
        </w:numPr>
        <w:ind w:left="0" w:hanging="567"/>
      </w:pPr>
      <w:r>
        <w:t xml:space="preserve">Por lo tanto, </w:t>
      </w:r>
      <w:r w:rsidR="00B2577F">
        <w:t xml:space="preserve">esta Sala debe proceder al estudio de las violaciones que </w:t>
      </w:r>
      <w:r w:rsidR="001104D4">
        <w:t>la quejosa hace valer</w:t>
      </w:r>
      <w:r w:rsidR="0032619E">
        <w:t xml:space="preserve"> a</w:t>
      </w:r>
      <w:r w:rsidR="00B2577F">
        <w:t xml:space="preserve"> sus derechos a la salud, </w:t>
      </w:r>
      <w:r w:rsidR="00D46527">
        <w:t xml:space="preserve">a la vida, a la integridad personal, </w:t>
      </w:r>
      <w:r w:rsidR="00B2577F">
        <w:t xml:space="preserve">a la igualdad y no discriminación, </w:t>
      </w:r>
      <w:r w:rsidR="00F07147">
        <w:t>así como a sus derechos sexuales y reproductivos, a la autonomía reproductiva, a los derechos que le corresponden como víctima del delito y al principio de interés superior de la niñez</w:t>
      </w:r>
      <w:r w:rsidR="00613442">
        <w:t xml:space="preserve">. En el fondo, entonces, la Sala deberá </w:t>
      </w:r>
      <w:r w:rsidR="00343624">
        <w:t>definir si ocurrieron estas violaciones y, e</w:t>
      </w:r>
      <w:r w:rsidR="00613442">
        <w:t xml:space="preserve">n su caso, cuáles son las consecuencias </w:t>
      </w:r>
      <w:r w:rsidR="005162A6">
        <w:t>que enfrentarán las autoridades responsables.</w:t>
      </w:r>
    </w:p>
    <w:p w14:paraId="20222CC6" w14:textId="7E298BCD" w:rsidR="00364E44" w:rsidRDefault="009E2C43" w:rsidP="00364E44">
      <w:pPr>
        <w:pStyle w:val="Ttulo3"/>
      </w:pPr>
      <w:r>
        <w:t>ESTUDIO DE FONDO</w:t>
      </w:r>
    </w:p>
    <w:p w14:paraId="25459DD6" w14:textId="5DA5E0B8" w:rsidR="000C72E5" w:rsidRDefault="00C67B68" w:rsidP="00837305">
      <w:pPr>
        <w:pStyle w:val="Prrafo"/>
        <w:numPr>
          <w:ilvl w:val="0"/>
          <w:numId w:val="3"/>
        </w:numPr>
        <w:ind w:left="0" w:hanging="567"/>
      </w:pPr>
      <w:r>
        <w:t>Co</w:t>
      </w:r>
      <w:r w:rsidR="00BD2F1A">
        <w:t>mo se ha adelantado, co</w:t>
      </w:r>
      <w:r>
        <w:t xml:space="preserve">rresponde a esta Sala </w:t>
      </w:r>
      <w:r w:rsidR="00837305">
        <w:t>determinar si</w:t>
      </w:r>
      <w:r w:rsidR="00001248">
        <w:t>,</w:t>
      </w:r>
      <w:r w:rsidR="00837305">
        <w:t xml:space="preserve"> con su actuación</w:t>
      </w:r>
      <w:r w:rsidR="00001248">
        <w:t>,</w:t>
      </w:r>
      <w:r w:rsidR="00837305">
        <w:t xml:space="preserve"> las autoridades </w:t>
      </w:r>
      <w:r w:rsidR="00E54B87">
        <w:t>q</w:t>
      </w:r>
      <w:r w:rsidR="002C0EB4">
        <w:t xml:space="preserve">ue han sido identificadas como responsables cumplieron o no sus </w:t>
      </w:r>
      <w:r w:rsidRPr="00D4348A">
        <w:t xml:space="preserve">obligaciones derivadas de los derechos a la </w:t>
      </w:r>
      <w:r w:rsidR="00EE7C18">
        <w:t>salud</w:t>
      </w:r>
      <w:r w:rsidR="003C3E2E">
        <w:t>,</w:t>
      </w:r>
      <w:r w:rsidR="003C3E2E" w:rsidRPr="003C3E2E">
        <w:t xml:space="preserve"> a la vida, a la integridad personal, a la igualdad y no </w:t>
      </w:r>
      <w:r w:rsidR="005B3057" w:rsidRPr="003C3E2E">
        <w:t>discriminación,</w:t>
      </w:r>
      <w:r w:rsidR="00E342F0">
        <w:t xml:space="preserve"> </w:t>
      </w:r>
      <w:r w:rsidR="003C3E2E" w:rsidRPr="003C3E2E">
        <w:t xml:space="preserve">a la autonomía reproductiva, a </w:t>
      </w:r>
      <w:r w:rsidR="0018302F">
        <w:t>aquellos que c</w:t>
      </w:r>
      <w:r w:rsidR="003C3E2E" w:rsidRPr="003C3E2E">
        <w:t xml:space="preserve">orresponden </w:t>
      </w:r>
      <w:r w:rsidR="005B3057">
        <w:t>a las</w:t>
      </w:r>
      <w:r w:rsidR="00211698">
        <w:t xml:space="preserve"> </w:t>
      </w:r>
      <w:r w:rsidR="003C3E2E" w:rsidRPr="003C3E2E">
        <w:t>víctima</w:t>
      </w:r>
      <w:r w:rsidR="00211698">
        <w:t>s</w:t>
      </w:r>
      <w:r w:rsidR="003C3E2E" w:rsidRPr="003C3E2E">
        <w:t xml:space="preserve"> del delito y </w:t>
      </w:r>
      <w:r w:rsidR="00E27C09">
        <w:t xml:space="preserve">del </w:t>
      </w:r>
      <w:r w:rsidR="003C3E2E" w:rsidRPr="003C3E2E">
        <w:t>principio de interés superior de la niñez</w:t>
      </w:r>
      <w:r w:rsidR="00C03B4A">
        <w:t xml:space="preserve"> y adolescencia</w:t>
      </w:r>
      <w:r w:rsidR="003C3E2E" w:rsidRPr="003C3E2E">
        <w:t>.</w:t>
      </w:r>
      <w:r w:rsidR="005B3057">
        <w:t xml:space="preserve"> </w:t>
      </w:r>
      <w:r w:rsidR="00223B5B">
        <w:t>Asimismo</w:t>
      </w:r>
      <w:r w:rsidR="005B3057">
        <w:t xml:space="preserve">, </w:t>
      </w:r>
      <w:r w:rsidR="00223B5B">
        <w:t xml:space="preserve">la Sala habrá de </w:t>
      </w:r>
      <w:r w:rsidR="00D71453">
        <w:t xml:space="preserve">evaluar </w:t>
      </w:r>
      <w:r w:rsidR="005B3057" w:rsidRPr="003C3E2E">
        <w:t>si</w:t>
      </w:r>
      <w:r w:rsidRPr="00D4348A">
        <w:t xml:space="preserve"> su actuación satisfizo los estándares aceptables para atender y proporcionar servicios de atención médica; en particular, la interrupción de</w:t>
      </w:r>
      <w:r w:rsidR="00B746AE">
        <w:t xml:space="preserve"> un</w:t>
      </w:r>
      <w:r w:rsidRPr="00D4348A">
        <w:t xml:space="preserve"> embarazo </w:t>
      </w:r>
      <w:r w:rsidR="00B746AE">
        <w:t>forzado.</w:t>
      </w:r>
    </w:p>
    <w:p w14:paraId="15538B6E" w14:textId="71FD4199" w:rsidR="00E73D1C" w:rsidRDefault="001470D6" w:rsidP="00897A6C">
      <w:pPr>
        <w:pStyle w:val="Prrafo"/>
        <w:numPr>
          <w:ilvl w:val="0"/>
          <w:numId w:val="3"/>
        </w:numPr>
        <w:ind w:left="0" w:hanging="567"/>
      </w:pPr>
      <w:r>
        <w:t xml:space="preserve">Para </w:t>
      </w:r>
      <w:r w:rsidR="00FF69AC">
        <w:t xml:space="preserve">responder ese cuestionamiento, esta Sala </w:t>
      </w:r>
      <w:r w:rsidR="00B746AE">
        <w:t xml:space="preserve">se valdrá de la línea jurisprudencial que el Pleno y ambas salas </w:t>
      </w:r>
      <w:r w:rsidR="00CA2CC9">
        <w:t>han conformado</w:t>
      </w:r>
      <w:r w:rsidR="00B746AE">
        <w:t xml:space="preserve"> en la materia.</w:t>
      </w:r>
      <w:r w:rsidR="00CA2CC9">
        <w:t xml:space="preserve"> Por lo tanto,</w:t>
      </w:r>
      <w:r w:rsidR="00B746AE">
        <w:t xml:space="preserve"> </w:t>
      </w:r>
      <w:r w:rsidR="00D71453">
        <w:t xml:space="preserve">esta Sala </w:t>
      </w:r>
      <w:r w:rsidR="00FF69AC">
        <w:t xml:space="preserve">retomará </w:t>
      </w:r>
      <w:r w:rsidR="00732EB0">
        <w:t>el parámetro de regularidad</w:t>
      </w:r>
      <w:r w:rsidR="00FF69AC">
        <w:t xml:space="preserve"> </w:t>
      </w:r>
      <w:r w:rsidR="00835853">
        <w:t xml:space="preserve">constitucional ya </w:t>
      </w:r>
      <w:r w:rsidR="00026E7C">
        <w:t>consolidado sobre</w:t>
      </w:r>
      <w:r w:rsidR="00732EB0">
        <w:t xml:space="preserve"> </w:t>
      </w:r>
      <w:r w:rsidR="0007003D">
        <w:t>los derechos mencionados</w:t>
      </w:r>
      <w:r w:rsidR="008D7E53">
        <w:t xml:space="preserve">, particularmente el </w:t>
      </w:r>
      <w:r w:rsidR="00091593">
        <w:t>derecho a la salud</w:t>
      </w:r>
      <w:r w:rsidR="00644418">
        <w:t>,</w:t>
      </w:r>
      <w:r w:rsidR="0007003D">
        <w:t xml:space="preserve"> </w:t>
      </w:r>
      <w:r w:rsidR="008D7E53">
        <w:t xml:space="preserve">a </w:t>
      </w:r>
      <w:r w:rsidR="0007003D">
        <w:t>la integridad personal</w:t>
      </w:r>
      <w:r w:rsidR="00644418">
        <w:t xml:space="preserve"> y a la no discriminación</w:t>
      </w:r>
      <w:r w:rsidR="0007003D">
        <w:t xml:space="preserve">, en donde </w:t>
      </w:r>
      <w:r w:rsidR="00805A3A">
        <w:t xml:space="preserve">parecen ubicarse </w:t>
      </w:r>
      <w:r w:rsidR="0007003D">
        <w:t xml:space="preserve">las violaciones </w:t>
      </w:r>
      <w:r w:rsidR="00805A3A">
        <w:t>de derechos humanos que la joven ha resentido</w:t>
      </w:r>
      <w:r w:rsidR="008D7E53">
        <w:t xml:space="preserve">. </w:t>
      </w:r>
      <w:r w:rsidR="00DF6F9E">
        <w:t xml:space="preserve">En este punto, se identificarán las obligaciones de las autoridades derivadas de </w:t>
      </w:r>
      <w:r w:rsidR="000B76A1">
        <w:lastRenderedPageBreak/>
        <w:t>tales dere</w:t>
      </w:r>
      <w:r w:rsidR="00DF6F9E">
        <w:t>chos.</w:t>
      </w:r>
      <w:r w:rsidR="00091593">
        <w:t xml:space="preserve"> </w:t>
      </w:r>
      <w:r w:rsidR="004243AB">
        <w:t xml:space="preserve">Con base </w:t>
      </w:r>
      <w:r w:rsidR="0017252B">
        <w:t xml:space="preserve">en esta doctrina, la Sala </w:t>
      </w:r>
      <w:r w:rsidR="00B408EA">
        <w:t>identificará</w:t>
      </w:r>
      <w:r w:rsidR="000B76A1">
        <w:t xml:space="preserve"> cuáles son las violaciones a derechos humanos resentidas, las obligaciones que fueron incumplidas y </w:t>
      </w:r>
      <w:r w:rsidR="00461F2F">
        <w:t>la forma en que deberán</w:t>
      </w:r>
      <w:r w:rsidR="000B76A1">
        <w:t xml:space="preserve"> repararse.</w:t>
      </w:r>
    </w:p>
    <w:p w14:paraId="1392399C" w14:textId="247A0F40" w:rsidR="003A12EE" w:rsidRDefault="00BE73E8" w:rsidP="00897A6C">
      <w:pPr>
        <w:pStyle w:val="Prrafo"/>
        <w:numPr>
          <w:ilvl w:val="0"/>
          <w:numId w:val="3"/>
        </w:numPr>
        <w:ind w:left="0" w:hanging="567"/>
      </w:pPr>
      <w:r>
        <w:t>Una cuestión preliminar que esta Sala debe destacar es la necesidad de acudir en este caso al principio de interés superior de las infancias</w:t>
      </w:r>
      <w:r w:rsidR="00D654D6">
        <w:rPr>
          <w:rStyle w:val="Refdenotaalpie"/>
        </w:rPr>
        <w:footnoteReference w:id="13"/>
      </w:r>
      <w:r w:rsidR="00987F2E">
        <w:t>.</w:t>
      </w:r>
      <w:r>
        <w:t xml:space="preserve"> </w:t>
      </w:r>
      <w:r w:rsidR="005C7B1E">
        <w:t xml:space="preserve">La jurisprudencia de esta Suprema Corte es definitiva en cuanto a que se trata de un principio interpretativo, una norma de procedimiento y un derecho sustantivo. </w:t>
      </w:r>
      <w:r w:rsidR="002A1FD1">
        <w:t>Al</w:t>
      </w:r>
      <w:r w:rsidR="005C7B1E">
        <w:t xml:space="preserve"> estar involucrada en este asunto la presunta violación de derechos de una </w:t>
      </w:r>
      <w:r w:rsidR="002A1FD1">
        <w:t>adolescente</w:t>
      </w:r>
      <w:r w:rsidR="005C7B1E">
        <w:t xml:space="preserve"> debe recurrirse a su </w:t>
      </w:r>
      <w:r w:rsidR="00D67DD9">
        <w:t>formulación.</w:t>
      </w:r>
    </w:p>
    <w:p w14:paraId="2426BC1A" w14:textId="4AD5901D" w:rsidR="006B5528" w:rsidRDefault="006B5528" w:rsidP="00897A6C">
      <w:pPr>
        <w:pStyle w:val="Prrafo"/>
        <w:numPr>
          <w:ilvl w:val="0"/>
          <w:numId w:val="3"/>
        </w:numPr>
        <w:ind w:left="0" w:hanging="567"/>
      </w:pPr>
      <w:r>
        <w:t xml:space="preserve">En este asunto, </w:t>
      </w:r>
      <w:r w:rsidR="003A12EE">
        <w:t xml:space="preserve">dicho </w:t>
      </w:r>
      <w:r>
        <w:t xml:space="preserve">principio nos obliga a </w:t>
      </w:r>
      <w:r w:rsidR="00D77828">
        <w:t xml:space="preserve">establecer </w:t>
      </w:r>
      <w:r w:rsidR="003466E7">
        <w:t xml:space="preserve">que existen una </w:t>
      </w:r>
      <w:r w:rsidR="00D77828">
        <w:t>protección reforzada y una especial vigilancia que las autoridades responsables debieron ejercer para garantizar a</w:t>
      </w:r>
      <w:r w:rsidR="0062733F">
        <w:t xml:space="preserve"> la adolescente involucrada </w:t>
      </w:r>
      <w:r w:rsidR="00D77828">
        <w:t xml:space="preserve">el goce de sus derechos. De manera que esta Sala entenderá </w:t>
      </w:r>
      <w:r w:rsidR="00987F2E">
        <w:t>–</w:t>
      </w:r>
      <w:r w:rsidR="00D77828">
        <w:t>en el desarrollo de esta sentencia</w:t>
      </w:r>
      <w:r w:rsidR="00987F2E">
        <w:t>–</w:t>
      </w:r>
      <w:r w:rsidR="00D77828">
        <w:t xml:space="preserve"> que </w:t>
      </w:r>
      <w:r w:rsidR="0019184A">
        <w:t>las autoridades responsables quedan vinculadas por un deber de cuidado cualificado.</w:t>
      </w:r>
    </w:p>
    <w:p w14:paraId="2B66A89E" w14:textId="3341A9C0" w:rsidR="00FF75C5" w:rsidRPr="00810C63" w:rsidRDefault="0059751F" w:rsidP="008113A1">
      <w:pPr>
        <w:pStyle w:val="Ttulo4"/>
      </w:pPr>
      <w:r w:rsidRPr="00810C63">
        <w:t xml:space="preserve">El acceso </w:t>
      </w:r>
      <w:r w:rsidR="00170A94" w:rsidRPr="00810C63">
        <w:t>al aborto</w:t>
      </w:r>
      <w:r w:rsidRPr="00810C63">
        <w:t xml:space="preserve"> como parte del derecho a la salud, la integridad personal </w:t>
      </w:r>
      <w:r w:rsidR="00810C63" w:rsidRPr="00810C63">
        <w:t>y la autonomía reproductiva</w:t>
      </w:r>
    </w:p>
    <w:p w14:paraId="2CD71AC1" w14:textId="73249A5F" w:rsidR="002E0005" w:rsidRDefault="000A5A54" w:rsidP="002E0005">
      <w:pPr>
        <w:pStyle w:val="Prrafo"/>
        <w:numPr>
          <w:ilvl w:val="0"/>
          <w:numId w:val="3"/>
        </w:numPr>
        <w:ind w:left="0" w:hanging="567"/>
      </w:pPr>
      <w:r>
        <w:t>Esta Suprema Corte ha sostenido que el derecho a la salud, contemplado en el artículo 4 constitucional, comprende “el derecho de toda persona al disfrute del más alto nivel posible de salud física y mental”</w:t>
      </w:r>
      <w:r w:rsidRPr="001B5730">
        <w:rPr>
          <w:rStyle w:val="Refdenotaalpie"/>
        </w:rPr>
        <w:footnoteReference w:id="14"/>
      </w:r>
      <w:r>
        <w:t xml:space="preserve">. Además, que se trata de </w:t>
      </w:r>
      <w:r>
        <w:lastRenderedPageBreak/>
        <w:t>un derecho justiciable en distintas dimensiones de actividad.</w:t>
      </w:r>
      <w:r w:rsidR="00C81AC2">
        <w:t xml:space="preserve"> En efecto</w:t>
      </w:r>
      <w:r w:rsidR="002E0005">
        <w:t>, el Pleno de la Suprema Corte de Justicia de la Nación, al resolver el amparo en revisión 315/2010, sostuvo que las obligaciones de las autoridades sanitarias en materia del derecho a la salud tienen como fuente primordial la Constitución y, por tanto, son susceptibles de supervisión directa de parte de las juezas y los jueces constitucionales</w:t>
      </w:r>
      <w:r w:rsidR="002E0005">
        <w:rPr>
          <w:rStyle w:val="Refdenotaalpie"/>
        </w:rPr>
        <w:footnoteReference w:id="15"/>
      </w:r>
      <w:r w:rsidR="0046360F">
        <w:t>.</w:t>
      </w:r>
    </w:p>
    <w:p w14:paraId="3217B6E0" w14:textId="6DC0E8B7" w:rsidR="000A5A54" w:rsidRDefault="000A5A54" w:rsidP="000A5A54">
      <w:pPr>
        <w:pStyle w:val="Prrafo"/>
        <w:numPr>
          <w:ilvl w:val="0"/>
          <w:numId w:val="3"/>
        </w:numPr>
        <w:ind w:left="0" w:hanging="567"/>
      </w:pPr>
      <w:r>
        <w:t>En el amparo en revisión 1388/2015</w:t>
      </w:r>
      <w:r>
        <w:rPr>
          <w:rStyle w:val="Refdenotaalpie"/>
        </w:rPr>
        <w:footnoteReference w:id="16"/>
      </w:r>
      <w:r>
        <w:t>, la Primera Sala desarrolló estándares sobre el derecho a la salud y su relación con otros derechos, en el marco de la interrupción del embarazo. Estos estándares fueron retomados por el Pleno en la acción de inconstitucionalidad 148/2017</w:t>
      </w:r>
      <w:r>
        <w:rPr>
          <w:rStyle w:val="Refdenotaalpie"/>
        </w:rPr>
        <w:footnoteReference w:id="17"/>
      </w:r>
      <w:r>
        <w:t xml:space="preserve"> y en la</w:t>
      </w:r>
      <w:r w:rsidR="003E0A5C">
        <w:t xml:space="preserve"> acción de inconstitucionalidad </w:t>
      </w:r>
      <w:r>
        <w:t xml:space="preserve">106/2018 y </w:t>
      </w:r>
      <w:r w:rsidR="003E0A5C">
        <w:t xml:space="preserve">su </w:t>
      </w:r>
      <w:r>
        <w:t>acumulada 107/2018</w:t>
      </w:r>
      <w:r>
        <w:rPr>
          <w:rStyle w:val="Refdenotaalpie"/>
        </w:rPr>
        <w:footnoteReference w:id="18"/>
      </w:r>
      <w:r>
        <w:t>.</w:t>
      </w:r>
    </w:p>
    <w:p w14:paraId="52CF87B7" w14:textId="751E03CC" w:rsidR="000A5A54" w:rsidRDefault="000A5A54" w:rsidP="000A5A54">
      <w:pPr>
        <w:pStyle w:val="Prrafo"/>
        <w:numPr>
          <w:ilvl w:val="0"/>
          <w:numId w:val="3"/>
        </w:numPr>
        <w:ind w:left="0" w:hanging="567"/>
      </w:pPr>
      <w:r>
        <w:t xml:space="preserve">En el primero de los precedentes, se dijo que el artículo </w:t>
      </w:r>
      <w:r w:rsidRPr="005C1460">
        <w:t xml:space="preserve">1° constitucional prevé que todas las autoridades tienen la obligación de respeto, garantía y </w:t>
      </w:r>
      <w:r w:rsidRPr="005C1460">
        <w:lastRenderedPageBreak/>
        <w:t>protección en relación con los derechos humanos. En específico, el precedente destacó la decisión de</w:t>
      </w:r>
      <w:r w:rsidR="007735BF">
        <w:t>l</w:t>
      </w:r>
      <w:r w:rsidRPr="005C1460">
        <w:t xml:space="preserve"> Pleno sobre los tres tipos de obligaciones derivadas del derecho a la salud: de respeto, protección y cumplimiento (garantía)</w:t>
      </w:r>
      <w:r w:rsidRPr="005C1460">
        <w:rPr>
          <w:rStyle w:val="Refdenotaalpie"/>
        </w:rPr>
        <w:footnoteReference w:id="19"/>
      </w:r>
      <w:r w:rsidRPr="005C1460">
        <w:t>. Dichas obligaciones garantizan “pretensiones en términos de disponibilidad, accesibilidad, no discriminación, aceptabilidad y calidad de los servicios de salud”</w:t>
      </w:r>
      <w:r w:rsidRPr="005C1460">
        <w:rPr>
          <w:rStyle w:val="Refdenotaalpie"/>
        </w:rPr>
        <w:footnoteReference w:id="20"/>
      </w:r>
      <w:r w:rsidRPr="005C1460">
        <w:t>.</w:t>
      </w:r>
    </w:p>
    <w:p w14:paraId="7E96573C" w14:textId="5690F121" w:rsidR="000A5A54" w:rsidRPr="005C1460" w:rsidRDefault="000A5A54" w:rsidP="000A5A54">
      <w:pPr>
        <w:pStyle w:val="Prrafo"/>
        <w:numPr>
          <w:ilvl w:val="0"/>
          <w:numId w:val="3"/>
        </w:numPr>
        <w:ind w:left="0" w:hanging="567"/>
        <w:rPr>
          <w:color w:val="000000"/>
        </w:rPr>
      </w:pPr>
      <w:r>
        <w:t xml:space="preserve">Se </w:t>
      </w:r>
      <w:r w:rsidRPr="005C1460">
        <w:t>dijo también que el parámetro de regularidad constitucional del derecho a la salud exige el cumplimiento de deberes concretos a las autoridades del Estado, pues se ha establecido que la salud es un bien público cuya protección está</w:t>
      </w:r>
      <w:r w:rsidR="009B2CC4">
        <w:t xml:space="preserve"> a su </w:t>
      </w:r>
      <w:r w:rsidRPr="005C1460">
        <w:t>cargo</w:t>
      </w:r>
      <w:r w:rsidRPr="005C1460">
        <w:rPr>
          <w:rStyle w:val="Refdenotaalpie"/>
        </w:rPr>
        <w:footnoteReference w:id="21"/>
      </w:r>
      <w:r w:rsidRPr="005C1460">
        <w:t>. Así, este derecho impone, por un lado, deberes complejos a todos los poderes públicos dentro del Estado, desde la legislatura y la administración, hospitales públicos y su personal médico, hasta los tribunales y, por otro lado, impone deberes a los particulares, como las médicas y médicos, hospitales privados, empleadores y administradores de fondo de pensiones y jubilaciones</w:t>
      </w:r>
      <w:r w:rsidRPr="005C1460">
        <w:rPr>
          <w:rStyle w:val="Refdenotaalpie"/>
        </w:rPr>
        <w:footnoteReference w:id="22"/>
      </w:r>
      <w:r w:rsidRPr="005C1460">
        <w:t>.</w:t>
      </w:r>
    </w:p>
    <w:p w14:paraId="4EEE6345" w14:textId="78DDAD0F" w:rsidR="00426F9B" w:rsidRPr="00426F9B" w:rsidRDefault="000A5A54" w:rsidP="000A5A54">
      <w:pPr>
        <w:pStyle w:val="Prrafo"/>
        <w:numPr>
          <w:ilvl w:val="0"/>
          <w:numId w:val="3"/>
        </w:numPr>
        <w:ind w:left="0" w:hanging="567"/>
        <w:rPr>
          <w:color w:val="000000"/>
        </w:rPr>
      </w:pPr>
      <w:r w:rsidRPr="005C1460">
        <w:t xml:space="preserve">Estos mandatos específicos –continúa el precedente– se enmarcan en las obligaciones generales y deberes asignados por la Constitución a todas las autoridades en el ámbito de sus respectivas competencias cuando de </w:t>
      </w:r>
      <w:r w:rsidRPr="005C1460">
        <w:lastRenderedPageBreak/>
        <w:t xml:space="preserve">derechos humanos se trata. Según </w:t>
      </w:r>
      <w:r w:rsidR="001B2C1D">
        <w:t xml:space="preserve">la </w:t>
      </w:r>
      <w:r w:rsidR="004B4606">
        <w:t>O</w:t>
      </w:r>
      <w:r w:rsidR="001B2C1D">
        <w:t>bservación general</w:t>
      </w:r>
      <w:r w:rsidRPr="005C1460">
        <w:t xml:space="preserve"> 14 del Comité de Derechos Económicos, Sociales y Culturales, la obligación de respetar el derecho a la salud implica no negar o limitar el acceso igual de todas las personas, a los servicios de salud preventivos, curativos y paliativos, y abstenerse de imponer prácticas discriminatorias en relación con el estado de salud y las necesidades de las mujeres y las personas gestantes</w:t>
      </w:r>
      <w:r w:rsidR="00962B77">
        <w:t>.</w:t>
      </w:r>
    </w:p>
    <w:p w14:paraId="689D9E3E" w14:textId="6B44F16A" w:rsidR="000A5A54" w:rsidRPr="001F0A11" w:rsidRDefault="000A5A54" w:rsidP="000A5A54">
      <w:pPr>
        <w:pStyle w:val="Prrafo"/>
        <w:numPr>
          <w:ilvl w:val="0"/>
          <w:numId w:val="3"/>
        </w:numPr>
        <w:ind w:left="0" w:hanging="567"/>
        <w:rPr>
          <w:color w:val="000000"/>
        </w:rPr>
      </w:pPr>
      <w:r w:rsidRPr="005C1460">
        <w:t>La obligación de cumplir o garantizar requiere en particular que los Estados adopten medidas positivas que permitan y ayuden a los particulares y las comunidades a disfrutar del derecho a la salud; requiere que los Estados emprendan actividades para promover, mantener y restablecer la salud de la población, y exige que las autoridades adopten medidas apropiadas en todos sus ámbitos de acción para hacer plenamente efectivo el derecho a la salud</w:t>
      </w:r>
      <w:r w:rsidRPr="005C1460">
        <w:rPr>
          <w:rStyle w:val="Refdenotaalpie"/>
        </w:rPr>
        <w:footnoteReference w:id="23"/>
      </w:r>
      <w:r w:rsidRPr="005C1460">
        <w:t>.</w:t>
      </w:r>
      <w:r>
        <w:t xml:space="preserve"> De manera específica, la obligación de cumplir o garantizar implica la obligación de prestar servicios de maternidad segura.</w:t>
      </w:r>
    </w:p>
    <w:p w14:paraId="01CC9DB3" w14:textId="48C52823" w:rsidR="000A5A54" w:rsidRDefault="000A5A54" w:rsidP="000A5A54">
      <w:pPr>
        <w:pStyle w:val="Prrafo"/>
        <w:numPr>
          <w:ilvl w:val="0"/>
          <w:numId w:val="3"/>
        </w:numPr>
        <w:ind w:left="0" w:hanging="567"/>
      </w:pPr>
      <w:r>
        <w:t>Se destacó también que e</w:t>
      </w:r>
      <w:r w:rsidRPr="00C3176C">
        <w:t>l cumplimiento de estas obligaciones est</w:t>
      </w:r>
      <w:r>
        <w:t xml:space="preserve">á </w:t>
      </w:r>
      <w:r w:rsidR="00F41C44">
        <w:t>calificado</w:t>
      </w:r>
      <w:r>
        <w:t xml:space="preserve"> –de conformidad con </w:t>
      </w:r>
      <w:r w:rsidRPr="00C3176C">
        <w:t>la Observación General 14 del Comité de Derechos Económicos Sociales y Culturales</w:t>
      </w:r>
      <w:r>
        <w:t>–</w:t>
      </w:r>
      <w:r w:rsidRPr="00C3176C">
        <w:t xml:space="preserve"> por los siguientes elementos institucionales en materia del derecho a la salud que, además, están interrelacionados:</w:t>
      </w:r>
    </w:p>
    <w:p w14:paraId="21CA8218" w14:textId="4AE97BAD" w:rsidR="000A5A54" w:rsidRDefault="000A5A54" w:rsidP="000A5A54">
      <w:pPr>
        <w:pStyle w:val="Prrafo"/>
        <w:numPr>
          <w:ilvl w:val="0"/>
          <w:numId w:val="13"/>
        </w:numPr>
        <w:ind w:left="927"/>
      </w:pPr>
      <w:r w:rsidRPr="00C3176C">
        <w:rPr>
          <w:smallCaps/>
        </w:rPr>
        <w:t>Disponibilidad</w:t>
      </w:r>
      <w:r w:rsidRPr="00C3176C">
        <w:t xml:space="preserve">: Cada Estado Parte deberá contar con un número suficiente de establecimientos, bienes y servicios públicos de salud y centros de atención de la salud […] Con todo, esos servicios incluirán los factores determinantes básicos de la salud, como agua limpia potable y condiciones sanitarias adecuadas, hospitales, clínicas y demás establecimientos relacionados con la salud, personal médico y profesional capacitado y bien remunerado habida cuenta de las </w:t>
      </w:r>
      <w:r w:rsidRPr="00C3176C">
        <w:lastRenderedPageBreak/>
        <w:t>condiciones que existen en el país, así como</w:t>
      </w:r>
      <w:r>
        <w:t xml:space="preserve"> </w:t>
      </w:r>
      <w:r w:rsidRPr="00C3176C">
        <w:t>los</w:t>
      </w:r>
      <w:r>
        <w:t xml:space="preserve"> </w:t>
      </w:r>
      <w:r w:rsidRPr="00C3176C">
        <w:t>medicamentos esenciales definidos en el</w:t>
      </w:r>
      <w:r>
        <w:t xml:space="preserve"> </w:t>
      </w:r>
      <w:r w:rsidRPr="00C3176C">
        <w:t>Programa de Acción sobre medicamentos esenciales de la OMS</w:t>
      </w:r>
      <w:r w:rsidR="00F41C44">
        <w:t>.</w:t>
      </w:r>
    </w:p>
    <w:p w14:paraId="70ED90AF" w14:textId="77777777" w:rsidR="000A5A54" w:rsidRDefault="000A5A54" w:rsidP="000A5A54">
      <w:pPr>
        <w:pStyle w:val="Prrafo"/>
        <w:numPr>
          <w:ilvl w:val="0"/>
          <w:numId w:val="13"/>
        </w:numPr>
        <w:ind w:left="927"/>
      </w:pPr>
      <w:r w:rsidRPr="00C3176C">
        <w:rPr>
          <w:smallCaps/>
        </w:rPr>
        <w:t>Accesibilidad</w:t>
      </w:r>
      <w:r w:rsidRPr="00C3176C">
        <w:t>: Los establecimientos, bienes y servicios de salud deben ser accesibles a todos, sin discriminación alguna, dentro de la jurisdicción del</w:t>
      </w:r>
      <w:r>
        <w:t xml:space="preserve"> </w:t>
      </w:r>
      <w:r w:rsidRPr="00C3176C">
        <w:t>Estado</w:t>
      </w:r>
      <w:r>
        <w:t xml:space="preserve"> </w:t>
      </w:r>
      <w:r w:rsidRPr="00C3176C">
        <w:t>Parte. La accesibilidad presenta cuatro dimensiones:</w:t>
      </w:r>
    </w:p>
    <w:p w14:paraId="64D482BB" w14:textId="77777777" w:rsidR="000A5A54" w:rsidRPr="009C7908" w:rsidRDefault="000A5A54" w:rsidP="000A5A54">
      <w:pPr>
        <w:pStyle w:val="Prrafo"/>
        <w:numPr>
          <w:ilvl w:val="1"/>
          <w:numId w:val="13"/>
        </w:numPr>
        <w:ind w:left="1494"/>
      </w:pPr>
      <w:r w:rsidRPr="009C7908">
        <w:rPr>
          <w:i/>
        </w:rPr>
        <w:t>No discriminación</w:t>
      </w:r>
      <w:r w:rsidRPr="009C7908">
        <w:t>: los establecimientos, bienes y servicios de salud deben ser accesibles, de hecho y de derecho, a los sectores más vulnerables y marginados de la población, sin discriminación alguna por cualquiera de los motivos prohibidos.</w:t>
      </w:r>
    </w:p>
    <w:p w14:paraId="47A83532" w14:textId="77777777" w:rsidR="000A5A54" w:rsidRDefault="000A5A54" w:rsidP="000A5A54">
      <w:pPr>
        <w:pStyle w:val="Prrafo"/>
        <w:numPr>
          <w:ilvl w:val="1"/>
          <w:numId w:val="13"/>
        </w:numPr>
        <w:ind w:left="1494"/>
      </w:pPr>
      <w:r w:rsidRPr="00C3176C">
        <w:rPr>
          <w:i/>
        </w:rPr>
        <w:t>Accesibilidad</w:t>
      </w:r>
      <w:r>
        <w:rPr>
          <w:i/>
        </w:rPr>
        <w:t xml:space="preserve"> </w:t>
      </w:r>
      <w:r w:rsidRPr="00C3176C">
        <w:rPr>
          <w:i/>
        </w:rPr>
        <w:t>física</w:t>
      </w:r>
      <w:r w:rsidRPr="00C3176C">
        <w:t>: los establecimientos,</w:t>
      </w:r>
      <w:r>
        <w:t xml:space="preserve"> </w:t>
      </w:r>
      <w:r w:rsidRPr="00C3176C">
        <w:t>bienes</w:t>
      </w:r>
      <w:r>
        <w:t xml:space="preserve"> </w:t>
      </w:r>
      <w:r w:rsidRPr="00C3176C">
        <w:t>y</w:t>
      </w:r>
      <w:r>
        <w:t xml:space="preserve"> </w:t>
      </w:r>
      <w:r w:rsidRPr="00C3176C">
        <w:t>servicios</w:t>
      </w:r>
      <w:r>
        <w:t xml:space="preserve"> </w:t>
      </w:r>
      <w:r w:rsidRPr="00C3176C">
        <w:t>de</w:t>
      </w:r>
      <w:r>
        <w:t xml:space="preserve"> </w:t>
      </w:r>
      <w:r w:rsidRPr="00C3176C">
        <w:t>salud</w:t>
      </w:r>
      <w:r>
        <w:t xml:space="preserve"> </w:t>
      </w:r>
      <w:r w:rsidRPr="00C3176C">
        <w:t>deberán</w:t>
      </w:r>
      <w:r>
        <w:t xml:space="preserve"> </w:t>
      </w:r>
      <w:r w:rsidRPr="00C3176C">
        <w:t>estar</w:t>
      </w:r>
      <w:r>
        <w:t xml:space="preserve"> </w:t>
      </w:r>
      <w:r w:rsidRPr="00C3176C">
        <w:t>al</w:t>
      </w:r>
      <w:r>
        <w:t xml:space="preserve"> </w:t>
      </w:r>
      <w:r w:rsidRPr="00C3176C">
        <w:t>alcance geográfico de todos los sectores de la población, en especial los grupos vulnerables o marginados, como las</w:t>
      </w:r>
      <w:r>
        <w:t xml:space="preserve"> </w:t>
      </w:r>
      <w:r w:rsidRPr="00C3176C">
        <w:t>minorías</w:t>
      </w:r>
      <w:r>
        <w:t xml:space="preserve"> </w:t>
      </w:r>
      <w:r w:rsidRPr="00C3176C">
        <w:t>étnicas</w:t>
      </w:r>
      <w:r>
        <w:t xml:space="preserve"> </w:t>
      </w:r>
      <w:r w:rsidRPr="00C3176C">
        <w:t>y</w:t>
      </w:r>
      <w:r>
        <w:t xml:space="preserve"> </w:t>
      </w:r>
      <w:r w:rsidRPr="00C3176C">
        <w:t>poblaciones</w:t>
      </w:r>
      <w:r>
        <w:t xml:space="preserve"> </w:t>
      </w:r>
      <w:r w:rsidRPr="00C3176C">
        <w:t>indígenas,</w:t>
      </w:r>
      <w:r>
        <w:t xml:space="preserve"> </w:t>
      </w:r>
      <w:r w:rsidRPr="00C3176C">
        <w:t>las mujeres,</w:t>
      </w:r>
      <w:r>
        <w:t xml:space="preserve"> </w:t>
      </w:r>
      <w:r w:rsidRPr="00C3176C">
        <w:t>los</w:t>
      </w:r>
      <w:r>
        <w:t xml:space="preserve"> </w:t>
      </w:r>
      <w:r w:rsidRPr="00C3176C">
        <w:t>niños,</w:t>
      </w:r>
      <w:r>
        <w:t xml:space="preserve"> </w:t>
      </w:r>
      <w:r w:rsidRPr="00C3176C">
        <w:t>los</w:t>
      </w:r>
      <w:r>
        <w:t xml:space="preserve"> </w:t>
      </w:r>
      <w:r w:rsidRPr="00C3176C">
        <w:t>adolescentes,</w:t>
      </w:r>
      <w:r>
        <w:t xml:space="preserve"> </w:t>
      </w:r>
      <w:r w:rsidRPr="00C3176C">
        <w:t>las</w:t>
      </w:r>
      <w:r>
        <w:t xml:space="preserve"> </w:t>
      </w:r>
      <w:r w:rsidRPr="00C3176C">
        <w:t>personas mayores,</w:t>
      </w:r>
      <w:r>
        <w:t xml:space="preserve"> </w:t>
      </w:r>
      <w:r w:rsidRPr="00C3176C">
        <w:t>las</w:t>
      </w:r>
      <w:r>
        <w:t xml:space="preserve"> </w:t>
      </w:r>
      <w:r w:rsidRPr="00C3176C">
        <w:t>personas</w:t>
      </w:r>
      <w:r>
        <w:t xml:space="preserve"> </w:t>
      </w:r>
      <w:r w:rsidRPr="00C3176C">
        <w:t>con</w:t>
      </w:r>
      <w:r>
        <w:t xml:space="preserve"> </w:t>
      </w:r>
      <w:r w:rsidRPr="00C3176C">
        <w:t>discapacidades</w:t>
      </w:r>
      <w:r>
        <w:t xml:space="preserve"> </w:t>
      </w:r>
      <w:r w:rsidRPr="00C3176C">
        <w:t>y</w:t>
      </w:r>
      <w:r>
        <w:t xml:space="preserve"> </w:t>
      </w:r>
      <w:r w:rsidRPr="00C3176C">
        <w:t>las</w:t>
      </w:r>
      <w:r>
        <w:t xml:space="preserve"> </w:t>
      </w:r>
      <w:r w:rsidRPr="00C3176C">
        <w:t>personas</w:t>
      </w:r>
      <w:r>
        <w:t xml:space="preserve"> </w:t>
      </w:r>
      <w:r w:rsidRPr="00C3176C">
        <w:t>con</w:t>
      </w:r>
      <w:r>
        <w:t xml:space="preserve"> </w:t>
      </w:r>
      <w:r w:rsidRPr="00C3176C">
        <w:t>VIH/SIDA.</w:t>
      </w:r>
      <w:r>
        <w:t xml:space="preserve"> </w:t>
      </w:r>
      <w:r w:rsidRPr="00C3176C">
        <w:t>La</w:t>
      </w:r>
      <w:r>
        <w:t xml:space="preserve"> </w:t>
      </w:r>
      <w:r w:rsidRPr="00C3176C">
        <w:t>accesibilidad</w:t>
      </w:r>
      <w:r>
        <w:t xml:space="preserve"> </w:t>
      </w:r>
      <w:r w:rsidRPr="00C3176C">
        <w:t>también implica</w:t>
      </w:r>
      <w:r>
        <w:t xml:space="preserve"> </w:t>
      </w:r>
      <w:r w:rsidRPr="00C3176C">
        <w:t>que</w:t>
      </w:r>
      <w:r>
        <w:t xml:space="preserve"> </w:t>
      </w:r>
      <w:r w:rsidRPr="00C3176C">
        <w:t>los</w:t>
      </w:r>
      <w:r>
        <w:t xml:space="preserve"> </w:t>
      </w:r>
      <w:r w:rsidRPr="00C3176C">
        <w:t>servicios</w:t>
      </w:r>
      <w:r>
        <w:t xml:space="preserve"> </w:t>
      </w:r>
      <w:r w:rsidRPr="00C3176C">
        <w:t>médicos</w:t>
      </w:r>
      <w:r>
        <w:t xml:space="preserve"> </w:t>
      </w:r>
      <w:r w:rsidRPr="00C3176C">
        <w:t>y</w:t>
      </w:r>
      <w:r>
        <w:t xml:space="preserve"> </w:t>
      </w:r>
      <w:r w:rsidRPr="00C3176C">
        <w:t>los</w:t>
      </w:r>
      <w:r>
        <w:t xml:space="preserve"> </w:t>
      </w:r>
      <w:r w:rsidRPr="00C3176C">
        <w:t>factores</w:t>
      </w:r>
      <w:r>
        <w:t xml:space="preserve"> </w:t>
      </w:r>
      <w:r w:rsidRPr="00C3176C">
        <w:t>determinantes</w:t>
      </w:r>
      <w:r>
        <w:t xml:space="preserve"> </w:t>
      </w:r>
      <w:r w:rsidRPr="00C3176C">
        <w:t>básicos</w:t>
      </w:r>
      <w:r>
        <w:t xml:space="preserve"> </w:t>
      </w:r>
      <w:r w:rsidRPr="00C3176C">
        <w:t>de</w:t>
      </w:r>
      <w:r>
        <w:t xml:space="preserve"> </w:t>
      </w:r>
      <w:r w:rsidRPr="00C3176C">
        <w:t>la</w:t>
      </w:r>
      <w:r>
        <w:t xml:space="preserve"> </w:t>
      </w:r>
      <w:r w:rsidRPr="00C3176C">
        <w:t>salud,</w:t>
      </w:r>
      <w:r>
        <w:t xml:space="preserve"> </w:t>
      </w:r>
      <w:r w:rsidRPr="00C3176C">
        <w:t>como</w:t>
      </w:r>
      <w:r>
        <w:t xml:space="preserve"> </w:t>
      </w:r>
      <w:r w:rsidRPr="00C3176C">
        <w:t>el</w:t>
      </w:r>
      <w:r>
        <w:t xml:space="preserve"> </w:t>
      </w:r>
      <w:r w:rsidRPr="00C3176C">
        <w:t>agua</w:t>
      </w:r>
      <w:r>
        <w:t xml:space="preserve"> </w:t>
      </w:r>
      <w:r w:rsidRPr="00C3176C">
        <w:t>limpia potable</w:t>
      </w:r>
      <w:r>
        <w:t xml:space="preserve"> </w:t>
      </w:r>
      <w:r w:rsidRPr="00C3176C">
        <w:t>y</w:t>
      </w:r>
      <w:r>
        <w:t xml:space="preserve"> </w:t>
      </w:r>
      <w:r w:rsidRPr="00C3176C">
        <w:t>los</w:t>
      </w:r>
      <w:r>
        <w:t xml:space="preserve"> </w:t>
      </w:r>
      <w:r w:rsidRPr="00C3176C">
        <w:t>servicios</w:t>
      </w:r>
      <w:r>
        <w:t xml:space="preserve"> </w:t>
      </w:r>
      <w:r w:rsidRPr="00C3176C">
        <w:t>sanitarios</w:t>
      </w:r>
      <w:r>
        <w:t xml:space="preserve"> </w:t>
      </w:r>
      <w:r w:rsidRPr="00C3176C">
        <w:t>adecuados,</w:t>
      </w:r>
      <w:r>
        <w:t xml:space="preserve"> </w:t>
      </w:r>
      <w:r w:rsidRPr="00C3176C">
        <w:t>se</w:t>
      </w:r>
      <w:r>
        <w:t xml:space="preserve"> </w:t>
      </w:r>
      <w:r w:rsidRPr="00C3176C">
        <w:t>encuentran</w:t>
      </w:r>
      <w:r>
        <w:t xml:space="preserve"> </w:t>
      </w:r>
      <w:r w:rsidRPr="00C3176C">
        <w:t>a</w:t>
      </w:r>
      <w:r>
        <w:t xml:space="preserve"> </w:t>
      </w:r>
      <w:r w:rsidRPr="00C3176C">
        <w:t>una</w:t>
      </w:r>
      <w:r>
        <w:t xml:space="preserve"> </w:t>
      </w:r>
      <w:r w:rsidRPr="00C3176C">
        <w:t>distancia</w:t>
      </w:r>
      <w:r>
        <w:t xml:space="preserve"> </w:t>
      </w:r>
      <w:r w:rsidRPr="00C3176C">
        <w:t>geográfica</w:t>
      </w:r>
      <w:r>
        <w:t xml:space="preserve"> </w:t>
      </w:r>
      <w:r w:rsidRPr="00C3176C">
        <w:t>razonable,</w:t>
      </w:r>
      <w:r>
        <w:t xml:space="preserve"> </w:t>
      </w:r>
      <w:r w:rsidRPr="00C3176C">
        <w:t>incluso en</w:t>
      </w:r>
      <w:r>
        <w:t xml:space="preserve"> </w:t>
      </w:r>
      <w:r w:rsidRPr="00C3176C">
        <w:t>lo</w:t>
      </w:r>
      <w:r>
        <w:t xml:space="preserve"> </w:t>
      </w:r>
      <w:r w:rsidRPr="00C3176C">
        <w:t>que</w:t>
      </w:r>
      <w:r>
        <w:t xml:space="preserve"> </w:t>
      </w:r>
      <w:r w:rsidRPr="00C3176C">
        <w:t>se</w:t>
      </w:r>
      <w:r>
        <w:t xml:space="preserve"> </w:t>
      </w:r>
      <w:r w:rsidRPr="00C3176C">
        <w:t>refiere</w:t>
      </w:r>
      <w:r>
        <w:t xml:space="preserve"> </w:t>
      </w:r>
      <w:r w:rsidRPr="00C3176C">
        <w:t>a</w:t>
      </w:r>
      <w:r>
        <w:t xml:space="preserve"> </w:t>
      </w:r>
      <w:r w:rsidRPr="00C3176C">
        <w:t>las</w:t>
      </w:r>
      <w:r>
        <w:t xml:space="preserve"> </w:t>
      </w:r>
      <w:r w:rsidRPr="00C3176C">
        <w:t>zonas</w:t>
      </w:r>
      <w:r>
        <w:t xml:space="preserve"> </w:t>
      </w:r>
      <w:r w:rsidRPr="00C3176C">
        <w:t>rurales.</w:t>
      </w:r>
      <w:r>
        <w:t xml:space="preserve"> </w:t>
      </w:r>
      <w:r w:rsidRPr="00C3176C">
        <w:t>Además,</w:t>
      </w:r>
      <w:r>
        <w:t xml:space="preserve"> </w:t>
      </w:r>
      <w:r w:rsidRPr="00C3176C">
        <w:t>la</w:t>
      </w:r>
      <w:r>
        <w:t xml:space="preserve"> </w:t>
      </w:r>
      <w:r w:rsidRPr="00C3176C">
        <w:t>accesibilidad</w:t>
      </w:r>
      <w:r>
        <w:t xml:space="preserve"> </w:t>
      </w:r>
      <w:r w:rsidRPr="00C3176C">
        <w:t>comprende</w:t>
      </w:r>
      <w:r>
        <w:t xml:space="preserve"> </w:t>
      </w:r>
      <w:r w:rsidRPr="00C3176C">
        <w:t>el</w:t>
      </w:r>
      <w:r>
        <w:t xml:space="preserve"> </w:t>
      </w:r>
      <w:r w:rsidRPr="00C3176C">
        <w:t>acceso</w:t>
      </w:r>
      <w:r>
        <w:t xml:space="preserve"> </w:t>
      </w:r>
      <w:r w:rsidRPr="00C3176C">
        <w:t>adecuado</w:t>
      </w:r>
      <w:r>
        <w:t xml:space="preserve"> </w:t>
      </w:r>
      <w:r w:rsidRPr="00C3176C">
        <w:t>a</w:t>
      </w:r>
      <w:r>
        <w:t xml:space="preserve"> </w:t>
      </w:r>
      <w:r w:rsidRPr="00C3176C">
        <w:t>los edificios para las personas con discapacidades.</w:t>
      </w:r>
    </w:p>
    <w:p w14:paraId="1B0DA345" w14:textId="05CD6A86" w:rsidR="000A5A54" w:rsidRDefault="000A5A54" w:rsidP="000A5A54">
      <w:pPr>
        <w:pStyle w:val="Prrafo"/>
        <w:numPr>
          <w:ilvl w:val="1"/>
          <w:numId w:val="13"/>
        </w:numPr>
        <w:ind w:left="1494"/>
      </w:pPr>
      <w:r w:rsidRPr="00C3176C">
        <w:rPr>
          <w:i/>
        </w:rPr>
        <w:t>Accesibilidad económica</w:t>
      </w:r>
      <w:r w:rsidRPr="00C3176C">
        <w:t xml:space="preserve"> (asequibilidad): los</w:t>
      </w:r>
      <w:r>
        <w:t xml:space="preserve"> </w:t>
      </w:r>
      <w:r w:rsidRPr="00C3176C">
        <w:t>establecimientos,</w:t>
      </w:r>
      <w:r>
        <w:t xml:space="preserve"> </w:t>
      </w:r>
      <w:r w:rsidRPr="00C3176C">
        <w:t>bienes</w:t>
      </w:r>
      <w:r>
        <w:t xml:space="preserve"> </w:t>
      </w:r>
      <w:r w:rsidRPr="00C3176C">
        <w:t>y</w:t>
      </w:r>
      <w:r>
        <w:t xml:space="preserve"> </w:t>
      </w:r>
      <w:r w:rsidRPr="00C3176C">
        <w:t>servicios</w:t>
      </w:r>
      <w:r>
        <w:t xml:space="preserve"> </w:t>
      </w:r>
      <w:r w:rsidRPr="00C3176C">
        <w:t>de</w:t>
      </w:r>
      <w:r>
        <w:t xml:space="preserve"> </w:t>
      </w:r>
      <w:r w:rsidRPr="00C3176C">
        <w:t>salud</w:t>
      </w:r>
      <w:r>
        <w:t xml:space="preserve"> </w:t>
      </w:r>
      <w:r w:rsidRPr="00C3176C">
        <w:t xml:space="preserve">deberán estar al alcance de todos. Los pagos por servicios de atención de la salud y servicios relacionados con los factores determinantes básicos de la salud deberán basarse en el principio de la equidad, a fin de asegurar que esos servicios, sean públicos o privados, estén al alcance </w:t>
      </w:r>
      <w:r w:rsidRPr="00C3176C">
        <w:lastRenderedPageBreak/>
        <w:t>de todos, incluidos los grupos socialmente desfavorecidos.</w:t>
      </w:r>
      <w:r>
        <w:t xml:space="preserve"> </w:t>
      </w:r>
      <w:r w:rsidRPr="00C3176C">
        <w:t>La equidad</w:t>
      </w:r>
      <w:r>
        <w:t xml:space="preserve"> </w:t>
      </w:r>
      <w:r w:rsidRPr="00C3176C">
        <w:t>exige</w:t>
      </w:r>
      <w:r>
        <w:t xml:space="preserve"> </w:t>
      </w:r>
      <w:r w:rsidRPr="00C3176C">
        <w:t>que</w:t>
      </w:r>
      <w:r>
        <w:t xml:space="preserve"> </w:t>
      </w:r>
      <w:r w:rsidRPr="00C3176C">
        <w:t>sobre</w:t>
      </w:r>
      <w:r>
        <w:t xml:space="preserve"> </w:t>
      </w:r>
      <w:r w:rsidRPr="00C3176C">
        <w:t>los</w:t>
      </w:r>
      <w:r>
        <w:t xml:space="preserve"> </w:t>
      </w:r>
      <w:r w:rsidRPr="00C3176C">
        <w:t>hogares</w:t>
      </w:r>
      <w:r>
        <w:t xml:space="preserve"> </w:t>
      </w:r>
      <w:r w:rsidRPr="00C3176C">
        <w:t>más</w:t>
      </w:r>
      <w:r>
        <w:t xml:space="preserve"> </w:t>
      </w:r>
      <w:r w:rsidRPr="00C3176C">
        <w:t>pobres</w:t>
      </w:r>
      <w:r>
        <w:t xml:space="preserve"> </w:t>
      </w:r>
      <w:r w:rsidRPr="00C3176C">
        <w:t>no</w:t>
      </w:r>
      <w:r>
        <w:t xml:space="preserve"> </w:t>
      </w:r>
      <w:r w:rsidRPr="00C3176C">
        <w:t>recaiga</w:t>
      </w:r>
      <w:r>
        <w:t xml:space="preserve"> </w:t>
      </w:r>
      <w:r w:rsidRPr="00C3176C">
        <w:t>una carga desproporcionada, en lo que se refiere a los gastos de salud, en comparación con los hogares más ricos</w:t>
      </w:r>
      <w:r>
        <w:t>.</w:t>
      </w:r>
    </w:p>
    <w:p w14:paraId="753D5B51" w14:textId="77777777" w:rsidR="000A5A54" w:rsidRPr="00C3176C" w:rsidRDefault="000A5A54" w:rsidP="000A5A54">
      <w:pPr>
        <w:pStyle w:val="Prrafo"/>
        <w:numPr>
          <w:ilvl w:val="1"/>
          <w:numId w:val="13"/>
        </w:numPr>
        <w:ind w:left="1494"/>
      </w:pPr>
      <w:r w:rsidRPr="00C3176C">
        <w:rPr>
          <w:i/>
        </w:rPr>
        <w:t>Acceso a la información</w:t>
      </w:r>
      <w:r w:rsidRPr="00C3176C">
        <w:t>: ese acceso comprende el derecho de solicitar, recibir y difundir información e</w:t>
      </w:r>
      <w:r>
        <w:t xml:space="preserve"> </w:t>
      </w:r>
      <w:r w:rsidRPr="00C3176C">
        <w:t>ideas</w:t>
      </w:r>
      <w:r>
        <w:t xml:space="preserve"> </w:t>
      </w:r>
      <w:r w:rsidRPr="00C3176C">
        <w:t>acerca</w:t>
      </w:r>
      <w:r>
        <w:t xml:space="preserve"> </w:t>
      </w:r>
      <w:r w:rsidRPr="00C3176C">
        <w:t>de</w:t>
      </w:r>
      <w:r>
        <w:t xml:space="preserve"> </w:t>
      </w:r>
      <w:r w:rsidRPr="00C3176C">
        <w:t>las</w:t>
      </w:r>
      <w:r>
        <w:t xml:space="preserve"> </w:t>
      </w:r>
      <w:r w:rsidRPr="00C3176C">
        <w:t>cuestiones</w:t>
      </w:r>
      <w:r>
        <w:t xml:space="preserve"> </w:t>
      </w:r>
      <w:r w:rsidRPr="00C3176C">
        <w:t>relacionadas</w:t>
      </w:r>
      <w:r>
        <w:t xml:space="preserve"> </w:t>
      </w:r>
      <w:r w:rsidRPr="00C3176C">
        <w:t>con</w:t>
      </w:r>
      <w:r>
        <w:t xml:space="preserve"> </w:t>
      </w:r>
      <w:r w:rsidRPr="00C3176C">
        <w:t>la</w:t>
      </w:r>
      <w:r>
        <w:t xml:space="preserve"> </w:t>
      </w:r>
      <w:r w:rsidRPr="00C3176C">
        <w:t>salud.</w:t>
      </w:r>
      <w:r>
        <w:t xml:space="preserve"> </w:t>
      </w:r>
      <w:r w:rsidRPr="00C3176C">
        <w:t>Con</w:t>
      </w:r>
      <w:r>
        <w:t xml:space="preserve"> </w:t>
      </w:r>
      <w:r w:rsidRPr="00C3176C">
        <w:t>todo,</w:t>
      </w:r>
      <w:r>
        <w:t xml:space="preserve"> </w:t>
      </w:r>
      <w:r w:rsidRPr="00C3176C">
        <w:t>el</w:t>
      </w:r>
      <w:r>
        <w:t xml:space="preserve"> </w:t>
      </w:r>
      <w:r w:rsidRPr="00C3176C">
        <w:t>acceso</w:t>
      </w:r>
      <w:r>
        <w:t xml:space="preserve"> </w:t>
      </w:r>
      <w:r w:rsidRPr="00C3176C">
        <w:t>a</w:t>
      </w:r>
      <w:r>
        <w:t xml:space="preserve"> </w:t>
      </w:r>
      <w:r w:rsidRPr="00C3176C">
        <w:t>la</w:t>
      </w:r>
      <w:r>
        <w:t xml:space="preserve"> </w:t>
      </w:r>
      <w:r w:rsidRPr="00C3176C">
        <w:t>información</w:t>
      </w:r>
      <w:r>
        <w:t xml:space="preserve"> </w:t>
      </w:r>
      <w:r w:rsidRPr="00C3176C">
        <w:t>no debe</w:t>
      </w:r>
      <w:r>
        <w:t xml:space="preserve"> </w:t>
      </w:r>
      <w:r w:rsidRPr="00C3176C">
        <w:t>menoscabar</w:t>
      </w:r>
      <w:r>
        <w:t xml:space="preserve"> </w:t>
      </w:r>
      <w:r w:rsidRPr="00C3176C">
        <w:t>el</w:t>
      </w:r>
      <w:r>
        <w:t xml:space="preserve"> </w:t>
      </w:r>
      <w:r w:rsidRPr="00C3176C">
        <w:t>derecho</w:t>
      </w:r>
      <w:r>
        <w:t xml:space="preserve"> </w:t>
      </w:r>
      <w:r w:rsidRPr="00C3176C">
        <w:t>de</w:t>
      </w:r>
      <w:r>
        <w:t xml:space="preserve"> </w:t>
      </w:r>
      <w:r w:rsidRPr="00C3176C">
        <w:t>que</w:t>
      </w:r>
      <w:r>
        <w:t xml:space="preserve"> </w:t>
      </w:r>
      <w:r w:rsidRPr="00C3176C">
        <w:t>los</w:t>
      </w:r>
      <w:r>
        <w:t xml:space="preserve"> </w:t>
      </w:r>
      <w:r w:rsidRPr="00C3176C">
        <w:t>datos</w:t>
      </w:r>
      <w:r>
        <w:t xml:space="preserve"> </w:t>
      </w:r>
      <w:r w:rsidRPr="00C3176C">
        <w:t>personales</w:t>
      </w:r>
      <w:r>
        <w:t xml:space="preserve"> </w:t>
      </w:r>
      <w:r w:rsidRPr="00C3176C">
        <w:t>relativos</w:t>
      </w:r>
      <w:r>
        <w:t xml:space="preserve"> </w:t>
      </w:r>
      <w:r w:rsidRPr="00C3176C">
        <w:t>a</w:t>
      </w:r>
      <w:r>
        <w:t xml:space="preserve"> </w:t>
      </w:r>
      <w:r w:rsidRPr="00C3176C">
        <w:t>la</w:t>
      </w:r>
      <w:r>
        <w:t xml:space="preserve"> </w:t>
      </w:r>
      <w:r w:rsidRPr="00C3176C">
        <w:t>salud</w:t>
      </w:r>
      <w:r>
        <w:t xml:space="preserve"> </w:t>
      </w:r>
      <w:r w:rsidRPr="00C3176C">
        <w:t>sean</w:t>
      </w:r>
      <w:r>
        <w:t xml:space="preserve"> </w:t>
      </w:r>
      <w:r w:rsidRPr="00C3176C">
        <w:t>tratados</w:t>
      </w:r>
      <w:r>
        <w:t xml:space="preserve"> </w:t>
      </w:r>
      <w:r w:rsidRPr="00C3176C">
        <w:t>con confidencialidad.</w:t>
      </w:r>
    </w:p>
    <w:p w14:paraId="4DE516AE" w14:textId="77777777" w:rsidR="000A5A54" w:rsidRPr="009C7908" w:rsidRDefault="000A5A54" w:rsidP="000A5A54">
      <w:pPr>
        <w:pStyle w:val="Prrafo"/>
        <w:numPr>
          <w:ilvl w:val="0"/>
          <w:numId w:val="13"/>
        </w:numPr>
        <w:ind w:left="927"/>
      </w:pPr>
      <w:r w:rsidRPr="009C7908">
        <w:rPr>
          <w:smallCaps/>
        </w:rPr>
        <w:t>Aceptabilidad:</w:t>
      </w:r>
      <w:r w:rsidRPr="009C7908">
        <w:t xml:space="preserve"> Todos los establecimientos, bienes y servicios de salud deberán, entre otras cosas, ser sensibles a los requisitos del género y el ciclo de vida, y deberán estar concebidos para mejorar el estado de salud de las personas de que se trate.</w:t>
      </w:r>
    </w:p>
    <w:p w14:paraId="73B6A0CE" w14:textId="6EB5645B" w:rsidR="000A5A54" w:rsidRPr="000A5A54" w:rsidRDefault="000A5A54" w:rsidP="000A5A54">
      <w:pPr>
        <w:pStyle w:val="Prrafo"/>
        <w:numPr>
          <w:ilvl w:val="0"/>
          <w:numId w:val="13"/>
        </w:numPr>
        <w:ind w:left="927"/>
        <w:rPr>
          <w:u w:val="single"/>
        </w:rPr>
      </w:pPr>
      <w:r w:rsidRPr="00C3176C">
        <w:rPr>
          <w:smallCaps/>
        </w:rPr>
        <w:t>Calidad:</w:t>
      </w:r>
      <w:r w:rsidRPr="00C3176C">
        <w:t xml:space="preserve"> Además</w:t>
      </w:r>
      <w:r>
        <w:t xml:space="preserve"> </w:t>
      </w:r>
      <w:r w:rsidRPr="00C3176C">
        <w:t>de</w:t>
      </w:r>
      <w:r>
        <w:t xml:space="preserve"> </w:t>
      </w:r>
      <w:r w:rsidRPr="00C3176C">
        <w:t>aceptables</w:t>
      </w:r>
      <w:r>
        <w:t xml:space="preserve"> </w:t>
      </w:r>
      <w:r w:rsidRPr="00C3176C">
        <w:t>desde</w:t>
      </w:r>
      <w:r>
        <w:t xml:space="preserve"> </w:t>
      </w:r>
      <w:r w:rsidRPr="00C3176C">
        <w:t>el</w:t>
      </w:r>
      <w:r>
        <w:t xml:space="preserve"> </w:t>
      </w:r>
      <w:r w:rsidRPr="00C3176C">
        <w:t>punto</w:t>
      </w:r>
      <w:r>
        <w:t xml:space="preserve"> </w:t>
      </w:r>
      <w:r w:rsidRPr="00C3176C">
        <w:t>de</w:t>
      </w:r>
      <w:r>
        <w:t xml:space="preserve"> </w:t>
      </w:r>
      <w:r w:rsidRPr="00C3176C">
        <w:t>vista</w:t>
      </w:r>
      <w:r>
        <w:t xml:space="preserve"> </w:t>
      </w:r>
      <w:r w:rsidRPr="00C3176C">
        <w:t>cultural,</w:t>
      </w:r>
      <w:r>
        <w:t xml:space="preserve"> </w:t>
      </w:r>
      <w:r w:rsidRPr="00C3176C">
        <w:t>los</w:t>
      </w:r>
      <w:r>
        <w:t xml:space="preserve"> </w:t>
      </w:r>
      <w:r w:rsidRPr="00C3176C">
        <w:t>establecimientos,</w:t>
      </w:r>
      <w:r>
        <w:t xml:space="preserve"> </w:t>
      </w:r>
      <w:r w:rsidRPr="00C3176C">
        <w:t>bienes</w:t>
      </w:r>
      <w:r>
        <w:t xml:space="preserve"> </w:t>
      </w:r>
      <w:r w:rsidRPr="00C3176C">
        <w:t>y servicios de salud deberán ser también apropiados desde el punto de vista científico y médico y ser de buena</w:t>
      </w:r>
      <w:r>
        <w:t xml:space="preserve"> </w:t>
      </w:r>
      <w:r w:rsidRPr="00C3176C">
        <w:t>calidad. Esto implica contar con personal médico capacitado,</w:t>
      </w:r>
      <w:r>
        <w:t xml:space="preserve"> </w:t>
      </w:r>
      <w:r w:rsidRPr="00C3176C">
        <w:t>medicamentos</w:t>
      </w:r>
      <w:r>
        <w:t xml:space="preserve"> </w:t>
      </w:r>
      <w:r w:rsidRPr="00C3176C">
        <w:t>y</w:t>
      </w:r>
      <w:r>
        <w:t xml:space="preserve"> </w:t>
      </w:r>
      <w:r w:rsidRPr="00C3176C">
        <w:t>equipo hospitalario científicamente aprobados y en buen estado, agua limpia potable y condiciones sanitarias adecuadas.</w:t>
      </w:r>
    </w:p>
    <w:p w14:paraId="4043F8E5" w14:textId="21FE9222" w:rsidR="000A5A54" w:rsidRPr="008E631E" w:rsidRDefault="000A5A54" w:rsidP="000A5A54">
      <w:pPr>
        <w:pStyle w:val="Prrafo"/>
        <w:numPr>
          <w:ilvl w:val="0"/>
          <w:numId w:val="3"/>
        </w:numPr>
        <w:ind w:left="0" w:hanging="567"/>
      </w:pPr>
      <w:r w:rsidRPr="008E631E">
        <w:t>Al resolver las acciones</w:t>
      </w:r>
      <w:r w:rsidR="001D6A92" w:rsidRPr="008E631E">
        <w:t xml:space="preserve"> de inconstitucionalidad 148/2017</w:t>
      </w:r>
      <w:r w:rsidR="00170329" w:rsidRPr="008E631E">
        <w:t xml:space="preserve"> y 1</w:t>
      </w:r>
      <w:r w:rsidRPr="008E631E">
        <w:t>06/2018 y acumulada 107/2018</w:t>
      </w:r>
      <w:r w:rsidRPr="008E631E">
        <w:rPr>
          <w:rStyle w:val="Refdenotaalpie"/>
        </w:rPr>
        <w:footnoteReference w:id="24"/>
      </w:r>
      <w:r w:rsidRPr="008E631E">
        <w:t xml:space="preserve">, el Pleno de esta Suprema Corte exploró la relación de este derecho </w:t>
      </w:r>
      <w:r w:rsidR="00AE6359">
        <w:t xml:space="preserve">a la salud </w:t>
      </w:r>
      <w:r w:rsidRPr="008E631E">
        <w:t>con los de libertad, autonomía, libre desarrollo de la personalidad y dijo que ese vínculo se concreta en los derechos a tomar decisiones sobre la propia salud y sobre el propio cuerpo</w:t>
      </w:r>
      <w:r w:rsidRPr="008E631E">
        <w:rPr>
          <w:rStyle w:val="Refdenotaalpie"/>
        </w:rPr>
        <w:footnoteReference w:id="25"/>
      </w:r>
      <w:r w:rsidRPr="008E631E">
        <w:t xml:space="preserve">. Se recordó que </w:t>
      </w:r>
      <w:r w:rsidRPr="008E631E">
        <w:lastRenderedPageBreak/>
        <w:t>para el Relator Especial para el Derecho de toda persona al disfrute del más alto nivel posible de salud física y mental: “</w:t>
      </w:r>
      <w:r w:rsidRPr="008E631E">
        <w:rPr>
          <w:i/>
        </w:rPr>
        <w:t>en el contexto de la salud sexual y la salud reproductiva, entre las libertades figura el derecho a controlar la propia salud y el propio cuerpo”</w:t>
      </w:r>
      <w:r w:rsidRPr="008E631E">
        <w:rPr>
          <w:rStyle w:val="Refdenotaalpie"/>
          <w:i/>
        </w:rPr>
        <w:footnoteReference w:id="26"/>
      </w:r>
      <w:r w:rsidRPr="008E631E">
        <w:rPr>
          <w:i/>
        </w:rPr>
        <w:t xml:space="preserve">. </w:t>
      </w:r>
      <w:r w:rsidRPr="008E631E">
        <w:t>Esto significa que la posibilidad de optar por la terminación de un embarazo es un ejercicio de los derechos a la libertad, la autonomía y al libre desarrollo de la personalidad</w:t>
      </w:r>
      <w:r w:rsidRPr="008E631E">
        <w:rPr>
          <w:vertAlign w:val="superscript"/>
        </w:rPr>
        <w:footnoteReference w:id="27"/>
      </w:r>
      <w:r w:rsidRPr="008E631E">
        <w:t>.</w:t>
      </w:r>
    </w:p>
    <w:p w14:paraId="0AB03EFD" w14:textId="5B2CFF27" w:rsidR="000A5A54" w:rsidRDefault="000A5A54" w:rsidP="000A5A54">
      <w:pPr>
        <w:pStyle w:val="Prrafo"/>
        <w:numPr>
          <w:ilvl w:val="0"/>
          <w:numId w:val="3"/>
        </w:numPr>
        <w:ind w:left="0" w:hanging="567"/>
      </w:pPr>
      <w:r w:rsidRPr="00F0444F">
        <w:t xml:space="preserve">De acuerdo con el parámetro de regularidad constitucional del derecho a la salud y su protección, </w:t>
      </w:r>
      <w:r>
        <w:t xml:space="preserve">concluyó el Pleno, </w:t>
      </w:r>
      <w:r w:rsidRPr="00F0444F">
        <w:t>no basta con tener libertad para adoptar autónomament</w:t>
      </w:r>
      <w:r w:rsidR="006D165F">
        <w:t xml:space="preserve">e </w:t>
      </w:r>
      <w:r w:rsidRPr="00F0444F">
        <w:t>las decisiones acerca de la propia salud, es fundamental poder ejecutarlas adecuadamente, sobre todo cuando vivimos en sociedades desiguales donde las personas enfrentan mayores obstáculos para acceder siquiera a los servicios básicos de salud debido a su pertenencia a grupos históricamente desaventajados como las niñas, adolescentes, personas indígenas, personas con discapacidad, migrantes, entre otros colectivos en situación de marginación</w:t>
      </w:r>
      <w:r w:rsidRPr="00F0444F">
        <w:rPr>
          <w:rStyle w:val="Refdenotaalpie"/>
        </w:rPr>
        <w:footnoteReference w:id="28"/>
      </w:r>
      <w:r w:rsidRPr="00F0444F">
        <w:t>.</w:t>
      </w:r>
    </w:p>
    <w:p w14:paraId="266D2290" w14:textId="3E73C3A7" w:rsidR="000A5A54" w:rsidRDefault="000A5A54" w:rsidP="000A5A54">
      <w:pPr>
        <w:pStyle w:val="Prrafo"/>
        <w:numPr>
          <w:ilvl w:val="0"/>
          <w:numId w:val="3"/>
        </w:numPr>
        <w:ind w:left="0" w:hanging="567"/>
      </w:pPr>
      <w:r>
        <w:lastRenderedPageBreak/>
        <w:t>De manera que, continúa el Pleno, las decisiones sobre la propia salud, como terminar un embarazo, no pueden ser interferidas arbitrariamente y, además, debe existir toda la infraestructura para poder llevarla</w:t>
      </w:r>
      <w:r w:rsidR="00AD47C9">
        <w:t>s</w:t>
      </w:r>
      <w:r>
        <w:t xml:space="preserve"> a cabo: servicios médicos seguros, disponibles, accesibles, asequibles, respetuosos y de calidad. Un aborto en condiciones no apropiadas coloca en indeseable riesgo la salud de las mujeres y de las personas gestantes.</w:t>
      </w:r>
    </w:p>
    <w:p w14:paraId="5E6DFE4A" w14:textId="66234B3D" w:rsidR="00FF527C" w:rsidRPr="00010387" w:rsidRDefault="00FF527C" w:rsidP="007E39B4">
      <w:pPr>
        <w:pStyle w:val="Prrafo"/>
        <w:numPr>
          <w:ilvl w:val="0"/>
          <w:numId w:val="3"/>
        </w:numPr>
        <w:ind w:left="0" w:hanging="567"/>
        <w:rPr>
          <w:color w:val="000000"/>
        </w:rPr>
      </w:pPr>
      <w:r w:rsidRPr="008F0FD4">
        <w:t>Así, de acuerdo con las obligaciones de respeto</w:t>
      </w:r>
      <w:r w:rsidRPr="00F76616">
        <w:rPr>
          <w:rStyle w:val="Refdenotaalpie"/>
        </w:rPr>
        <w:footnoteReference w:id="29"/>
      </w:r>
      <w:r w:rsidRPr="008F0FD4">
        <w:t xml:space="preserve"> y protección del derecho a la salud, el Estado mexicano </w:t>
      </w:r>
      <w:r w:rsidR="00C526A3">
        <w:t>–</w:t>
      </w:r>
      <w:r w:rsidRPr="008F0FD4">
        <w:t>incluidos todos los agentes (tanto del sector público como privado) que conforman el sistema de salud</w:t>
      </w:r>
      <w:r w:rsidR="00C526A3">
        <w:t>–</w:t>
      </w:r>
      <w:r w:rsidRPr="008F0FD4">
        <w:t xml:space="preserve"> tienen la obligación de abstenerse de obstaculizar directa o indirectamente el ejercicio de este derecho y de garantizar que terceros no obstaculicen estos mismos derechos.</w:t>
      </w:r>
      <w:r w:rsidR="00010387">
        <w:t xml:space="preserve"> </w:t>
      </w:r>
      <w:r w:rsidRPr="00C947C6">
        <w:t xml:space="preserve">De tal manera que los hospitales públicos y privados, que existen como consecuencia del derecho a la protección de la salud y de la necesidad de un sistema de aseguramiento </w:t>
      </w:r>
      <w:r w:rsidR="00526FD6">
        <w:t>–</w:t>
      </w:r>
      <w:r w:rsidRPr="00C947C6">
        <w:t>en tanto agentes obligados a respetar, proteger y garantizar los derechos humanos de las personas</w:t>
      </w:r>
      <w:r w:rsidR="00526FD6">
        <w:t>–</w:t>
      </w:r>
      <w:r w:rsidRPr="00C947C6">
        <w:t>, no pueden negar u obstaculizar el acceso de las mujeres a la interrupción de embarazo sustentada en la salud porque este procedimiento es necesario para preservarla, restaurarla o protegerla.</w:t>
      </w:r>
    </w:p>
    <w:p w14:paraId="0726B594" w14:textId="4064FD98" w:rsidR="000A0354" w:rsidRPr="006046E5" w:rsidRDefault="00750580" w:rsidP="006046E5">
      <w:pPr>
        <w:pStyle w:val="Prrafo"/>
        <w:numPr>
          <w:ilvl w:val="0"/>
          <w:numId w:val="3"/>
        </w:numPr>
        <w:ind w:left="0" w:hanging="567"/>
        <w:rPr>
          <w:color w:val="000000"/>
        </w:rPr>
      </w:pPr>
      <w:r>
        <w:t>En el amparo en revisión 1388/2015</w:t>
      </w:r>
      <w:r w:rsidR="001D1BFA">
        <w:t xml:space="preserve"> de esta Primera Sala</w:t>
      </w:r>
      <w:r>
        <w:t xml:space="preserve">, se </w:t>
      </w:r>
      <w:r w:rsidR="000A5A54">
        <w:t>dijo que corresponde al Estado garantizar el acceso oportuno a estos servicios</w:t>
      </w:r>
      <w:r w:rsidR="00C137A4">
        <w:t xml:space="preserve"> </w:t>
      </w:r>
      <w:r w:rsidR="000A5A54" w:rsidRPr="005C1460">
        <w:t xml:space="preserve">como parte del derecho a disfrutar de toda una gama de facilidades, bienes, </w:t>
      </w:r>
      <w:r w:rsidR="000A5A54" w:rsidRPr="005C1460">
        <w:lastRenderedPageBreak/>
        <w:t>servicios y condiciones necesarios para alcanzar el más alto nivel posible de salud</w:t>
      </w:r>
      <w:r w:rsidR="000A5A54" w:rsidRPr="005C1460">
        <w:rPr>
          <w:rStyle w:val="Refdenotaalpie"/>
        </w:rPr>
        <w:footnoteReference w:id="30"/>
      </w:r>
      <w:r w:rsidR="000A5A54" w:rsidRPr="005C1460">
        <w:t>. Respecto del derecho a la salud, la obligación del Estado de proveer acceso razonable y equitativo a servicios seguros de interrupción de embarazo se basaría, por ejemplo, en la necesidad de evitar que las decisiones autónomas de las mujeres y personas gestantes afecten adversamente su salud, colocando en riesgo su bienestar físico, mental o social</w:t>
      </w:r>
      <w:r w:rsidR="000A5A54">
        <w:t>.</w:t>
      </w:r>
    </w:p>
    <w:p w14:paraId="2B1E4241" w14:textId="469FA45E" w:rsidR="006C2EF4" w:rsidRDefault="006D5A1E" w:rsidP="006C2EF4">
      <w:pPr>
        <w:pStyle w:val="Prrafo"/>
        <w:numPr>
          <w:ilvl w:val="0"/>
          <w:numId w:val="3"/>
        </w:numPr>
        <w:ind w:left="0" w:hanging="567"/>
      </w:pPr>
      <w:r>
        <w:t>Po</w:t>
      </w:r>
      <w:r w:rsidR="00436F4F">
        <w:t>r</w:t>
      </w:r>
      <w:r>
        <w:t xml:space="preserve"> tanto </w:t>
      </w:r>
      <w:r w:rsidR="006046E5">
        <w:t>–</w:t>
      </w:r>
      <w:r>
        <w:t>continúa el precedente</w:t>
      </w:r>
      <w:r w:rsidR="006046E5">
        <w:t>–</w:t>
      </w:r>
      <w:r>
        <w:t xml:space="preserve"> </w:t>
      </w:r>
      <w:r w:rsidR="00750580">
        <w:t xml:space="preserve">si </w:t>
      </w:r>
      <w:r w:rsidR="00750580" w:rsidRPr="0036238C">
        <w:t>un padecimiento de salud –ya sea físico, mental o socia</w:t>
      </w:r>
      <w:r w:rsidR="006046E5">
        <w:t>l–</w:t>
      </w:r>
      <w:r w:rsidR="00750580" w:rsidRPr="0036238C">
        <w:t xml:space="preserve"> aparece o empeora con el embarazo por causas directa o indirectamente relacionadas con aquél, dicho estado de salud basta para considerar la interrupción del embarazo como una acción terapéutica destinada a solventar el riesgo de que la mujer </w:t>
      </w:r>
      <w:r w:rsidR="00750580">
        <w:t xml:space="preserve">o persona gestante </w:t>
      </w:r>
      <w:r w:rsidR="00750580" w:rsidRPr="0036238C">
        <w:t>embarazada progrese hacia una afectación de salud más grave.</w:t>
      </w:r>
    </w:p>
    <w:p w14:paraId="06892E54" w14:textId="0460E9B3" w:rsidR="00A23307" w:rsidRDefault="006C2EF4" w:rsidP="00A23307">
      <w:pPr>
        <w:pStyle w:val="Prrafo"/>
        <w:numPr>
          <w:ilvl w:val="0"/>
          <w:numId w:val="3"/>
        </w:numPr>
        <w:ind w:left="0" w:hanging="567"/>
      </w:pPr>
      <w:r>
        <w:t xml:space="preserve">Así, </w:t>
      </w:r>
      <w:r w:rsidR="00750580" w:rsidRPr="00483F56">
        <w:t>el Estado tiene la obligación de proveer servicios de salud y tratamiento médico apropiado para evitar que las mujeres y personas gestantes continúen –contra su volunta</w:t>
      </w:r>
      <w:r w:rsidR="0017682B">
        <w:t>d–</w:t>
      </w:r>
      <w:r w:rsidR="00750580" w:rsidRPr="00483F56">
        <w:t xml:space="preserve"> un embarazo que las coloca en riesgo de padecer una afectación de salud. Este acceso debió estar garantizado como un servicio de atención médica al que la adolescente </w:t>
      </w:r>
      <w:r w:rsidR="00F443D3">
        <w:t xml:space="preserve">quejosa </w:t>
      </w:r>
      <w:r w:rsidR="00750580" w:rsidRPr="00483F56">
        <w:t>tenía derecho, pues la práctica de la interrupción del embarazo e</w:t>
      </w:r>
      <w:r w:rsidR="00750580">
        <w:t>ra</w:t>
      </w:r>
      <w:r w:rsidR="00750580" w:rsidRPr="00483F56">
        <w:t xml:space="preserve"> necesaria para resolver una cuestión de salud</w:t>
      </w:r>
      <w:r w:rsidR="00750580">
        <w:t>, en este caso particularmente grave</w:t>
      </w:r>
      <w:r w:rsidR="00750580" w:rsidRPr="00483F56">
        <w:t>.</w:t>
      </w:r>
    </w:p>
    <w:p w14:paraId="124A3A1A" w14:textId="7FAC4364" w:rsidR="003533F0" w:rsidRPr="00A23307" w:rsidRDefault="003533F0" w:rsidP="003533F0">
      <w:pPr>
        <w:pStyle w:val="Prrafo"/>
        <w:numPr>
          <w:ilvl w:val="0"/>
          <w:numId w:val="3"/>
        </w:numPr>
        <w:ind w:left="0" w:hanging="567"/>
      </w:pPr>
      <w:r w:rsidRPr="00A23307">
        <w:t>El riesgo en salud es generalmente definido como la probabilidad de que se produzca un resultado adverso</w:t>
      </w:r>
      <w:r w:rsidRPr="00DE4E33">
        <w:rPr>
          <w:rStyle w:val="Refdenotaalpie"/>
        </w:rPr>
        <w:footnoteReference w:id="31"/>
      </w:r>
      <w:r w:rsidRPr="00A23307">
        <w:t xml:space="preserve"> o como factor que aumenta esa probabilidad</w:t>
      </w:r>
      <w:r w:rsidRPr="00DE4E33">
        <w:rPr>
          <w:rStyle w:val="Refdenotaalpie"/>
        </w:rPr>
        <w:footnoteReference w:id="32"/>
      </w:r>
      <w:r w:rsidRPr="00A23307">
        <w:t xml:space="preserve">. De la definición del riesgo para la salud es fundamental </w:t>
      </w:r>
      <w:r w:rsidRPr="00A23307">
        <w:lastRenderedPageBreak/>
        <w:t>resaltar que esta excluye la consumación del daño o una afectación concreta de la salud, y en este sentido el riesgo alude a la posibilidad o a la probabilidad de que el daño suceda.</w:t>
      </w:r>
    </w:p>
    <w:p w14:paraId="437F61A6" w14:textId="5CDB8625" w:rsidR="0091369B" w:rsidRPr="001F57DB" w:rsidRDefault="0091369B" w:rsidP="00E70613">
      <w:pPr>
        <w:pStyle w:val="Prrafo"/>
        <w:numPr>
          <w:ilvl w:val="0"/>
          <w:numId w:val="3"/>
        </w:numPr>
        <w:ind w:left="0" w:hanging="567"/>
      </w:pPr>
      <w:r w:rsidRPr="001F57DB">
        <w:t>Según el amparo en revisión 1</w:t>
      </w:r>
      <w:r w:rsidR="00C5098E" w:rsidRPr="001F57DB">
        <w:t>388/2015, con base en el derecho a la salud y el derecho a la integridad personal, l</w:t>
      </w:r>
      <w:r w:rsidRPr="001F57DB">
        <w:t>a interrupción del embarazo por motivos de salud es una intervención terapéutica recomendada para resolver riesgos en la salud de las personas</w:t>
      </w:r>
      <w:r w:rsidR="00DE322B" w:rsidRPr="001F57DB">
        <w:t>,</w:t>
      </w:r>
      <w:r w:rsidRPr="001F57DB">
        <w:t xml:space="preserve"> sea porque el embarazo exacerba o empeora una condición de salud preexistente; sea porque una condición de salud adquirida durante el embarazo genera secuelas que afectan la calidad de vida de la paciente, o provocan morbilidad o mortalidad, o sea porque el embarazo es una contraindicación para el tratamiento adecuado y razonable.</w:t>
      </w:r>
    </w:p>
    <w:p w14:paraId="0BDFE55F" w14:textId="4AB1ADEB" w:rsidR="00664A6C" w:rsidRPr="001F57DB" w:rsidRDefault="00015694" w:rsidP="00E70613">
      <w:pPr>
        <w:pStyle w:val="Prrafo"/>
        <w:numPr>
          <w:ilvl w:val="0"/>
          <w:numId w:val="3"/>
        </w:numPr>
        <w:ind w:left="0" w:hanging="567"/>
      </w:pPr>
      <w:r w:rsidRPr="001F57DB">
        <w:t>D</w:t>
      </w:r>
      <w:r w:rsidR="00C93A94" w:rsidRPr="001F57DB">
        <w:t xml:space="preserve">el expediente clínico de la quejosa, se advierte </w:t>
      </w:r>
      <w:r w:rsidR="0051045F" w:rsidRPr="001F57DB">
        <w:t>que</w:t>
      </w:r>
      <w:r w:rsidR="005E6977">
        <w:t>,</w:t>
      </w:r>
      <w:r w:rsidR="0051045F" w:rsidRPr="001F57DB">
        <w:t xml:space="preserve"> </w:t>
      </w:r>
      <w:r w:rsidR="00C93A94" w:rsidRPr="001F57DB">
        <w:t>como consecuencia de su primer parto</w:t>
      </w:r>
      <w:r w:rsidR="00797597">
        <w:t xml:space="preserve"> ocurrido </w:t>
      </w:r>
      <w:r w:rsidR="00852E33">
        <w:t>aproximadamente un año antes</w:t>
      </w:r>
      <w:r w:rsidR="00C93A94" w:rsidRPr="001F57DB">
        <w:t xml:space="preserve">, la joven </w:t>
      </w:r>
      <w:r w:rsidR="00A87DCD">
        <w:rPr>
          <w:i/>
          <w:iCs/>
        </w:rPr>
        <w:t>María</w:t>
      </w:r>
      <w:r w:rsidR="007B2687" w:rsidRPr="00761163">
        <w:rPr>
          <w:color w:val="C00000"/>
        </w:rPr>
        <w:t xml:space="preserve"> </w:t>
      </w:r>
      <w:r w:rsidR="00C93A94" w:rsidRPr="001F57DB">
        <w:t>padeció depresión posparto</w:t>
      </w:r>
      <w:r w:rsidRPr="001F57DB">
        <w:rPr>
          <w:rStyle w:val="Refdenotaalpie"/>
        </w:rPr>
        <w:footnoteReference w:id="33"/>
      </w:r>
      <w:r w:rsidR="003B585E" w:rsidRPr="001F57DB">
        <w:t xml:space="preserve">, </w:t>
      </w:r>
      <w:r w:rsidR="00991D14" w:rsidRPr="001F57DB">
        <w:t xml:space="preserve">y que </w:t>
      </w:r>
      <w:r w:rsidR="003B585E" w:rsidRPr="001F57DB">
        <w:t xml:space="preserve">la violencia </w:t>
      </w:r>
      <w:r w:rsidR="00991D14" w:rsidRPr="001F57DB">
        <w:t xml:space="preserve">ejercida en su contra por su </w:t>
      </w:r>
      <w:r w:rsidR="003B585E" w:rsidRPr="001F57DB">
        <w:t>entonces pareja le provocó afectaciones en la salud mental.</w:t>
      </w:r>
      <w:r w:rsidR="00EE09FE" w:rsidRPr="001F57DB">
        <w:t xml:space="preserve"> </w:t>
      </w:r>
      <w:r w:rsidR="00E70613" w:rsidRPr="001F57DB">
        <w:t>Además,</w:t>
      </w:r>
      <w:r w:rsidR="008B46F3" w:rsidRPr="001F57DB">
        <w:t xml:space="preserve"> </w:t>
      </w:r>
      <w:r w:rsidR="002B1696" w:rsidRPr="001F57DB">
        <w:t xml:space="preserve">según aparece en ese expediente, </w:t>
      </w:r>
      <w:r w:rsidR="00FF214F" w:rsidRPr="001F57DB">
        <w:t xml:space="preserve">a </w:t>
      </w:r>
      <w:r w:rsidR="00A950AA" w:rsidRPr="001F57DB">
        <w:t xml:space="preserve">la joven </w:t>
      </w:r>
      <w:r w:rsidR="00031D77" w:rsidRPr="001F57DB">
        <w:t xml:space="preserve">le </w:t>
      </w:r>
      <w:r w:rsidR="00A950AA" w:rsidRPr="001F57DB">
        <w:t xml:space="preserve">fue diagnosticada </w:t>
      </w:r>
      <w:r w:rsidR="00031D77" w:rsidRPr="001F57DB">
        <w:t xml:space="preserve">una </w:t>
      </w:r>
      <w:r w:rsidR="003B585E" w:rsidRPr="001F57DB">
        <w:t>depresión severa</w:t>
      </w:r>
      <w:r w:rsidR="00031D77" w:rsidRPr="001F57DB">
        <w:t xml:space="preserve">, con </w:t>
      </w:r>
      <w:r w:rsidR="00664A6C" w:rsidRPr="001F57DB">
        <w:t>síntomas psicóticos e ideación suicida activa</w:t>
      </w:r>
      <w:r w:rsidR="00031D77" w:rsidRPr="001F57DB">
        <w:t>;</w:t>
      </w:r>
      <w:r w:rsidR="00664A6C" w:rsidRPr="001F57DB">
        <w:t xml:space="preserve"> trastorno de estrés postraumático</w:t>
      </w:r>
      <w:r w:rsidR="00031D77" w:rsidRPr="001F57DB">
        <w:t>;</w:t>
      </w:r>
      <w:r w:rsidR="00664A6C" w:rsidRPr="001F57DB">
        <w:t xml:space="preserve"> trastorno de pánico</w:t>
      </w:r>
      <w:r w:rsidR="00031D77" w:rsidRPr="001F57DB">
        <w:t>;</w:t>
      </w:r>
      <w:r w:rsidR="00664A6C" w:rsidRPr="001F57DB">
        <w:t xml:space="preserve"> anemia y sífilis</w:t>
      </w:r>
      <w:r w:rsidR="00664A6C" w:rsidRPr="001F57DB">
        <w:rPr>
          <w:rStyle w:val="Refdenotaalpie"/>
        </w:rPr>
        <w:footnoteReference w:id="34"/>
      </w:r>
      <w:r w:rsidR="002B1696" w:rsidRPr="001F57DB">
        <w:t>, en un momento posterior a que se enterara de que cursaba un embarazo forzado.</w:t>
      </w:r>
    </w:p>
    <w:p w14:paraId="1F37E92C" w14:textId="1770B5D5" w:rsidR="00E8176F" w:rsidRPr="001F57DB" w:rsidRDefault="008D65C2" w:rsidP="00E8176F">
      <w:pPr>
        <w:pStyle w:val="Prrafo"/>
        <w:numPr>
          <w:ilvl w:val="0"/>
          <w:numId w:val="3"/>
        </w:numPr>
        <w:ind w:left="0" w:hanging="567"/>
      </w:pPr>
      <w:r w:rsidRPr="001F57DB">
        <w:t xml:space="preserve">Esto significa que este embarazo </w:t>
      </w:r>
      <w:r w:rsidR="00F22BAB" w:rsidRPr="001F57DB">
        <w:t xml:space="preserve">le provocó directamente trastornos significativos que llegaron al extremo de poner en peligro no solo su salud, sino su vida. Estos riesgos debieron bastar a las autoridades responsables para </w:t>
      </w:r>
      <w:r w:rsidR="00C42D43" w:rsidRPr="001F57DB">
        <w:t>practicar diligentemente una interrupción de embarazo como una intervención terapéutica urgente y necesaria</w:t>
      </w:r>
      <w:r w:rsidR="003D3A9A" w:rsidRPr="001F57DB">
        <w:t>.</w:t>
      </w:r>
    </w:p>
    <w:p w14:paraId="77E0EE00" w14:textId="77777777" w:rsidR="00046A2C" w:rsidRDefault="003D3A9A" w:rsidP="00046A2C">
      <w:pPr>
        <w:pStyle w:val="Prrafo"/>
        <w:numPr>
          <w:ilvl w:val="0"/>
          <w:numId w:val="3"/>
        </w:numPr>
        <w:spacing w:before="120" w:after="120"/>
        <w:ind w:left="0" w:hanging="567"/>
      </w:pPr>
      <w:r w:rsidRPr="00C769D0">
        <w:lastRenderedPageBreak/>
        <w:t>Así, las autoridades responsables privaron a la adolescente víctima de su derecho a acceder a toda una gama de facilidades, bienes, servicios y condiciones necesarios para alcanzar el más alto nivel posible de salud</w:t>
      </w:r>
      <w:r w:rsidRPr="00C769D0">
        <w:rPr>
          <w:rStyle w:val="Refdenotaalpie"/>
        </w:rPr>
        <w:footnoteReference w:id="35"/>
      </w:r>
      <w:r w:rsidRPr="00C769D0">
        <w:t>. Es decir, su actitud no sólo obstaculizó el ejercicio de la quejosa de las opciones que resultaban necesarias para restaurar su proyecto de vida después de haber padecido una agresión sexual y la subsecuente imposición de un embarazo, sino que, al negarle el servicio, aumentaron la posibilidad de que los problemas de salud que experimentaba se exacerbasen y sus consecuencias más funestas</w:t>
      </w:r>
      <w:r>
        <w:t xml:space="preserve"> se acercasen.</w:t>
      </w:r>
    </w:p>
    <w:p w14:paraId="4822DBDC" w14:textId="0A42E26C" w:rsidR="000E09C8" w:rsidRPr="0074112B" w:rsidRDefault="00046A2C" w:rsidP="00871BA6">
      <w:pPr>
        <w:pStyle w:val="Prrafo"/>
        <w:numPr>
          <w:ilvl w:val="0"/>
          <w:numId w:val="3"/>
        </w:numPr>
        <w:spacing w:before="120" w:after="120"/>
        <w:ind w:left="0" w:hanging="567"/>
      </w:pPr>
      <w:r w:rsidRPr="0074112B">
        <w:t xml:space="preserve">En el caso se observa la intervención de diversas autoridades sin ninguna eficiencia. Del informe justificado del Hospital Civil de Guadalajara se observa que ante la recepción de la petición de la joven </w:t>
      </w:r>
      <w:r w:rsidR="00A87DCD">
        <w:rPr>
          <w:i/>
          <w:iCs/>
        </w:rPr>
        <w:t>María</w:t>
      </w:r>
      <w:r w:rsidR="007B2687" w:rsidRPr="0074112B">
        <w:rPr>
          <w:color w:val="C00000"/>
        </w:rPr>
        <w:t xml:space="preserve"> </w:t>
      </w:r>
      <w:r w:rsidRPr="0074112B">
        <w:t xml:space="preserve">hubo un ir y venir entre distintas autoridades: el </w:t>
      </w:r>
      <w:r w:rsidR="00CC78D4">
        <w:t>Secretario de salud del Estado de Jalisco</w:t>
      </w:r>
      <w:r w:rsidRPr="0074112B">
        <w:t>, su secretario particular, el director general del Hospital, encargadas de departamentos y personal del hospital, sin que una sola de ellas pudiera atender la petición de la quejosa y, lo más importante, prestar el servicio en las instalaciones del hospital</w:t>
      </w:r>
      <w:r w:rsidRPr="0074112B">
        <w:rPr>
          <w:rStyle w:val="Refdenotaalpie"/>
        </w:rPr>
        <w:footnoteReference w:id="36"/>
      </w:r>
      <w:r w:rsidRPr="0074112B">
        <w:t>.</w:t>
      </w:r>
    </w:p>
    <w:p w14:paraId="6FA37B08" w14:textId="6AD9081D" w:rsidR="008F0A61" w:rsidRPr="001F57DB" w:rsidRDefault="00D17CE8" w:rsidP="00871BA6">
      <w:pPr>
        <w:pStyle w:val="Prrafo"/>
        <w:numPr>
          <w:ilvl w:val="0"/>
          <w:numId w:val="3"/>
        </w:numPr>
        <w:spacing w:before="120" w:after="120"/>
        <w:ind w:left="0" w:hanging="567"/>
      </w:pPr>
      <w:r w:rsidRPr="0074112B">
        <w:t xml:space="preserve">De ahí que se acredite tanto la falta de respuesta, como la falta de </w:t>
      </w:r>
      <w:r w:rsidR="008B65A5" w:rsidRPr="0074112B">
        <w:t xml:space="preserve">diligencia reforzada en la atención </w:t>
      </w:r>
      <w:r w:rsidRPr="0074112B">
        <w:t xml:space="preserve">al escrito en el que plasmó la petición de interrumpir el embarazo forzado </w:t>
      </w:r>
      <w:r w:rsidR="00871BA6" w:rsidRPr="0074112B">
        <w:t>y</w:t>
      </w:r>
      <w:r w:rsidRPr="0074112B">
        <w:t xml:space="preserve">, finalmente, </w:t>
      </w:r>
      <w:r w:rsidR="003347C9" w:rsidRPr="0074112B">
        <w:t xml:space="preserve">la </w:t>
      </w:r>
      <w:r w:rsidR="00727191" w:rsidRPr="0074112B">
        <w:t>omisión</w:t>
      </w:r>
      <w:r w:rsidR="003347C9" w:rsidRPr="001F57DB">
        <w:t xml:space="preserve"> de procurarle un aborto en condiciones seguras</w:t>
      </w:r>
      <w:r w:rsidR="00871BA6">
        <w:t xml:space="preserve">. Esa omisión </w:t>
      </w:r>
      <w:r w:rsidR="003347C9" w:rsidRPr="001F57DB">
        <w:t>la oblig</w:t>
      </w:r>
      <w:r w:rsidR="0051045F" w:rsidRPr="001F57DB">
        <w:t>ó</w:t>
      </w:r>
      <w:r w:rsidR="003347C9" w:rsidRPr="001F57DB">
        <w:t xml:space="preserve"> a continuar un embarazo forzado que comprometía seriamente su salud y su vida</w:t>
      </w:r>
      <w:r w:rsidR="00871BA6">
        <w:t xml:space="preserve"> y </w:t>
      </w:r>
      <w:r w:rsidR="008A025F" w:rsidRPr="001F57DB">
        <w:t xml:space="preserve">se tradujo en </w:t>
      </w:r>
      <w:r w:rsidR="001710C0" w:rsidRPr="001F57DB">
        <w:t>distintas violaciones de derechos humanos</w:t>
      </w:r>
      <w:r w:rsidR="00AC5DC4" w:rsidRPr="001F57DB">
        <w:t>.</w:t>
      </w:r>
    </w:p>
    <w:p w14:paraId="7166C9AE" w14:textId="423A925C" w:rsidR="00D33286" w:rsidRPr="00D33286" w:rsidRDefault="00D33286" w:rsidP="003A2E65">
      <w:pPr>
        <w:pStyle w:val="Ttulo5"/>
        <w:spacing w:before="360"/>
      </w:pPr>
      <w:r>
        <w:lastRenderedPageBreak/>
        <w:t>Derecho a la autonomía e integridad personal</w:t>
      </w:r>
    </w:p>
    <w:p w14:paraId="53978C7C" w14:textId="6B468D2A" w:rsidR="00741370" w:rsidRPr="00A05FA5" w:rsidRDefault="004E1C85" w:rsidP="00A05FA5">
      <w:pPr>
        <w:pStyle w:val="Prrafo"/>
        <w:numPr>
          <w:ilvl w:val="0"/>
          <w:numId w:val="3"/>
        </w:numPr>
        <w:ind w:left="0" w:hanging="567"/>
      </w:pPr>
      <w:r>
        <w:t xml:space="preserve">El Pleno, en la acción </w:t>
      </w:r>
      <w:r w:rsidR="00D601C3">
        <w:t xml:space="preserve">de inconstitucionalidad </w:t>
      </w:r>
      <w:r>
        <w:t>148/2017</w:t>
      </w:r>
      <w:r w:rsidR="008B65A5">
        <w:t xml:space="preserve"> referida</w:t>
      </w:r>
      <w:r w:rsidR="006966F5">
        <w:t>,</w:t>
      </w:r>
      <w:r>
        <w:t xml:space="preserve"> destacó que el </w:t>
      </w:r>
      <w:r w:rsidR="00741370" w:rsidRPr="005C1460">
        <w:t>propósito medular de los derechos humanos es proteger y garantizar el derecho de las personas a ser tratadas con la dignidad que corresponde a la persona humana y a que ésta goce de las libertades fundamentales. Una consecuencia directa de los derechos a la libertad y a la dignidad es –tal como lo establece la jurisprudencia de esta Suprema Corte y los instrumentos internacionales en la materia– la capacidad de conducirse libre de injerencias arbitrarias en las decisiones de la vida privada</w:t>
      </w:r>
      <w:r w:rsidR="00741370" w:rsidRPr="005C1460">
        <w:rPr>
          <w:rStyle w:val="Refdenotaalpie"/>
        </w:rPr>
        <w:footnoteReference w:id="37"/>
      </w:r>
      <w:r w:rsidR="00A05FA5">
        <w:t>.</w:t>
      </w:r>
    </w:p>
    <w:p w14:paraId="1B89ECB3" w14:textId="3F593906" w:rsidR="00EF0DBA" w:rsidRPr="005C1460" w:rsidRDefault="00B211E7" w:rsidP="00EF0DBA">
      <w:pPr>
        <w:pStyle w:val="Prrafo"/>
        <w:numPr>
          <w:ilvl w:val="0"/>
          <w:numId w:val="3"/>
        </w:numPr>
        <w:ind w:left="0" w:hanging="567"/>
        <w:rPr>
          <w:color w:val="000000"/>
        </w:rPr>
      </w:pPr>
      <w:r>
        <w:rPr>
          <w:color w:val="000000"/>
        </w:rPr>
        <w:t xml:space="preserve">Según el precedente, la </w:t>
      </w:r>
      <w:r w:rsidR="00EF0DBA" w:rsidRPr="005C1460">
        <w:rPr>
          <w:color w:val="000000"/>
        </w:rPr>
        <w:t xml:space="preserve">autonomía individual constituye una esfera de inmunidad de la persona frente al Estado y la comunidad; un lugar de </w:t>
      </w:r>
      <w:proofErr w:type="spellStart"/>
      <w:r w:rsidR="00EF0DBA" w:rsidRPr="005C1460">
        <w:rPr>
          <w:color w:val="000000"/>
        </w:rPr>
        <w:t>autopertenencia</w:t>
      </w:r>
      <w:proofErr w:type="spellEnd"/>
      <w:r w:rsidR="00EF0DBA" w:rsidRPr="005C1460">
        <w:rPr>
          <w:color w:val="000000"/>
        </w:rPr>
        <w:t xml:space="preserve"> desde donde la persona humana construye su vida a partir de sus aspiraciones, deseos y posibilidades, en comunicación –sin duda– con el entorno y las determinantes estructurales ineludibles</w:t>
      </w:r>
      <w:r w:rsidR="00EF0DBA" w:rsidRPr="005C1460">
        <w:rPr>
          <w:rStyle w:val="Refdenotaalpie"/>
          <w:color w:val="000000"/>
        </w:rPr>
        <w:footnoteReference w:id="38"/>
      </w:r>
      <w:r w:rsidR="00EF0DBA" w:rsidRPr="005C1460">
        <w:rPr>
          <w:color w:val="000000"/>
        </w:rPr>
        <w:t>, surgidas de la posición que el orden social asigna a cada persona. Por tanto, el Estado estaría obligado no sólo a respetar la autonomía personal, sino a brindar las condiciones necesarias para que las personas sujetas a su jurisdicción decidan sobre su vida y aspiraciones entre las opciones disponibles.</w:t>
      </w:r>
      <w:r w:rsidR="00DB4292">
        <w:rPr>
          <w:color w:val="000000"/>
        </w:rPr>
        <w:t xml:space="preserve"> </w:t>
      </w:r>
      <w:r w:rsidR="00EF0DBA" w:rsidRPr="005C1460">
        <w:rPr>
          <w:color w:val="000000"/>
        </w:rPr>
        <w:t>La autonomía individual es</w:t>
      </w:r>
      <w:r w:rsidR="00DB4292">
        <w:rPr>
          <w:color w:val="000000"/>
        </w:rPr>
        <w:t>, entonces,</w:t>
      </w:r>
      <w:r w:rsidR="00EF0DBA" w:rsidRPr="005C1460">
        <w:rPr>
          <w:color w:val="000000"/>
        </w:rPr>
        <w:t xml:space="preserve"> la capacidad de decidir conforme a la propia ley, a obedecer las consideraciones, deseos, condiciones y características que expresan el ser auténtico, así como de elegir el plan de vida que se considere más valioso. La autonomía libera de la opresión de </w:t>
      </w:r>
      <w:r w:rsidR="00EF0DBA" w:rsidRPr="005C1460">
        <w:rPr>
          <w:color w:val="000000"/>
        </w:rPr>
        <w:lastRenderedPageBreak/>
        <w:t>construirse en virtud de las consideraciones, deseos, condiciones o violencias impuestas por otras personas, la comunidad o el Estado.</w:t>
      </w:r>
    </w:p>
    <w:p w14:paraId="154A6187" w14:textId="2B948600" w:rsidR="00EF0DBA" w:rsidRPr="005C1460" w:rsidRDefault="00EF0DBA" w:rsidP="00EF0DBA">
      <w:pPr>
        <w:pStyle w:val="Prrafo"/>
        <w:numPr>
          <w:ilvl w:val="0"/>
          <w:numId w:val="3"/>
        </w:numPr>
        <w:ind w:left="0" w:hanging="567"/>
      </w:pPr>
      <w:r w:rsidRPr="005C1460">
        <w:t>Si se parte de esta concepción de autonomía se identificarán dos importantes componentes: a) el reconocimiento de que existen ciertas decisiones que sólo competen a la persona respecto de sí misma y b) la aseveración de que estas decisiones deben estar libres de interferencia estatal o de otras interferencias auspiciadas o legitimadas indebidamente por el orden jurídico</w:t>
      </w:r>
      <w:r w:rsidR="0022682E">
        <w:t xml:space="preserve">, lo que implica el derecho a forjarse un proyecto de vida. </w:t>
      </w:r>
    </w:p>
    <w:p w14:paraId="7AB2F6A8" w14:textId="105A3BE7" w:rsidR="00EF0DBA" w:rsidRPr="005C1460" w:rsidRDefault="00EF0DBA" w:rsidP="00EF0DBA">
      <w:pPr>
        <w:pStyle w:val="Prrafo"/>
        <w:numPr>
          <w:ilvl w:val="0"/>
          <w:numId w:val="3"/>
        </w:numPr>
        <w:ind w:left="0" w:hanging="567"/>
      </w:pPr>
      <w:r w:rsidRPr="005C1460">
        <w:t>El concepto de “proyecto de vida”, ha sido desarrollado por la Corte Interamericana de Derechos Humanos a propósito de los daños futuros que pueden causarse en una persona por la violación de sus derechos humanos</w:t>
      </w:r>
      <w:r w:rsidR="000947A6">
        <w:t>. Esa corte dijo</w:t>
      </w:r>
      <w:r w:rsidR="006E1CA0">
        <w:t>, por una parte,</w:t>
      </w:r>
      <w:r w:rsidR="000947A6">
        <w:t xml:space="preserve"> que </w:t>
      </w:r>
      <w:r>
        <w:t>e</w:t>
      </w:r>
      <w:r w:rsidRPr="005C1460">
        <w:t>l proyecto de vida atiende a la realización integral de la persona, considerando su vocación, aptitudes, circunstancias, potencialidades y aspiraciones, que le permiten razonablemente fijarse [...] expectativas y acceder a ellas</w:t>
      </w:r>
      <w:r>
        <w:t xml:space="preserve"> y</w:t>
      </w:r>
      <w:r w:rsidR="00B65D48">
        <w:t>, por otra,</w:t>
      </w:r>
      <w:r w:rsidRPr="005C1460">
        <w:t xml:space="preserve"> se asocia al concepto de realización personal sustentada en las opciones que una persona tenga para conducir su vida y alcanzar el destino que se propone</w:t>
      </w:r>
      <w:r w:rsidR="000947A6" w:rsidRPr="005C1460">
        <w:rPr>
          <w:vertAlign w:val="superscript"/>
        </w:rPr>
        <w:footnoteReference w:id="39"/>
      </w:r>
      <w:r w:rsidRPr="005C1460">
        <w:t>.</w:t>
      </w:r>
    </w:p>
    <w:p w14:paraId="213C6022" w14:textId="56D18B06" w:rsidR="00EF0DBA" w:rsidRPr="005C1460" w:rsidRDefault="00EF0DBA" w:rsidP="005075D2">
      <w:pPr>
        <w:pStyle w:val="Prrafo"/>
        <w:numPr>
          <w:ilvl w:val="0"/>
          <w:numId w:val="3"/>
        </w:numPr>
        <w:ind w:left="0" w:hanging="567"/>
      </w:pPr>
      <w:r w:rsidRPr="005C1460">
        <w:t xml:space="preserve">El concepto de proyecto de vida demuestra la importancia de las expectativas que cada persona tiene para su vida de acuerdo con sus condiciones y su contexto, y tiene como fundamento la autodeterminación de cómo cada una quiere vivir su vida. La continuación de un embarazo puede afectar el </w:t>
      </w:r>
      <w:r w:rsidRPr="005C1460">
        <w:lastRenderedPageBreak/>
        <w:t>proyecto de vida de las personas</w:t>
      </w:r>
      <w:r w:rsidR="00C33D87">
        <w:t>,</w:t>
      </w:r>
      <w:r w:rsidRPr="005C1460">
        <w:t xml:space="preserve"> pues puede trastocar sus expectativas sobre su bienestar futuro.</w:t>
      </w:r>
      <w:r w:rsidR="005075D2">
        <w:t xml:space="preserve"> </w:t>
      </w:r>
      <w:r w:rsidR="00B65D48">
        <w:t>Por esto, a</w:t>
      </w:r>
      <w:r w:rsidRPr="005C1460">
        <w:t>cceder a la interrupción voluntaria y segura del embarazo contribuye al bienestar de las mujeres y de las personas gestantes.</w:t>
      </w:r>
    </w:p>
    <w:p w14:paraId="7F7D3534" w14:textId="0C23C551" w:rsidR="009B4EB3" w:rsidRPr="00EE35A6" w:rsidRDefault="00EF0DBA" w:rsidP="00EF0DBA">
      <w:pPr>
        <w:pStyle w:val="Prrafo"/>
        <w:numPr>
          <w:ilvl w:val="0"/>
          <w:numId w:val="3"/>
        </w:numPr>
        <w:ind w:left="0" w:hanging="567"/>
      </w:pPr>
      <w:r w:rsidRPr="005C1460">
        <w:t>El derecho a la autonomía exige aceptar que tales estándares de bienestar sean definidos por las mujeres y las personas gestantes, especialmente cuando se trata de servicios que ellas requieren, teniendo a disposición todas las condiciones que les permitan acceder a dichos estándares: servicios seguros y de calidad, información, respeto y confidencialidad. El concepto de bienestar incluye no sólo la cantidad de vida, sino, particularmente, la calidad de esa vida, y lo que sienten las mujeres y personas gestantes en relación con su bienestar</w:t>
      </w:r>
      <w:r w:rsidRPr="005C1460">
        <w:rPr>
          <w:rStyle w:val="Refdenotaalpie"/>
        </w:rPr>
        <w:footnoteReference w:id="40"/>
      </w:r>
      <w:r w:rsidR="007E24B1">
        <w:t>.</w:t>
      </w:r>
      <w:r w:rsidRPr="005C1460">
        <w:t xml:space="preserve"> Esta aproximación reconoce la importancia de la percepción y conocimiento que tienen las mujeres y las personas gestantes sobre sí mismas y sobre lo que pueden o no asumir o sobrellevar. Este reconocimiento se basa en el respeto de sus derechos a la dignidad y a la autonomía</w:t>
      </w:r>
      <w:r w:rsidR="00B922EE">
        <w:t>.</w:t>
      </w:r>
    </w:p>
    <w:p w14:paraId="77F547BC" w14:textId="2EAE25E9" w:rsidR="00741370" w:rsidRPr="00B93009" w:rsidRDefault="00741370" w:rsidP="001A31F0">
      <w:pPr>
        <w:pStyle w:val="Prrafo"/>
        <w:numPr>
          <w:ilvl w:val="0"/>
          <w:numId w:val="3"/>
        </w:numPr>
        <w:ind w:left="0" w:hanging="567"/>
        <w:rPr>
          <w:lang w:val="es-ES_tradnl"/>
        </w:rPr>
      </w:pPr>
      <w:r w:rsidRPr="005C1460">
        <w:t xml:space="preserve">Tal como se afirmó en la acción de inconstitucionalidad 148/2017, para definir los contornos del derecho a la autonomía reproductiva debe acudirse al contenido que irradia el derecho a la </w:t>
      </w:r>
      <w:r w:rsidRPr="00A35AEB">
        <w:t>dignidad humana</w:t>
      </w:r>
      <w:r w:rsidRPr="005C1460">
        <w:t>, al ser éste el fundamento, condición y base del resto de los derechos humanos reconocidos constitucional y convencionalmente</w:t>
      </w:r>
      <w:r w:rsidRPr="005C1460">
        <w:rPr>
          <w:rStyle w:val="Refdenotaalpie"/>
        </w:rPr>
        <w:footnoteReference w:id="41"/>
      </w:r>
      <w:r w:rsidRPr="005C1460">
        <w:t>. Así, la dignidad humana, como origen, esencia y fin de todos los derechos humanos reconocidos en el parámetro de regularidad constitucional, reconoce una calidad única y excepcional a tod</w:t>
      </w:r>
      <w:r w:rsidR="001A31F0">
        <w:t xml:space="preserve">a persona </w:t>
      </w:r>
      <w:r w:rsidRPr="005C1460">
        <w:t>human</w:t>
      </w:r>
      <w:r w:rsidR="001A31F0">
        <w:t>a</w:t>
      </w:r>
      <w:r w:rsidRPr="005C1460">
        <w:t xml:space="preserve"> por el simple hecho de serlo, cuya plena eficacia debe ser respetada y protegida integralmente sin excepción alguna</w:t>
      </w:r>
      <w:r w:rsidRPr="005C1460">
        <w:rPr>
          <w:rStyle w:val="Refdenotaalpie"/>
        </w:rPr>
        <w:footnoteReference w:id="42"/>
      </w:r>
      <w:r w:rsidRPr="005C1460">
        <w:t>.</w:t>
      </w:r>
      <w:r w:rsidR="001A31F0">
        <w:rPr>
          <w:lang w:val="es-ES_tradnl"/>
        </w:rPr>
        <w:t xml:space="preserve"> </w:t>
      </w:r>
      <w:r w:rsidRPr="005C1460">
        <w:t xml:space="preserve">Todas las autoridades, e incluso particulares, tienen la obligación de respetar </w:t>
      </w:r>
      <w:r w:rsidRPr="005C1460">
        <w:lastRenderedPageBreak/>
        <w:t>y proteger la dignidad de toda person</w:t>
      </w:r>
      <w:r w:rsidR="007427A8">
        <w:t>a;</w:t>
      </w:r>
      <w:r w:rsidRPr="005C1460">
        <w:t xml:space="preserve"> es decir, su derecho </w:t>
      </w:r>
      <w:r w:rsidR="007427A8">
        <w:t xml:space="preserve">a </w:t>
      </w:r>
      <w:r w:rsidRPr="005C1460">
        <w:t>ser tratada como tal</w:t>
      </w:r>
      <w:r w:rsidR="007427A8">
        <w:t>,</w:t>
      </w:r>
      <w:r w:rsidRPr="005C1460">
        <w:t xml:space="preserve"> sin ser humillada, degradada, envilecida o cosificada</w:t>
      </w:r>
      <w:r w:rsidRPr="005C1460">
        <w:rPr>
          <w:rStyle w:val="Refdenotaalpie"/>
        </w:rPr>
        <w:footnoteReference w:id="43"/>
      </w:r>
      <w:r w:rsidRPr="005C1460">
        <w:t>.</w:t>
      </w:r>
    </w:p>
    <w:p w14:paraId="3C95A321" w14:textId="148BAA29" w:rsidR="00B93009" w:rsidRDefault="00B93009" w:rsidP="00B93009">
      <w:pPr>
        <w:pStyle w:val="Prrafo"/>
        <w:numPr>
          <w:ilvl w:val="0"/>
          <w:numId w:val="3"/>
        </w:numPr>
        <w:ind w:left="0" w:hanging="567"/>
      </w:pPr>
      <w:r w:rsidRPr="0091507E">
        <w:t>En efecto, en criterio de esta Sala, obligar a las mujeres a adoptar, en contra de su voluntad, decisiones sobre la salud reproductiva, lo cual sucede, entre otros</w:t>
      </w:r>
      <w:r w:rsidR="00D60BC5">
        <w:t xml:space="preserve"> casos</w:t>
      </w:r>
      <w:r w:rsidRPr="0091507E">
        <w:t xml:space="preserve">, cuando se impide a las mujeres acceder a ciertos servicios médicos o cuando no existen las condiciones necesarias para que las decisiones puedan ser efectivas, vulnera la dignidad humana. </w:t>
      </w:r>
      <w:r w:rsidR="00463B87">
        <w:t>La misma falta de información sobre la posibilidad de acceder a estos servicios</w:t>
      </w:r>
      <w:r w:rsidR="005861DF">
        <w:t xml:space="preserve"> propicia estas violaciones.</w:t>
      </w:r>
    </w:p>
    <w:p w14:paraId="2450D3AE" w14:textId="094E6B65" w:rsidR="00883C15" w:rsidRPr="00AC32A2" w:rsidRDefault="00D1279B" w:rsidP="00AC32A2">
      <w:pPr>
        <w:pStyle w:val="Prrafo"/>
        <w:numPr>
          <w:ilvl w:val="0"/>
          <w:numId w:val="3"/>
        </w:numPr>
        <w:ind w:left="0" w:hanging="567"/>
      </w:pPr>
      <w:r>
        <w:t xml:space="preserve">En cuanto a las adolescentes, la </w:t>
      </w:r>
      <w:r>
        <w:rPr>
          <w:rFonts w:eastAsia="MS Mincho"/>
          <w:lang w:eastAsia="es-ES"/>
        </w:rPr>
        <w:t>aut</w:t>
      </w:r>
      <w:r w:rsidR="00B93009" w:rsidRPr="005C1460">
        <w:rPr>
          <w:rFonts w:eastAsia="MS Mincho"/>
          <w:lang w:eastAsia="es-ES"/>
        </w:rPr>
        <w:t>onomía progresiva</w:t>
      </w:r>
      <w:r w:rsidR="00B93009" w:rsidRPr="005C1460">
        <w:rPr>
          <w:vertAlign w:val="superscript"/>
          <w:lang w:eastAsia="es-ES"/>
        </w:rPr>
        <w:footnoteReference w:id="44"/>
      </w:r>
      <w:r w:rsidR="00B93009" w:rsidRPr="005C1460">
        <w:rPr>
          <w:rFonts w:eastAsia="MS Mincho"/>
          <w:lang w:eastAsia="es-ES"/>
        </w:rPr>
        <w:t xml:space="preserve"> es un derecho que va aumentando hasta llegar a ser completo en la mayoría de edad, y que se corresponde con la idea contenida en la Convención sobre los Derechos del Niño: “la evolución de las capacidades de los niños, niñas y adolescentes”</w:t>
      </w:r>
      <w:r w:rsidR="00B93009" w:rsidRPr="005C1460">
        <w:rPr>
          <w:vertAlign w:val="superscript"/>
          <w:lang w:eastAsia="es-ES"/>
        </w:rPr>
        <w:footnoteReference w:id="45"/>
      </w:r>
      <w:r w:rsidR="00B93009" w:rsidRPr="005C1460">
        <w:rPr>
          <w:rFonts w:eastAsia="MS Mincho"/>
          <w:lang w:eastAsia="es-ES"/>
        </w:rPr>
        <w:t>. Este derecho no es</w:t>
      </w:r>
      <w:r w:rsidR="00B93009" w:rsidRPr="005C1460">
        <w:t xml:space="preserve"> </w:t>
      </w:r>
      <w:r w:rsidR="00B93009" w:rsidRPr="005C1460">
        <w:rPr>
          <w:rFonts w:eastAsia="MS Mincho"/>
          <w:lang w:eastAsia="es-ES"/>
        </w:rPr>
        <w:t>sólo un concepto psicológico vinculado a la madurez psico-emocional de la infancia, sino que es un concepto normativo que describe o refiere la esfera de inmunidad de la persona frente al Estado, y el grado de injerencias estatales tolerables a la vida privada y a las decisiones que se ubican en ese ámbito.</w:t>
      </w:r>
      <w:r w:rsidR="00AC32A2">
        <w:t xml:space="preserve"> </w:t>
      </w:r>
      <w:r w:rsidR="00883C15" w:rsidRPr="00AC32A2">
        <w:t xml:space="preserve">Frente al sistema de salud, responsable principal de proveer servicios de atención médica, las mujeres </w:t>
      </w:r>
      <w:r w:rsidR="00007891">
        <w:t xml:space="preserve">y personas gestantes </w:t>
      </w:r>
      <w:r w:rsidR="00883C15" w:rsidRPr="00AC32A2">
        <w:t>están ubicadas en una situación de dependencia y vulnerabilidad</w:t>
      </w:r>
      <w:r w:rsidR="00D53406">
        <w:t xml:space="preserve"> </w:t>
      </w:r>
      <w:r w:rsidR="00D53406">
        <w:lastRenderedPageBreak/>
        <w:t>–</w:t>
      </w:r>
      <w:r w:rsidR="00883C15" w:rsidRPr="00AC32A2">
        <w:t>particularmente si son adolescentes</w:t>
      </w:r>
      <w:r w:rsidR="00D53406">
        <w:t>–</w:t>
      </w:r>
      <w:r w:rsidR="00883C15" w:rsidRPr="00AC32A2">
        <w:t xml:space="preserve"> que condiciona que sus objetivos de salud sólo puedan conseguirse si este sistema les facilita dichos servicios.</w:t>
      </w:r>
    </w:p>
    <w:p w14:paraId="5A719F1F" w14:textId="0F138F63" w:rsidR="00D87979" w:rsidRDefault="00D1279B" w:rsidP="00D87979">
      <w:pPr>
        <w:pStyle w:val="Prrafo"/>
        <w:numPr>
          <w:ilvl w:val="0"/>
          <w:numId w:val="3"/>
        </w:numPr>
        <w:ind w:left="0" w:hanging="567"/>
      </w:pPr>
      <w:r w:rsidRPr="00FA11F8">
        <w:rPr>
          <w:rFonts w:eastAsia="MS Mincho"/>
          <w:lang w:eastAsia="es-ES"/>
        </w:rPr>
        <w:t>E</w:t>
      </w:r>
      <w:r w:rsidR="004C38EF" w:rsidRPr="00FA11F8">
        <w:rPr>
          <w:rFonts w:eastAsia="MS Mincho"/>
          <w:lang w:eastAsia="es-ES"/>
        </w:rPr>
        <w:t xml:space="preserve">sta Corte ya ha caracterizado </w:t>
      </w:r>
      <w:r w:rsidR="000E40D8" w:rsidRPr="00FA11F8">
        <w:rPr>
          <w:rFonts w:eastAsia="MS Mincho"/>
          <w:lang w:eastAsia="es-ES"/>
        </w:rPr>
        <w:t>la dilación en la prestación de servicios de interrupción de un embarazo forzado como</w:t>
      </w:r>
      <w:r w:rsidR="00885C89" w:rsidRPr="00FA11F8">
        <w:rPr>
          <w:rFonts w:eastAsia="MS Mincho"/>
          <w:lang w:eastAsia="es-ES"/>
        </w:rPr>
        <w:t xml:space="preserve"> una forma de trato cruel</w:t>
      </w:r>
      <w:r w:rsidR="00FA11F8" w:rsidRPr="00FA11F8">
        <w:rPr>
          <w:rFonts w:eastAsia="MS Mincho"/>
          <w:lang w:eastAsia="es-ES"/>
        </w:rPr>
        <w:t xml:space="preserve"> e inhumano. </w:t>
      </w:r>
      <w:r>
        <w:rPr>
          <w:rFonts w:eastAsia="MS Mincho"/>
          <w:lang w:eastAsia="es-ES"/>
        </w:rPr>
        <w:t>En los amparos en revisi</w:t>
      </w:r>
      <w:r w:rsidR="009A05FD">
        <w:rPr>
          <w:rFonts w:eastAsia="MS Mincho"/>
          <w:lang w:eastAsia="es-ES"/>
        </w:rPr>
        <w:t xml:space="preserve">ón </w:t>
      </w:r>
      <w:r w:rsidR="00DC60E2" w:rsidRPr="00FA11F8">
        <w:rPr>
          <w:rFonts w:eastAsia="MS Mincho"/>
          <w:lang w:eastAsia="es-ES"/>
        </w:rPr>
        <w:t xml:space="preserve">601/2017 y 1170/2017, resueltos por la Segunda Sala, </w:t>
      </w:r>
      <w:r w:rsidR="006A206D" w:rsidRPr="00FA11F8">
        <w:rPr>
          <w:rFonts w:eastAsia="MS Mincho"/>
          <w:lang w:eastAsia="es-ES"/>
        </w:rPr>
        <w:t xml:space="preserve">y en </w:t>
      </w:r>
      <w:r w:rsidR="00C41358" w:rsidRPr="00FA11F8">
        <w:rPr>
          <w:rFonts w:eastAsia="MS Mincho"/>
          <w:lang w:eastAsia="es-ES"/>
        </w:rPr>
        <w:t>los amparos en revisión</w:t>
      </w:r>
      <w:r w:rsidR="00DA6A20" w:rsidRPr="00FA11F8">
        <w:rPr>
          <w:rFonts w:eastAsia="MS Mincho"/>
          <w:lang w:eastAsia="es-ES"/>
        </w:rPr>
        <w:t xml:space="preserve"> </w:t>
      </w:r>
      <w:r w:rsidR="00DA6A20">
        <w:rPr>
          <w:rFonts w:eastAsia="MS Mincho"/>
          <w:lang w:eastAsia="es-ES"/>
        </w:rPr>
        <w:t>438/2020</w:t>
      </w:r>
      <w:r w:rsidR="00583BB8">
        <w:rPr>
          <w:rFonts w:eastAsia="MS Mincho"/>
          <w:lang w:eastAsia="es-ES"/>
        </w:rPr>
        <w:t xml:space="preserve"> y </w:t>
      </w:r>
      <w:r w:rsidR="006C6A50">
        <w:rPr>
          <w:rFonts w:eastAsia="MS Mincho"/>
          <w:lang w:eastAsia="es-ES"/>
        </w:rPr>
        <w:t>4</w:t>
      </w:r>
      <w:r w:rsidR="0053601A">
        <w:rPr>
          <w:rFonts w:eastAsia="MS Mincho"/>
          <w:lang w:eastAsia="es-ES"/>
        </w:rPr>
        <w:t>5</w:t>
      </w:r>
      <w:r w:rsidR="00A30E3A">
        <w:rPr>
          <w:rFonts w:eastAsia="MS Mincho"/>
          <w:lang w:eastAsia="es-ES"/>
        </w:rPr>
        <w:t>/20</w:t>
      </w:r>
      <w:r w:rsidR="004E31DD">
        <w:rPr>
          <w:rFonts w:eastAsia="MS Mincho"/>
          <w:lang w:eastAsia="es-ES"/>
        </w:rPr>
        <w:t>18</w:t>
      </w:r>
      <w:r w:rsidR="00DA6A20">
        <w:rPr>
          <w:rFonts w:eastAsia="MS Mincho"/>
          <w:lang w:eastAsia="es-ES"/>
        </w:rPr>
        <w:t xml:space="preserve">, </w:t>
      </w:r>
      <w:r w:rsidR="00C41358">
        <w:rPr>
          <w:rFonts w:eastAsia="MS Mincho"/>
          <w:lang w:eastAsia="es-ES"/>
        </w:rPr>
        <w:t>resueltos</w:t>
      </w:r>
      <w:r w:rsidR="00DA6A20">
        <w:rPr>
          <w:rFonts w:eastAsia="MS Mincho"/>
          <w:lang w:eastAsia="es-ES"/>
        </w:rPr>
        <w:t xml:space="preserve"> por esta Primera Sala,</w:t>
      </w:r>
      <w:r w:rsidR="00C41358">
        <w:rPr>
          <w:rFonts w:eastAsia="MS Mincho"/>
          <w:lang w:eastAsia="es-ES"/>
        </w:rPr>
        <w:t xml:space="preserve"> </w:t>
      </w:r>
      <w:r w:rsidR="00421DDB">
        <w:t>conforme al</w:t>
      </w:r>
      <w:r w:rsidR="007E2D8C">
        <w:t xml:space="preserve"> artículo 1° de la Convención contra la Tortura y otros Tratos o Penas Crueles, Inhumanos o Degradantes</w:t>
      </w:r>
      <w:r w:rsidR="00421DDB">
        <w:t xml:space="preserve">, </w:t>
      </w:r>
      <w:r w:rsidR="00FA11F8">
        <w:t>entendió</w:t>
      </w:r>
      <w:r w:rsidR="00C41358">
        <w:t xml:space="preserve"> la tortura como </w:t>
      </w:r>
      <w:r w:rsidR="007E2D8C">
        <w:t xml:space="preserve">todo acto </w:t>
      </w:r>
      <w:r w:rsidR="0056524F">
        <w:t xml:space="preserve">que </w:t>
      </w:r>
      <w:r w:rsidR="007E2D8C">
        <w:t>inflige</w:t>
      </w:r>
      <w:r w:rsidR="00100C65">
        <w:t xml:space="preserve">n </w:t>
      </w:r>
      <w:r w:rsidR="007E2D8C">
        <w:t xml:space="preserve">intencionalmente a una persona dolores o sufrimientos graves, físicos o mentales, con la finalidad de proporcionar un castigo por un acto cometido, o la obtención de información, la intimidación o cualquier tipo de discriminación, cuando los actos referidos sean provocados por un servidor público u otra persona en el ejercicio de sus funciones públicas. </w:t>
      </w:r>
      <w:r w:rsidR="00E542B3">
        <w:t>S</w:t>
      </w:r>
      <w:r w:rsidR="007E2D8C">
        <w:t>e destacó que la Declaración sobre la Protección de Todas las Personas contra la Tortura y Otros Tratos o Penas Crueles, Inhumanos o Degradantes prevé que la tortura constituye una ofensa a la dignidad humana</w:t>
      </w:r>
      <w:r w:rsidR="00D87979">
        <w:t>.</w:t>
      </w:r>
    </w:p>
    <w:p w14:paraId="46444EC2" w14:textId="0AFA9F79" w:rsidR="00BB3D1E" w:rsidRDefault="00D87979" w:rsidP="006B6580">
      <w:pPr>
        <w:pStyle w:val="Prrafo"/>
        <w:numPr>
          <w:ilvl w:val="0"/>
          <w:numId w:val="3"/>
        </w:numPr>
        <w:ind w:left="0" w:hanging="567"/>
      </w:pPr>
      <w:r>
        <w:t>Se subrayó que</w:t>
      </w:r>
      <w:r w:rsidR="007E2D8C">
        <w:t xml:space="preserve"> la Convención Interamericana para Prevenir y Sancionar la Tortura engloba dentro de este concepto la aplicación de métodos tendientes a anular la personalidad de la víctima o disminuir su capacidad física o mental, aunque no causen dolor físico o angustia. </w:t>
      </w:r>
      <w:r w:rsidR="007E6503">
        <w:t>Estas aproxi</w:t>
      </w:r>
      <w:r w:rsidR="006B6580">
        <w:t xml:space="preserve">maciones </w:t>
      </w:r>
      <w:r w:rsidR="008762BB">
        <w:t>–</w:t>
      </w:r>
      <w:r w:rsidR="006B6580">
        <w:t>consideran los precedentes</w:t>
      </w:r>
      <w:r w:rsidR="008762BB">
        <w:t>–</w:t>
      </w:r>
      <w:r w:rsidR="006B6580">
        <w:t xml:space="preserve"> fueron acogidas por </w:t>
      </w:r>
      <w:r w:rsidR="007E2D8C">
        <w:t>la Ley General para Prevenir, Investigar y Sancionar la Tortura y otros Tratos o Penas Crueles, Inhumanos o Degradantes</w:t>
      </w:r>
      <w:r w:rsidR="003E0A56">
        <w:t>, dictada a nivel nacional.</w:t>
      </w:r>
    </w:p>
    <w:p w14:paraId="4105FDBC" w14:textId="7CA26002" w:rsidR="00262306" w:rsidRDefault="00E144B5" w:rsidP="006B6580">
      <w:pPr>
        <w:pStyle w:val="Prrafo"/>
        <w:numPr>
          <w:ilvl w:val="0"/>
          <w:numId w:val="3"/>
        </w:numPr>
        <w:ind w:left="0" w:hanging="567"/>
      </w:pPr>
      <w:r>
        <w:t>Con base en esos parámetros, la doctrina de esta</w:t>
      </w:r>
      <w:r w:rsidR="007E2D8C">
        <w:t xml:space="preserve"> Suprema Corte de Justicia de la Nación ha establecido que se está frente a un caso de tortura cuando: a) la naturaleza del acto consista en afectaciones físicas o mentales graves</w:t>
      </w:r>
      <w:r w:rsidR="00D4009B">
        <w:t xml:space="preserve">; </w:t>
      </w:r>
      <w:r w:rsidR="007E2D8C">
        <w:t>b) sean infligidas intencionalmente</w:t>
      </w:r>
      <w:r w:rsidR="00D4009B">
        <w:t>,</w:t>
      </w:r>
      <w:r w:rsidR="007E2D8C">
        <w:t xml:space="preserve"> y c) con un propósito determinado o cualquier fin que tenga por objeto menoscabar la personalidad</w:t>
      </w:r>
      <w:r w:rsidR="0069600B">
        <w:t xml:space="preserve"> e </w:t>
      </w:r>
      <w:r w:rsidR="007E2D8C">
        <w:t>integridad de la persona.</w:t>
      </w:r>
    </w:p>
    <w:p w14:paraId="3A011119" w14:textId="367F442B" w:rsidR="00B81482" w:rsidRDefault="00262306" w:rsidP="007D7A57">
      <w:pPr>
        <w:pStyle w:val="Prrafo"/>
        <w:numPr>
          <w:ilvl w:val="0"/>
          <w:numId w:val="3"/>
        </w:numPr>
        <w:ind w:left="0" w:hanging="567"/>
      </w:pPr>
      <w:r>
        <w:lastRenderedPageBreak/>
        <w:t xml:space="preserve">En cuanto a la interrupción </w:t>
      </w:r>
      <w:r w:rsidR="007E2D8C">
        <w:t>del embarazo, el Comité contra la Tortura de la Organización de las Naciones Unidas</w:t>
      </w:r>
      <w:r w:rsidR="008908A3">
        <w:t xml:space="preserve"> </w:t>
      </w:r>
      <w:r w:rsidR="007E2D8C">
        <w:t>ha entendido que el concepto de tortura evoluciona de manera constante, ya que en el ámbito de la salud pueden darse diversas formas de malos tratos</w:t>
      </w:r>
      <w:r w:rsidR="00586969">
        <w:t xml:space="preserve">. </w:t>
      </w:r>
      <w:r w:rsidR="00AB371F">
        <w:t xml:space="preserve">Por ejemplo, </w:t>
      </w:r>
      <w:r w:rsidR="007E2D8C">
        <w:t>la denegación del acceso al aborto seguro a mujeres que han quedado embarazadas como consecuencia de una violación</w:t>
      </w:r>
      <w:r w:rsidR="003B0BC6">
        <w:t xml:space="preserve">. </w:t>
      </w:r>
      <w:r w:rsidR="00DD1477">
        <w:t>De hecho, e</w:t>
      </w:r>
      <w:r w:rsidR="004D3D50">
        <w:t xml:space="preserve">n el caso </w:t>
      </w:r>
      <w:r w:rsidR="004D3D50" w:rsidRPr="007D7A57">
        <w:rPr>
          <w:i/>
          <w:iCs/>
        </w:rPr>
        <w:t xml:space="preserve">Karen Noelia </w:t>
      </w:r>
      <w:proofErr w:type="spellStart"/>
      <w:r w:rsidR="004D3D50" w:rsidRPr="007D7A57">
        <w:rPr>
          <w:i/>
          <w:iCs/>
        </w:rPr>
        <w:t>Llantoy</w:t>
      </w:r>
      <w:proofErr w:type="spellEnd"/>
      <w:r w:rsidR="004D3D50" w:rsidRPr="007D7A57">
        <w:rPr>
          <w:i/>
          <w:iCs/>
        </w:rPr>
        <w:t xml:space="preserve"> vs. Perú</w:t>
      </w:r>
      <w:r w:rsidR="007D7A57" w:rsidRPr="00CD2929">
        <w:rPr>
          <w:rStyle w:val="Refdenotaalpie"/>
          <w:i/>
        </w:rPr>
        <w:footnoteReference w:id="46"/>
      </w:r>
      <w:r w:rsidR="004D3D50">
        <w:t xml:space="preserve">, el Comité de Derechos Humanos caracterizó la negativa pertinaz de las autoridades de salud de procurar un aborto médicamente necesario como una forma de trato cruel, inhumano y degradante sobre la base de que esta negativa había prolongado injusta y deliberadamente el sufrimiento de la adolescente al </w:t>
      </w:r>
      <w:r w:rsidR="001C71CD">
        <w:t xml:space="preserve">obligarla a continuar un embarazo </w:t>
      </w:r>
      <w:r w:rsidR="000678EC">
        <w:t>que ponía en riesgo su salud menta</w:t>
      </w:r>
      <w:r w:rsidR="00FD6F9C">
        <w:t>l.</w:t>
      </w:r>
    </w:p>
    <w:p w14:paraId="420E7A0A" w14:textId="78557606" w:rsidR="000678EC" w:rsidRDefault="000678EC" w:rsidP="00B81482">
      <w:pPr>
        <w:pStyle w:val="Prrafo"/>
        <w:numPr>
          <w:ilvl w:val="0"/>
          <w:numId w:val="3"/>
        </w:numPr>
        <w:ind w:left="0" w:hanging="567"/>
      </w:pPr>
      <w:r>
        <w:t>Además, el artículo 7 del Estatuto de Roma</w:t>
      </w:r>
      <w:r w:rsidR="00EB57BD">
        <w:t xml:space="preserve"> de la Corte Penal Internacional</w:t>
      </w:r>
      <w:r>
        <w:t>, al enunciar los crímenes de lesa humanidad</w:t>
      </w:r>
      <w:r w:rsidR="001A30A4">
        <w:t>,</w:t>
      </w:r>
      <w:r>
        <w:t xml:space="preserve"> incluyó el embarazo forzado. Es importante, sin embargo, hacer nota</w:t>
      </w:r>
      <w:r w:rsidR="00C606E1">
        <w:t>r</w:t>
      </w:r>
      <w:r>
        <w:t xml:space="preserve"> que </w:t>
      </w:r>
      <w:r w:rsidR="008762BB">
        <w:t>–</w:t>
      </w:r>
      <w:r>
        <w:t>tal como exige la clasificación de crimen de lesa humanidad</w:t>
      </w:r>
      <w:r w:rsidR="008762BB">
        <w:t>–</w:t>
      </w:r>
      <w:r>
        <w:t xml:space="preserve"> este tipo de conducta debe ser parte de un ataque sistemático a la población civil. </w:t>
      </w:r>
      <w:r w:rsidR="003865C1">
        <w:t xml:space="preserve">Ahora bien, debe igualmente considerarse que </w:t>
      </w:r>
      <w:r w:rsidR="00AC1C67">
        <w:t xml:space="preserve">el concepto </w:t>
      </w:r>
      <w:r w:rsidR="003865C1">
        <w:t>“embarazo forzado” está directamente asociad</w:t>
      </w:r>
      <w:r w:rsidR="00AC1C67">
        <w:t>o</w:t>
      </w:r>
      <w:r w:rsidR="003865C1">
        <w:t xml:space="preserve"> al hecho de que el embarazo sea producto de una violación. En consecuencia, la categoría puede extrapolarse a casos como el que esta Sala resuelve.</w:t>
      </w:r>
    </w:p>
    <w:p w14:paraId="3E3A39DA" w14:textId="5BD3AF57" w:rsidR="004F60DB" w:rsidRPr="008762BB" w:rsidRDefault="00AC1C67" w:rsidP="7333BE59">
      <w:pPr>
        <w:pStyle w:val="Prrafo"/>
        <w:numPr>
          <w:ilvl w:val="0"/>
          <w:numId w:val="3"/>
        </w:numPr>
        <w:ind w:left="0" w:hanging="567"/>
      </w:pPr>
      <w:r w:rsidRPr="7333BE59">
        <w:t xml:space="preserve">Así, </w:t>
      </w:r>
      <w:r w:rsidR="00B93009" w:rsidRPr="7333BE59">
        <w:t>s</w:t>
      </w:r>
      <w:r w:rsidR="0091507E" w:rsidRPr="7333BE59">
        <w:t xml:space="preserve">e comparte el argumento de la quejosa en cuanto a que la dilación subsecuente </w:t>
      </w:r>
      <w:r w:rsidR="0051627D" w:rsidRPr="7333BE59">
        <w:t xml:space="preserve">a la recepción de la petición </w:t>
      </w:r>
      <w:r w:rsidR="0091507E" w:rsidRPr="7333BE59">
        <w:t xml:space="preserve">de las autoridades señaladas como responsables </w:t>
      </w:r>
      <w:r w:rsidR="0051627D" w:rsidRPr="7333BE59">
        <w:t xml:space="preserve">y la consecuente omisión </w:t>
      </w:r>
      <w:r w:rsidR="00015C6A" w:rsidRPr="7333BE59">
        <w:t>en la procuración del servicio</w:t>
      </w:r>
      <w:r w:rsidR="0091507E" w:rsidRPr="7333BE59">
        <w:t xml:space="preserve"> constituyeron formas de trato cruel, inhumano y degradante. </w:t>
      </w:r>
      <w:r w:rsidR="006C5BF8" w:rsidRPr="7333BE59">
        <w:t xml:space="preserve">Dichas </w:t>
      </w:r>
      <w:r w:rsidR="0091507E" w:rsidRPr="7333BE59">
        <w:t xml:space="preserve">autoridades la obligaron a encarar </w:t>
      </w:r>
      <w:r w:rsidRPr="7333BE59">
        <w:t xml:space="preserve">un embarazo producto de una violación </w:t>
      </w:r>
      <w:r w:rsidR="00916DE4" w:rsidRPr="7333BE59">
        <w:lastRenderedPageBreak/>
        <w:t xml:space="preserve">con lo que extendieron de forma injustificada y deliberada el sufrimiento </w:t>
      </w:r>
      <w:r w:rsidR="00AA1A8C" w:rsidRPr="7333BE59">
        <w:t>físico y emocional de</w:t>
      </w:r>
      <w:r w:rsidR="004F284A" w:rsidRPr="7333BE59">
        <w:t xml:space="preserve">rivado de la agresión; ignoraron que atravesaba un cuadro depresivo severo </w:t>
      </w:r>
      <w:r w:rsidR="00044680" w:rsidRPr="7333BE59">
        <w:t>y la</w:t>
      </w:r>
      <w:r w:rsidR="001E7E97" w:rsidRPr="7333BE59">
        <w:t xml:space="preserve"> forzaron </w:t>
      </w:r>
      <w:r w:rsidR="00044680" w:rsidRPr="7333BE59">
        <w:t xml:space="preserve">a soportar la angustia de pensamientos intrusivos e ideaciones suicidas, a pesar de contar con información directa y fidedigna sobre estos padecimientos de salud mental, pues la adolescente víctima </w:t>
      </w:r>
      <w:r w:rsidR="001E7E97" w:rsidRPr="7333BE59">
        <w:t xml:space="preserve">había sido tratada en el </w:t>
      </w:r>
      <w:r w:rsidR="00297ABE" w:rsidRPr="7333BE59">
        <w:t xml:space="preserve">mismo </w:t>
      </w:r>
      <w:r w:rsidR="001E7E97" w:rsidRPr="7333BE59">
        <w:t>Hospital</w:t>
      </w:r>
      <w:r w:rsidR="00297ABE" w:rsidRPr="7333BE59">
        <w:t xml:space="preserve"> Civil de Guadalajara</w:t>
      </w:r>
      <w:r w:rsidR="00750FAD" w:rsidRPr="7333BE59">
        <w:t xml:space="preserve"> por esa razón;</w:t>
      </w:r>
      <w:r w:rsidR="00C94357" w:rsidRPr="7333BE59">
        <w:t xml:space="preserve"> </w:t>
      </w:r>
      <w:r w:rsidR="00850D81" w:rsidRPr="7333BE59">
        <w:t xml:space="preserve">irrespetaron </w:t>
      </w:r>
      <w:r w:rsidR="0091507E" w:rsidRPr="7333BE59">
        <w:t>su condición de persona autónoma con capacidad de decisión sobre sus objetivos de salud</w:t>
      </w:r>
      <w:r w:rsidR="00C94357" w:rsidRPr="7333BE59">
        <w:t xml:space="preserve"> y sobre su proyecto de vida</w:t>
      </w:r>
      <w:r w:rsidR="0091507E" w:rsidRPr="7333BE59">
        <w:t xml:space="preserve">; la privaron de la certeza de poder lograr esos objetivos de forma segura y médicamente vigilada, </w:t>
      </w:r>
      <w:r w:rsidR="003467DE" w:rsidRPr="7333BE59">
        <w:t xml:space="preserve">e incumplieron con el deber cualificado de cuidado que exigía </w:t>
      </w:r>
      <w:r w:rsidR="004F60DB" w:rsidRPr="7333BE59">
        <w:t xml:space="preserve">su </w:t>
      </w:r>
      <w:r w:rsidR="003467DE" w:rsidRPr="7333BE59">
        <w:t>condición de adolescente</w:t>
      </w:r>
      <w:r w:rsidR="004F60DB" w:rsidRPr="7333BE59">
        <w:t>.</w:t>
      </w:r>
    </w:p>
    <w:p w14:paraId="35DC2488" w14:textId="25E22FA5" w:rsidR="00C15E15" w:rsidRPr="007D7A57" w:rsidRDefault="00C15E15" w:rsidP="003A2E65">
      <w:pPr>
        <w:pStyle w:val="Ttulo5"/>
        <w:spacing w:before="360"/>
      </w:pPr>
      <w:r w:rsidRPr="007D7A57">
        <w:t>El derecho a la no discriminación</w:t>
      </w:r>
    </w:p>
    <w:p w14:paraId="55BCD376" w14:textId="0B9E79E6" w:rsidR="0059143E" w:rsidRPr="00343696" w:rsidRDefault="00663147" w:rsidP="00343696">
      <w:pPr>
        <w:pStyle w:val="Prrafo"/>
        <w:numPr>
          <w:ilvl w:val="0"/>
          <w:numId w:val="3"/>
        </w:numPr>
        <w:ind w:left="0" w:hanging="567"/>
        <w:rPr>
          <w:rStyle w:val="eop"/>
        </w:rPr>
      </w:pPr>
      <w:r>
        <w:rPr>
          <w:rFonts w:eastAsia="Times New Roman"/>
          <w:lang w:val="es-ES_tradnl" w:eastAsia="es-MX"/>
        </w:rPr>
        <w:t>El Pleno</w:t>
      </w:r>
      <w:r w:rsidR="00D67576">
        <w:rPr>
          <w:rFonts w:eastAsia="Times New Roman"/>
          <w:lang w:val="es-ES_tradnl" w:eastAsia="es-MX"/>
        </w:rPr>
        <w:t xml:space="preserve"> de esta </w:t>
      </w:r>
      <w:r w:rsidR="008F1EFF">
        <w:rPr>
          <w:rFonts w:eastAsia="Times New Roman"/>
          <w:lang w:val="es-ES_tradnl" w:eastAsia="es-MX"/>
        </w:rPr>
        <w:t xml:space="preserve">Suprema </w:t>
      </w:r>
      <w:r w:rsidR="00D67576">
        <w:rPr>
          <w:rFonts w:eastAsia="Times New Roman"/>
          <w:lang w:val="es-ES_tradnl" w:eastAsia="es-MX"/>
        </w:rPr>
        <w:t>Corte</w:t>
      </w:r>
      <w:r>
        <w:rPr>
          <w:rFonts w:eastAsia="Times New Roman"/>
          <w:lang w:val="es-ES_tradnl" w:eastAsia="es-MX"/>
        </w:rPr>
        <w:t xml:space="preserve"> ha dicho </w:t>
      </w:r>
      <w:r w:rsidR="00343696">
        <w:rPr>
          <w:rStyle w:val="normaltextrun"/>
        </w:rPr>
        <w:t xml:space="preserve">que </w:t>
      </w:r>
      <w:r w:rsidR="0059143E" w:rsidRPr="005C1460">
        <w:rPr>
          <w:rStyle w:val="normaltextrun"/>
        </w:rPr>
        <w:t>la discriminación estructural existe cuando el conjunto de prácticas reproducidas por las instituciones</w:t>
      </w:r>
      <w:r w:rsidR="0059143E">
        <w:rPr>
          <w:rStyle w:val="normaltextrun"/>
        </w:rPr>
        <w:t>,</w:t>
      </w:r>
      <w:r w:rsidR="0059143E" w:rsidRPr="005C1460">
        <w:rPr>
          <w:rStyle w:val="normaltextrun"/>
        </w:rPr>
        <w:t xml:space="preserve"> y avaladas por el orden social, provocan que las personas enfrenten distintos escenarios sociales, políticos, económicos y éticos y diferentes oportunidades de desarrollo y de consecución de sus planes de vida debido a su pertenencia a grupos en situación de exclusión sistemática, históricamente determinada.</w:t>
      </w:r>
    </w:p>
    <w:p w14:paraId="4809449C" w14:textId="77777777" w:rsidR="0059143E" w:rsidRPr="005C1460" w:rsidRDefault="0059143E" w:rsidP="0059143E">
      <w:pPr>
        <w:pStyle w:val="Prrafo"/>
        <w:numPr>
          <w:ilvl w:val="0"/>
          <w:numId w:val="3"/>
        </w:numPr>
        <w:ind w:left="0" w:hanging="567"/>
        <w:rPr>
          <w:rStyle w:val="normaltextrun"/>
          <w:rFonts w:eastAsia="Times New Roman"/>
          <w:lang w:val="es-ES_tradnl" w:eastAsia="es-MX"/>
        </w:rPr>
      </w:pPr>
      <w:r w:rsidRPr="005C1460">
        <w:rPr>
          <w:rStyle w:val="normaltextrun"/>
        </w:rPr>
        <w:t>El contexto social adverso que enfrentan las personas pertenecientes a estos grupos puede ser producto de condiciones fácticas de desigualdad –como la carencia de recursos– o de condiciones simbólicas de desigualdad producidas por la ausencia en el discurso social dominante de las concepciones, necesidades o aspiraciones de un grupo en situación de opresión o históricamente desaventajado. Así, el contexto social –integrado por las desigualdades fácticas y desigualdades simbólicas– condiciona un mayor o menor acceso a las oportunidades.</w:t>
      </w:r>
    </w:p>
    <w:p w14:paraId="7D0C0A7B" w14:textId="77777777" w:rsidR="0059143E" w:rsidRPr="005C1460" w:rsidRDefault="0059143E" w:rsidP="0059143E">
      <w:pPr>
        <w:pStyle w:val="Prrafo"/>
        <w:numPr>
          <w:ilvl w:val="0"/>
          <w:numId w:val="3"/>
        </w:numPr>
        <w:ind w:left="0" w:hanging="567"/>
        <w:rPr>
          <w:rFonts w:eastAsia="Times New Roman"/>
          <w:lang w:val="es-ES_tradnl" w:eastAsia="es-MX"/>
        </w:rPr>
      </w:pPr>
      <w:r w:rsidRPr="005C1460">
        <w:rPr>
          <w:rFonts w:eastAsia="Times New Roman"/>
          <w:lang w:val="es-ES_tradnl" w:eastAsia="es-MX"/>
        </w:rPr>
        <w:t xml:space="preserve">Por su parte, las Salas de esta Suprema Corte ya han dicho en diversos precedentes que el orden social de género reparte valoración, poder, recursos y oportunidades de forma diferenciada a partir de la interpretación </w:t>
      </w:r>
      <w:r w:rsidRPr="005C1460">
        <w:rPr>
          <w:rFonts w:eastAsia="Times New Roman"/>
          <w:lang w:val="es-ES_tradnl" w:eastAsia="es-MX"/>
        </w:rPr>
        <w:lastRenderedPageBreak/>
        <w:t>del cuerpo de las personas y de la asignación binaria de la identidad sexual, y al hacerlo, es susceptible de determinar también el acceso a los derechos. Este orden, al ser parte de la cultura muchas veces incuestionada, provoca que las leyes, políticas públicas e interpretaciones que se hacen de las mismas tengan impactos diferenciados en las personas según la posición que ese orden les asigna</w:t>
      </w:r>
      <w:r w:rsidRPr="005C1460">
        <w:rPr>
          <w:rStyle w:val="Refdenotaalpie"/>
          <w:rFonts w:eastAsia="Times New Roman"/>
          <w:lang w:val="es-ES_tradnl" w:eastAsia="es-MX"/>
        </w:rPr>
        <w:footnoteReference w:id="47"/>
      </w:r>
      <w:r w:rsidRPr="005C1460">
        <w:rPr>
          <w:rFonts w:eastAsia="Times New Roman"/>
          <w:lang w:val="es-ES_tradnl" w:eastAsia="es-MX"/>
        </w:rPr>
        <w:t>.</w:t>
      </w:r>
    </w:p>
    <w:p w14:paraId="51FAFAB5" w14:textId="685CDA1F" w:rsidR="0059143E" w:rsidRPr="005C1460" w:rsidRDefault="0059143E" w:rsidP="0059143E">
      <w:pPr>
        <w:pStyle w:val="Prrafo"/>
        <w:numPr>
          <w:ilvl w:val="0"/>
          <w:numId w:val="3"/>
        </w:numPr>
        <w:ind w:left="0" w:hanging="567"/>
        <w:rPr>
          <w:rFonts w:eastAsia="Times New Roman"/>
          <w:lang w:val="es-ES_tradnl" w:eastAsia="es-MX"/>
        </w:rPr>
      </w:pPr>
      <w:r w:rsidRPr="005C1460">
        <w:rPr>
          <w:rFonts w:eastAsia="Times New Roman"/>
          <w:lang w:val="es-ES_tradnl" w:eastAsia="es-MX"/>
        </w:rPr>
        <w:t>De acuerdo con los artículos 1, 2, 3, 4 y 5 de la CEDAW</w:t>
      </w:r>
      <w:r w:rsidRPr="005C1460">
        <w:rPr>
          <w:vertAlign w:val="superscript"/>
          <w:lang w:val="es-ES_tradnl" w:eastAsia="es-MX"/>
        </w:rPr>
        <w:footnoteReference w:id="48"/>
      </w:r>
      <w:r w:rsidRPr="005C1460">
        <w:rPr>
          <w:rFonts w:eastAsia="Times New Roman"/>
          <w:lang w:val="es-ES_tradnl" w:eastAsia="es-MX"/>
        </w:rPr>
        <w:t xml:space="preserve">, las obligaciones específicas para eliminar la discriminación contra las mujeres, incluyen, entre </w:t>
      </w:r>
      <w:r w:rsidRPr="005C1460">
        <w:rPr>
          <w:rFonts w:eastAsia="Times New Roman"/>
          <w:lang w:val="es-ES_tradnl" w:eastAsia="es-MX"/>
        </w:rPr>
        <w:lastRenderedPageBreak/>
        <w:t>otras cuestiones, modificar o derogar las normas, usos y prácticas que constituyan discriminación contra las mujeres; adoptar las medidas adecuadas, legislativas y de otro carácter, con las sanciones correspondientes, que prohíban discriminación contra la mujer, y efectuar las medidas necesarias para modificar los patrones socioculturales de conducta de hombres y mujeres, con el fin de abandonar los prejuicios y prácticas consuetudinarias basadas en la idea de inferioridad o superioridad de los sexos a partir de roles estereotipados</w:t>
      </w:r>
      <w:r w:rsidRPr="005C1460">
        <w:rPr>
          <w:rStyle w:val="Refdenotaalpie"/>
          <w:rFonts w:eastAsia="Times New Roman"/>
          <w:lang w:val="es-ES_tradnl" w:eastAsia="es-MX"/>
        </w:rPr>
        <w:footnoteReference w:id="49"/>
      </w:r>
      <w:r w:rsidRPr="005C1460">
        <w:rPr>
          <w:rFonts w:eastAsia="Times New Roman"/>
          <w:lang w:val="es-ES_tradnl" w:eastAsia="es-MX"/>
        </w:rPr>
        <w:t>. Igualmente, la Convención Interamericana para Prevenir, Sancionar y Erradicar la Violencia Contra la Mujer, en sus artículos 1, 2, 5, 6, 7 y 8</w:t>
      </w:r>
      <w:r w:rsidRPr="005C1460">
        <w:rPr>
          <w:vertAlign w:val="superscript"/>
          <w:lang w:val="es-ES_tradnl" w:eastAsia="es-MX"/>
        </w:rPr>
        <w:footnoteReference w:id="50"/>
      </w:r>
      <w:r w:rsidRPr="005C1460">
        <w:rPr>
          <w:rFonts w:eastAsia="Times New Roman"/>
          <w:lang w:val="es-ES_tradnl" w:eastAsia="es-MX"/>
        </w:rPr>
        <w:t>, exige la modificación de patrones socioculturales de subordinación.</w:t>
      </w:r>
    </w:p>
    <w:p w14:paraId="2470CC7E" w14:textId="4A0BF20C" w:rsidR="0059143E" w:rsidRPr="005C1460" w:rsidRDefault="0059143E" w:rsidP="0059143E">
      <w:pPr>
        <w:pStyle w:val="Prrafo"/>
        <w:numPr>
          <w:ilvl w:val="0"/>
          <w:numId w:val="3"/>
        </w:numPr>
        <w:ind w:left="0" w:hanging="567"/>
        <w:rPr>
          <w:rFonts w:eastAsia="Times New Roman"/>
          <w:lang w:val="es-ES_tradnl" w:eastAsia="es-MX"/>
        </w:rPr>
      </w:pPr>
      <w:r w:rsidRPr="005C1460">
        <w:rPr>
          <w:rFonts w:eastAsia="Times New Roman"/>
          <w:lang w:val="es-ES_tradnl" w:eastAsia="es-ES"/>
        </w:rPr>
        <w:lastRenderedPageBreak/>
        <w:t xml:space="preserve">El derecho de las </w:t>
      </w:r>
      <w:r w:rsidRPr="005C1460">
        <w:rPr>
          <w:rFonts w:eastAsia="Times New Roman"/>
          <w:lang w:val="es-ES_tradnl" w:eastAsia="es-MX"/>
        </w:rPr>
        <w:t xml:space="preserve">mujeres de una vida libre de discriminación y de violencia se traduce en la obligación de toda autoridad de actuar con perspectiva de género no sólo para superar las barreras y obstáculos estructurales que se expresan en la legislación y en las prácticas culturales, sino para impedir que una visión estereotipada y preconcebida sobre lo que las personas deben hacer, sentir o querer a partir de su identidad sexo-genérica, perpetúe concepciones autoritarias sobre el papel que las mujeres y personas gestantes juegan en la sociedad y la imposición de una ideología o de expresiones de un pensamiento único sobre sus cuerpos. En este sentido, la Recomendación General 35 del </w:t>
      </w:r>
      <w:r w:rsidR="00851A64">
        <w:rPr>
          <w:rFonts w:eastAsia="Times New Roman"/>
          <w:lang w:val="es-ES_tradnl" w:eastAsia="es-MX"/>
        </w:rPr>
        <w:t>Comité para la Eliminación de la Discriminación contra la Mujer</w:t>
      </w:r>
      <w:r w:rsidRPr="005C1460">
        <w:rPr>
          <w:rStyle w:val="Refdenotaalpie"/>
          <w:rFonts w:eastAsia="Times New Roman"/>
          <w:lang w:val="es-ES_tradnl" w:eastAsia="es-MX"/>
        </w:rPr>
        <w:footnoteReference w:id="51"/>
      </w:r>
      <w:r w:rsidRPr="005C1460">
        <w:rPr>
          <w:rFonts w:eastAsia="Times New Roman"/>
          <w:lang w:val="es-ES_tradnl" w:eastAsia="es-MX"/>
        </w:rPr>
        <w:t xml:space="preserve"> ha sostenido que penalizar el aborto y obstruir el acceso a este servicio de atención médica es una forma de violencia basada en el género.</w:t>
      </w:r>
    </w:p>
    <w:p w14:paraId="414BB801" w14:textId="77777777" w:rsidR="0059143E" w:rsidRPr="005C1460" w:rsidRDefault="0059143E" w:rsidP="0059143E">
      <w:pPr>
        <w:pStyle w:val="Prrafo"/>
        <w:numPr>
          <w:ilvl w:val="0"/>
          <w:numId w:val="3"/>
        </w:numPr>
        <w:ind w:left="0" w:hanging="567"/>
        <w:rPr>
          <w:rFonts w:eastAsia="Times New Roman"/>
          <w:lang w:val="es-ES_tradnl" w:eastAsia="es-MX"/>
        </w:rPr>
      </w:pPr>
      <w:r w:rsidRPr="005C1460">
        <w:t xml:space="preserve">La Observación General 14 del Comité de Derechos Económicos, Sociales y Culturales señala que los Estados deben incorporar la perspectiva de género en sus políticas, planificación, programas e investigaciones en materia de salud a fin de promover mejor la salud de las mujeres. Según el Comité, un enfoque basado en la perspectiva de género reconoce que los factores biológicos y socioculturales –como el embarazo, por ejemplo– ejercen una </w:t>
      </w:r>
      <w:r w:rsidRPr="005C1460">
        <w:lastRenderedPageBreak/>
        <w:t>influencia importante en la salud de hombres y mujeres. Un objetivo primordial de la política de salud –incluida la atención de salud– debe consistir en reducir los riesgos que afectan a la salud de la mujer, en particular la disminución de las tasas de morbilidad y mortalidad materna; es decir, la enfermedad o muerte por causas relacionadas o asociadas con el embarazo y el parto.</w:t>
      </w:r>
    </w:p>
    <w:p w14:paraId="10DEC639" w14:textId="40D9AF3E" w:rsidR="0059143E" w:rsidRPr="005C1460" w:rsidRDefault="0059143E" w:rsidP="0059143E">
      <w:pPr>
        <w:pStyle w:val="Prrafo"/>
        <w:numPr>
          <w:ilvl w:val="0"/>
          <w:numId w:val="3"/>
        </w:numPr>
        <w:ind w:left="0" w:hanging="567"/>
        <w:rPr>
          <w:rFonts w:eastAsia="Times New Roman"/>
          <w:lang w:val="es-ES_tradnl" w:eastAsia="es-MX"/>
        </w:rPr>
      </w:pPr>
      <w:r w:rsidRPr="005C1460">
        <w:rPr>
          <w:color w:val="000000"/>
        </w:rPr>
        <w:t xml:space="preserve">Según la Recomendación General 24 del </w:t>
      </w:r>
      <w:r w:rsidR="005F1C25">
        <w:rPr>
          <w:color w:val="000000"/>
        </w:rPr>
        <w:t>Comité para la Eliminación de la Discriminación contra la Mujer</w:t>
      </w:r>
      <w:r w:rsidRPr="005C1460">
        <w:rPr>
          <w:color w:val="000000"/>
        </w:rPr>
        <w:t xml:space="preserve">, </w:t>
      </w:r>
      <w:r w:rsidRPr="005C1460">
        <w:t xml:space="preserve">el deber de velar por un acceso de las mujeres a la salud sin discriminación impone al Estado </w:t>
      </w:r>
      <w:r>
        <w:t>M</w:t>
      </w:r>
      <w:r w:rsidRPr="005C1460">
        <w:t>exicano la obligación de adoptar medidas adecuadas de carácter legislativo, judicial, administrativo, presupuestario, económico y de otra índole para que las mujeres disfruten de sus derechos a la atención médica, así como la de remover los obstáculos, requisitos y condiciones que impiden ese acceso</w:t>
      </w:r>
      <w:r w:rsidRPr="005C1460">
        <w:rPr>
          <w:rStyle w:val="Refdenotaalpie"/>
        </w:rPr>
        <w:footnoteReference w:id="52"/>
      </w:r>
      <w:r w:rsidRPr="005C1460">
        <w:t xml:space="preserve">. </w:t>
      </w:r>
      <w:r w:rsidRPr="005C1460">
        <w:rPr>
          <w:rFonts w:eastAsia="Times New Roman"/>
          <w:lang w:val="es-ES_tradnl" w:eastAsia="es-MX"/>
        </w:rPr>
        <w:t xml:space="preserve">Además, </w:t>
      </w:r>
      <w:r w:rsidRPr="005C1460">
        <w:t>los Estados deben proteger y facilitar las medidas adoptadas por las mujeres para conseguir sus objetivos en materia de salud, incluidos los relacionados con la anticoncepción, el uso de técnicas de reproducción asistida y la interrupción voluntaria del embarazo.</w:t>
      </w:r>
    </w:p>
    <w:p w14:paraId="4D67339A" w14:textId="77777777" w:rsidR="0059143E" w:rsidRPr="000B5E52" w:rsidRDefault="0059143E" w:rsidP="0059143E">
      <w:pPr>
        <w:pStyle w:val="Prrafo"/>
        <w:numPr>
          <w:ilvl w:val="0"/>
          <w:numId w:val="3"/>
        </w:numPr>
        <w:ind w:left="0" w:hanging="567"/>
        <w:rPr>
          <w:rFonts w:eastAsia="Times New Roman"/>
          <w:lang w:val="es-ES_tradnl" w:eastAsia="es-MX"/>
        </w:rPr>
      </w:pPr>
      <w:r w:rsidRPr="005C1460">
        <w:t>Por tanto, se debe garantizar el acceso de las mujeres y personas gestantes a los servicios de salud que requieren, especialmente a aquellas ubicadas en grupos de mayor marginación. La no discriminación exige que los servicios de salud garanticen las condiciones para que las mujeres y personas gestantes puedan atender efectivamente sus necesidades en salud y para que los servicios que únicamente son requeridos por las mujeres y personas gestantes, como la interrupción de un embarazo, se presten en condiciones de seguridad para evitar los riesgos asociados con los embarazos y los abortos practicados en condiciones de precariedad.</w:t>
      </w:r>
    </w:p>
    <w:p w14:paraId="2F992DA6" w14:textId="4C60514D" w:rsidR="0059143E" w:rsidRPr="00012700" w:rsidRDefault="0059143E" w:rsidP="002C45D9">
      <w:pPr>
        <w:pStyle w:val="Prrafo"/>
        <w:numPr>
          <w:ilvl w:val="0"/>
          <w:numId w:val="3"/>
        </w:numPr>
        <w:ind w:left="0" w:hanging="567"/>
        <w:rPr>
          <w:rFonts w:eastAsia="Times New Roman"/>
          <w:lang w:val="es-ES_tradnl" w:eastAsia="es-MX"/>
        </w:rPr>
      </w:pPr>
      <w:r w:rsidRPr="005C1460">
        <w:t xml:space="preserve">Finalmente, </w:t>
      </w:r>
      <w:r w:rsidR="009D7A79">
        <w:t>las</w:t>
      </w:r>
      <w:r w:rsidRPr="005C1460">
        <w:t xml:space="preserve"> mujer</w:t>
      </w:r>
      <w:r w:rsidR="009D7A79">
        <w:t>es</w:t>
      </w:r>
      <w:r w:rsidRPr="005C1460">
        <w:t xml:space="preserve"> o persona</w:t>
      </w:r>
      <w:r w:rsidR="009D7A79">
        <w:t>s</w:t>
      </w:r>
      <w:r w:rsidRPr="005C1460">
        <w:t xml:space="preserve"> gestante</w:t>
      </w:r>
      <w:r w:rsidR="009D7A79">
        <w:t>s</w:t>
      </w:r>
      <w:r w:rsidRPr="005C1460">
        <w:t xml:space="preserve"> tiene</w:t>
      </w:r>
      <w:r w:rsidR="009D7A79">
        <w:t>n</w:t>
      </w:r>
      <w:r w:rsidRPr="005C1460">
        <w:t xml:space="preserve"> derecho a beneficiarse de cuantas medidas le</w:t>
      </w:r>
      <w:r w:rsidR="0057705F">
        <w:t>s</w:t>
      </w:r>
      <w:r w:rsidRPr="005C1460">
        <w:t xml:space="preserve"> permitan gozar del mejor estado de salud que pueda</w:t>
      </w:r>
      <w:r w:rsidR="00012700">
        <w:t>n</w:t>
      </w:r>
      <w:r w:rsidRPr="005C1460">
        <w:t xml:space="preserve"> alcanzar, entre éstas, el acceso universal a los servicios más amplios posibles </w:t>
      </w:r>
      <w:r w:rsidRPr="005C1460">
        <w:lastRenderedPageBreak/>
        <w:t xml:space="preserve">de salud sexual y reproductiva, incluidos los asociados con el embarazo en todas sus etapas y en todas sus vicisitudes, sin ningún tipo de coacción o discriminación. Es evidente, entonces, que la decisión de continuar un embarazo no puede ser impuesta externamente, ni provocar una </w:t>
      </w:r>
      <w:r w:rsidRPr="002C45D9">
        <w:rPr>
          <w:i/>
        </w:rPr>
        <w:t>carga desproporcionada</w:t>
      </w:r>
      <w:r w:rsidRPr="005C1460">
        <w:rPr>
          <w:rStyle w:val="Refdenotaalpie"/>
        </w:rPr>
        <w:footnoteReference w:id="53"/>
      </w:r>
      <w:r w:rsidRPr="005C1460">
        <w:t>.</w:t>
      </w:r>
    </w:p>
    <w:p w14:paraId="50422CDF" w14:textId="6C5B4887" w:rsidR="00012700" w:rsidRPr="001948BE" w:rsidRDefault="00012700" w:rsidP="002C45D9">
      <w:pPr>
        <w:pStyle w:val="Prrafo"/>
        <w:numPr>
          <w:ilvl w:val="0"/>
          <w:numId w:val="3"/>
        </w:numPr>
        <w:ind w:left="0" w:hanging="567"/>
        <w:rPr>
          <w:rFonts w:eastAsia="Times New Roman"/>
          <w:lang w:val="es-ES_tradnl" w:eastAsia="es-MX"/>
        </w:rPr>
      </w:pPr>
      <w:r w:rsidRPr="003A3FE3">
        <w:t xml:space="preserve">Esta Sala ya ha admitido que las decisiones </w:t>
      </w:r>
      <w:r w:rsidR="00F32823" w:rsidRPr="003A3FE3">
        <w:t xml:space="preserve">de las autoridades públicas </w:t>
      </w:r>
      <w:r w:rsidR="001E4E90" w:rsidRPr="003A3FE3">
        <w:t>–</w:t>
      </w:r>
      <w:r w:rsidR="00F32823" w:rsidRPr="003A3FE3">
        <w:t>incluidas las jurisdiccionales</w:t>
      </w:r>
      <w:r w:rsidR="001E4E90" w:rsidRPr="003A3FE3">
        <w:t>–</w:t>
      </w:r>
      <w:r w:rsidR="00701AFF" w:rsidRPr="003A3FE3">
        <w:t xml:space="preserve"> </w:t>
      </w:r>
      <w:r w:rsidR="00AE451C">
        <w:t>pueden estar fundadas</w:t>
      </w:r>
      <w:r w:rsidR="00515D90" w:rsidRPr="003A3FE3">
        <w:t xml:space="preserve"> en estereotipos implícitos sobre el papel que las mujeres desempeñan o deben desempeñar en la sociedad</w:t>
      </w:r>
      <w:r w:rsidR="00FB72D1" w:rsidRPr="003A3FE3">
        <w:rPr>
          <w:rStyle w:val="Refdenotaalpie"/>
        </w:rPr>
        <w:footnoteReference w:id="54"/>
      </w:r>
      <w:r w:rsidR="00515D90" w:rsidRPr="003A3FE3">
        <w:t xml:space="preserve">. En el caso, </w:t>
      </w:r>
      <w:r w:rsidR="00515D90" w:rsidRPr="005514A4">
        <w:t xml:space="preserve">la </w:t>
      </w:r>
      <w:r w:rsidR="003A3FE3" w:rsidRPr="005514A4">
        <w:t>falta de actividad</w:t>
      </w:r>
      <w:r w:rsidR="00515D90" w:rsidRPr="003A3FE3">
        <w:t xml:space="preserve"> de las autoridades perpet</w:t>
      </w:r>
      <w:r w:rsidR="002B6EF8" w:rsidRPr="003A3FE3">
        <w:t xml:space="preserve">uó </w:t>
      </w:r>
      <w:r w:rsidR="00515D90" w:rsidRPr="003A3FE3">
        <w:t>estereotipos sobre la maternid</w:t>
      </w:r>
      <w:r w:rsidR="0074308F" w:rsidRPr="003A3FE3">
        <w:t>ad</w:t>
      </w:r>
      <w:r w:rsidR="00515D90" w:rsidRPr="003A3FE3">
        <w:t xml:space="preserve"> y colocó sobre la adolescente la carga desproporcionada de asumirla</w:t>
      </w:r>
      <w:r w:rsidR="00892A7E" w:rsidRPr="003A3FE3">
        <w:t>, a pesar del origen violento de su embarazo, los peligros que éste representaba para su salud mental y el hecho de que se trataba de una adolescente</w:t>
      </w:r>
      <w:r w:rsidR="00FF39E8" w:rsidRPr="003A3FE3">
        <w:t xml:space="preserve"> </w:t>
      </w:r>
      <w:r w:rsidR="002B6EF8" w:rsidRPr="003A3FE3">
        <w:t xml:space="preserve">que ya había sido </w:t>
      </w:r>
      <w:r w:rsidR="00C776B4" w:rsidRPr="003A3FE3">
        <w:t xml:space="preserve">madre a edad </w:t>
      </w:r>
      <w:r w:rsidR="00FF39E8" w:rsidRPr="003A3FE3">
        <w:t xml:space="preserve">temprana y </w:t>
      </w:r>
      <w:r w:rsidR="00C776B4" w:rsidRPr="003A3FE3">
        <w:t>en condiciones de pr</w:t>
      </w:r>
      <w:r w:rsidR="00FF39E8" w:rsidRPr="003A3FE3">
        <w:t>ecariedad</w:t>
      </w:r>
      <w:r w:rsidR="003C00CB" w:rsidRPr="003A3FE3">
        <w:t xml:space="preserve">, lo que </w:t>
      </w:r>
      <w:r w:rsidR="00A65F1E" w:rsidRPr="003A3FE3">
        <w:t xml:space="preserve">termina por ubicarla </w:t>
      </w:r>
      <w:r w:rsidR="003C00CB" w:rsidRPr="003A3FE3">
        <w:t xml:space="preserve">en un círculo </w:t>
      </w:r>
      <w:r w:rsidR="00BA6C36">
        <w:t xml:space="preserve">vicioso </w:t>
      </w:r>
      <w:r w:rsidR="003C00CB" w:rsidRPr="003A3FE3">
        <w:t>de vulnerabilidad</w:t>
      </w:r>
      <w:r w:rsidR="00A65F1E" w:rsidRPr="003A3FE3">
        <w:t xml:space="preserve">, con lo que las autoridades responsables incurrieron </w:t>
      </w:r>
      <w:r w:rsidR="006475CA" w:rsidRPr="003A3FE3">
        <w:t>–</w:t>
      </w:r>
      <w:r w:rsidR="00A65F1E" w:rsidRPr="003A3FE3">
        <w:t>además</w:t>
      </w:r>
      <w:r w:rsidR="006475CA" w:rsidRPr="003A3FE3">
        <w:t>–</w:t>
      </w:r>
      <w:r w:rsidR="00A65F1E" w:rsidRPr="003A3FE3">
        <w:t xml:space="preserve"> en un acto de discriminación estructural.</w:t>
      </w:r>
    </w:p>
    <w:p w14:paraId="47F49969" w14:textId="513B00D8" w:rsidR="00AA2B0E" w:rsidRPr="00AA2B0E" w:rsidRDefault="00F04DC2" w:rsidP="00A77EF7">
      <w:pPr>
        <w:pStyle w:val="Prrafo"/>
        <w:numPr>
          <w:ilvl w:val="0"/>
          <w:numId w:val="3"/>
        </w:numPr>
        <w:ind w:left="0" w:hanging="567"/>
        <w:rPr>
          <w:lang w:val="es-ES_tradnl"/>
        </w:rPr>
      </w:pPr>
      <w:r w:rsidRPr="00EB6F31">
        <w:t xml:space="preserve">El desinterés de los servidores públicos </w:t>
      </w:r>
      <w:r w:rsidR="00C27FB9">
        <w:t xml:space="preserve">que recibieron el escrito de la joven </w:t>
      </w:r>
      <w:r w:rsidR="00632513">
        <w:rPr>
          <w:i/>
          <w:iCs/>
        </w:rPr>
        <w:t>María</w:t>
      </w:r>
      <w:r w:rsidR="00C27FB9">
        <w:t>, quienes están</w:t>
      </w:r>
      <w:r w:rsidR="001C145D" w:rsidRPr="00C27FB9">
        <w:t xml:space="preserve"> </w:t>
      </w:r>
      <w:r w:rsidR="0004248F">
        <w:t xml:space="preserve">adscritos </w:t>
      </w:r>
      <w:r w:rsidR="001C145D" w:rsidRPr="00EB6F31">
        <w:t>a la Secretaría de Salud estatal</w:t>
      </w:r>
      <w:r w:rsidR="00C27FB9">
        <w:t>,</w:t>
      </w:r>
      <w:r w:rsidR="001C145D" w:rsidRPr="00EB6F31">
        <w:t xml:space="preserve"> </w:t>
      </w:r>
      <w:r w:rsidR="009953A1" w:rsidRPr="00EB6F31">
        <w:t>se traduce en negligencia cuando al recibir una petición de interrupción del embarazo por causas de salud y por violación</w:t>
      </w:r>
      <w:r w:rsidR="00584A7C" w:rsidRPr="00EB6F31">
        <w:t xml:space="preserve">, </w:t>
      </w:r>
      <w:r w:rsidR="00B86AEF" w:rsidRPr="00EB6F31">
        <w:t xml:space="preserve">se </w:t>
      </w:r>
      <w:r w:rsidR="00EC1F51" w:rsidRPr="00EB6F31">
        <w:t xml:space="preserve">le </w:t>
      </w:r>
      <w:r w:rsidR="00B86AEF" w:rsidRPr="00EB6F31">
        <w:t xml:space="preserve">tramita como una petición </w:t>
      </w:r>
      <w:r w:rsidR="00C27FB9">
        <w:t xml:space="preserve">administrativa o </w:t>
      </w:r>
      <w:r w:rsidR="00B86AEF" w:rsidRPr="00EB6F31">
        <w:t>de cualquier otra naturaleza</w:t>
      </w:r>
      <w:r w:rsidR="00584A7C" w:rsidRPr="00EB6F31">
        <w:t>.</w:t>
      </w:r>
    </w:p>
    <w:p w14:paraId="5208C2B8" w14:textId="491BF3BC" w:rsidR="00C9417B" w:rsidRPr="00EB6F31" w:rsidRDefault="00AA2B0E" w:rsidP="00A77EF7">
      <w:pPr>
        <w:pStyle w:val="Prrafo"/>
        <w:numPr>
          <w:ilvl w:val="0"/>
          <w:numId w:val="3"/>
        </w:numPr>
        <w:ind w:left="0" w:hanging="567"/>
        <w:rPr>
          <w:lang w:val="es-ES_tradnl"/>
        </w:rPr>
      </w:pPr>
      <w:r w:rsidRPr="00982A77">
        <w:rPr>
          <w:lang w:val="es-ES_tradnl"/>
        </w:rPr>
        <w:t xml:space="preserve">Por lo que hace a la intervención del </w:t>
      </w:r>
      <w:r w:rsidR="00916C43">
        <w:rPr>
          <w:lang w:val="es-ES_tradnl"/>
        </w:rPr>
        <w:t>Secretario de Salud del Estado de Jalisco</w:t>
      </w:r>
      <w:r w:rsidR="000371A1" w:rsidRPr="00982A77">
        <w:rPr>
          <w:lang w:val="es-ES_tradnl"/>
        </w:rPr>
        <w:t xml:space="preserve">, a quien se </w:t>
      </w:r>
      <w:r w:rsidR="007B56FD" w:rsidRPr="00982A77">
        <w:rPr>
          <w:lang w:val="es-ES_tradnl"/>
        </w:rPr>
        <w:t>dirigió directamente la solicitud de atención médica</w:t>
      </w:r>
      <w:r w:rsidRPr="00982A77">
        <w:rPr>
          <w:lang w:val="es-ES_tradnl"/>
        </w:rPr>
        <w:t xml:space="preserve">, </w:t>
      </w:r>
      <w:r w:rsidR="00837C75" w:rsidRPr="00982A77">
        <w:rPr>
          <w:lang w:val="es-ES_tradnl"/>
        </w:rPr>
        <w:t xml:space="preserve">esta </w:t>
      </w:r>
      <w:r w:rsidR="00837C75" w:rsidRPr="00982A77">
        <w:rPr>
          <w:lang w:val="es-ES_tradnl"/>
        </w:rPr>
        <w:lastRenderedPageBreak/>
        <w:t xml:space="preserve">Sala sostiene que </w:t>
      </w:r>
      <w:r w:rsidRPr="00982A77">
        <w:rPr>
          <w:lang w:val="es-ES_tradnl"/>
        </w:rPr>
        <w:t>n</w:t>
      </w:r>
      <w:r w:rsidR="00584A7C" w:rsidRPr="00982A77">
        <w:t xml:space="preserve">o basta la remisión de la petición a </w:t>
      </w:r>
      <w:r w:rsidR="00251DB0" w:rsidRPr="00982A77">
        <w:t xml:space="preserve">la autoridad </w:t>
      </w:r>
      <w:r w:rsidRPr="00982A77">
        <w:t xml:space="preserve">que a su parecer era </w:t>
      </w:r>
      <w:r w:rsidR="00251DB0" w:rsidRPr="00982A77">
        <w:t xml:space="preserve">competente para </w:t>
      </w:r>
      <w:r w:rsidR="00251DB0" w:rsidRPr="00EB6F31">
        <w:t>evaluar la respuesta que debe darse</w:t>
      </w:r>
      <w:r w:rsidR="00EC1F51" w:rsidRPr="00EB6F31">
        <w:t xml:space="preserve">. Por lo menos, </w:t>
      </w:r>
      <w:r w:rsidR="00436B3C">
        <w:t>debió</w:t>
      </w:r>
      <w:r w:rsidR="00EC1F51" w:rsidRPr="00EB6F31">
        <w:t xml:space="preserve"> </w:t>
      </w:r>
      <w:r w:rsidR="00C9417B" w:rsidRPr="00EB6F31">
        <w:t>informar</w:t>
      </w:r>
      <w:r w:rsidR="00251DB0" w:rsidRPr="00EB6F31">
        <w:t xml:space="preserve"> a la quejosa sobre esa remisión</w:t>
      </w:r>
      <w:r w:rsidR="001E49DF" w:rsidRPr="00EB6F31">
        <w:t>;</w:t>
      </w:r>
      <w:r w:rsidR="00EC1F51" w:rsidRPr="00EB6F31">
        <w:t xml:space="preserve"> </w:t>
      </w:r>
      <w:r w:rsidR="00251DB0" w:rsidRPr="00EB6F31">
        <w:t>explicarle que era su derecho recibir ese servicio</w:t>
      </w:r>
      <w:r w:rsidR="00EC1F51" w:rsidRPr="00EB6F31">
        <w:t xml:space="preserve"> de salud, y</w:t>
      </w:r>
      <w:r w:rsidR="005F7B44" w:rsidRPr="00EB6F31">
        <w:t xml:space="preserve"> garantizar </w:t>
      </w:r>
      <w:r w:rsidR="00883B9A" w:rsidRPr="00EB6F31">
        <w:t xml:space="preserve">la prestación del servicio </w:t>
      </w:r>
      <w:r w:rsidR="001E49DF" w:rsidRPr="00EB6F31">
        <w:t xml:space="preserve">en el menor tiempo posible, en condiciones seguras </w:t>
      </w:r>
      <w:r w:rsidR="009E14A7" w:rsidRPr="00EB6F31">
        <w:t>y médicamente vigiladas</w:t>
      </w:r>
      <w:r w:rsidR="006609AC" w:rsidRPr="00EB6F31">
        <w:t>,</w:t>
      </w:r>
      <w:r w:rsidR="000327F0" w:rsidRPr="00EB6F31">
        <w:t xml:space="preserve"> para que la salud de la adolescente quejosa comenzara a restaurarse después de la experiencia traumática de un embarazo forzado, la cual </w:t>
      </w:r>
      <w:r w:rsidR="00EB6F31" w:rsidRPr="00EB6F31">
        <w:t>–</w:t>
      </w:r>
      <w:r w:rsidR="000327F0" w:rsidRPr="00EB6F31">
        <w:t>como ha quedado demostrado</w:t>
      </w:r>
      <w:r w:rsidR="00EB6F31" w:rsidRPr="00EB6F31">
        <w:t>–</w:t>
      </w:r>
      <w:r w:rsidR="000327F0" w:rsidRPr="00EB6F31">
        <w:t xml:space="preserve"> produjo los resultados más adversos en su salud mental</w:t>
      </w:r>
      <w:r w:rsidR="000327F0" w:rsidRPr="00982A77">
        <w:t xml:space="preserve">. </w:t>
      </w:r>
      <w:r w:rsidR="006C4A63" w:rsidRPr="00982A77">
        <w:t>Esto, pues es la</w:t>
      </w:r>
      <w:r w:rsidR="00A82F2C" w:rsidRPr="00982A77">
        <w:t xml:space="preserve"> Secretaría de Salud la </w:t>
      </w:r>
      <w:r w:rsidR="00BA6C71" w:rsidRPr="00982A77">
        <w:t xml:space="preserve">entidad encargada de la organización, control y vigilancia de la prestación de servicios de salud y de establecimientos de salud (públicos, sociales y privados) </w:t>
      </w:r>
      <w:r w:rsidR="00ED7AD0" w:rsidRPr="00982A77">
        <w:t>en Jalisco</w:t>
      </w:r>
      <w:r w:rsidR="00BA6C71" w:rsidRPr="00982A77">
        <w:rPr>
          <w:rStyle w:val="Refdenotaalpie"/>
        </w:rPr>
        <w:footnoteReference w:id="55"/>
      </w:r>
      <w:r w:rsidR="00BA6C71">
        <w:t>.</w:t>
      </w:r>
    </w:p>
    <w:p w14:paraId="43CAC199" w14:textId="0969151E" w:rsidR="00F60D01" w:rsidRPr="003D22A8" w:rsidRDefault="00AA2B0E" w:rsidP="00F60D01">
      <w:pPr>
        <w:pStyle w:val="Prrafo"/>
        <w:numPr>
          <w:ilvl w:val="0"/>
          <w:numId w:val="3"/>
        </w:numPr>
        <w:ind w:left="0" w:hanging="567"/>
        <w:rPr>
          <w:lang w:val="es-ES_tradnl"/>
        </w:rPr>
      </w:pPr>
      <w:r w:rsidRPr="009078B7">
        <w:t xml:space="preserve">Por otra parte, </w:t>
      </w:r>
      <w:r w:rsidR="00DA5F6C" w:rsidRPr="009078B7">
        <w:t>recibido el oficio en el Hospital</w:t>
      </w:r>
      <w:r w:rsidR="00D31D4E">
        <w:t xml:space="preserve"> Civil de Guadalajara</w:t>
      </w:r>
      <w:r w:rsidR="00436B3C" w:rsidRPr="009078B7">
        <w:t xml:space="preserve">, no es posible eximir de responsabilidad a </w:t>
      </w:r>
      <w:r w:rsidR="00DA5F6C" w:rsidRPr="009078B7">
        <w:t>ese órgano público desc</w:t>
      </w:r>
      <w:r w:rsidR="00F21ADD" w:rsidRPr="009078B7">
        <w:t>entralizado</w:t>
      </w:r>
      <w:r w:rsidR="00DA5F6C" w:rsidRPr="009078B7">
        <w:t xml:space="preserve"> por el solo hecho de que </w:t>
      </w:r>
      <w:r w:rsidR="00DA5F6C" w:rsidRPr="009078B7">
        <w:rPr>
          <w:i/>
          <w:iCs/>
        </w:rPr>
        <w:t>intentara</w:t>
      </w:r>
      <w:r w:rsidR="000371A1" w:rsidRPr="009078B7">
        <w:rPr>
          <w:i/>
          <w:iCs/>
        </w:rPr>
        <w:t xml:space="preserve"> sin éxito</w:t>
      </w:r>
      <w:r w:rsidR="00DA5F6C" w:rsidRPr="009078B7">
        <w:t xml:space="preserve"> obtener información </w:t>
      </w:r>
      <w:r w:rsidR="00A31E72" w:rsidRPr="009078B7">
        <w:t xml:space="preserve">de parte del </w:t>
      </w:r>
      <w:r w:rsidR="0086660B">
        <w:t xml:space="preserve">Secretario de Salud del Estado de </w:t>
      </w:r>
      <w:r w:rsidR="002C50FD">
        <w:t>Jalisco</w:t>
      </w:r>
      <w:r w:rsidR="00A31E72" w:rsidRPr="009078B7">
        <w:t xml:space="preserve"> que le remitió la petición</w:t>
      </w:r>
      <w:r w:rsidR="00CA1CF2" w:rsidRPr="009078B7">
        <w:t xml:space="preserve">, cuando el propio hospital ha admitido que le proporcionó atención médica </w:t>
      </w:r>
      <w:r w:rsidR="004D4564" w:rsidRPr="009078B7">
        <w:t>en días anteriores</w:t>
      </w:r>
      <w:r w:rsidR="000371A1" w:rsidRPr="009078B7">
        <w:t xml:space="preserve">, razón por la cual, esta Sala presume que contaba con sus datos de contacto. </w:t>
      </w:r>
      <w:r w:rsidR="00B42FDF" w:rsidRPr="009078B7">
        <w:t>A</w:t>
      </w:r>
      <w:r w:rsidR="00E05D64" w:rsidRPr="009078B7">
        <w:t>l enterarse</w:t>
      </w:r>
      <w:r w:rsidR="0060346C" w:rsidRPr="009078B7">
        <w:rPr>
          <w:rStyle w:val="Refdenotaalpie"/>
        </w:rPr>
        <w:footnoteReference w:id="56"/>
      </w:r>
      <w:r w:rsidR="00E05D64" w:rsidRPr="009078B7">
        <w:t xml:space="preserve"> de la naturaleza de</w:t>
      </w:r>
      <w:r w:rsidR="000371A1" w:rsidRPr="009078B7">
        <w:t xml:space="preserve"> la petición</w:t>
      </w:r>
      <w:r w:rsidR="00400ECC" w:rsidRPr="009078B7">
        <w:t>,</w:t>
      </w:r>
      <w:r w:rsidR="000371A1" w:rsidRPr="009078B7">
        <w:t xml:space="preserve"> </w:t>
      </w:r>
      <w:r w:rsidR="00E05D64" w:rsidRPr="009078B7">
        <w:t xml:space="preserve">independientemente de que no se hubiera dirigido </w:t>
      </w:r>
      <w:r w:rsidR="00B42FDF" w:rsidRPr="009078B7">
        <w:t>a esa institución,</w:t>
      </w:r>
      <w:r w:rsidR="0086079A" w:rsidRPr="009078B7">
        <w:t xml:space="preserve"> el Hospital</w:t>
      </w:r>
      <w:r w:rsidR="00B42FDF" w:rsidRPr="009078B7">
        <w:t xml:space="preserve"> tenía la obligación de </w:t>
      </w:r>
      <w:r w:rsidR="00E05D64" w:rsidRPr="009078B7">
        <w:t xml:space="preserve">brindar el acceso a los servicios </w:t>
      </w:r>
      <w:r w:rsidR="0086079A" w:rsidRPr="009078B7">
        <w:t>solicitados</w:t>
      </w:r>
      <w:r w:rsidR="00E05D64" w:rsidRPr="009078B7">
        <w:t xml:space="preserve"> con respeto a los principios de atención prioritaria a la población en situación de </w:t>
      </w:r>
      <w:r w:rsidR="00E05D64" w:rsidRPr="009078B7">
        <w:lastRenderedPageBreak/>
        <w:t xml:space="preserve">vulnerabilidad, como la adolescente </w:t>
      </w:r>
      <w:r w:rsidR="00751305">
        <w:rPr>
          <w:i/>
          <w:iCs/>
        </w:rPr>
        <w:t>María</w:t>
      </w:r>
      <w:r w:rsidR="007B2687" w:rsidRPr="009078B7">
        <w:rPr>
          <w:color w:val="C00000"/>
        </w:rPr>
        <w:t xml:space="preserve"> </w:t>
      </w:r>
      <w:r w:rsidR="00E05D64" w:rsidRPr="009078B7">
        <w:t>en el caso.</w:t>
      </w:r>
      <w:r w:rsidR="0086079A" w:rsidRPr="009078B7">
        <w:t xml:space="preserve"> La omisión de </w:t>
      </w:r>
      <w:r w:rsidR="00F60D01" w:rsidRPr="009078B7">
        <w:t>actuar de esta forma, produjo las violaciones que aquí se reconoce</w:t>
      </w:r>
      <w:r w:rsidR="00F60D01" w:rsidRPr="003417BD">
        <w:t>n.</w:t>
      </w:r>
    </w:p>
    <w:p w14:paraId="35291F27" w14:textId="44BCB192" w:rsidR="00A77EF7" w:rsidRPr="00C9417B" w:rsidRDefault="00A01462" w:rsidP="00C9417B">
      <w:pPr>
        <w:pStyle w:val="Ttulo4"/>
        <w:rPr>
          <w:lang w:val="es-ES_tradnl"/>
        </w:rPr>
      </w:pPr>
      <w:r w:rsidRPr="00C9417B">
        <w:rPr>
          <w:lang w:val="es-ES_tradnl"/>
        </w:rPr>
        <w:t>El derecho a interrumpir el embarazo en casos de violación sexual</w:t>
      </w:r>
    </w:p>
    <w:p w14:paraId="471122EE" w14:textId="5B5AD535" w:rsidR="00F61B23" w:rsidRDefault="005A0356" w:rsidP="00F61B23">
      <w:pPr>
        <w:pStyle w:val="Prrafo"/>
        <w:numPr>
          <w:ilvl w:val="0"/>
          <w:numId w:val="3"/>
        </w:numPr>
        <w:ind w:left="0" w:hanging="567"/>
        <w:rPr>
          <w:kern w:val="2"/>
          <w:lang w:val="es-ES_tradnl"/>
          <w14:ligatures w14:val="standardContextual"/>
        </w:rPr>
      </w:pPr>
      <w:r w:rsidRPr="00F61B23">
        <w:t>Al</w:t>
      </w:r>
      <w:r>
        <w:rPr>
          <w:kern w:val="2"/>
          <w:lang w:val="es-ES_tradnl"/>
          <w14:ligatures w14:val="standardContextual"/>
        </w:rPr>
        <w:t xml:space="preserve"> resolver los amparos en revisión 601/2017 y 1170/2017</w:t>
      </w:r>
      <w:r w:rsidR="009E376A">
        <w:rPr>
          <w:kern w:val="2"/>
          <w:lang w:val="es-ES_tradnl"/>
          <w14:ligatures w14:val="standardContextual"/>
        </w:rPr>
        <w:t xml:space="preserve">, </w:t>
      </w:r>
      <w:r>
        <w:rPr>
          <w:kern w:val="2"/>
          <w:lang w:val="es-ES_tradnl"/>
          <w14:ligatures w14:val="standardContextual"/>
        </w:rPr>
        <w:t xml:space="preserve">la Segunda Sala se enfrentó a casos en los que dos adolescentes denunciaron una violación sexual y, posteriormente, solicitaron la interrupción legal del embarazo la cual les fue negada por instituciones públicas de salud. Esos precedentes se concentraron en determinar si la negativa de practicarles a las adolescentes </w:t>
      </w:r>
      <w:r w:rsidR="005E0307">
        <w:rPr>
          <w:kern w:val="2"/>
          <w:lang w:val="es-ES_tradnl"/>
          <w14:ligatures w14:val="standardContextual"/>
        </w:rPr>
        <w:t xml:space="preserve">un </w:t>
      </w:r>
      <w:r>
        <w:rPr>
          <w:kern w:val="2"/>
          <w:lang w:val="es-ES_tradnl"/>
          <w14:ligatures w14:val="standardContextual"/>
        </w:rPr>
        <w:t xml:space="preserve">aborto frente a un embarazo producto de una violación se tradujo en una violación de derechos humanos, en particular los derechos sexuales y reproductivos y si </w:t>
      </w:r>
      <w:r w:rsidR="00A22C5A">
        <w:rPr>
          <w:kern w:val="2"/>
          <w:lang w:val="es-ES_tradnl"/>
          <w14:ligatures w14:val="standardContextual"/>
        </w:rPr>
        <w:t>–</w:t>
      </w:r>
      <w:r>
        <w:rPr>
          <w:kern w:val="2"/>
          <w:lang w:val="es-ES_tradnl"/>
          <w14:ligatures w14:val="standardContextual"/>
        </w:rPr>
        <w:t>por ello</w:t>
      </w:r>
      <w:r w:rsidR="00A22C5A">
        <w:rPr>
          <w:kern w:val="2"/>
          <w:lang w:val="es-ES_tradnl"/>
          <w14:ligatures w14:val="standardContextual"/>
        </w:rPr>
        <w:t>–</w:t>
      </w:r>
      <w:r>
        <w:rPr>
          <w:kern w:val="2"/>
          <w:lang w:val="es-ES_tradnl"/>
          <w14:ligatures w14:val="standardContextual"/>
        </w:rPr>
        <w:t xml:space="preserve"> les correspondía una reparación integral del daño.</w:t>
      </w:r>
    </w:p>
    <w:p w14:paraId="4027061C" w14:textId="0F32F4C7" w:rsidR="00F61B23" w:rsidRDefault="005A0356" w:rsidP="00F61B23">
      <w:pPr>
        <w:pStyle w:val="Prrafo"/>
        <w:numPr>
          <w:ilvl w:val="0"/>
          <w:numId w:val="3"/>
        </w:numPr>
        <w:ind w:left="0" w:hanging="567"/>
        <w:rPr>
          <w:kern w:val="2"/>
          <w:lang w:val="es-ES_tradnl"/>
          <w14:ligatures w14:val="standardContextual"/>
        </w:rPr>
      </w:pPr>
      <w:r w:rsidRPr="00F61B23">
        <w:rPr>
          <w:kern w:val="2"/>
          <w:lang w:val="es-ES_tradnl"/>
          <w14:ligatures w14:val="standardContextual"/>
        </w:rPr>
        <w:t>En ambos precedentes se concluyó que las autoridades sanitarias están indudablemente obligadas a prestar el servicio de interrupción del embarazo que es consecuencia de una violación sexual y que su negativa</w:t>
      </w:r>
      <w:r w:rsidR="00E111EC">
        <w:rPr>
          <w:kern w:val="2"/>
          <w:lang w:val="es-ES_tradnl"/>
          <w14:ligatures w14:val="standardContextual"/>
        </w:rPr>
        <w:t>,</w:t>
      </w:r>
      <w:r w:rsidRPr="00F61B23">
        <w:rPr>
          <w:kern w:val="2"/>
          <w:lang w:val="es-ES_tradnl"/>
          <w14:ligatures w14:val="standardContextual"/>
        </w:rPr>
        <w:t xml:space="preserve"> sin causa justificada</w:t>
      </w:r>
      <w:r w:rsidR="00E111EC">
        <w:rPr>
          <w:kern w:val="2"/>
          <w:lang w:val="es-ES_tradnl"/>
          <w14:ligatures w14:val="standardContextual"/>
        </w:rPr>
        <w:t>,</w:t>
      </w:r>
      <w:r w:rsidRPr="00F61B23">
        <w:rPr>
          <w:kern w:val="2"/>
          <w:lang w:val="es-ES_tradnl"/>
          <w14:ligatures w14:val="standardContextual"/>
        </w:rPr>
        <w:t xml:space="preserve"> constituye un desconocimiento de los derechos de una víctima de violación sexual</w:t>
      </w:r>
      <w:r w:rsidR="00812D40">
        <w:rPr>
          <w:kern w:val="2"/>
          <w:lang w:val="es-ES_tradnl"/>
          <w14:ligatures w14:val="standardContextual"/>
        </w:rPr>
        <w:t>, además e</w:t>
      </w:r>
      <w:r w:rsidRPr="00F61B23">
        <w:rPr>
          <w:kern w:val="2"/>
          <w:lang w:val="es-ES_tradnl"/>
          <w14:ligatures w14:val="standardContextual"/>
        </w:rPr>
        <w:t>xtiende el sufrimiento, daño físico y psicológico que ha provocado el delito</w:t>
      </w:r>
      <w:r w:rsidR="00812D40">
        <w:rPr>
          <w:kern w:val="2"/>
          <w:lang w:val="es-ES_tradnl"/>
          <w14:ligatures w14:val="standardContextual"/>
        </w:rPr>
        <w:t xml:space="preserve">. </w:t>
      </w:r>
    </w:p>
    <w:p w14:paraId="053572E8" w14:textId="23FEA780" w:rsidR="00EE5732" w:rsidRPr="00EE5732" w:rsidRDefault="005A0356" w:rsidP="00F61B23">
      <w:pPr>
        <w:pStyle w:val="Prrafo"/>
        <w:numPr>
          <w:ilvl w:val="0"/>
          <w:numId w:val="3"/>
        </w:numPr>
        <w:ind w:left="0" w:hanging="567"/>
        <w:rPr>
          <w:kern w:val="2"/>
          <w:lang w:val="es-ES_tradnl"/>
          <w14:ligatures w14:val="standardContextual"/>
        </w:rPr>
      </w:pPr>
      <w:r w:rsidRPr="00F61B23">
        <w:rPr>
          <w:kern w:val="2"/>
          <w14:ligatures w14:val="standardContextual"/>
        </w:rPr>
        <w:t xml:space="preserve">Así, se insistió en que las autoridades sanitarias –ante quienes acuden mujeres </w:t>
      </w:r>
      <w:r w:rsidR="00812D40">
        <w:rPr>
          <w:kern w:val="2"/>
          <w14:ligatures w14:val="standardContextual"/>
        </w:rPr>
        <w:t xml:space="preserve">y personas gestantes </w:t>
      </w:r>
      <w:r w:rsidRPr="00F61B23">
        <w:rPr>
          <w:kern w:val="2"/>
          <w14:ligatures w14:val="standardContextual"/>
        </w:rPr>
        <w:t>que han sido violentadas– deben atender</w:t>
      </w:r>
      <w:r w:rsidR="001464AE">
        <w:rPr>
          <w:kern w:val="2"/>
          <w14:ligatures w14:val="standardContextual"/>
        </w:rPr>
        <w:t>les</w:t>
      </w:r>
      <w:r w:rsidRPr="00F61B23">
        <w:rPr>
          <w:kern w:val="2"/>
          <w14:ligatures w14:val="standardContextual"/>
        </w:rPr>
        <w:t xml:space="preserve"> </w:t>
      </w:r>
      <w:r w:rsidR="00B123D3">
        <w:rPr>
          <w:kern w:val="2"/>
          <w14:ligatures w14:val="standardContextual"/>
        </w:rPr>
        <w:t xml:space="preserve">de </w:t>
      </w:r>
      <w:r w:rsidRPr="00F61B23">
        <w:rPr>
          <w:kern w:val="2"/>
          <w14:ligatures w14:val="standardContextual"/>
        </w:rPr>
        <w:t>manera eficiente e inmediata</w:t>
      </w:r>
      <w:r w:rsidR="00A21D02" w:rsidRPr="00F61B23">
        <w:rPr>
          <w:kern w:val="2"/>
          <w14:ligatures w14:val="standardContextual"/>
        </w:rPr>
        <w:t xml:space="preserve">, lo que </w:t>
      </w:r>
      <w:r w:rsidRPr="00F61B23">
        <w:rPr>
          <w:kern w:val="2"/>
          <w14:ligatures w14:val="standardContextual"/>
        </w:rPr>
        <w:t>implica no sólo prestar la atención y observación médica, sino l</w:t>
      </w:r>
      <w:r w:rsidR="00A21D02" w:rsidRPr="00F61B23">
        <w:rPr>
          <w:kern w:val="2"/>
          <w14:ligatures w14:val="standardContextual"/>
        </w:rPr>
        <w:t xml:space="preserve">os servicios de </w:t>
      </w:r>
      <w:r w:rsidRPr="00F61B23">
        <w:rPr>
          <w:kern w:val="2"/>
          <w14:ligatures w14:val="standardContextual"/>
        </w:rPr>
        <w:t>interrupción del embarazo</w:t>
      </w:r>
      <w:r w:rsidR="00A21D02" w:rsidRPr="00F61B23">
        <w:rPr>
          <w:kern w:val="2"/>
          <w14:ligatures w14:val="standardContextual"/>
        </w:rPr>
        <w:t xml:space="preserve"> forzado</w:t>
      </w:r>
      <w:r w:rsidRPr="00F61B23">
        <w:rPr>
          <w:kern w:val="2"/>
          <w14:ligatures w14:val="standardContextual"/>
        </w:rPr>
        <w:t xml:space="preserve">. </w:t>
      </w:r>
      <w:r w:rsidR="00EE5732">
        <w:rPr>
          <w:kern w:val="2"/>
          <w14:ligatures w14:val="standardContextual"/>
        </w:rPr>
        <w:t xml:space="preserve">Según los precedentes, </w:t>
      </w:r>
      <w:r w:rsidRPr="00F61B23">
        <w:rPr>
          <w:kern w:val="2"/>
          <w14:ligatures w14:val="standardContextual"/>
        </w:rPr>
        <w:t>estas situaciones exigen a las autoridades calificar la atención como urgente</w:t>
      </w:r>
      <w:r w:rsidR="00EE5732">
        <w:rPr>
          <w:kern w:val="2"/>
          <w14:ligatures w14:val="standardContextual"/>
        </w:rPr>
        <w:t xml:space="preserve">; </w:t>
      </w:r>
      <w:r w:rsidRPr="00F61B23">
        <w:rPr>
          <w:kern w:val="2"/>
          <w14:ligatures w14:val="standardContextual"/>
        </w:rPr>
        <w:t xml:space="preserve">todo para </w:t>
      </w:r>
      <w:r w:rsidR="00EE5732">
        <w:rPr>
          <w:kern w:val="2"/>
          <w14:ligatures w14:val="standardContextual"/>
        </w:rPr>
        <w:t>evitar que</w:t>
      </w:r>
      <w:r w:rsidRPr="00F61B23">
        <w:rPr>
          <w:kern w:val="2"/>
          <w14:ligatures w14:val="standardContextual"/>
        </w:rPr>
        <w:t xml:space="preserve"> las consecuencias nocivas del delito de violación</w:t>
      </w:r>
      <w:r w:rsidR="00EE5732">
        <w:rPr>
          <w:kern w:val="2"/>
          <w14:ligatures w14:val="standardContextual"/>
        </w:rPr>
        <w:t xml:space="preserve"> se sigan produciendo</w:t>
      </w:r>
      <w:r w:rsidRPr="00F61B23">
        <w:rPr>
          <w:kern w:val="2"/>
          <w14:ligatures w14:val="standardContextual"/>
        </w:rPr>
        <w:t>.</w:t>
      </w:r>
    </w:p>
    <w:p w14:paraId="4761A0B1" w14:textId="66447380" w:rsidR="005A0356" w:rsidRPr="00F61B23" w:rsidRDefault="00EE5732" w:rsidP="00F61B23">
      <w:pPr>
        <w:pStyle w:val="Prrafo"/>
        <w:numPr>
          <w:ilvl w:val="0"/>
          <w:numId w:val="3"/>
        </w:numPr>
        <w:ind w:left="0" w:hanging="567"/>
        <w:rPr>
          <w:kern w:val="2"/>
          <w:lang w:val="es-ES_tradnl"/>
          <w14:ligatures w14:val="standardContextual"/>
        </w:rPr>
      </w:pPr>
      <w:r>
        <w:rPr>
          <w:kern w:val="2"/>
          <w:lang w:val="es-ES_tradnl"/>
          <w14:ligatures w14:val="standardContextual"/>
        </w:rPr>
        <w:lastRenderedPageBreak/>
        <w:t>Los precedentes invocaron también la NO</w:t>
      </w:r>
      <w:r w:rsidR="005A0356" w:rsidRPr="00F61B23">
        <w:rPr>
          <w:kern w:val="2"/>
          <w14:ligatures w14:val="standardContextual"/>
        </w:rPr>
        <w:t>M-046-SSA2-2005</w:t>
      </w:r>
      <w:r w:rsidR="00486251">
        <w:rPr>
          <w:rStyle w:val="Refdenotaalpie"/>
          <w:kern w:val="2"/>
          <w14:ligatures w14:val="standardContextual"/>
        </w:rPr>
        <w:footnoteReference w:id="57"/>
      </w:r>
      <w:r>
        <w:rPr>
          <w:kern w:val="2"/>
          <w14:ligatures w14:val="standardContextual"/>
        </w:rPr>
        <w:t xml:space="preserve"> que prescribe que </w:t>
      </w:r>
      <w:r w:rsidR="005A0356" w:rsidRPr="00F61B23">
        <w:rPr>
          <w:kern w:val="2"/>
          <w14:ligatures w14:val="standardContextual"/>
        </w:rPr>
        <w:t xml:space="preserve">todas las instituciones públicas de salud deben practicar la interrupción del embarazo y no pueden implementar mecanismos o políticas internas que impidan la </w:t>
      </w:r>
      <w:r w:rsidR="00433677">
        <w:rPr>
          <w:kern w:val="2"/>
          <w14:ligatures w14:val="standardContextual"/>
        </w:rPr>
        <w:t>protección y garantía d</w:t>
      </w:r>
      <w:r w:rsidR="005A0356" w:rsidRPr="00F61B23">
        <w:rPr>
          <w:kern w:val="2"/>
          <w14:ligatures w14:val="standardContextual"/>
        </w:rPr>
        <w:t>e</w:t>
      </w:r>
      <w:r w:rsidR="00433677">
        <w:rPr>
          <w:kern w:val="2"/>
          <w14:ligatures w14:val="standardContextual"/>
        </w:rPr>
        <w:t>l</w:t>
      </w:r>
      <w:r w:rsidR="005A0356" w:rsidRPr="00F61B23">
        <w:rPr>
          <w:kern w:val="2"/>
          <w14:ligatures w14:val="standardContextual"/>
        </w:rPr>
        <w:t xml:space="preserve"> derecho de las mujeres </w:t>
      </w:r>
      <w:r w:rsidR="00433677">
        <w:rPr>
          <w:kern w:val="2"/>
          <w14:ligatures w14:val="standardContextual"/>
        </w:rPr>
        <w:t xml:space="preserve">y personas gestantes </w:t>
      </w:r>
      <w:r w:rsidR="005A0356" w:rsidRPr="00F61B23">
        <w:rPr>
          <w:kern w:val="2"/>
          <w14:ligatures w14:val="standardContextual"/>
        </w:rPr>
        <w:t xml:space="preserve">víctimas de violación sexual </w:t>
      </w:r>
      <w:r w:rsidR="00FD7937">
        <w:rPr>
          <w:kern w:val="2"/>
          <w14:ligatures w14:val="standardContextual"/>
        </w:rPr>
        <w:t xml:space="preserve">a </w:t>
      </w:r>
      <w:r w:rsidR="005A0356" w:rsidRPr="00F61B23">
        <w:rPr>
          <w:kern w:val="2"/>
          <w14:ligatures w14:val="standardContextual"/>
        </w:rPr>
        <w:t xml:space="preserve">interrumpir </w:t>
      </w:r>
      <w:r w:rsidR="00FD7937">
        <w:rPr>
          <w:kern w:val="2"/>
          <w14:ligatures w14:val="standardContextual"/>
        </w:rPr>
        <w:t xml:space="preserve">un </w:t>
      </w:r>
      <w:r w:rsidR="005A0356" w:rsidRPr="00F61B23">
        <w:rPr>
          <w:kern w:val="2"/>
          <w14:ligatures w14:val="standardContextual"/>
        </w:rPr>
        <w:t>embarazo.</w:t>
      </w:r>
    </w:p>
    <w:p w14:paraId="49D3050D" w14:textId="6C3F84DB" w:rsidR="004505F6" w:rsidRDefault="009D1BDC" w:rsidP="00DB3A5E">
      <w:pPr>
        <w:pStyle w:val="Prrafo"/>
        <w:numPr>
          <w:ilvl w:val="0"/>
          <w:numId w:val="3"/>
        </w:numPr>
        <w:ind w:left="0" w:hanging="567"/>
        <w:rPr>
          <w:kern w:val="2"/>
          <w:lang w:val="es-ES_tradnl"/>
          <w14:ligatures w14:val="standardContextual"/>
        </w:rPr>
      </w:pPr>
      <w:r>
        <w:t>El criterio de la Segunda Sala fue compartido por</w:t>
      </w:r>
      <w:r>
        <w:rPr>
          <w:lang w:val="es-ES_tradnl"/>
        </w:rPr>
        <w:t xml:space="preserve"> la Primera Sala, al resolver los amparos en revisión 438/2020</w:t>
      </w:r>
      <w:r>
        <w:rPr>
          <w:rStyle w:val="Refdenotaalpie"/>
          <w:lang w:val="es-ES_tradnl"/>
        </w:rPr>
        <w:footnoteReference w:id="58"/>
      </w:r>
      <w:r>
        <w:rPr>
          <w:lang w:val="es-ES_tradnl"/>
        </w:rPr>
        <w:t xml:space="preserve"> y 45/2018</w:t>
      </w:r>
      <w:r>
        <w:rPr>
          <w:rStyle w:val="Refdenotaalpie"/>
          <w:lang w:val="es-ES_tradnl"/>
        </w:rPr>
        <w:footnoteReference w:id="59"/>
      </w:r>
      <w:r>
        <w:rPr>
          <w:lang w:val="es-ES_tradnl"/>
        </w:rPr>
        <w:t xml:space="preserve">, en los que, además, se dijo que imponer un plazo u otras </w:t>
      </w:r>
      <w:r w:rsidRPr="009F13DF">
        <w:t>condiciones</w:t>
      </w:r>
      <w:r>
        <w:rPr>
          <w:lang w:val="es-ES_tradnl"/>
        </w:rPr>
        <w:t xml:space="preserve"> –como la interposición de una denuncia o exigir la autorización de alguna autoridad– para ejercer ese derecho es inconstitucional</w:t>
      </w:r>
      <w:r w:rsidR="00426ACE">
        <w:rPr>
          <w:lang w:val="es-ES_tradnl"/>
        </w:rPr>
        <w:t xml:space="preserve">, </w:t>
      </w:r>
      <w:r w:rsidR="00426ACE" w:rsidRPr="00511142">
        <w:rPr>
          <w:kern w:val="2"/>
          <w:lang w:val="es-ES_tradnl"/>
          <w14:ligatures w14:val="standardContextual"/>
        </w:rPr>
        <w:t xml:space="preserve">pues complica el acceso al aborto por un embarazo forzado a </w:t>
      </w:r>
      <w:r w:rsidR="009E17B2">
        <w:rPr>
          <w:kern w:val="2"/>
          <w:lang w:val="es-ES_tradnl"/>
          <w14:ligatures w14:val="standardContextual"/>
        </w:rPr>
        <w:t xml:space="preserve">las </w:t>
      </w:r>
      <w:r w:rsidR="00426ACE" w:rsidRPr="00511142">
        <w:rPr>
          <w:kern w:val="2"/>
          <w:lang w:val="es-ES_tradnl"/>
          <w14:ligatures w14:val="standardContextual"/>
        </w:rPr>
        <w:t>mujeres y personas gestantes</w:t>
      </w:r>
      <w:r w:rsidR="009E17B2">
        <w:rPr>
          <w:kern w:val="2"/>
          <w:lang w:val="es-ES_tradnl"/>
          <w14:ligatures w14:val="standardContextual"/>
        </w:rPr>
        <w:t xml:space="preserve">, particularmente aquellas en condiciones de marginación. </w:t>
      </w:r>
    </w:p>
    <w:p w14:paraId="003D79EE" w14:textId="1F156831" w:rsidR="00C72E1B" w:rsidRPr="00122411" w:rsidRDefault="00377255" w:rsidP="00DB3A5E">
      <w:pPr>
        <w:pStyle w:val="Prrafo"/>
        <w:numPr>
          <w:ilvl w:val="0"/>
          <w:numId w:val="3"/>
        </w:numPr>
        <w:ind w:left="0" w:hanging="567"/>
        <w:rPr>
          <w:kern w:val="2"/>
          <w14:ligatures w14:val="standardContextual"/>
        </w:rPr>
      </w:pPr>
      <w:r>
        <w:t>Los precedentes también aluden al hecho de que l</w:t>
      </w:r>
      <w:r w:rsidRPr="00C823C5">
        <w:t xml:space="preserve">a </w:t>
      </w:r>
      <w:r>
        <w:t>Ley General de Víctimas establece que las víctimas de violación tienen derecho a los servicios de emergencia médica, odontológica, quirúrgica y hospitalaria, los cuales comprenden el servicio de interrupción del embarazo en los casos permitidos por la ley, con absoluto respeto de la voluntad de la víctima</w:t>
      </w:r>
      <w:r>
        <w:rPr>
          <w:rStyle w:val="Refdenotaalpie"/>
        </w:rPr>
        <w:footnoteReference w:id="60"/>
      </w:r>
      <w:r>
        <w:t>.</w:t>
      </w:r>
    </w:p>
    <w:p w14:paraId="3EBC97C6" w14:textId="312554D7" w:rsidR="000823B8" w:rsidRDefault="004505F6" w:rsidP="000F1072">
      <w:pPr>
        <w:pStyle w:val="Prrafo"/>
        <w:numPr>
          <w:ilvl w:val="0"/>
          <w:numId w:val="3"/>
        </w:numPr>
        <w:ind w:left="0" w:hanging="567"/>
      </w:pPr>
      <w:r w:rsidRPr="00602B38">
        <w:rPr>
          <w:kern w:val="2"/>
          <w:lang w:val="es-ES_tradnl"/>
          <w14:ligatures w14:val="standardContextual"/>
        </w:rPr>
        <w:lastRenderedPageBreak/>
        <w:t xml:space="preserve">En el caso, </w:t>
      </w:r>
      <w:r w:rsidRPr="00602B38">
        <w:rPr>
          <w:kern w:val="2"/>
          <w14:ligatures w14:val="standardContextual"/>
        </w:rPr>
        <w:t xml:space="preserve">la joven </w:t>
      </w:r>
      <w:r w:rsidR="006F4EC0">
        <w:rPr>
          <w:i/>
          <w:iCs/>
        </w:rPr>
        <w:t>María</w:t>
      </w:r>
      <w:r w:rsidR="007B2687" w:rsidRPr="00761163">
        <w:rPr>
          <w:color w:val="C00000"/>
        </w:rPr>
        <w:t xml:space="preserve"> </w:t>
      </w:r>
      <w:r w:rsidRPr="00602B38">
        <w:rPr>
          <w:kern w:val="2"/>
          <w14:ligatures w14:val="standardContextual"/>
        </w:rPr>
        <w:t xml:space="preserve">fue atendida en el Hospital Civil de Guadalajara, donde </w:t>
      </w:r>
      <w:r w:rsidR="00ED1551" w:rsidRPr="00602B38">
        <w:rPr>
          <w:kern w:val="2"/>
          <w14:ligatures w14:val="standardContextual"/>
        </w:rPr>
        <w:t>–</w:t>
      </w:r>
      <w:r w:rsidRPr="00602B38">
        <w:rPr>
          <w:kern w:val="2"/>
          <w14:ligatures w14:val="standardContextual"/>
        </w:rPr>
        <w:t>como parte de los protocolos para la atención de víctimas de violencia sexual</w:t>
      </w:r>
      <w:r w:rsidR="00ED1551" w:rsidRPr="00602B38">
        <w:rPr>
          <w:kern w:val="2"/>
          <w14:ligatures w14:val="standardContextual"/>
        </w:rPr>
        <w:t>–</w:t>
      </w:r>
      <w:r w:rsidRPr="00602B38">
        <w:rPr>
          <w:kern w:val="2"/>
          <w14:ligatures w14:val="standardContextual"/>
        </w:rPr>
        <w:t xml:space="preserve"> recibió tratamiento psicológico, fue evaluada respecto de posibles contagios de enfermedades de transmisión sexual y se le dio el tratamiento para los padecimientos detectados.</w:t>
      </w:r>
      <w:r w:rsidR="00EE3F6D" w:rsidRPr="00602B38">
        <w:rPr>
          <w:kern w:val="2"/>
          <w14:ligatures w14:val="standardContextual"/>
        </w:rPr>
        <w:t xml:space="preserve"> S</w:t>
      </w:r>
      <w:r w:rsidRPr="00602B38">
        <w:rPr>
          <w:kern w:val="2"/>
          <w14:ligatures w14:val="standardContextual"/>
        </w:rPr>
        <w:t>e observó que su embarazo era de riesgo</w:t>
      </w:r>
      <w:r w:rsidR="00AE41E4" w:rsidRPr="00602B38">
        <w:rPr>
          <w:kern w:val="2"/>
          <w14:ligatures w14:val="standardContextual"/>
        </w:rPr>
        <w:t xml:space="preserve"> y </w:t>
      </w:r>
      <w:r w:rsidRPr="00602B38">
        <w:rPr>
          <w:kern w:val="2"/>
          <w14:ligatures w14:val="standardContextual"/>
        </w:rPr>
        <w:t>había tenido efectos sobre su salud mental</w:t>
      </w:r>
      <w:r w:rsidR="00AE41E4" w:rsidRPr="00602B38">
        <w:rPr>
          <w:kern w:val="2"/>
          <w14:ligatures w14:val="standardContextual"/>
        </w:rPr>
        <w:t xml:space="preserve">, no sólo por tratarse de un embarazo forzado del cual se enteró en un momento </w:t>
      </w:r>
      <w:r w:rsidR="005A4330" w:rsidRPr="00602B38">
        <w:rPr>
          <w:kern w:val="2"/>
          <w14:ligatures w14:val="standardContextual"/>
        </w:rPr>
        <w:t>avanzado, sino por el hecho de que ya había enfrentado un embarazo con complicaciones importantes en el pasado</w:t>
      </w:r>
      <w:r w:rsidR="00F31847">
        <w:rPr>
          <w:rStyle w:val="Refdenotaalpie"/>
          <w:kern w:val="2"/>
          <w14:ligatures w14:val="standardContextual"/>
        </w:rPr>
        <w:footnoteReference w:id="61"/>
      </w:r>
      <w:r w:rsidR="005A4330" w:rsidRPr="00602B38">
        <w:rPr>
          <w:kern w:val="2"/>
          <w14:ligatures w14:val="standardContextual"/>
        </w:rPr>
        <w:t>.</w:t>
      </w:r>
    </w:p>
    <w:p w14:paraId="0F4E371D" w14:textId="7CF33060" w:rsidR="002B6CB4" w:rsidRPr="00F67A28" w:rsidRDefault="002B6CB4" w:rsidP="002B6CB4">
      <w:pPr>
        <w:pStyle w:val="Prrafo"/>
        <w:numPr>
          <w:ilvl w:val="0"/>
          <w:numId w:val="3"/>
        </w:numPr>
        <w:ind w:left="0" w:hanging="567"/>
      </w:pPr>
      <w:r>
        <w:rPr>
          <w:kern w:val="2"/>
          <w14:ligatures w14:val="standardContextual"/>
        </w:rPr>
        <w:t>E</w:t>
      </w:r>
      <w:r w:rsidRPr="000823B8">
        <w:rPr>
          <w:kern w:val="2"/>
          <w14:ligatures w14:val="standardContextual"/>
        </w:rPr>
        <w:t xml:space="preserve">sta Sala reprocha al personal médico que en estas circunstancias no informara a la joven </w:t>
      </w:r>
      <w:r w:rsidR="006F4EC0">
        <w:rPr>
          <w:i/>
          <w:iCs/>
        </w:rPr>
        <w:t>María</w:t>
      </w:r>
      <w:r w:rsidR="007B2687" w:rsidRPr="00761163">
        <w:rPr>
          <w:color w:val="C00000"/>
        </w:rPr>
        <w:t xml:space="preserve"> </w:t>
      </w:r>
      <w:r w:rsidRPr="000823B8">
        <w:rPr>
          <w:kern w:val="2"/>
          <w14:ligatures w14:val="standardContextual"/>
        </w:rPr>
        <w:t xml:space="preserve">sobre su derecho a </w:t>
      </w:r>
      <w:r w:rsidRPr="00F01ACC">
        <w:t>interrumpir el embarazo</w:t>
      </w:r>
      <w:r>
        <w:t>. A</w:t>
      </w:r>
      <w:r>
        <w:rPr>
          <w:kern w:val="2"/>
          <w14:ligatures w14:val="standardContextual"/>
        </w:rPr>
        <w:t>nte la deficiente atención médica que recibió –la cual no fue otorgada conforme a los estándares de calidad exigibles–</w:t>
      </w:r>
      <w:r w:rsidRPr="00F01ACC">
        <w:t xml:space="preserve"> la quejosa se vio obligada a acudir ante las oficinas del secretario de salud de la entidad</w:t>
      </w:r>
      <w:r>
        <w:t xml:space="preserve"> donde</w:t>
      </w:r>
      <w:r w:rsidRPr="00F01ACC">
        <w:t xml:space="preserve"> pudo solicitar la interrupción</w:t>
      </w:r>
      <w:r>
        <w:t>, una vez fue egresada</w:t>
      </w:r>
      <w:r w:rsidRPr="00412CB2">
        <w:t xml:space="preserve"> </w:t>
      </w:r>
      <w:r w:rsidRPr="00F01ACC">
        <w:t>del internamiento psiquiátrico</w:t>
      </w:r>
      <w:r>
        <w:t>. En esa instancia, como se ha visto, tampoco se le atendió.</w:t>
      </w:r>
    </w:p>
    <w:p w14:paraId="623F93AC" w14:textId="10B57335" w:rsidR="008C2C2E" w:rsidRPr="00F67A28" w:rsidRDefault="004F1EB5" w:rsidP="00DB3A5E">
      <w:pPr>
        <w:pStyle w:val="Prrafo"/>
        <w:numPr>
          <w:ilvl w:val="0"/>
          <w:numId w:val="3"/>
        </w:numPr>
        <w:ind w:left="0" w:hanging="567"/>
        <w:rPr>
          <w:kern w:val="2"/>
          <w:lang w:val="es-ES_tradnl"/>
          <w14:ligatures w14:val="standardContextual"/>
        </w:rPr>
      </w:pPr>
      <w:r w:rsidRPr="005A4330">
        <w:rPr>
          <w:kern w:val="2"/>
          <w:lang w:val="es-ES_tradnl"/>
          <w14:ligatures w14:val="standardContextual"/>
        </w:rPr>
        <w:t>En este punto, debe darse razón a la quejosa cuando alega que sus derechos como víctima de una agresión sexual fueron violentados, pues el</w:t>
      </w:r>
      <w:r w:rsidR="00373EDA" w:rsidRPr="005A4330">
        <w:rPr>
          <w:lang w:val="es-ES_tradnl"/>
        </w:rPr>
        <w:t xml:space="preserve"> personal médico </w:t>
      </w:r>
      <w:r w:rsidR="00B31962">
        <w:rPr>
          <w:lang w:val="es-ES_tradnl"/>
        </w:rPr>
        <w:t xml:space="preserve">desoyó </w:t>
      </w:r>
      <w:r w:rsidR="008C2C2E">
        <w:rPr>
          <w:lang w:val="es-ES_tradnl"/>
        </w:rPr>
        <w:t xml:space="preserve">un </w:t>
      </w:r>
      <w:r w:rsidR="00B31962">
        <w:rPr>
          <w:lang w:val="es-ES_tradnl"/>
        </w:rPr>
        <w:t xml:space="preserve">diagnóstico emitido por el mismo hospital y </w:t>
      </w:r>
      <w:r w:rsidR="00373EDA" w:rsidRPr="005A4330">
        <w:rPr>
          <w:lang w:val="es-ES_tradnl"/>
        </w:rPr>
        <w:t>desatendió su deber de proporcion</w:t>
      </w:r>
      <w:r w:rsidR="00E51C50" w:rsidRPr="005A4330">
        <w:rPr>
          <w:lang w:val="es-ES_tradnl"/>
        </w:rPr>
        <w:t>arle la a</w:t>
      </w:r>
      <w:r w:rsidR="00373EDA" w:rsidRPr="005A4330">
        <w:rPr>
          <w:lang w:val="es-ES_tradnl"/>
        </w:rPr>
        <w:t>tención médica integral</w:t>
      </w:r>
      <w:r w:rsidR="00E51C50" w:rsidRPr="005A4330">
        <w:rPr>
          <w:lang w:val="es-ES_tradnl"/>
        </w:rPr>
        <w:t xml:space="preserve"> </w:t>
      </w:r>
      <w:r w:rsidR="00884EE1" w:rsidRPr="005A4330">
        <w:rPr>
          <w:lang w:val="es-ES_tradnl"/>
        </w:rPr>
        <w:t>requerida</w:t>
      </w:r>
      <w:r w:rsidR="00A50787" w:rsidRPr="005A4330">
        <w:rPr>
          <w:lang w:val="es-ES_tradnl"/>
        </w:rPr>
        <w:t xml:space="preserve"> </w:t>
      </w:r>
      <w:r w:rsidR="00E51C50" w:rsidRPr="005A4330">
        <w:rPr>
          <w:lang w:val="es-ES_tradnl"/>
        </w:rPr>
        <w:t xml:space="preserve">tanto por la Ley General de Víctimas, como </w:t>
      </w:r>
      <w:r w:rsidR="00AB1FF9" w:rsidRPr="005A4330">
        <w:rPr>
          <w:lang w:val="es-ES_tradnl"/>
        </w:rPr>
        <w:t xml:space="preserve">de forma más detallada y específica </w:t>
      </w:r>
      <w:r w:rsidR="00BC7118">
        <w:rPr>
          <w:lang w:val="es-ES_tradnl"/>
        </w:rPr>
        <w:t xml:space="preserve">por </w:t>
      </w:r>
      <w:r w:rsidR="00AB1FF9" w:rsidRPr="005A4330">
        <w:rPr>
          <w:lang w:val="es-ES_tradnl"/>
        </w:rPr>
        <w:t xml:space="preserve">los </w:t>
      </w:r>
      <w:r w:rsidR="00AB1FF9" w:rsidRPr="005A4330">
        <w:rPr>
          <w:lang w:val="es-ES_tradnl"/>
        </w:rPr>
        <w:lastRenderedPageBreak/>
        <w:t>p</w:t>
      </w:r>
      <w:r w:rsidR="00AB1FF9" w:rsidRPr="00AB1FF9">
        <w:t>untos 6.4.2.2.</w:t>
      </w:r>
      <w:r w:rsidR="00AB1FF9">
        <w:t xml:space="preserve">, </w:t>
      </w:r>
      <w:r w:rsidR="00AB1FF9" w:rsidRPr="00AB1FF9">
        <w:t xml:space="preserve">6.4.2.3., 6.4.2.4 de la </w:t>
      </w:r>
      <w:r w:rsidR="00CC30DE" w:rsidRPr="00CC30DE">
        <w:t>NOM-046-SSA2-2005</w:t>
      </w:r>
      <w:r w:rsidR="00681957">
        <w:t>,</w:t>
      </w:r>
      <w:r w:rsidR="00A50787">
        <w:t xml:space="preserve"> que exigían al hospital hacer cesar los efectos del delito, garantizar que la adolescente no resintiera mayores consecuencias del hecho </w:t>
      </w:r>
      <w:proofErr w:type="spellStart"/>
      <w:r w:rsidR="00A50787">
        <w:t>victimizante</w:t>
      </w:r>
      <w:proofErr w:type="spellEnd"/>
      <w:r w:rsidR="00A50787">
        <w:t xml:space="preserve"> y se restaurara, en la medida de los posible y prontamente, su proyecto de vida y </w:t>
      </w:r>
      <w:r w:rsidR="00C27044">
        <w:t xml:space="preserve">su </w:t>
      </w:r>
      <w:r w:rsidR="00A50787">
        <w:t>bienestar</w:t>
      </w:r>
      <w:r w:rsidR="00C27044">
        <w:t xml:space="preserve"> integral.</w:t>
      </w:r>
    </w:p>
    <w:p w14:paraId="683064B7" w14:textId="5F898168" w:rsidR="002626C7" w:rsidRDefault="00B9467B" w:rsidP="00DB3A5E">
      <w:pPr>
        <w:pStyle w:val="Prrafo"/>
        <w:numPr>
          <w:ilvl w:val="0"/>
          <w:numId w:val="3"/>
        </w:numPr>
        <w:ind w:left="0" w:hanging="567"/>
        <w:rPr>
          <w:kern w:val="2"/>
          <w:lang w:val="es-ES_tradnl"/>
          <w14:ligatures w14:val="standardContextual"/>
        </w:rPr>
      </w:pPr>
      <w:r>
        <w:rPr>
          <w:kern w:val="2"/>
          <w:lang w:val="es-ES_tradnl"/>
          <w14:ligatures w14:val="standardContextual"/>
        </w:rPr>
        <w:t>Finalmente, c</w:t>
      </w:r>
      <w:r w:rsidR="00DC4B36">
        <w:rPr>
          <w:kern w:val="2"/>
          <w:lang w:val="es-ES_tradnl"/>
          <w14:ligatures w14:val="standardContextual"/>
        </w:rPr>
        <w:t>orresponde a esta Primera Sala determinar los remedios que</w:t>
      </w:r>
      <w:r>
        <w:rPr>
          <w:kern w:val="2"/>
          <w:lang w:val="es-ES_tradnl"/>
          <w14:ligatures w14:val="standardContextual"/>
        </w:rPr>
        <w:t>,</w:t>
      </w:r>
      <w:r w:rsidR="00DC4B36">
        <w:rPr>
          <w:kern w:val="2"/>
          <w:lang w:val="es-ES_tradnl"/>
          <w14:ligatures w14:val="standardContextual"/>
        </w:rPr>
        <w:t xml:space="preserve"> </w:t>
      </w:r>
      <w:r>
        <w:rPr>
          <w:kern w:val="2"/>
          <w:lang w:val="es-ES_tradnl"/>
          <w14:ligatures w14:val="standardContextual"/>
        </w:rPr>
        <w:t>a cargo de las autoridades responsables, deben ordenarse para reparar la violación a los derechos humanos</w:t>
      </w:r>
      <w:r w:rsidR="001335C7">
        <w:rPr>
          <w:kern w:val="2"/>
          <w:lang w:val="es-ES_tradnl"/>
          <w14:ligatures w14:val="standardContextual"/>
        </w:rPr>
        <w:t xml:space="preserve"> de la joven </w:t>
      </w:r>
      <w:r w:rsidR="00D5280B">
        <w:rPr>
          <w:i/>
          <w:iCs/>
        </w:rPr>
        <w:t>María</w:t>
      </w:r>
      <w:r w:rsidR="007B2687" w:rsidRPr="00761163">
        <w:rPr>
          <w:color w:val="C00000"/>
        </w:rPr>
        <w:t xml:space="preserve"> </w:t>
      </w:r>
      <w:r>
        <w:rPr>
          <w:kern w:val="2"/>
          <w:lang w:val="es-ES_tradnl"/>
          <w14:ligatures w14:val="standardContextual"/>
        </w:rPr>
        <w:t>que ha identificado esta Sala</w:t>
      </w:r>
      <w:r w:rsidR="00735B43">
        <w:rPr>
          <w:kern w:val="2"/>
          <w:lang w:val="es-ES_tradnl"/>
          <w14:ligatures w14:val="standardContextual"/>
        </w:rPr>
        <w:t>.</w:t>
      </w:r>
    </w:p>
    <w:p w14:paraId="27C26A3F" w14:textId="6AA7B984" w:rsidR="009F06EE" w:rsidRPr="003E467B" w:rsidRDefault="00F02FFA" w:rsidP="00B44A02">
      <w:pPr>
        <w:pStyle w:val="Ttulo4"/>
        <w:rPr>
          <w:i/>
          <w:iCs/>
        </w:rPr>
      </w:pPr>
      <w:r>
        <w:rPr>
          <w:i/>
          <w:iCs/>
        </w:rPr>
        <w:t>El d</w:t>
      </w:r>
      <w:r w:rsidR="009F06EE" w:rsidRPr="00973396">
        <w:rPr>
          <w:i/>
          <w:iCs/>
        </w:rPr>
        <w:t xml:space="preserve">erecho a la </w:t>
      </w:r>
      <w:r w:rsidR="009F06EE" w:rsidRPr="008C0329">
        <w:rPr>
          <w:i/>
          <w:iCs/>
          <w:lang w:val="es-ES_tradnl"/>
        </w:rPr>
        <w:t>reparación</w:t>
      </w:r>
      <w:r w:rsidR="009F06EE" w:rsidRPr="00973396">
        <w:rPr>
          <w:i/>
          <w:iCs/>
        </w:rPr>
        <w:t xml:space="preserve"> integral</w:t>
      </w:r>
    </w:p>
    <w:p w14:paraId="65EDAC05" w14:textId="4A84FF18" w:rsidR="0038298E" w:rsidRDefault="0058280D" w:rsidP="00A16A2A">
      <w:pPr>
        <w:pStyle w:val="Prrafo"/>
        <w:numPr>
          <w:ilvl w:val="0"/>
          <w:numId w:val="3"/>
        </w:numPr>
        <w:ind w:left="0" w:hanging="567"/>
        <w:rPr>
          <w:kern w:val="2"/>
          <w:lang w:val="es-ES_tradnl"/>
          <w14:ligatures w14:val="standardContextual"/>
        </w:rPr>
      </w:pPr>
      <w:r w:rsidRPr="000D6D53">
        <w:rPr>
          <w:kern w:val="2"/>
          <w:lang w:val="es-ES_tradnl"/>
          <w14:ligatures w14:val="standardContextual"/>
        </w:rPr>
        <w:t xml:space="preserve">Esta </w:t>
      </w:r>
      <w:r w:rsidR="00C80B9B">
        <w:rPr>
          <w:kern w:val="2"/>
          <w:lang w:val="es-ES_tradnl"/>
          <w14:ligatures w14:val="standardContextual"/>
        </w:rPr>
        <w:t xml:space="preserve">Primera Sala debe tomar como punto de partida </w:t>
      </w:r>
      <w:r w:rsidR="00FE1B17">
        <w:rPr>
          <w:kern w:val="2"/>
          <w:lang w:val="es-ES_tradnl"/>
          <w14:ligatures w14:val="standardContextual"/>
        </w:rPr>
        <w:t>que la reparación integral es, por un lado, un derecho fundamental de las víctimas y, por otro, una obligación a cargo del Estado.</w:t>
      </w:r>
      <w:r w:rsidR="000908FB">
        <w:rPr>
          <w:kern w:val="2"/>
          <w:lang w:val="es-ES_tradnl"/>
          <w14:ligatures w14:val="standardContextual"/>
        </w:rPr>
        <w:t xml:space="preserve"> La evolución de este derecho ocurrió inicialmente en el derecho internacional</w:t>
      </w:r>
      <w:r w:rsidR="0047368D">
        <w:rPr>
          <w:kern w:val="2"/>
          <w:lang w:val="es-ES_tradnl"/>
          <w14:ligatures w14:val="standardContextual"/>
        </w:rPr>
        <w:t>, pero no ha sido ajen</w:t>
      </w:r>
      <w:r w:rsidR="00CE2F28">
        <w:rPr>
          <w:kern w:val="2"/>
          <w:lang w:val="es-ES_tradnl"/>
          <w14:ligatures w14:val="standardContextual"/>
        </w:rPr>
        <w:t>o</w:t>
      </w:r>
      <w:r w:rsidR="0047368D">
        <w:rPr>
          <w:kern w:val="2"/>
          <w:lang w:val="es-ES_tradnl"/>
          <w14:ligatures w14:val="standardContextual"/>
        </w:rPr>
        <w:t xml:space="preserve"> a </w:t>
      </w:r>
      <w:r w:rsidR="0021689F">
        <w:rPr>
          <w:kern w:val="2"/>
          <w:lang w:val="es-ES_tradnl"/>
          <w14:ligatures w14:val="standardContextual"/>
        </w:rPr>
        <w:t>la jurisprudencia nacional</w:t>
      </w:r>
      <w:r w:rsidR="0047368D">
        <w:rPr>
          <w:kern w:val="2"/>
          <w:lang w:val="es-ES_tradnl"/>
          <w14:ligatures w14:val="standardContextual"/>
        </w:rPr>
        <w:t>, donde de manera gradual se han incorporad</w:t>
      </w:r>
      <w:r w:rsidR="00081C52">
        <w:rPr>
          <w:kern w:val="2"/>
          <w:lang w:val="es-ES_tradnl"/>
          <w14:ligatures w14:val="standardContextual"/>
        </w:rPr>
        <w:t>o los elementos que</w:t>
      </w:r>
      <w:r w:rsidR="00B27C6B">
        <w:rPr>
          <w:kern w:val="2"/>
          <w:lang w:val="es-ES_tradnl"/>
          <w14:ligatures w14:val="standardContextual"/>
        </w:rPr>
        <w:t xml:space="preserve"> han de considerarse cuando se establecen las consecuencias a la violación de un derecho fundamental.</w:t>
      </w:r>
    </w:p>
    <w:p w14:paraId="78B5E1B0" w14:textId="67DFC283" w:rsidR="00BA20D6" w:rsidRDefault="00FE1B17" w:rsidP="00BA20D6">
      <w:pPr>
        <w:pStyle w:val="Prrafo"/>
        <w:numPr>
          <w:ilvl w:val="0"/>
          <w:numId w:val="3"/>
        </w:numPr>
        <w:ind w:left="0" w:hanging="567"/>
        <w:rPr>
          <w:kern w:val="2"/>
          <w:lang w:val="es-ES_tradnl"/>
          <w14:ligatures w14:val="standardContextual"/>
        </w:rPr>
      </w:pPr>
      <w:r w:rsidRPr="001F4666">
        <w:rPr>
          <w:kern w:val="2"/>
          <w:lang w:val="es-ES_tradnl"/>
          <w14:ligatures w14:val="standardContextual"/>
        </w:rPr>
        <w:t xml:space="preserve">En el </w:t>
      </w:r>
      <w:r w:rsidR="00EF0955">
        <w:rPr>
          <w:kern w:val="2"/>
          <w:lang w:val="es-ES_tradnl"/>
          <w14:ligatures w14:val="standardContextual"/>
        </w:rPr>
        <w:t xml:space="preserve">sistema universal de los derechos humanos se parte de que las víctimas tienen derecho a una </w:t>
      </w:r>
      <w:r w:rsidR="00BD2217" w:rsidRPr="001F4666">
        <w:rPr>
          <w:kern w:val="2"/>
          <w:lang w:val="es-ES_tradnl"/>
          <w14:ligatures w14:val="standardContextual"/>
        </w:rPr>
        <w:t>reparación plena y efectiva</w:t>
      </w:r>
      <w:r w:rsidR="00BD2217">
        <w:rPr>
          <w:rStyle w:val="Refdenotaalpie"/>
          <w:kern w:val="2"/>
          <w:lang w:val="es-ES_tradnl"/>
          <w14:ligatures w14:val="standardContextual"/>
        </w:rPr>
        <w:footnoteReference w:id="62"/>
      </w:r>
      <w:r w:rsidR="009D78E0" w:rsidRPr="001F4666">
        <w:rPr>
          <w:kern w:val="2"/>
          <w:lang w:val="es-ES_tradnl"/>
          <w14:ligatures w14:val="standardContextual"/>
        </w:rPr>
        <w:t xml:space="preserve">. </w:t>
      </w:r>
      <w:r w:rsidR="000D0537">
        <w:rPr>
          <w:kern w:val="2"/>
          <w:lang w:val="es-ES_tradnl"/>
          <w14:ligatures w14:val="standardContextual"/>
        </w:rPr>
        <w:t xml:space="preserve">La </w:t>
      </w:r>
      <w:r w:rsidR="00CD204D" w:rsidRPr="001F4666">
        <w:rPr>
          <w:kern w:val="2"/>
          <w:lang w:val="es-ES_tradnl"/>
          <w14:ligatures w14:val="standardContextual"/>
        </w:rPr>
        <w:t>Corte Interamericana de Derechos Humanos</w:t>
      </w:r>
      <w:r w:rsidR="000D0537">
        <w:rPr>
          <w:kern w:val="2"/>
          <w:lang w:val="es-ES_tradnl"/>
          <w14:ligatures w14:val="standardContextual"/>
        </w:rPr>
        <w:t>, en los asuntos de su competencia</w:t>
      </w:r>
      <w:r w:rsidR="000A7AF7">
        <w:rPr>
          <w:kern w:val="2"/>
          <w:lang w:val="es-ES_tradnl"/>
          <w14:ligatures w14:val="standardContextual"/>
        </w:rPr>
        <w:t xml:space="preserve"> en términos de</w:t>
      </w:r>
      <w:r w:rsidR="000D0537" w:rsidRPr="001F4666">
        <w:rPr>
          <w:kern w:val="2"/>
          <w:lang w:val="es-ES_tradnl"/>
          <w14:ligatures w14:val="standardContextual"/>
        </w:rPr>
        <w:t xml:space="preserve">l artículo 63.1 de la Convención Americana sobre Derechos Humanos, </w:t>
      </w:r>
      <w:r w:rsidR="000A7AF7">
        <w:rPr>
          <w:kern w:val="2"/>
          <w:lang w:val="es-ES_tradnl"/>
          <w14:ligatures w14:val="standardContextual"/>
        </w:rPr>
        <w:t xml:space="preserve">ha establecido que cuando se identifique alguna violación de un derecho protegido por la Convención Americana sobre Derechos Humanos, deberá </w:t>
      </w:r>
      <w:r w:rsidR="00871F9C">
        <w:rPr>
          <w:kern w:val="2"/>
          <w:lang w:val="es-ES_tradnl"/>
          <w14:ligatures w14:val="standardContextual"/>
        </w:rPr>
        <w:t xml:space="preserve">disponerse que </w:t>
      </w:r>
      <w:r w:rsidR="000A7AF7">
        <w:rPr>
          <w:kern w:val="2"/>
          <w:lang w:val="es-ES_tradnl"/>
          <w14:ligatures w14:val="standardContextual"/>
        </w:rPr>
        <w:t xml:space="preserve">la víctima </w:t>
      </w:r>
      <w:r w:rsidR="000D0537" w:rsidRPr="000D0537">
        <w:rPr>
          <w:kern w:val="2"/>
          <w:lang w:val="es-ES_tradnl"/>
          <w14:ligatures w14:val="standardContextual"/>
        </w:rPr>
        <w:t>goce de</w:t>
      </w:r>
      <w:r w:rsidR="00CC53BC">
        <w:rPr>
          <w:kern w:val="2"/>
          <w:lang w:val="es-ES_tradnl"/>
          <w14:ligatures w14:val="standardContextual"/>
        </w:rPr>
        <w:t xml:space="preserve">l </w:t>
      </w:r>
      <w:r w:rsidR="000D0537" w:rsidRPr="000D0537">
        <w:rPr>
          <w:kern w:val="2"/>
          <w:lang w:val="es-ES_tradnl"/>
          <w14:ligatures w14:val="standardContextual"/>
        </w:rPr>
        <w:t>derecho conculcado</w:t>
      </w:r>
      <w:r w:rsidR="00CC53BC">
        <w:rPr>
          <w:kern w:val="2"/>
          <w:lang w:val="es-ES_tradnl"/>
          <w14:ligatures w14:val="standardContextual"/>
        </w:rPr>
        <w:t xml:space="preserve"> </w:t>
      </w:r>
      <w:r w:rsidR="000D0537" w:rsidRPr="000D0537">
        <w:rPr>
          <w:kern w:val="2"/>
          <w:lang w:val="es-ES_tradnl"/>
          <w14:ligatures w14:val="standardContextual"/>
        </w:rPr>
        <w:t xml:space="preserve">y también, si fuera procedente, </w:t>
      </w:r>
      <w:r w:rsidR="00A770C2">
        <w:rPr>
          <w:kern w:val="2"/>
          <w:lang w:val="es-ES_tradnl"/>
          <w14:ligatures w14:val="standardContextual"/>
        </w:rPr>
        <w:t>que “</w:t>
      </w:r>
      <w:r w:rsidR="000D0537" w:rsidRPr="000D0537">
        <w:rPr>
          <w:kern w:val="2"/>
          <w:lang w:val="es-ES_tradnl"/>
          <w14:ligatures w14:val="standardContextual"/>
        </w:rPr>
        <w:t xml:space="preserve">se reparen las consecuencias de la medida o situación que </w:t>
      </w:r>
      <w:r w:rsidR="000D0537" w:rsidRPr="000D0537">
        <w:rPr>
          <w:kern w:val="2"/>
          <w:lang w:val="es-ES_tradnl"/>
          <w14:ligatures w14:val="standardContextual"/>
        </w:rPr>
        <w:lastRenderedPageBreak/>
        <w:t>ha configurado la vulneración de esos derechos y el pago de una justa indemnización a la parte lesionada</w:t>
      </w:r>
      <w:r w:rsidR="00A770C2">
        <w:rPr>
          <w:kern w:val="2"/>
          <w:lang w:val="es-ES_tradnl"/>
          <w14:ligatures w14:val="standardContextual"/>
        </w:rPr>
        <w:t>”</w:t>
      </w:r>
      <w:r w:rsidR="009A4991">
        <w:rPr>
          <w:rStyle w:val="Refdenotaalpie"/>
          <w:kern w:val="2"/>
          <w:lang w:val="es-ES_tradnl"/>
          <w14:ligatures w14:val="standardContextual"/>
        </w:rPr>
        <w:footnoteReference w:id="63"/>
      </w:r>
      <w:r w:rsidR="009A4991">
        <w:rPr>
          <w:kern w:val="2"/>
          <w:lang w:val="es-ES_tradnl"/>
          <w14:ligatures w14:val="standardContextual"/>
        </w:rPr>
        <w:t>.</w:t>
      </w:r>
    </w:p>
    <w:p w14:paraId="63D8D912" w14:textId="31BE9DF8" w:rsidR="00F44F2A" w:rsidRPr="00BA20D6" w:rsidRDefault="0038298E" w:rsidP="00BA20D6">
      <w:pPr>
        <w:pStyle w:val="Prrafo"/>
        <w:numPr>
          <w:ilvl w:val="0"/>
          <w:numId w:val="3"/>
        </w:numPr>
        <w:ind w:left="0" w:hanging="567"/>
        <w:rPr>
          <w:kern w:val="2"/>
          <w:lang w:val="es-ES_tradnl"/>
          <w14:ligatures w14:val="standardContextual"/>
        </w:rPr>
      </w:pPr>
      <w:r w:rsidRPr="00BA20D6">
        <w:rPr>
          <w:kern w:val="2"/>
          <w:lang w:val="es-ES_tradnl"/>
          <w14:ligatures w14:val="standardContextual"/>
        </w:rPr>
        <w:t xml:space="preserve">En el ámbito nacional, </w:t>
      </w:r>
      <w:r w:rsidR="008626D8" w:rsidRPr="00BA20D6">
        <w:rPr>
          <w:kern w:val="2"/>
          <w:lang w:val="es-ES_tradnl"/>
          <w14:ligatures w14:val="standardContextual"/>
        </w:rPr>
        <w:t xml:space="preserve">la Constitución Política de los Estados Unidos Mexicanos establece, en su artículo 1º, </w:t>
      </w:r>
      <w:r w:rsidR="00916466" w:rsidRPr="00BA20D6">
        <w:rPr>
          <w:kern w:val="2"/>
          <w:lang w:val="es-ES_tradnl"/>
          <w14:ligatures w14:val="standardContextual"/>
        </w:rPr>
        <w:t xml:space="preserve">la obligación general de las autoridades mexicanas </w:t>
      </w:r>
      <w:r w:rsidR="00C7141A" w:rsidRPr="00BA20D6">
        <w:rPr>
          <w:kern w:val="2"/>
          <w:lang w:val="es-ES_tradnl"/>
          <w14:ligatures w14:val="standardContextual"/>
        </w:rPr>
        <w:t xml:space="preserve">de “promover, respetar, proteger y garantizar los derechos humanos”, así como </w:t>
      </w:r>
      <w:r w:rsidR="006A512C" w:rsidRPr="00BA20D6">
        <w:rPr>
          <w:kern w:val="2"/>
          <w:lang w:val="es-ES_tradnl"/>
          <w14:ligatures w14:val="standardContextual"/>
        </w:rPr>
        <w:t xml:space="preserve">las obligaciones específicas de “prevenir, investigar, sancionar y reparar </w:t>
      </w:r>
      <w:r w:rsidR="00A86EF6" w:rsidRPr="00BA20D6">
        <w:rPr>
          <w:kern w:val="2"/>
          <w:lang w:val="es-ES_tradnl"/>
          <w14:ligatures w14:val="standardContextual"/>
        </w:rPr>
        <w:t>las violaciones a los derechos humanos”</w:t>
      </w:r>
      <w:r w:rsidR="00A86EF6" w:rsidRPr="000D6D53">
        <w:rPr>
          <w:rStyle w:val="Refdenotaalpie"/>
          <w:lang w:val="es-ES" w:eastAsia="es-ES"/>
        </w:rPr>
        <w:footnoteReference w:id="64"/>
      </w:r>
      <w:r w:rsidR="00A86EF6" w:rsidRPr="00BA20D6">
        <w:rPr>
          <w:kern w:val="2"/>
          <w:lang w:val="es-ES_tradnl"/>
          <w14:ligatures w14:val="standardContextual"/>
        </w:rPr>
        <w:t>.</w:t>
      </w:r>
      <w:r w:rsidR="00A16A2A" w:rsidRPr="00BA20D6">
        <w:rPr>
          <w:kern w:val="2"/>
          <w:lang w:val="es-ES_tradnl"/>
          <w14:ligatures w14:val="standardContextual"/>
        </w:rPr>
        <w:t xml:space="preserve"> </w:t>
      </w:r>
      <w:r w:rsidR="00C24F73" w:rsidRPr="00937FBF">
        <w:t xml:space="preserve">También ha de destacarse </w:t>
      </w:r>
      <w:r w:rsidR="000D52F2" w:rsidRPr="00937FBF">
        <w:t xml:space="preserve">el artículo </w:t>
      </w:r>
      <w:r w:rsidR="00730820" w:rsidRPr="00937FBF">
        <w:t xml:space="preserve">17 </w:t>
      </w:r>
      <w:r w:rsidR="000D52F2" w:rsidRPr="00937FBF">
        <w:t xml:space="preserve">constitucional, que </w:t>
      </w:r>
      <w:r w:rsidR="00730820" w:rsidRPr="00937FBF">
        <w:t>consagra la tutela efectiva</w:t>
      </w:r>
      <w:r w:rsidR="000D52F2" w:rsidRPr="00937FBF">
        <w:t>, mientras que</w:t>
      </w:r>
      <w:r w:rsidR="00730820" w:rsidRPr="00937FBF">
        <w:t xml:space="preserve"> el 20 </w:t>
      </w:r>
      <w:r w:rsidR="003479E8">
        <w:t xml:space="preserve">constitucional </w:t>
      </w:r>
      <w:r w:rsidR="00730820" w:rsidRPr="00937FBF">
        <w:t>reconoce el derecho de las víctimas a ser reparadas</w:t>
      </w:r>
      <w:r w:rsidR="00036A8B">
        <w:t xml:space="preserve"> del daño sufrido</w:t>
      </w:r>
      <w:r w:rsidR="00660AC3">
        <w:t>.</w:t>
      </w:r>
      <w:r w:rsidR="00FE1B17">
        <w:t xml:space="preserve"> </w:t>
      </w:r>
      <w:r w:rsidR="00367754">
        <w:t xml:space="preserve">Estas disposiciones constitucionales se han concretizado a través de la Ley General de Víctimas </w:t>
      </w:r>
      <w:r w:rsidR="001E50B7">
        <w:t>que confirma</w:t>
      </w:r>
      <w:r w:rsidR="00F44F2A" w:rsidRPr="007737A7">
        <w:t>, en su artículo 26, que las víctimas tienen derecho a ser reparadas de manera oportuna, plena, diferenciada, transformadora, integral y efectiva por el daño que han sufrido como consecuencia del delito o de las violaciones de derechos humanos de las que fueron víctimas</w:t>
      </w:r>
      <w:r w:rsidR="00223FBA">
        <w:t>.</w:t>
      </w:r>
    </w:p>
    <w:p w14:paraId="0CB87EE5" w14:textId="6F95E2F7" w:rsidR="003B28D2" w:rsidRPr="003B28D2" w:rsidRDefault="00A41DC7" w:rsidP="003B28D2">
      <w:pPr>
        <w:pStyle w:val="Prrafo"/>
        <w:numPr>
          <w:ilvl w:val="0"/>
          <w:numId w:val="3"/>
        </w:numPr>
        <w:ind w:left="0" w:hanging="567"/>
        <w:rPr>
          <w:kern w:val="2"/>
          <w:lang w:val="es-ES_tradnl"/>
          <w14:ligatures w14:val="standardContextual"/>
        </w:rPr>
      </w:pPr>
      <w:r>
        <w:t>E</w:t>
      </w:r>
      <w:r w:rsidR="005C1CF3">
        <w:t>n una larga línea jurisprudencial</w:t>
      </w:r>
      <w:r>
        <w:t>,</w:t>
      </w:r>
      <w:r w:rsidR="00937FBF">
        <w:t xml:space="preserve"> </w:t>
      </w:r>
      <w:r w:rsidR="005C1CF3">
        <w:t xml:space="preserve">ambas Salas de esta Suprema Corte </w:t>
      </w:r>
      <w:r>
        <w:t>ha</w:t>
      </w:r>
      <w:r w:rsidR="0000739C">
        <w:t>n</w:t>
      </w:r>
      <w:r>
        <w:t xml:space="preserve"> </w:t>
      </w:r>
      <w:r w:rsidR="005C1CF3">
        <w:t>establecido una sólida doctrina sobre reparaciones</w:t>
      </w:r>
      <w:r w:rsidR="00BB7CDA" w:rsidRPr="00937FBF">
        <w:rPr>
          <w:rStyle w:val="Refdenotaalpie"/>
        </w:rPr>
        <w:footnoteReference w:id="65"/>
      </w:r>
      <w:r w:rsidR="002A567A">
        <w:t>, en la que ha</w:t>
      </w:r>
      <w:r w:rsidR="001939FD">
        <w:t>n</w:t>
      </w:r>
      <w:r w:rsidR="002A567A">
        <w:t xml:space="preserve"> retomado </w:t>
      </w:r>
      <w:r w:rsidR="0086744D">
        <w:lastRenderedPageBreak/>
        <w:t xml:space="preserve">elementos de la jurisprudencia interamericana, en torno a la naturaleza y alcances de la </w:t>
      </w:r>
      <w:r w:rsidR="00A42159">
        <w:t>obligación</w:t>
      </w:r>
      <w:r w:rsidR="00B805DC">
        <w:t xml:space="preserve"> </w:t>
      </w:r>
      <w:r w:rsidR="00EA6CC3">
        <w:t>de reparar</w:t>
      </w:r>
      <w:r w:rsidR="00BD545E" w:rsidRPr="00ED398C">
        <w:rPr>
          <w:rFonts w:eastAsia="Calibri"/>
          <w:vertAlign w:val="superscript"/>
        </w:rPr>
        <w:footnoteReference w:id="66"/>
      </w:r>
      <w:r w:rsidR="00701114">
        <w:t xml:space="preserve">. </w:t>
      </w:r>
      <w:r w:rsidR="000C2C00">
        <w:t>Estos criterios han sido</w:t>
      </w:r>
      <w:r w:rsidR="00701114">
        <w:t xml:space="preserve"> incorporados por esta Suprema Corte al momento de decidir </w:t>
      </w:r>
      <w:r w:rsidR="005062B0">
        <w:t xml:space="preserve">sobre </w:t>
      </w:r>
      <w:r w:rsidR="00701114">
        <w:t xml:space="preserve">casos que </w:t>
      </w:r>
      <w:r w:rsidR="00512585">
        <w:t>exigían</w:t>
      </w:r>
      <w:r w:rsidR="00701114">
        <w:t xml:space="preserve"> la </w:t>
      </w:r>
      <w:r w:rsidR="00512585">
        <w:rPr>
          <w:rFonts w:eastAsia="Calibri"/>
        </w:rPr>
        <w:t>determinación de medidas concretas</w:t>
      </w:r>
      <w:r w:rsidR="00BD545E">
        <w:rPr>
          <w:kern w:val="2"/>
          <w14:ligatures w14:val="standardContextual"/>
        </w:rPr>
        <w:t xml:space="preserve"> para remediar violaciones a derechos fundamentales.</w:t>
      </w:r>
    </w:p>
    <w:p w14:paraId="1E805DCB" w14:textId="436B7400" w:rsidR="00774DB9" w:rsidRPr="00272797" w:rsidRDefault="0009541C" w:rsidP="00E33392">
      <w:pPr>
        <w:pStyle w:val="Prrafo"/>
        <w:numPr>
          <w:ilvl w:val="0"/>
          <w:numId w:val="3"/>
        </w:numPr>
        <w:ind w:left="0" w:hanging="567"/>
        <w:rPr>
          <w:kern w:val="2"/>
          <w:lang w:val="es-ES_tradnl"/>
          <w14:ligatures w14:val="standardContextual"/>
        </w:rPr>
      </w:pPr>
      <w:r w:rsidRPr="00CC6627">
        <w:t xml:space="preserve">En </w:t>
      </w:r>
      <w:r w:rsidR="001F1A06" w:rsidRPr="00CC6627">
        <w:t>esta</w:t>
      </w:r>
      <w:r w:rsidRPr="00CC6627">
        <w:t xml:space="preserve"> línea,</w:t>
      </w:r>
      <w:r w:rsidR="00D779E4" w:rsidRPr="00CC6627">
        <w:t xml:space="preserve"> que inició con el amparo directo en revisión 1068</w:t>
      </w:r>
      <w:r w:rsidR="008F5F7E" w:rsidRPr="00CC6627">
        <w:t>/2011,</w:t>
      </w:r>
      <w:r w:rsidR="00D779E4" w:rsidRPr="00CC6627">
        <w:t xml:space="preserve"> </w:t>
      </w:r>
      <w:r w:rsidRPr="00CC6627">
        <w:t xml:space="preserve">se ha reconocido que el derecho a una reparación integral </w:t>
      </w:r>
      <w:r w:rsidR="00504994">
        <w:t xml:space="preserve">o justa indemnización </w:t>
      </w:r>
      <w:r w:rsidRPr="00CC6627">
        <w:t>es un derecho sustantivo</w:t>
      </w:r>
      <w:r w:rsidR="004032C9" w:rsidRPr="00CC6627">
        <w:t xml:space="preserve"> </w:t>
      </w:r>
      <w:r w:rsidR="008224C0" w:rsidRPr="00CC6627">
        <w:t>y fundamental</w:t>
      </w:r>
      <w:r w:rsidR="00504994">
        <w:t xml:space="preserve">, </w:t>
      </w:r>
      <w:r w:rsidR="00504994" w:rsidRPr="00504994">
        <w:t>cuya extensión debe tutelarse en favor de los gobernados y no debe restringirse de forma innecesaria</w:t>
      </w:r>
      <w:r w:rsidR="007E240E" w:rsidRPr="007E240E">
        <w:t>, salvo en función de una finalidad constitucionalmente válida que persiga el bienestar general</w:t>
      </w:r>
      <w:r w:rsidR="00D779E4" w:rsidRPr="00CC6627">
        <w:rPr>
          <w:rStyle w:val="Refdenotaalpie"/>
          <w:lang w:val="es-ES" w:eastAsia="es-ES"/>
        </w:rPr>
        <w:footnoteReference w:id="67"/>
      </w:r>
      <w:r w:rsidR="007E240E">
        <w:rPr>
          <w:lang w:val="es-ES"/>
        </w:rPr>
        <w:t>. I</w:t>
      </w:r>
      <w:proofErr w:type="spellStart"/>
      <w:r w:rsidR="008224C0" w:rsidRPr="00CC6627">
        <w:t>ncluso</w:t>
      </w:r>
      <w:proofErr w:type="spellEnd"/>
      <w:r w:rsidR="00901ECE" w:rsidRPr="00CC6627">
        <w:t xml:space="preserve"> </w:t>
      </w:r>
      <w:r w:rsidR="00901ECE" w:rsidRPr="00CC6627">
        <w:rPr>
          <w:rFonts w:eastAsia="Calibri"/>
        </w:rPr>
        <w:t>–al resolver el amparo en revisión 476/2014</w:t>
      </w:r>
      <w:r w:rsidR="00901ECE" w:rsidRPr="00CC6627">
        <w:rPr>
          <w:rFonts w:eastAsia="Calibri"/>
          <w:vertAlign w:val="superscript"/>
        </w:rPr>
        <w:footnoteReference w:id="68"/>
      </w:r>
      <w:r w:rsidR="00901ECE" w:rsidRPr="00CC6627">
        <w:rPr>
          <w:rFonts w:eastAsia="Calibri"/>
        </w:rPr>
        <w:t xml:space="preserve">–, </w:t>
      </w:r>
      <w:r w:rsidR="008224C0" w:rsidRPr="00CC6627">
        <w:t xml:space="preserve">se le ha </w:t>
      </w:r>
      <w:r w:rsidR="00B13D06" w:rsidRPr="00CC6627">
        <w:t xml:space="preserve">reconocido </w:t>
      </w:r>
      <w:r w:rsidR="008224C0" w:rsidRPr="00CC6627">
        <w:t>como un aspecto fundamental del derecho de acceso a la justicia</w:t>
      </w:r>
      <w:r w:rsidR="00901ECE" w:rsidRPr="00CC6627">
        <w:t>.</w:t>
      </w:r>
      <w:r w:rsidR="00B13D06" w:rsidRPr="00CC6627">
        <w:t xml:space="preserve"> </w:t>
      </w:r>
      <w:r w:rsidR="00CA7D49" w:rsidRPr="00CC6627">
        <w:t>Así, q</w:t>
      </w:r>
      <w:r w:rsidR="00DE6320" w:rsidRPr="00CC6627">
        <w:t>ue</w:t>
      </w:r>
      <w:r w:rsidR="008516F1" w:rsidRPr="00CC6627">
        <w:t xml:space="preserve"> la </w:t>
      </w:r>
      <w:r w:rsidR="00E10F92" w:rsidRPr="00CC6627">
        <w:t xml:space="preserve">reparación de las violaciones a derechos humanos debe ser </w:t>
      </w:r>
      <w:r w:rsidR="00E10F92" w:rsidRPr="00CC6627">
        <w:lastRenderedPageBreak/>
        <w:t>integral</w:t>
      </w:r>
      <w:r w:rsidR="00DE6320" w:rsidRPr="00CC6627">
        <w:t xml:space="preserve"> implica que debe buscarse la plena restitución</w:t>
      </w:r>
      <w:r w:rsidR="009C1D02" w:rsidRPr="00CC6627">
        <w:rPr>
          <w:rStyle w:val="Refdenotaalpie"/>
          <w:lang w:eastAsia="es-ES"/>
        </w:rPr>
        <w:footnoteReference w:id="69"/>
      </w:r>
      <w:r w:rsidR="00146DB6">
        <w:t>. E</w:t>
      </w:r>
      <w:r w:rsidR="000C2C00" w:rsidRPr="00CC6627">
        <w:t xml:space="preserve">sto es, se entiende que la reparación </w:t>
      </w:r>
      <w:r w:rsidR="00FA5240" w:rsidRPr="00CC6627">
        <w:rPr>
          <w:lang w:val="es-ES"/>
        </w:rPr>
        <w:t>persigue</w:t>
      </w:r>
      <w:r w:rsidR="00774DB9">
        <w:rPr>
          <w:lang w:val="es-ES"/>
        </w:rPr>
        <w:t>,</w:t>
      </w:r>
      <w:r w:rsidR="00774DB9" w:rsidRPr="00B654F3">
        <w:rPr>
          <w:rFonts w:eastAsia="Calibri"/>
          <w:lang w:val="es-ES"/>
        </w:rPr>
        <w:t xml:space="preserve"> en la medida de lo posible, anular todas las consecuencias del acto ilícito y restablecer la situación que debió haber existido con toda probabilidad, si el acto no se hubiera cometid</w:t>
      </w:r>
      <w:r w:rsidR="00774DB9">
        <w:rPr>
          <w:rFonts w:eastAsia="Calibri"/>
          <w:lang w:val="es-ES"/>
        </w:rPr>
        <w:t>o;</w:t>
      </w:r>
      <w:r w:rsidR="00774DB9" w:rsidRPr="00B654F3">
        <w:rPr>
          <w:rFonts w:eastAsia="Calibri"/>
          <w:lang w:val="es-ES"/>
        </w:rPr>
        <w:t xml:space="preserve"> de no ser esto posible –sigue el precedente– </w:t>
      </w:r>
      <w:r w:rsidR="00774DB9">
        <w:rPr>
          <w:rFonts w:eastAsia="Calibri"/>
          <w:lang w:val="es-ES"/>
        </w:rPr>
        <w:t xml:space="preserve">se puede </w:t>
      </w:r>
      <w:r w:rsidR="00774DB9" w:rsidRPr="00B654F3">
        <w:rPr>
          <w:rFonts w:eastAsia="Calibri"/>
          <w:lang w:val="es-ES"/>
        </w:rPr>
        <w:t>“establecer el pago de una indemnización como compensación por los daños ocasionados”</w:t>
      </w:r>
      <w:r w:rsidR="00774DB9" w:rsidRPr="00B654F3">
        <w:rPr>
          <w:rStyle w:val="Refdenotaalpie"/>
          <w:rFonts w:eastAsia="Calibri"/>
          <w:lang w:val="es-ES"/>
        </w:rPr>
        <w:footnoteReference w:id="70"/>
      </w:r>
      <w:r w:rsidR="00514169">
        <w:rPr>
          <w:rFonts w:eastAsia="Calibri"/>
          <w:lang w:val="es-ES"/>
        </w:rPr>
        <w:t>.</w:t>
      </w:r>
      <w:r w:rsidR="003C0C49">
        <w:rPr>
          <w:rFonts w:eastAsia="Calibri"/>
          <w:lang w:val="es-ES"/>
        </w:rPr>
        <w:t xml:space="preserve"> </w:t>
      </w:r>
      <w:r w:rsidR="003C0C49">
        <w:rPr>
          <w:lang w:eastAsia="es-ES"/>
        </w:rPr>
        <w:t xml:space="preserve">La naturaleza de estas medidas y el monto de las indemnizaciones dependerán de los daños causados tanto en el plano material como inmaterial sin que las medidas de reparación </w:t>
      </w:r>
      <w:r w:rsidR="0007746F">
        <w:rPr>
          <w:lang w:eastAsia="es-ES"/>
        </w:rPr>
        <w:t>puedan implicar</w:t>
      </w:r>
      <w:r w:rsidR="003C0C49">
        <w:rPr>
          <w:lang w:eastAsia="es-ES"/>
        </w:rPr>
        <w:t xml:space="preserve"> enriquecimiento o empobrecimiento para las víctimas de las violaciones de derechos humanos</w:t>
      </w:r>
      <w:r w:rsidR="003C0C49">
        <w:rPr>
          <w:rStyle w:val="Refdenotaalpie"/>
          <w:lang w:eastAsia="es-ES"/>
        </w:rPr>
        <w:footnoteReference w:id="71"/>
      </w:r>
      <w:r w:rsidR="0007746F">
        <w:rPr>
          <w:lang w:eastAsia="es-ES"/>
        </w:rPr>
        <w:t>.</w:t>
      </w:r>
    </w:p>
    <w:p w14:paraId="6CD07A71" w14:textId="2EEADCDA" w:rsidR="00E33392" w:rsidRPr="00F67C5D" w:rsidRDefault="00272797" w:rsidP="00F963BE">
      <w:pPr>
        <w:pStyle w:val="Prrafo"/>
        <w:numPr>
          <w:ilvl w:val="0"/>
          <w:numId w:val="3"/>
        </w:numPr>
        <w:ind w:left="0" w:hanging="567"/>
        <w:rPr>
          <w:kern w:val="2"/>
          <w:lang w:val="es-ES_tradnl"/>
          <w14:ligatures w14:val="standardContextual"/>
        </w:rPr>
      </w:pPr>
      <w:r>
        <w:rPr>
          <w:lang w:eastAsia="es-ES"/>
        </w:rPr>
        <w:t xml:space="preserve">De aquí es posible observar que </w:t>
      </w:r>
      <w:r w:rsidR="009F303F">
        <w:rPr>
          <w:lang w:eastAsia="es-ES"/>
        </w:rPr>
        <w:t>la forma de reparación responde directamente a</w:t>
      </w:r>
      <w:r>
        <w:rPr>
          <w:lang w:eastAsia="es-ES"/>
        </w:rPr>
        <w:t xml:space="preserve"> la naturaleza del derecho cuya violación se ha identificado</w:t>
      </w:r>
      <w:r w:rsidR="00366686">
        <w:rPr>
          <w:lang w:eastAsia="es-ES"/>
        </w:rPr>
        <w:t>; esto es, deben adoptarse medidas en función de las</w:t>
      </w:r>
      <w:r w:rsidR="00F67C5D">
        <w:rPr>
          <w:lang w:eastAsia="es-ES"/>
        </w:rPr>
        <w:t xml:space="preserve"> propias exigencias del caso concreto</w:t>
      </w:r>
      <w:r w:rsidR="005B3DCC" w:rsidRPr="00CC6627">
        <w:rPr>
          <w:rStyle w:val="Refdenotaalpie"/>
          <w:rFonts w:eastAsia="Calibri"/>
          <w:lang w:val="es-ES"/>
        </w:rPr>
        <w:footnoteReference w:id="72"/>
      </w:r>
      <w:r w:rsidR="005B3DCC" w:rsidRPr="00F67C5D">
        <w:rPr>
          <w:rFonts w:eastAsia="Calibri"/>
        </w:rPr>
        <w:t>.</w:t>
      </w:r>
    </w:p>
    <w:p w14:paraId="2F69045F" w14:textId="4FA7C2AD" w:rsidR="00F47F35" w:rsidRPr="00581DB8" w:rsidRDefault="00360323" w:rsidP="002B7187">
      <w:pPr>
        <w:pStyle w:val="Prrafo"/>
        <w:numPr>
          <w:ilvl w:val="0"/>
          <w:numId w:val="3"/>
        </w:numPr>
        <w:ind w:left="0" w:hanging="567"/>
      </w:pPr>
      <w:r>
        <w:t>En este caso, la</w:t>
      </w:r>
      <w:r w:rsidR="006B1A0E">
        <w:t xml:space="preserve"> Sala </w:t>
      </w:r>
      <w:r>
        <w:t>ha</w:t>
      </w:r>
      <w:r w:rsidR="0078236E">
        <w:rPr>
          <w:kern w:val="2"/>
          <w:lang w:val="es-ES_tradnl"/>
          <w14:ligatures w14:val="standardContextual"/>
        </w:rPr>
        <w:t xml:space="preserve"> identificado </w:t>
      </w:r>
      <w:r w:rsidR="00A92110" w:rsidRPr="001650A1">
        <w:rPr>
          <w:kern w:val="2"/>
          <w:lang w:val="es-ES_tradnl"/>
          <w14:ligatures w14:val="standardContextual"/>
        </w:rPr>
        <w:t xml:space="preserve">una violación de derechos humanos en </w:t>
      </w:r>
      <w:r w:rsidR="00340E26">
        <w:rPr>
          <w:kern w:val="2"/>
          <w:lang w:val="es-ES_tradnl"/>
          <w14:ligatures w14:val="standardContextual"/>
        </w:rPr>
        <w:t xml:space="preserve">tanto se </w:t>
      </w:r>
      <w:r w:rsidR="0025365F">
        <w:rPr>
          <w:kern w:val="2"/>
          <w:lang w:val="es-ES_tradnl"/>
          <w14:ligatures w14:val="standardContextual"/>
        </w:rPr>
        <w:t>omitió</w:t>
      </w:r>
      <w:r w:rsidR="00D64F6A">
        <w:rPr>
          <w:kern w:val="2"/>
          <w:lang w:val="es-ES_tradnl"/>
          <w14:ligatures w14:val="standardContextual"/>
        </w:rPr>
        <w:t xml:space="preserve"> prestar el servicio de interrupción del embarazo</w:t>
      </w:r>
      <w:r w:rsidR="00340E26">
        <w:rPr>
          <w:kern w:val="2"/>
          <w:lang w:val="es-ES_tradnl"/>
          <w14:ligatures w14:val="standardContextual"/>
        </w:rPr>
        <w:t xml:space="preserve"> a una adolescente víctima de una violación sexual, como consecuencia de un actuar </w:t>
      </w:r>
      <w:r w:rsidR="00BF5CC0">
        <w:rPr>
          <w:kern w:val="2"/>
          <w:lang w:val="es-ES_tradnl"/>
          <w14:ligatures w14:val="standardContextual"/>
        </w:rPr>
        <w:t xml:space="preserve">negligente e </w:t>
      </w:r>
      <w:r w:rsidR="00340E26">
        <w:rPr>
          <w:kern w:val="2"/>
          <w:lang w:val="es-ES_tradnl"/>
          <w14:ligatures w14:val="standardContextual"/>
        </w:rPr>
        <w:t xml:space="preserve">indebido de las autoridades sanitarias que debían </w:t>
      </w:r>
      <w:r w:rsidR="00340E26">
        <w:rPr>
          <w:kern w:val="2"/>
          <w:lang w:val="es-ES_tradnl"/>
          <w14:ligatures w14:val="standardContextual"/>
        </w:rPr>
        <w:lastRenderedPageBreak/>
        <w:t>prestarle ese servicio</w:t>
      </w:r>
      <w:r w:rsidR="00A92110" w:rsidRPr="001650A1">
        <w:rPr>
          <w:kern w:val="2"/>
          <w:lang w:val="es-ES_tradnl"/>
          <w14:ligatures w14:val="standardContextual"/>
        </w:rPr>
        <w:t xml:space="preserve">. </w:t>
      </w:r>
      <w:r w:rsidR="00A421AD">
        <w:rPr>
          <w:kern w:val="2"/>
          <w:lang w:val="es-ES_tradnl"/>
          <w14:ligatures w14:val="standardContextual"/>
        </w:rPr>
        <w:t>L</w:t>
      </w:r>
      <w:r w:rsidR="0078236E">
        <w:rPr>
          <w:kern w:val="2"/>
          <w:lang w:val="es-ES_tradnl"/>
          <w14:ligatures w14:val="standardContextual"/>
        </w:rPr>
        <w:t>a</w:t>
      </w:r>
      <w:r w:rsidR="00A421AD">
        <w:rPr>
          <w:kern w:val="2"/>
          <w:lang w:val="es-ES_tradnl"/>
          <w14:ligatures w14:val="standardContextual"/>
        </w:rPr>
        <w:t xml:space="preserve"> reparación deberá, por tanto, guiarse por e</w:t>
      </w:r>
      <w:r w:rsidR="00A92110" w:rsidRPr="001650A1">
        <w:rPr>
          <w:kern w:val="2"/>
          <w:lang w:val="es-ES_tradnl"/>
          <w14:ligatures w14:val="standardContextual"/>
        </w:rPr>
        <w:t xml:space="preserve">l principio de enfoque diferencial y especializado, es decir, que se reconozca la existencia, en el caso concreto, de una mayor situación de vulnerabilidad </w:t>
      </w:r>
      <w:r w:rsidR="00A92110" w:rsidRPr="00FA7F68">
        <w:rPr>
          <w:kern w:val="2"/>
          <w:lang w:val="es-ES_tradnl"/>
          <w14:ligatures w14:val="standardContextual"/>
        </w:rPr>
        <w:t>debido a su género</w:t>
      </w:r>
      <w:r w:rsidR="00C055A5" w:rsidRPr="00FA7F68">
        <w:rPr>
          <w:kern w:val="2"/>
          <w:lang w:val="es-ES_tradnl"/>
          <w14:ligatures w14:val="standardContextual"/>
        </w:rPr>
        <w:t xml:space="preserve"> y edad</w:t>
      </w:r>
      <w:r w:rsidR="00F47F35" w:rsidRPr="00581DB8">
        <w:t xml:space="preserve">, y cómo esas circunstancias </w:t>
      </w:r>
      <w:r w:rsidR="002B7187" w:rsidRPr="00581DB8">
        <w:t xml:space="preserve">pueden impactar </w:t>
      </w:r>
      <w:r w:rsidR="00F47F35" w:rsidRPr="00581DB8">
        <w:t>su camino a la recuperación.</w:t>
      </w:r>
    </w:p>
    <w:p w14:paraId="26306402" w14:textId="04F16CC7" w:rsidR="00C41B54" w:rsidRDefault="00976FBE" w:rsidP="008E4145">
      <w:pPr>
        <w:pStyle w:val="Prrafo"/>
        <w:numPr>
          <w:ilvl w:val="0"/>
          <w:numId w:val="3"/>
        </w:numPr>
        <w:ind w:left="0" w:hanging="567"/>
      </w:pPr>
      <w:r>
        <w:rPr>
          <w:kern w:val="2"/>
          <w14:ligatures w14:val="standardContextual"/>
        </w:rPr>
        <w:t>Al respecto</w:t>
      </w:r>
      <w:r w:rsidR="003B6E1A">
        <w:rPr>
          <w:kern w:val="2"/>
          <w:lang w:val="es-ES_tradnl"/>
          <w14:ligatures w14:val="standardContextual"/>
        </w:rPr>
        <w:t>, esta Sala</w:t>
      </w:r>
      <w:r w:rsidR="002178F6">
        <w:rPr>
          <w:kern w:val="2"/>
          <w:lang w:val="es-ES_tradnl"/>
          <w14:ligatures w14:val="standardContextual"/>
        </w:rPr>
        <w:t xml:space="preserve"> considera que asiste razón a la quejosa cuando combate los efectos para los cuales la jueza de distrito concedió el amparo.</w:t>
      </w:r>
      <w:r w:rsidR="00651D3E">
        <w:rPr>
          <w:kern w:val="2"/>
          <w:lang w:val="es-ES_tradnl"/>
          <w14:ligatures w14:val="standardContextual"/>
        </w:rPr>
        <w:t xml:space="preserve"> La Sala recuerda que,</w:t>
      </w:r>
      <w:r w:rsidR="00D22639">
        <w:rPr>
          <w:kern w:val="2"/>
          <w:lang w:val="es-ES_tradnl"/>
          <w14:ligatures w14:val="standardContextual"/>
        </w:rPr>
        <w:t xml:space="preserve"> al caracterizar la </w:t>
      </w:r>
      <w:r w:rsidR="00D97617">
        <w:t xml:space="preserve">violación </w:t>
      </w:r>
      <w:r w:rsidR="00EC6237">
        <w:t xml:space="preserve">como una falta </w:t>
      </w:r>
      <w:r w:rsidR="00D97617">
        <w:t>al derecho de petición,</w:t>
      </w:r>
      <w:r w:rsidR="009A005C">
        <w:t xml:space="preserve"> </w:t>
      </w:r>
      <w:r w:rsidR="00651D3E">
        <w:t xml:space="preserve">se </w:t>
      </w:r>
      <w:r w:rsidR="009A005C">
        <w:t xml:space="preserve">concedió el amparo a la </w:t>
      </w:r>
      <w:r w:rsidR="00D97617">
        <w:t xml:space="preserve">joven </w:t>
      </w:r>
      <w:r w:rsidR="00D5280B">
        <w:rPr>
          <w:i/>
          <w:iCs/>
        </w:rPr>
        <w:t>María</w:t>
      </w:r>
      <w:r w:rsidR="009A005C">
        <w:t xml:space="preserve"> solamente para el efecto</w:t>
      </w:r>
      <w:r w:rsidR="005A14EE">
        <w:t xml:space="preserve"> de que el </w:t>
      </w:r>
      <w:r w:rsidR="005062B0">
        <w:t>Secretario de Salud del Estado de Jalisco</w:t>
      </w:r>
      <w:r w:rsidR="003E6F06">
        <w:t xml:space="preserve"> contestara al escrito de la quejosa y le diera a conocer su respuesta</w:t>
      </w:r>
      <w:r w:rsidR="00721855">
        <w:t xml:space="preserve"> de manera inmediata</w:t>
      </w:r>
      <w:r w:rsidR="00805623">
        <w:t>.</w:t>
      </w:r>
      <w:r w:rsidR="008E4145">
        <w:t xml:space="preserve"> </w:t>
      </w:r>
      <w:r w:rsidR="00EC6237">
        <w:t>L</w:t>
      </w:r>
      <w:r w:rsidR="008505F8">
        <w:t xml:space="preserve">a recurrente </w:t>
      </w:r>
      <w:r w:rsidR="00BD1D92">
        <w:t xml:space="preserve">plantea que </w:t>
      </w:r>
      <w:r w:rsidR="00EC6237">
        <w:t>esa</w:t>
      </w:r>
      <w:r w:rsidR="00BD1D92">
        <w:t xml:space="preserve"> actuación</w:t>
      </w:r>
      <w:r w:rsidR="00523CA2">
        <w:t>, además de obviar el carácter urgente</w:t>
      </w:r>
      <w:r w:rsidR="00C1558B">
        <w:t xml:space="preserve"> de la </w:t>
      </w:r>
      <w:r w:rsidR="002F078D">
        <w:t xml:space="preserve">solicitud de la </w:t>
      </w:r>
      <w:r w:rsidR="00C1558B">
        <w:t>quejosa</w:t>
      </w:r>
      <w:r w:rsidR="00523CA2">
        <w:t xml:space="preserve">, </w:t>
      </w:r>
      <w:r w:rsidR="00D40FCC">
        <w:t>incumple con el deber de juzgar con perspectiva de género.</w:t>
      </w:r>
      <w:r w:rsidR="00CC22C9">
        <w:t xml:space="preserve"> S</w:t>
      </w:r>
      <w:r w:rsidR="00C2400C">
        <w:t xml:space="preserve">ostiene que </w:t>
      </w:r>
      <w:r w:rsidR="007A3601">
        <w:t xml:space="preserve">con </w:t>
      </w:r>
      <w:r w:rsidR="00C2400C">
        <w:t>la resolución</w:t>
      </w:r>
      <w:r w:rsidR="007A3601">
        <w:t xml:space="preserve"> –y el tiempo que se tomó en emitirla–</w:t>
      </w:r>
      <w:r w:rsidR="00C2400C">
        <w:t xml:space="preserve"> </w:t>
      </w:r>
      <w:r w:rsidR="007A3601">
        <w:t xml:space="preserve">la juzgadora no sólo </w:t>
      </w:r>
      <w:r w:rsidR="00C2400C">
        <w:t>permitió</w:t>
      </w:r>
      <w:r w:rsidR="007A3601">
        <w:t xml:space="preserve">, sino que también </w:t>
      </w:r>
      <w:r w:rsidR="00C2400C">
        <w:t xml:space="preserve">extendió </w:t>
      </w:r>
      <w:r w:rsidR="00CC22C9">
        <w:t>las violaciones a sus derechos</w:t>
      </w:r>
      <w:r w:rsidR="008505F8">
        <w:t>.</w:t>
      </w:r>
      <w:r w:rsidR="00183EF7">
        <w:t xml:space="preserve"> </w:t>
      </w:r>
      <w:r w:rsidR="00A20B61">
        <w:t>Est</w:t>
      </w:r>
      <w:r w:rsidR="008505F8">
        <w:t>a Sala coincide con esa apreciación</w:t>
      </w:r>
      <w:r w:rsidR="00A20B61">
        <w:t>; los agravios de la quejosa son fundados.</w:t>
      </w:r>
    </w:p>
    <w:p w14:paraId="20FD5BA1" w14:textId="449F7ABA" w:rsidR="000D43B6" w:rsidRDefault="00225D80" w:rsidP="00364A3E">
      <w:pPr>
        <w:pStyle w:val="Prrafo"/>
        <w:numPr>
          <w:ilvl w:val="0"/>
          <w:numId w:val="3"/>
        </w:numPr>
        <w:ind w:left="0" w:hanging="567"/>
      </w:pPr>
      <w:r w:rsidRPr="00DD56C6">
        <w:t xml:space="preserve">Esta Sala considera que los efectos para los que fue concedido el amparo resultan no sólo insuficientes sino violatorios en sí </w:t>
      </w:r>
      <w:r w:rsidR="00BB5CB0" w:rsidRPr="00DD56C6">
        <w:t>de los derechos de la quejosa</w:t>
      </w:r>
      <w:r w:rsidR="00A96D42">
        <w:t xml:space="preserve">. </w:t>
      </w:r>
      <w:r w:rsidR="007560D5">
        <w:t xml:space="preserve">Sumado a la actuación de las autoridades sanitarias, responsables de proveer servicios de atención médica a víctimas de violencia sexual, se ha obstaculizado el acceso de la joven </w:t>
      </w:r>
      <w:r w:rsidR="00D5280B">
        <w:rPr>
          <w:i/>
          <w:iCs/>
        </w:rPr>
        <w:t>María</w:t>
      </w:r>
      <w:r w:rsidR="007B2687" w:rsidRPr="00761163">
        <w:rPr>
          <w:color w:val="C00000"/>
        </w:rPr>
        <w:t xml:space="preserve"> </w:t>
      </w:r>
      <w:r w:rsidR="007560D5">
        <w:t>a una atención médica oportuna, adecuada y sensible, con lo que han extendido injustificadamente los daños que ya sufría por haber sido víctima de violación.</w:t>
      </w:r>
      <w:r w:rsidR="00364A3E">
        <w:t xml:space="preserve"> Se insiste, la</w:t>
      </w:r>
      <w:r w:rsidR="007401AE">
        <w:t xml:space="preserve"> </w:t>
      </w:r>
      <w:r w:rsidR="004D1BAE">
        <w:t>dilación en</w:t>
      </w:r>
      <w:r w:rsidR="007401AE">
        <w:t xml:space="preserve"> la interrupción del embarazo no sólo desconoce la legislación penal y en materia de víctimas, sino que constituye una violación a los derechos de la joven </w:t>
      </w:r>
      <w:r w:rsidR="00D5280B">
        <w:rPr>
          <w:i/>
          <w:iCs/>
        </w:rPr>
        <w:t>María</w:t>
      </w:r>
      <w:r w:rsidR="007401AE">
        <w:t xml:space="preserve">. </w:t>
      </w:r>
      <w:r w:rsidR="00D0685E">
        <w:t xml:space="preserve">Dada la naturaleza del servicio, la dilación </w:t>
      </w:r>
      <w:r w:rsidR="00245A76">
        <w:t>extendió los efectos nocivos sobre el bienestar mental de la quejosa</w:t>
      </w:r>
      <w:r w:rsidR="00123401">
        <w:t>, lo que configura, por tanto, una forma de</w:t>
      </w:r>
      <w:r w:rsidR="00A113CC">
        <w:t xml:space="preserve"> tratos crueles e inhumanos</w:t>
      </w:r>
      <w:r w:rsidR="00123401">
        <w:rPr>
          <w:rStyle w:val="Refdenotaalpie"/>
        </w:rPr>
        <w:footnoteReference w:id="73"/>
      </w:r>
      <w:r w:rsidR="00123401">
        <w:t>.</w:t>
      </w:r>
    </w:p>
    <w:p w14:paraId="67822EF8" w14:textId="07627F38" w:rsidR="00BA2FF4" w:rsidRPr="00761163" w:rsidRDefault="00AD76E0" w:rsidP="008078B7">
      <w:pPr>
        <w:pStyle w:val="Prrafo"/>
        <w:numPr>
          <w:ilvl w:val="0"/>
          <w:numId w:val="3"/>
        </w:numPr>
        <w:ind w:left="0" w:hanging="567"/>
      </w:pPr>
      <w:r w:rsidRPr="00761163">
        <w:lastRenderedPageBreak/>
        <w:t>Como ha quedado en evidencia, los deberes del Hospital</w:t>
      </w:r>
      <w:r w:rsidR="00CD46ED">
        <w:t xml:space="preserve"> Civil de Guadalajara</w:t>
      </w:r>
      <w:r w:rsidRPr="00761163">
        <w:t xml:space="preserve"> no fueron cabalmente cumplidos. Su responsabilidad de velar por el bienestar de la joven no se agotaba en la respuesta a la solicitud, ni se cumplió por la circunstancia de que le hubiera brindado atención psicológica durante la semana que estuvo internada por </w:t>
      </w:r>
      <w:r w:rsidR="00065B10" w:rsidRPr="00761163">
        <w:t>el padecimiento psicológico</w:t>
      </w:r>
      <w:r w:rsidR="00F2605E" w:rsidRPr="00761163">
        <w:t>, la que –de haber sido completa y adecuada– habría informado a la quejosa la posibilidad de interrumpir el embarazo que cursaba</w:t>
      </w:r>
      <w:r w:rsidR="00F2605E" w:rsidRPr="00761163">
        <w:rPr>
          <w:rStyle w:val="Refdenotaalpie"/>
        </w:rPr>
        <w:footnoteReference w:id="74"/>
      </w:r>
      <w:r w:rsidR="00F2605E" w:rsidRPr="00761163">
        <w:t xml:space="preserve">, pues se trata de un procedimiento </w:t>
      </w:r>
      <w:r w:rsidR="003C13C4" w:rsidRPr="00761163">
        <w:t xml:space="preserve">al que tiene derecho sin sujetarse </w:t>
      </w:r>
      <w:r w:rsidR="00F2605E" w:rsidRPr="00761163">
        <w:t>a ninguna temporalidad</w:t>
      </w:r>
      <w:r w:rsidR="00F2605E" w:rsidRPr="00761163">
        <w:rPr>
          <w:rStyle w:val="Refdenotaalpie"/>
        </w:rPr>
        <w:footnoteReference w:id="75"/>
      </w:r>
      <w:r w:rsidR="00F2605E" w:rsidRPr="00761163">
        <w:t>.</w:t>
      </w:r>
    </w:p>
    <w:p w14:paraId="6ED4FC03" w14:textId="61CE0BE1" w:rsidR="008078B7" w:rsidRDefault="008078B7" w:rsidP="008078B7">
      <w:pPr>
        <w:pStyle w:val="Ttulo3"/>
      </w:pPr>
      <w:r>
        <w:t>EFECTOS</w:t>
      </w:r>
    </w:p>
    <w:p w14:paraId="446DEBB9" w14:textId="77777777" w:rsidR="00BC0E1D" w:rsidRDefault="00282AF2" w:rsidP="00BC0E1D">
      <w:pPr>
        <w:pStyle w:val="Prrafo"/>
        <w:numPr>
          <w:ilvl w:val="0"/>
          <w:numId w:val="3"/>
        </w:numPr>
        <w:ind w:left="0" w:hanging="567"/>
      </w:pPr>
      <w:r w:rsidRPr="00761163">
        <w:t>Con base en esas consideraciones, e</w:t>
      </w:r>
      <w:r w:rsidR="00F16A6E" w:rsidRPr="00761163">
        <w:t>n términos del artículo 77 de la Ley de Amparo</w:t>
      </w:r>
      <w:r w:rsidR="00F16A6E" w:rsidRPr="00761163">
        <w:rPr>
          <w:rStyle w:val="Refdenotaalpie"/>
        </w:rPr>
        <w:footnoteReference w:id="76"/>
      </w:r>
      <w:r w:rsidR="00F16A6E" w:rsidRPr="00761163">
        <w:t xml:space="preserve">, que obliga a esta Sala a precisar los efectos de la concesión del amparo, </w:t>
      </w:r>
      <w:r w:rsidR="00F7297B" w:rsidRPr="00761163">
        <w:t xml:space="preserve">se precisa que la concesión del amparo será </w:t>
      </w:r>
      <w:r w:rsidRPr="00761163">
        <w:t xml:space="preserve">–tal como ocurrió en los </w:t>
      </w:r>
      <w:r w:rsidRPr="00761163">
        <w:rPr>
          <w:bCs/>
          <w:lang w:val="es-ES"/>
        </w:rPr>
        <w:t xml:space="preserve">amparos </w:t>
      </w:r>
      <w:r w:rsidRPr="00761163">
        <w:t>en</w:t>
      </w:r>
      <w:r w:rsidRPr="00761163">
        <w:rPr>
          <w:bCs/>
          <w:lang w:val="es-ES"/>
        </w:rPr>
        <w:t xml:space="preserve"> revisión 601/2017 y 1170/2017 de la Segunda Sala, así como en el amparo en revisión 438/2020 y 45/2018 de esta Primera Sala, que también versaron sobre la falta de prestar el servicio de interrupción del embarazo en caso de violación de personas menores de edad–</w:t>
      </w:r>
      <w:r w:rsidRPr="00761163">
        <w:t xml:space="preserve"> </w:t>
      </w:r>
      <w:r w:rsidR="00F7297B" w:rsidRPr="00761163">
        <w:t>para los siguientes efectos:</w:t>
      </w:r>
      <w:bookmarkStart w:id="3" w:name="_Hlk162875198"/>
    </w:p>
    <w:p w14:paraId="11A30E84" w14:textId="5919779A" w:rsidR="008473AB" w:rsidRDefault="008473AB" w:rsidP="00BC0E1D">
      <w:pPr>
        <w:pStyle w:val="Ttulo7"/>
      </w:pPr>
      <w:r w:rsidRPr="00BC0E1D">
        <w:rPr>
          <w:shd w:val="clear" w:color="auto" w:fill="auto"/>
        </w:rPr>
        <w:t>Declaración de la existencia de una violación a derechos fundamentales</w:t>
      </w:r>
    </w:p>
    <w:p w14:paraId="6E568E65" w14:textId="1405F639" w:rsidR="008473AB" w:rsidRPr="008473AB" w:rsidRDefault="008473AB" w:rsidP="003725D1">
      <w:pPr>
        <w:pStyle w:val="Prrafo"/>
        <w:numPr>
          <w:ilvl w:val="0"/>
          <w:numId w:val="3"/>
        </w:numPr>
        <w:ind w:left="0" w:hanging="567"/>
      </w:pPr>
      <w:r>
        <w:t xml:space="preserve">Como primera medida de satisfacción, esta Sala considera la propia declaración de la existencia de violaciones a los derechos </w:t>
      </w:r>
      <w:r w:rsidR="000B5FC2">
        <w:t xml:space="preserve">humanos </w:t>
      </w:r>
      <w:r>
        <w:t>de la joven</w:t>
      </w:r>
      <w:r w:rsidR="00B60829">
        <w:t xml:space="preserve"> </w:t>
      </w:r>
      <w:r w:rsidR="00C03866">
        <w:rPr>
          <w:i/>
          <w:iCs/>
        </w:rPr>
        <w:t>María</w:t>
      </w:r>
      <w:r w:rsidR="00B60829">
        <w:t xml:space="preserve">, quien como consecuencia de la dilación en la interrupción del </w:t>
      </w:r>
      <w:r w:rsidR="00B60829">
        <w:lastRenderedPageBreak/>
        <w:t>embarazo que cursaba producto de la violación sexual de la que fue víctima, sufrió afectaciones en sus derechos a la vida, a la salud, a la autonomía reproductiva, y a la integridad física y mental</w:t>
      </w:r>
      <w:r w:rsidR="003725D1">
        <w:t>. Estas violaciones son atribuibles, se insiste, tanto al Hospital Civil de Guadalajara como al Secretario de Salud</w:t>
      </w:r>
      <w:r w:rsidR="00F743C3">
        <w:t xml:space="preserve"> del Estado de Jalisco</w:t>
      </w:r>
      <w:r w:rsidR="003725D1">
        <w:t xml:space="preserve"> –que aun cuando remitió la solicitud de la joven al hospital donde se materializa la prestación de servicios, omitió informar el curso que seguía su solicitud y la dejó –por tanto– en incertidumbre.</w:t>
      </w:r>
    </w:p>
    <w:p w14:paraId="5F26CEB6" w14:textId="17C23CCC" w:rsidR="008078B7" w:rsidRPr="006A45B0" w:rsidRDefault="00EE7D3A" w:rsidP="7333BE59">
      <w:pPr>
        <w:pStyle w:val="Ttulo7"/>
      </w:pPr>
      <w:r w:rsidRPr="00761163">
        <w:rPr>
          <w:shd w:val="clear" w:color="auto" w:fill="auto"/>
        </w:rPr>
        <w:t>Reconocimiento de</w:t>
      </w:r>
      <w:r w:rsidRPr="003A1893">
        <w:rPr>
          <w:shd w:val="clear" w:color="auto" w:fill="auto"/>
        </w:rPr>
        <w:t xml:space="preserve"> la c</w:t>
      </w:r>
      <w:r w:rsidRPr="00761163">
        <w:rPr>
          <w:shd w:val="clear" w:color="auto" w:fill="auto"/>
        </w:rPr>
        <w:t>alidad de víctima</w:t>
      </w:r>
    </w:p>
    <w:bookmarkEnd w:id="3"/>
    <w:p w14:paraId="23BB99FE" w14:textId="03754CB9" w:rsidR="003863B1" w:rsidRDefault="006E39EE" w:rsidP="003863B1">
      <w:pPr>
        <w:pStyle w:val="Prrafo"/>
        <w:numPr>
          <w:ilvl w:val="0"/>
          <w:numId w:val="3"/>
        </w:numPr>
        <w:ind w:left="0" w:hanging="567"/>
      </w:pPr>
      <w:r w:rsidRPr="00761163">
        <w:t>C</w:t>
      </w:r>
      <w:r w:rsidR="00B60829" w:rsidRPr="00761163">
        <w:t>omo consecuencia directa de la declaratoria del inciso anterior,</w:t>
      </w:r>
      <w:r w:rsidR="001A04C1" w:rsidRPr="00761163">
        <w:t xml:space="preserve"> se reconoce la calidad de víctima a la joven </w:t>
      </w:r>
      <w:r w:rsidR="00C03866">
        <w:rPr>
          <w:i/>
          <w:iCs/>
        </w:rPr>
        <w:t>María</w:t>
      </w:r>
      <w:r w:rsidR="00B60829" w:rsidRPr="00761163">
        <w:rPr>
          <w:color w:val="C00000"/>
        </w:rPr>
        <w:t>.</w:t>
      </w:r>
      <w:r w:rsidRPr="00761163">
        <w:t xml:space="preserve"> </w:t>
      </w:r>
      <w:r w:rsidR="001A04C1" w:rsidRPr="00761163">
        <w:t>El reconocimiento de esta calidad de víctima</w:t>
      </w:r>
      <w:r w:rsidR="00761163" w:rsidRPr="00761163">
        <w:t xml:space="preserve"> </w:t>
      </w:r>
      <w:r w:rsidR="00EB066C" w:rsidRPr="00761163">
        <w:t xml:space="preserve">lleva </w:t>
      </w:r>
      <w:r w:rsidR="00804B24" w:rsidRPr="00761163">
        <w:t xml:space="preserve">también como consecuencia, el registro de la </w:t>
      </w:r>
      <w:r w:rsidR="00D12909">
        <w:t xml:space="preserve">joven </w:t>
      </w:r>
      <w:r w:rsidR="00C03866">
        <w:rPr>
          <w:i/>
          <w:iCs/>
        </w:rPr>
        <w:t>María</w:t>
      </w:r>
      <w:r w:rsidR="00D12909" w:rsidRPr="00690517">
        <w:rPr>
          <w:color w:val="C00000"/>
        </w:rPr>
        <w:t xml:space="preserve"> </w:t>
      </w:r>
      <w:r w:rsidR="00804B24" w:rsidRPr="00761163">
        <w:t>en el Registro Nacional de Víctimas, que incluye el registro de Jalisco</w:t>
      </w:r>
      <w:r w:rsidR="00761163" w:rsidRPr="00761163">
        <w:t>. En términos del artículo 110 de la Ley General de Víctimas</w:t>
      </w:r>
      <w:r w:rsidR="00761163" w:rsidRPr="00761163">
        <w:rPr>
          <w:rStyle w:val="Refdenotaalpie"/>
        </w:rPr>
        <w:footnoteReference w:id="77"/>
      </w:r>
      <w:r w:rsidR="00761163" w:rsidRPr="00761163">
        <w:t xml:space="preserve">, este reconocimiento implica que la joven </w:t>
      </w:r>
      <w:r w:rsidR="00C03866">
        <w:rPr>
          <w:i/>
          <w:iCs/>
        </w:rPr>
        <w:t>María</w:t>
      </w:r>
      <w:r w:rsidR="00761163" w:rsidRPr="00761163">
        <w:rPr>
          <w:color w:val="C00000"/>
        </w:rPr>
        <w:t xml:space="preserve"> </w:t>
      </w:r>
      <w:r w:rsidR="00761163" w:rsidRPr="00761163">
        <w:t>tendrá acceso a los recursos de ayuda, a la reparación integral y a la compensación por los daños ocasionados</w:t>
      </w:r>
      <w:r w:rsidR="00761163" w:rsidRPr="00357352">
        <w:t xml:space="preserve"> con la dilación, así como al resto de los “derechos, garantías, acciones, mecanismos y procedimientos” que contempla la misma ley</w:t>
      </w:r>
      <w:r w:rsidR="00761163">
        <w:rPr>
          <w:rStyle w:val="Refdenotaalpie"/>
        </w:rPr>
        <w:footnoteReference w:id="78"/>
      </w:r>
      <w:r w:rsidR="00761163" w:rsidRPr="00357352">
        <w:t>.</w:t>
      </w:r>
    </w:p>
    <w:p w14:paraId="21BC2922" w14:textId="134B75A0" w:rsidR="0011706B" w:rsidRPr="003417BD" w:rsidRDefault="0011706B" w:rsidP="00BC0E1D">
      <w:pPr>
        <w:pStyle w:val="Ttulo7"/>
      </w:pPr>
      <w:r w:rsidRPr="003417BD">
        <w:rPr>
          <w:shd w:val="clear" w:color="auto" w:fill="auto"/>
        </w:rPr>
        <w:lastRenderedPageBreak/>
        <w:t>Remisión a la Comisión Ejecutiva de Atención a Víctimas para la determinación de</w:t>
      </w:r>
      <w:r w:rsidR="00D44FFD" w:rsidRPr="003417BD">
        <w:rPr>
          <w:shd w:val="clear" w:color="auto" w:fill="auto"/>
        </w:rPr>
        <w:t>l plan integral de reparación, con participación de la quejosa</w:t>
      </w:r>
    </w:p>
    <w:p w14:paraId="6E7BF05B" w14:textId="554A2DC2" w:rsidR="00D94253" w:rsidRPr="00A61FAA" w:rsidRDefault="00CA2993" w:rsidP="005C6D06">
      <w:pPr>
        <w:pStyle w:val="Prrafo"/>
        <w:numPr>
          <w:ilvl w:val="0"/>
          <w:numId w:val="3"/>
        </w:numPr>
        <w:ind w:left="0" w:hanging="567"/>
      </w:pPr>
      <w:r w:rsidRPr="00A61FAA">
        <w:t>Declarada la calidad de víctima, lo procedente es ordenar a la</w:t>
      </w:r>
      <w:r w:rsidR="0011706B" w:rsidRPr="00A61FAA">
        <w:t xml:space="preserve"> C</w:t>
      </w:r>
      <w:r w:rsidRPr="00A61FAA">
        <w:t xml:space="preserve">omisión </w:t>
      </w:r>
      <w:r w:rsidR="0011706B" w:rsidRPr="00A61FAA">
        <w:t>E</w:t>
      </w:r>
      <w:r w:rsidRPr="00A61FAA">
        <w:t xml:space="preserve">jecutiva de </w:t>
      </w:r>
      <w:r w:rsidR="0011706B" w:rsidRPr="00A61FAA">
        <w:t>A</w:t>
      </w:r>
      <w:r w:rsidRPr="00A61FAA">
        <w:t xml:space="preserve">tención a </w:t>
      </w:r>
      <w:r w:rsidR="0011706B" w:rsidRPr="00A61FAA">
        <w:t>V</w:t>
      </w:r>
      <w:r w:rsidRPr="00A61FAA">
        <w:t>íctimas,</w:t>
      </w:r>
      <w:r w:rsidR="0011706B" w:rsidRPr="00A61FAA">
        <w:t xml:space="preserve"> quien </w:t>
      </w:r>
      <w:r w:rsidRPr="00A61FAA">
        <w:t xml:space="preserve">cuenta con </w:t>
      </w:r>
      <w:r w:rsidR="00707180" w:rsidRPr="00A61FAA">
        <w:t>amplias</w:t>
      </w:r>
      <w:r w:rsidR="008D4DB7" w:rsidRPr="00A61FAA">
        <w:t xml:space="preserve"> facultades para realizar estudios de trabajo social</w:t>
      </w:r>
      <w:r w:rsidR="004A2F94">
        <w:t>,</w:t>
      </w:r>
      <w:r w:rsidR="00B82440">
        <w:rPr>
          <w:rStyle w:val="Refdenotaalpie"/>
        </w:rPr>
        <w:footnoteReference w:id="79"/>
      </w:r>
      <w:r w:rsidR="008D4DB7" w:rsidRPr="00A61FAA">
        <w:t xml:space="preserve"> que evalúe las condiciones de victimización y determine las </w:t>
      </w:r>
      <w:r w:rsidRPr="00A61FAA">
        <w:t>formas de reparación adecuadas</w:t>
      </w:r>
      <w:r w:rsidR="008D4DB7" w:rsidRPr="00A61FAA">
        <w:t>, atendiendo a las pretensiones de la propi</w:t>
      </w:r>
      <w:r w:rsidR="0032252F">
        <w:t>a</w:t>
      </w:r>
      <w:r w:rsidR="008D4DB7" w:rsidRPr="00A61FAA">
        <w:t xml:space="preserve"> víctima en virtud de sus aspiraciones de justicia, para que afronte las afectaciones sufridas</w:t>
      </w:r>
      <w:r w:rsidR="005B00CF" w:rsidRPr="00A61FAA">
        <w:t>, sin imponer a la víctima cargas desproporcionadas</w:t>
      </w:r>
      <w:r w:rsidR="007139C9" w:rsidRPr="00A61FAA">
        <w:rPr>
          <w:rStyle w:val="Refdenotaalpie"/>
        </w:rPr>
        <w:footnoteReference w:id="80"/>
      </w:r>
      <w:r w:rsidR="009F493A" w:rsidRPr="00A61FAA">
        <w:t>.</w:t>
      </w:r>
    </w:p>
    <w:p w14:paraId="23C0C494" w14:textId="3EDAF6F1" w:rsidR="007B37F7" w:rsidRDefault="003C6208" w:rsidP="007B37F7">
      <w:pPr>
        <w:pStyle w:val="Prrafo"/>
        <w:numPr>
          <w:ilvl w:val="0"/>
          <w:numId w:val="3"/>
        </w:numPr>
        <w:ind w:left="0" w:hanging="567"/>
      </w:pPr>
      <w:r w:rsidRPr="7333BE59">
        <w:rPr>
          <w:lang w:eastAsia="es-ES"/>
        </w:rPr>
        <w:t>Para esta Sala resulta fundamental que la obtención y coordinación de las acciones para reunir los elementos indispensables y eficaces para reparar a la joven</w:t>
      </w:r>
      <w:r w:rsidR="00C03866" w:rsidRPr="00C03866">
        <w:rPr>
          <w:i/>
          <w:iCs/>
        </w:rPr>
        <w:t xml:space="preserve"> </w:t>
      </w:r>
      <w:r w:rsidR="00C03866">
        <w:rPr>
          <w:i/>
          <w:iCs/>
        </w:rPr>
        <w:t>María</w:t>
      </w:r>
      <w:r w:rsidRPr="7333BE59">
        <w:rPr>
          <w:lang w:eastAsia="es-ES"/>
        </w:rPr>
        <w:t xml:space="preserve"> contemple su participación.</w:t>
      </w:r>
      <w:r>
        <w:t xml:space="preserve"> Por tanto, p</w:t>
      </w:r>
      <w:r w:rsidR="007F47DF">
        <w:t>ara emitir</w:t>
      </w:r>
      <w:r w:rsidR="00B007CE" w:rsidRPr="7333BE59">
        <w:rPr>
          <w:lang w:eastAsia="es-ES"/>
        </w:rPr>
        <w:t xml:space="preserve"> el plan de reparación integral </w:t>
      </w:r>
      <w:r w:rsidR="007F47DF" w:rsidRPr="7333BE59">
        <w:rPr>
          <w:lang w:eastAsia="es-ES"/>
        </w:rPr>
        <w:t xml:space="preserve">correspondiente, </w:t>
      </w:r>
      <w:r w:rsidRPr="7333BE59">
        <w:rPr>
          <w:lang w:eastAsia="es-ES"/>
        </w:rPr>
        <w:t xml:space="preserve">se ordena a </w:t>
      </w:r>
      <w:r w:rsidR="007F47DF" w:rsidRPr="7333BE59">
        <w:rPr>
          <w:lang w:eastAsia="es-ES"/>
        </w:rPr>
        <w:t>la</w:t>
      </w:r>
      <w:r w:rsidR="001677A3" w:rsidRPr="7333BE59">
        <w:rPr>
          <w:lang w:eastAsia="es-ES"/>
        </w:rPr>
        <w:t xml:space="preserve"> </w:t>
      </w:r>
      <w:r w:rsidR="005C6D06" w:rsidRPr="7333BE59">
        <w:rPr>
          <w:lang w:eastAsia="es-ES"/>
        </w:rPr>
        <w:t>Comisión Ejecutiva</w:t>
      </w:r>
      <w:r w:rsidR="004E1BCC">
        <w:rPr>
          <w:lang w:eastAsia="es-ES"/>
        </w:rPr>
        <w:t xml:space="preserve"> de </w:t>
      </w:r>
      <w:r w:rsidR="004E1BCC">
        <w:rPr>
          <w:lang w:eastAsia="es-ES"/>
        </w:rPr>
        <w:lastRenderedPageBreak/>
        <w:t xml:space="preserve">Atención a Víctimas </w:t>
      </w:r>
      <w:r w:rsidR="0018346A" w:rsidRPr="7333BE59">
        <w:rPr>
          <w:lang w:eastAsia="es-ES"/>
        </w:rPr>
        <w:t>permitir la intervención de</w:t>
      </w:r>
      <w:r w:rsidR="00275B24" w:rsidRPr="7333BE59">
        <w:rPr>
          <w:lang w:eastAsia="es-ES"/>
        </w:rPr>
        <w:t xml:space="preserve"> la propia quejosa</w:t>
      </w:r>
      <w:r w:rsidR="000F52A6" w:rsidRPr="7333BE59">
        <w:rPr>
          <w:lang w:eastAsia="es-ES"/>
        </w:rPr>
        <w:t xml:space="preserve">, a quien habrá de consultar </w:t>
      </w:r>
      <w:r w:rsidR="006A14D0" w:rsidRPr="7333BE59">
        <w:rPr>
          <w:lang w:eastAsia="es-ES"/>
        </w:rPr>
        <w:t>las medidas que más se adec</w:t>
      </w:r>
      <w:r w:rsidR="003A1B81">
        <w:rPr>
          <w:lang w:eastAsia="es-ES"/>
        </w:rPr>
        <w:t>úen</w:t>
      </w:r>
      <w:r w:rsidR="006A14D0" w:rsidRPr="7333BE59">
        <w:rPr>
          <w:lang w:eastAsia="es-ES"/>
        </w:rPr>
        <w:t xml:space="preserve"> a sus pretensiones de reparación</w:t>
      </w:r>
      <w:r w:rsidR="00275B24" w:rsidRPr="7333BE59">
        <w:rPr>
          <w:lang w:eastAsia="es-ES"/>
        </w:rPr>
        <w:t>.</w:t>
      </w:r>
    </w:p>
    <w:p w14:paraId="47B1862E" w14:textId="6C22038C" w:rsidR="00E71322" w:rsidRPr="009E4581" w:rsidRDefault="00E71322" w:rsidP="00E71322">
      <w:pPr>
        <w:pStyle w:val="Prrafo"/>
        <w:numPr>
          <w:ilvl w:val="0"/>
          <w:numId w:val="3"/>
        </w:numPr>
        <w:ind w:left="0" w:hanging="567"/>
        <w:rPr>
          <w:kern w:val="2"/>
          <w:lang w:val="es-ES_tradnl"/>
          <w14:ligatures w14:val="standardContextual"/>
        </w:rPr>
      </w:pPr>
      <w:r>
        <w:t xml:space="preserve">Debe precisarse que la actuación de la </w:t>
      </w:r>
      <w:r w:rsidR="0097386D">
        <w:t>Comisión Ejecutiva de Atención a Víctimas</w:t>
      </w:r>
      <w:r>
        <w:t xml:space="preserve"> no releva de obligaciones a las autoridades señaladas como responsables, el Secretario de Salud </w:t>
      </w:r>
      <w:r w:rsidR="00E032B5">
        <w:t xml:space="preserve">del Estado de Jalisco </w:t>
      </w:r>
      <w:r>
        <w:t xml:space="preserve">y </w:t>
      </w:r>
      <w:r w:rsidR="00BE2759">
        <w:t>e</w:t>
      </w:r>
      <w:r>
        <w:t xml:space="preserve">l Hospital Civil de Guadalajara, quienes habrán de cooperar con ese órgano para reunir los elementos necesarios para la reparación integral en favor de la joven </w:t>
      </w:r>
      <w:r w:rsidR="00C03866">
        <w:rPr>
          <w:i/>
          <w:iCs/>
        </w:rPr>
        <w:t>María</w:t>
      </w:r>
      <w:r w:rsidR="007B2687" w:rsidRPr="7333BE59">
        <w:rPr>
          <w:color w:val="C00000"/>
        </w:rPr>
        <w:t xml:space="preserve"> </w:t>
      </w:r>
      <w:r>
        <w:t>y quedarán sujetas al cumplimiento, sin dilación, de todas y cada una de las medidas impuestas.</w:t>
      </w:r>
    </w:p>
    <w:p w14:paraId="36B54608" w14:textId="142B9AC8" w:rsidR="009E4581" w:rsidRPr="00FB4C44" w:rsidRDefault="00DE4AAA" w:rsidP="00FB4C44">
      <w:pPr>
        <w:pStyle w:val="Prrafo"/>
        <w:numPr>
          <w:ilvl w:val="0"/>
          <w:numId w:val="3"/>
        </w:numPr>
        <w:ind w:left="0" w:hanging="567"/>
      </w:pPr>
      <w:r w:rsidRPr="00DE4AAA">
        <w:t xml:space="preserve">La determinación de las medidas de reparación debe atender a los lineamientos que se han establecido a nivel internacional y que se recogen de manera completa en la legislación interna. Esto es, garantizar el derecho a la reparación de manera oportuna, plena, diferenciada, transformadora, integral y efectiva por el daño que han sufrido las víctimas como consecuencia del delito o hecho </w:t>
      </w:r>
      <w:proofErr w:type="spellStart"/>
      <w:r w:rsidRPr="00DE4AAA">
        <w:t>victimizante</w:t>
      </w:r>
      <w:proofErr w:type="spellEnd"/>
      <w:r w:rsidRPr="00DE4AAA">
        <w:t xml:space="preserve"> que las ha afectado o de las violaciones de derechos humanos que han sufrido, para lo cual se comprenderán medidas de restitución, rehabilitación, compensación, satisfacción y medidas de no repetición</w:t>
      </w:r>
      <w:r w:rsidR="00685E1A">
        <w:t>.</w:t>
      </w:r>
    </w:p>
    <w:p w14:paraId="47AB1BD3" w14:textId="18F0BDA8" w:rsidR="001949F9" w:rsidRPr="00A44980" w:rsidRDefault="71E69471" w:rsidP="00964050">
      <w:pPr>
        <w:pStyle w:val="Ttulo8"/>
        <w:numPr>
          <w:ilvl w:val="0"/>
          <w:numId w:val="0"/>
        </w:numPr>
        <w:ind w:left="714" w:hanging="357"/>
        <w:rPr>
          <w:u w:val="single"/>
        </w:rPr>
      </w:pPr>
      <w:r w:rsidRPr="7333BE59">
        <w:rPr>
          <w:u w:val="single"/>
        </w:rPr>
        <w:t>c</w:t>
      </w:r>
      <w:r w:rsidR="00AB6DCB" w:rsidRPr="7333BE59">
        <w:rPr>
          <w:u w:val="single"/>
        </w:rPr>
        <w:t xml:space="preserve">1) </w:t>
      </w:r>
      <w:r w:rsidR="001E243D" w:rsidRPr="7333BE59">
        <w:rPr>
          <w:u w:val="single"/>
        </w:rPr>
        <w:t>Medidas de rehabilitación</w:t>
      </w:r>
    </w:p>
    <w:p w14:paraId="0350998B" w14:textId="03B3E0AE" w:rsidR="00CF2BA4" w:rsidRPr="00EB7F87" w:rsidRDefault="00B61A03" w:rsidP="00DD43BB">
      <w:pPr>
        <w:pStyle w:val="Prrafo"/>
        <w:numPr>
          <w:ilvl w:val="0"/>
          <w:numId w:val="3"/>
        </w:numPr>
        <w:ind w:left="0" w:hanging="567"/>
        <w:rPr>
          <w:kern w:val="2"/>
          <w:lang w:val="es-ES_tradnl"/>
          <w14:ligatures w14:val="standardContextual"/>
        </w:rPr>
      </w:pPr>
      <w:r>
        <w:t xml:space="preserve">En atención a las violaciones encontradas, </w:t>
      </w:r>
      <w:r w:rsidR="001E243D">
        <w:t>se ordena la</w:t>
      </w:r>
      <w:r w:rsidR="00DD43BB">
        <w:t xml:space="preserve"> provisión de atención médica, psicológica y psiquiátrica especializada que requiera la joven </w:t>
      </w:r>
      <w:r w:rsidR="009E5DA0">
        <w:rPr>
          <w:i/>
          <w:iCs/>
        </w:rPr>
        <w:t>María</w:t>
      </w:r>
      <w:r w:rsidR="00DD43BB">
        <w:t>.</w:t>
      </w:r>
    </w:p>
    <w:p w14:paraId="6095ADF0" w14:textId="4B247835" w:rsidR="00EB7F87" w:rsidRPr="009E5DA0" w:rsidRDefault="00EB7F87" w:rsidP="00DD43BB">
      <w:pPr>
        <w:pStyle w:val="Prrafo"/>
        <w:numPr>
          <w:ilvl w:val="0"/>
          <w:numId w:val="3"/>
        </w:numPr>
        <w:ind w:left="0" w:hanging="567"/>
        <w:rPr>
          <w:kern w:val="2"/>
          <w:lang w:val="es-ES_tradnl"/>
          <w14:ligatures w14:val="standardContextual"/>
        </w:rPr>
      </w:pPr>
      <w:r w:rsidRPr="009E5DA0">
        <w:t xml:space="preserve">Para ello, se deberá evaluar el estado de salud actual de la joven </w:t>
      </w:r>
      <w:r w:rsidR="009E5DA0" w:rsidRPr="009E5DA0">
        <w:rPr>
          <w:i/>
          <w:iCs/>
        </w:rPr>
        <w:t>María</w:t>
      </w:r>
      <w:r w:rsidR="00C72707" w:rsidRPr="009E5DA0">
        <w:t>, con consideración de</w:t>
      </w:r>
      <w:r w:rsidRPr="009E5DA0">
        <w:t xml:space="preserve"> las circunstancias de riesgo que le fueron diagnosticadas y que pudieron haberse actualizado o reforzado dada la dilación en la interrupción del embarazo y dado el estado de salud mental que le fue diagnosticado. Los resultados de esa evaluación deberán informarse a la quejosa y, de manera gratuita, se otorgará el tratamiento médico psicológico y psiquiátrico que corresponda por el plazo que sea necesario para reparar la afectación en la esfera psico-emocional de la joven </w:t>
      </w:r>
      <w:r w:rsidR="009E5DA0" w:rsidRPr="009E5DA0">
        <w:rPr>
          <w:i/>
          <w:iCs/>
        </w:rPr>
        <w:t>María</w:t>
      </w:r>
      <w:r w:rsidR="00C12290" w:rsidRPr="009E5DA0">
        <w:t>.</w:t>
      </w:r>
    </w:p>
    <w:p w14:paraId="29D42F04" w14:textId="07FDDAB9" w:rsidR="00CF2BA4" w:rsidRPr="009E5DA0" w:rsidRDefault="00CF2BA4" w:rsidP="007C0433">
      <w:pPr>
        <w:pStyle w:val="Prrafo"/>
        <w:numPr>
          <w:ilvl w:val="0"/>
          <w:numId w:val="3"/>
        </w:numPr>
        <w:ind w:left="0" w:hanging="567"/>
      </w:pPr>
      <w:r w:rsidRPr="009E5DA0">
        <w:lastRenderedPageBreak/>
        <w:t xml:space="preserve">Para este efecto, debe recordarse que la omisión y falta de diligencia reforzada en la atención de la petición de la joven </w:t>
      </w:r>
      <w:r w:rsidR="009E5DA0" w:rsidRPr="009E5DA0">
        <w:rPr>
          <w:i/>
          <w:iCs/>
        </w:rPr>
        <w:t>María</w:t>
      </w:r>
      <w:r w:rsidRPr="009E5DA0">
        <w:rPr>
          <w:color w:val="C00000"/>
        </w:rPr>
        <w:t xml:space="preserve"> </w:t>
      </w:r>
      <w:r w:rsidRPr="009E5DA0">
        <w:t>prolongó el sufrimiento de la quejosa, de manera que se vincula directamente al Director General del Organismo Público Descentralizado denominado “Hospital Civil de Guadalajara”, quien</w:t>
      </w:r>
      <w:r w:rsidR="003D0057" w:rsidRPr="009E5DA0">
        <w:t>, en conjunto con la Secretaría de Salud</w:t>
      </w:r>
      <w:r w:rsidR="004F07E5">
        <w:t xml:space="preserve"> del Estado de Jalisco</w:t>
      </w:r>
      <w:r w:rsidR="003D0057" w:rsidRPr="009E5DA0">
        <w:t xml:space="preserve">, se encargará de </w:t>
      </w:r>
      <w:r w:rsidR="001615D6" w:rsidRPr="009E5DA0">
        <w:t>consultar a la quejosa si desea recibir el tratamiento en esa institución o</w:t>
      </w:r>
      <w:r w:rsidR="00E7044E" w:rsidRPr="009E5DA0">
        <w:t xml:space="preserve"> </w:t>
      </w:r>
      <w:r w:rsidR="001615D6" w:rsidRPr="009E5DA0">
        <w:t>remitirla a una diversa que pueda proveerlo.</w:t>
      </w:r>
    </w:p>
    <w:p w14:paraId="0BE8FBE0" w14:textId="06073F71" w:rsidR="00CF2BA4" w:rsidRPr="009E5DA0" w:rsidRDefault="00FA36B4" w:rsidP="00CF2BA4">
      <w:pPr>
        <w:pStyle w:val="Prrafo"/>
        <w:numPr>
          <w:ilvl w:val="0"/>
          <w:numId w:val="3"/>
        </w:numPr>
        <w:ind w:left="0" w:hanging="567"/>
      </w:pPr>
      <w:r w:rsidRPr="009E5DA0">
        <w:t xml:space="preserve">Las autoridades deberán </w:t>
      </w:r>
      <w:r w:rsidR="00CF2BA4" w:rsidRPr="009E5DA0">
        <w:t xml:space="preserve">informar a la juzgadora de </w:t>
      </w:r>
      <w:r w:rsidR="00474B80" w:rsidRPr="009E5DA0">
        <w:t>amparo</w:t>
      </w:r>
      <w:r w:rsidR="00CF2BA4" w:rsidRPr="009E5DA0">
        <w:t xml:space="preserve"> que conoció del juicio de amparo indirecto, encargada de vigilar el pleno y eficaz cumplimiento de esta sentencia, sobre las gestiones que realice</w:t>
      </w:r>
      <w:r w:rsidR="00420FBC" w:rsidRPr="009E5DA0">
        <w:t>n</w:t>
      </w:r>
      <w:r w:rsidR="00CF2BA4" w:rsidRPr="009E5DA0">
        <w:t xml:space="preserve"> y el proceso de cumplimiento. Todo en el entendido de que la quejosa tiene absoluta libertad de autodeterminación sobre los </w:t>
      </w:r>
      <w:r w:rsidR="00DA49D1" w:rsidRPr="009E5DA0">
        <w:t>tratamientos</w:t>
      </w:r>
      <w:r w:rsidR="00CF2BA4" w:rsidRPr="009E5DA0">
        <w:t xml:space="preserve"> a los que desee acceder</w:t>
      </w:r>
      <w:r w:rsidR="00420FBC" w:rsidRPr="009E5DA0">
        <w:t xml:space="preserve"> para su rehabilitación</w:t>
      </w:r>
      <w:r w:rsidR="00E7044E" w:rsidRPr="009E5DA0">
        <w:t>.</w:t>
      </w:r>
    </w:p>
    <w:p w14:paraId="18382A75" w14:textId="3636366A" w:rsidR="003E56D3" w:rsidRPr="00A44980" w:rsidRDefault="48AB9456" w:rsidP="003E56D3">
      <w:pPr>
        <w:pStyle w:val="Ttulo8"/>
        <w:numPr>
          <w:ilvl w:val="0"/>
          <w:numId w:val="0"/>
        </w:numPr>
        <w:ind w:left="714" w:hanging="357"/>
        <w:rPr>
          <w:u w:val="single"/>
        </w:rPr>
      </w:pPr>
      <w:r w:rsidRPr="7333BE59">
        <w:rPr>
          <w:u w:val="single"/>
        </w:rPr>
        <w:t>c</w:t>
      </w:r>
      <w:r w:rsidR="003E56D3" w:rsidRPr="7333BE59">
        <w:rPr>
          <w:u w:val="single"/>
        </w:rPr>
        <w:t>2</w:t>
      </w:r>
      <w:r w:rsidR="001E243D" w:rsidRPr="7333BE59">
        <w:rPr>
          <w:u w:val="single"/>
        </w:rPr>
        <w:t>) Medidas de compensación</w:t>
      </w:r>
    </w:p>
    <w:p w14:paraId="60D22162" w14:textId="65464F98" w:rsidR="003800E4" w:rsidRDefault="002C405A" w:rsidP="00936D0C">
      <w:pPr>
        <w:pStyle w:val="Prrafo"/>
        <w:numPr>
          <w:ilvl w:val="0"/>
          <w:numId w:val="3"/>
        </w:numPr>
        <w:ind w:left="0" w:hanging="567"/>
      </w:pPr>
      <w:r w:rsidRPr="7333BE59">
        <w:rPr>
          <w:lang w:val="es-ES"/>
        </w:rPr>
        <w:t>L</w:t>
      </w:r>
      <w:r w:rsidR="00382D03" w:rsidRPr="7333BE59">
        <w:rPr>
          <w:lang w:val="es-ES"/>
        </w:rPr>
        <w:t>a Comisión Ejecutiva de Atención a Víctimas</w:t>
      </w:r>
      <w:r w:rsidR="00553EB5">
        <w:t>, al momento de individualizar las medidas necesarias para la compensación, deb</w:t>
      </w:r>
      <w:r w:rsidR="004047DB">
        <w:t>erá considerar</w:t>
      </w:r>
      <w:r w:rsidR="00553EB5">
        <w:t>, a fin de fijar los parámetros necesarios para una reparación justa,</w:t>
      </w:r>
      <w:r w:rsidR="00B46929">
        <w:t xml:space="preserve"> como mínimo,</w:t>
      </w:r>
      <w:r w:rsidR="00553EB5">
        <w:t xml:space="preserve"> el reembolso de erogaciones médicas u otras</w:t>
      </w:r>
      <w:r w:rsidR="00F10FAF">
        <w:t xml:space="preserve"> </w:t>
      </w:r>
      <w:r w:rsidR="00553EB5">
        <w:t>que hubiera tenido que hacer la quejosa para la interrupción</w:t>
      </w:r>
      <w:r w:rsidR="00870E7C">
        <w:t xml:space="preserve"> del </w:t>
      </w:r>
      <w:r w:rsidR="004F14D9">
        <w:t>embarazo</w:t>
      </w:r>
      <w:r w:rsidR="00553EB5">
        <w:t xml:space="preserve"> y la reparación de todas las secuelas físicas y psicológicas que ocasion</w:t>
      </w:r>
      <w:r w:rsidR="00F10FAF">
        <w:t>ó</w:t>
      </w:r>
      <w:r w:rsidR="00553EB5">
        <w:t xml:space="preserve"> el hecho </w:t>
      </w:r>
      <w:proofErr w:type="spellStart"/>
      <w:r w:rsidR="00553EB5">
        <w:t>victimizante</w:t>
      </w:r>
      <w:proofErr w:type="spellEnd"/>
      <w:r w:rsidR="00553EB5">
        <w:t xml:space="preserve"> que se produjo al negarle el servicio solicitado.</w:t>
      </w:r>
    </w:p>
    <w:p w14:paraId="22FB48E4" w14:textId="5CF22368" w:rsidR="006B140D" w:rsidRDefault="006B140D" w:rsidP="7333BE59">
      <w:pPr>
        <w:pStyle w:val="Prrafo"/>
        <w:numPr>
          <w:ilvl w:val="0"/>
          <w:numId w:val="3"/>
        </w:numPr>
        <w:ind w:left="0" w:hanging="567"/>
        <w:rPr>
          <w:lang w:eastAsia="es-ES"/>
        </w:rPr>
      </w:pPr>
      <w:r>
        <w:t xml:space="preserve">Es importante precisar que </w:t>
      </w:r>
      <w:r w:rsidR="007302E0">
        <w:t xml:space="preserve">lo enunciado en este apartado </w:t>
      </w:r>
      <w:r>
        <w:t xml:space="preserve">no constituye un listado limitativo de las posibles medidas que puede decretar la </w:t>
      </w:r>
      <w:r w:rsidR="00F535FE">
        <w:t>Comisión Ejecutiva de Atención a Víctimas</w:t>
      </w:r>
      <w:r>
        <w:t xml:space="preserve">, </w:t>
      </w:r>
      <w:r w:rsidR="00E51BE4">
        <w:t xml:space="preserve">con el auxilio de la comisión estatal y las autoridades responsables, </w:t>
      </w:r>
      <w:r w:rsidR="00C701A8">
        <w:t>sino que habrá de contemplar las medidas aplicables al caso y</w:t>
      </w:r>
      <w:r w:rsidR="00CF7DFB" w:rsidRPr="7333BE59">
        <w:rPr>
          <w:lang w:eastAsia="es-ES"/>
        </w:rPr>
        <w:t xml:space="preserve"> garantizar la reparación integral de la violación de derechos humanos </w:t>
      </w:r>
      <w:r w:rsidR="00C701A8" w:rsidRPr="7333BE59">
        <w:rPr>
          <w:lang w:eastAsia="es-ES"/>
        </w:rPr>
        <w:t>encontrada</w:t>
      </w:r>
      <w:r w:rsidR="00E51BE4" w:rsidRPr="7333BE59">
        <w:rPr>
          <w:lang w:eastAsia="es-ES"/>
        </w:rPr>
        <w:t>.</w:t>
      </w:r>
    </w:p>
    <w:p w14:paraId="4D6B2CE1" w14:textId="5B25B876" w:rsidR="60139276" w:rsidRDefault="60139276" w:rsidP="7333BE59">
      <w:pPr>
        <w:pStyle w:val="Ttulo7"/>
      </w:pPr>
      <w:r w:rsidRPr="002F680A">
        <w:rPr>
          <w:shd w:val="clear" w:color="auto" w:fill="auto"/>
        </w:rPr>
        <w:t>Vista para la determinación de responsabilidades profesionales o administrativas de los servidores públicos</w:t>
      </w:r>
    </w:p>
    <w:p w14:paraId="34B70DAB" w14:textId="005F502C" w:rsidR="60139276" w:rsidRDefault="60139276" w:rsidP="7333BE59">
      <w:pPr>
        <w:pStyle w:val="Prrafo"/>
        <w:numPr>
          <w:ilvl w:val="0"/>
          <w:numId w:val="3"/>
        </w:numPr>
        <w:ind w:left="0" w:hanging="567"/>
      </w:pPr>
      <w:r w:rsidRPr="7333BE59">
        <w:rPr>
          <w:lang w:val="es-ES"/>
        </w:rPr>
        <w:lastRenderedPageBreak/>
        <w:t xml:space="preserve">Como medida </w:t>
      </w:r>
      <w:r w:rsidRPr="00051BF7">
        <w:rPr>
          <w:lang w:val="es-ES"/>
        </w:rPr>
        <w:t>de satisfacción</w:t>
      </w:r>
      <w:r w:rsidR="000B678E" w:rsidRPr="00051BF7">
        <w:rPr>
          <w:rStyle w:val="Refdenotaalpie"/>
          <w:lang w:val="es-ES"/>
        </w:rPr>
        <w:footnoteReference w:id="81"/>
      </w:r>
      <w:r w:rsidRPr="00051BF7">
        <w:rPr>
          <w:lang w:val="es-ES"/>
        </w:rPr>
        <w:t>, se</w:t>
      </w:r>
      <w:r w:rsidRPr="7333BE59">
        <w:rPr>
          <w:lang w:val="es-ES"/>
        </w:rPr>
        <w:t xml:space="preserve"> ordena dar vista a los órganos de control interno tanto del Hospital Civil de Guadalajara, como de la Secreta</w:t>
      </w:r>
      <w:r w:rsidR="00E204C3">
        <w:rPr>
          <w:lang w:val="es-ES"/>
        </w:rPr>
        <w:t>ría</w:t>
      </w:r>
      <w:r w:rsidRPr="7333BE59">
        <w:rPr>
          <w:lang w:val="es-ES"/>
        </w:rPr>
        <w:t xml:space="preserve"> de Salud </w:t>
      </w:r>
      <w:r w:rsidR="00A03F04">
        <w:rPr>
          <w:lang w:val="es-ES"/>
        </w:rPr>
        <w:t xml:space="preserve">del Estado de Jalisco </w:t>
      </w:r>
      <w:r w:rsidRPr="7333BE59">
        <w:rPr>
          <w:lang w:val="es-ES"/>
        </w:rPr>
        <w:t xml:space="preserve">para que, en caso de que sea procedente y existan elementos suficientes, inicien los procedimientos para determinar la responsabilidad profesional o administrativa del personal adscrito al Hospital Civil de Guadalajara, así como del personal de la Secretaría de Salud </w:t>
      </w:r>
      <w:r w:rsidR="00A03F04">
        <w:rPr>
          <w:lang w:val="es-ES"/>
        </w:rPr>
        <w:t xml:space="preserve">del Estado de Jalisco </w:t>
      </w:r>
      <w:r w:rsidRPr="7333BE59">
        <w:rPr>
          <w:lang w:val="es-ES"/>
        </w:rPr>
        <w:t xml:space="preserve">que conoció del caso de </w:t>
      </w:r>
      <w:r w:rsidR="005F4719">
        <w:rPr>
          <w:i/>
          <w:iCs/>
        </w:rPr>
        <w:t>María</w:t>
      </w:r>
      <w:r w:rsidRPr="00E204C3">
        <w:t>.</w:t>
      </w:r>
    </w:p>
    <w:p w14:paraId="56342BF7" w14:textId="68856914" w:rsidR="006A45B0" w:rsidRPr="0038685D" w:rsidRDefault="00B53231" w:rsidP="00DD60F4">
      <w:pPr>
        <w:pStyle w:val="Ttulo7"/>
      </w:pPr>
      <w:r w:rsidRPr="0038685D">
        <w:rPr>
          <w:shd w:val="clear" w:color="auto" w:fill="auto"/>
        </w:rPr>
        <w:t>Deberes de las autoridades administrativas y jurisdiccionales</w:t>
      </w:r>
    </w:p>
    <w:p w14:paraId="6F14ADE0" w14:textId="40235A4C" w:rsidR="00284C03" w:rsidRPr="00593CFE" w:rsidRDefault="00284C03" w:rsidP="00284C03">
      <w:pPr>
        <w:pStyle w:val="Prrafo"/>
        <w:numPr>
          <w:ilvl w:val="0"/>
          <w:numId w:val="3"/>
        </w:numPr>
        <w:ind w:left="0" w:hanging="567"/>
      </w:pPr>
      <w:r w:rsidRPr="00593CFE">
        <w:rPr>
          <w:lang w:eastAsia="es-ES"/>
        </w:rPr>
        <w:t xml:space="preserve">Como </w:t>
      </w:r>
      <w:r w:rsidR="006A0B36" w:rsidRPr="00593CFE">
        <w:rPr>
          <w:lang w:eastAsia="es-ES"/>
        </w:rPr>
        <w:t>garantías</w:t>
      </w:r>
      <w:r w:rsidRPr="00593CFE">
        <w:rPr>
          <w:lang w:eastAsia="es-ES"/>
        </w:rPr>
        <w:t xml:space="preserve"> de no repetición, se insiste en que </w:t>
      </w:r>
      <w:r w:rsidRPr="7333BE59">
        <w:rPr>
          <w:kern w:val="2"/>
          <w:lang w:val="es-ES"/>
          <w14:ligatures w14:val="standardContextual"/>
        </w:rPr>
        <w:t>las autoridades de todo nivel deben atender eficaz, inmediatamente y sin objeciones, las solicitudes de interrupción del embarazo derivad</w:t>
      </w:r>
      <w:r w:rsidR="00782794" w:rsidRPr="7333BE59">
        <w:rPr>
          <w:kern w:val="2"/>
          <w:lang w:val="es-ES"/>
          <w14:ligatures w14:val="standardContextual"/>
        </w:rPr>
        <w:t>o</w:t>
      </w:r>
      <w:r w:rsidRPr="7333BE59">
        <w:rPr>
          <w:kern w:val="2"/>
          <w:lang w:val="es-ES"/>
          <w14:ligatures w14:val="standardContextual"/>
        </w:rPr>
        <w:t>s de una violación</w:t>
      </w:r>
      <w:r w:rsidR="00782794" w:rsidRPr="7333BE59">
        <w:rPr>
          <w:kern w:val="2"/>
          <w:lang w:val="es-ES"/>
          <w14:ligatures w14:val="standardContextual"/>
        </w:rPr>
        <w:t>. Deben privilegiar</w:t>
      </w:r>
      <w:r w:rsidRPr="7333BE59">
        <w:rPr>
          <w:kern w:val="2"/>
          <w:lang w:val="es-ES"/>
          <w14:ligatures w14:val="standardContextual"/>
        </w:rPr>
        <w:t xml:space="preserve"> los derechos de toda mujer </w:t>
      </w:r>
      <w:r w:rsidR="00782794" w:rsidRPr="7333BE59">
        <w:rPr>
          <w:kern w:val="2"/>
          <w:lang w:val="es-ES"/>
          <w14:ligatures w14:val="standardContextual"/>
        </w:rPr>
        <w:t xml:space="preserve">o persona </w:t>
      </w:r>
      <w:r w:rsidR="00CB3DDD" w:rsidRPr="7333BE59">
        <w:rPr>
          <w:kern w:val="2"/>
          <w:lang w:val="es-ES"/>
          <w14:ligatures w14:val="standardContextual"/>
        </w:rPr>
        <w:t xml:space="preserve">gestante </w:t>
      </w:r>
      <w:r w:rsidRPr="7333BE59">
        <w:rPr>
          <w:kern w:val="2"/>
          <w:lang w:val="es-ES"/>
          <w14:ligatures w14:val="standardContextual"/>
        </w:rPr>
        <w:t xml:space="preserve">que ha sido víctima de una violación sexual </w:t>
      </w:r>
      <w:r w:rsidR="00330B1C" w:rsidRPr="7333BE59">
        <w:rPr>
          <w:kern w:val="2"/>
          <w:lang w:val="es-ES"/>
          <w14:ligatures w14:val="standardContextual"/>
        </w:rPr>
        <w:t>o que enfrentan complicaciones de salu</w:t>
      </w:r>
      <w:r w:rsidR="00430DC7" w:rsidRPr="7333BE59">
        <w:rPr>
          <w:kern w:val="2"/>
          <w:lang w:val="es-ES"/>
          <w14:ligatures w14:val="standardContextual"/>
        </w:rPr>
        <w:t xml:space="preserve">d a causa o como consecuencia de un embarazo. </w:t>
      </w:r>
      <w:r w:rsidR="00CB3DDD" w:rsidRPr="7333BE59">
        <w:rPr>
          <w:kern w:val="2"/>
          <w:lang w:val="es-ES"/>
          <w14:ligatures w14:val="standardContextual"/>
        </w:rPr>
        <w:t xml:space="preserve">Las autoridades deben tomar consciencia de </w:t>
      </w:r>
      <w:r w:rsidRPr="7333BE59">
        <w:rPr>
          <w:kern w:val="2"/>
          <w:lang w:val="es-ES"/>
          <w14:ligatures w14:val="standardContextual"/>
        </w:rPr>
        <w:t xml:space="preserve">que </w:t>
      </w:r>
      <w:r w:rsidR="00CB3DDD" w:rsidRPr="7333BE59">
        <w:rPr>
          <w:kern w:val="2"/>
          <w:lang w:val="es-ES"/>
          <w14:ligatures w14:val="standardContextual"/>
        </w:rPr>
        <w:t xml:space="preserve">la exigencia de </w:t>
      </w:r>
      <w:r w:rsidRPr="7333BE59">
        <w:rPr>
          <w:kern w:val="2"/>
          <w:lang w:val="es-ES"/>
          <w14:ligatures w14:val="standardContextual"/>
        </w:rPr>
        <w:t xml:space="preserve">realizar la interrupción del embarazo deriva no sólo de </w:t>
      </w:r>
      <w:r w:rsidR="00F37318" w:rsidRPr="7333BE59">
        <w:rPr>
          <w:kern w:val="2"/>
          <w:lang w:val="es-ES"/>
          <w14:ligatures w14:val="standardContextual"/>
        </w:rPr>
        <w:t xml:space="preserve">la </w:t>
      </w:r>
      <w:r w:rsidRPr="7333BE59">
        <w:rPr>
          <w:kern w:val="2"/>
          <w:lang w:val="es-ES"/>
          <w14:ligatures w14:val="standardContextual"/>
        </w:rPr>
        <w:t>legislación secundaria, sino de la observancia inexcusable del mandato constitucional que ha sido desarrollado en los amparos en revisión 1388/2015, 601/2017, 1770/2017</w:t>
      </w:r>
      <w:r w:rsidR="007302E0" w:rsidRPr="7333BE59">
        <w:rPr>
          <w:kern w:val="2"/>
          <w:lang w:val="es-ES"/>
          <w14:ligatures w14:val="standardContextual"/>
        </w:rPr>
        <w:t xml:space="preserve">, </w:t>
      </w:r>
      <w:r w:rsidR="00F51911" w:rsidRPr="7333BE59">
        <w:rPr>
          <w:kern w:val="2"/>
          <w:lang w:val="es-ES"/>
          <w14:ligatures w14:val="standardContextual"/>
        </w:rPr>
        <w:t xml:space="preserve">45/2018, </w:t>
      </w:r>
      <w:r w:rsidR="007302E0" w:rsidRPr="7333BE59">
        <w:rPr>
          <w:kern w:val="2"/>
          <w:lang w:val="es-ES"/>
          <w14:ligatures w14:val="standardContextual"/>
        </w:rPr>
        <w:t>438/202</w:t>
      </w:r>
      <w:r w:rsidR="00F51911" w:rsidRPr="7333BE59">
        <w:rPr>
          <w:kern w:val="2"/>
          <w:lang w:val="es-ES"/>
          <w14:ligatures w14:val="standardContextual"/>
        </w:rPr>
        <w:t xml:space="preserve">0 </w:t>
      </w:r>
      <w:r w:rsidRPr="7333BE59">
        <w:rPr>
          <w:kern w:val="2"/>
          <w:lang w:val="es-ES"/>
          <w14:ligatures w14:val="standardContextual"/>
        </w:rPr>
        <w:t>y las acciones de inconstitucionalidad 148/2017 y 106/2018 y su acumulada 107/2018.</w:t>
      </w:r>
    </w:p>
    <w:p w14:paraId="192D1DDA" w14:textId="749E5696" w:rsidR="006869DD" w:rsidRPr="00383B10" w:rsidRDefault="00CB5188" w:rsidP="00383B10">
      <w:pPr>
        <w:pStyle w:val="Prrafo"/>
        <w:numPr>
          <w:ilvl w:val="0"/>
          <w:numId w:val="3"/>
        </w:numPr>
        <w:ind w:left="0" w:hanging="567"/>
      </w:pPr>
      <w:r w:rsidRPr="7333BE59">
        <w:rPr>
          <w:lang w:val="es-ES"/>
        </w:rPr>
        <w:t>Si bien esta no es oportunidad de supervisar la actuación de</w:t>
      </w:r>
      <w:r w:rsidR="00D2295D" w:rsidRPr="7333BE59">
        <w:rPr>
          <w:lang w:val="es-ES"/>
        </w:rPr>
        <w:t>l juez Séptimo de Distrito en Materias Administrativa, Civil y de Trabajo del Estado de Jalisco</w:t>
      </w:r>
      <w:r w:rsidR="00092792" w:rsidRPr="7333BE59">
        <w:rPr>
          <w:lang w:val="es-ES"/>
        </w:rPr>
        <w:t xml:space="preserve">, quien rechazó la tramitación del amparo presentado por la adolescente como </w:t>
      </w:r>
      <w:r w:rsidRPr="7333BE59">
        <w:rPr>
          <w:lang w:val="es-ES"/>
        </w:rPr>
        <w:t>urgente</w:t>
      </w:r>
      <w:r w:rsidR="00092792" w:rsidRPr="7333BE59">
        <w:rPr>
          <w:lang w:val="es-ES"/>
        </w:rPr>
        <w:t xml:space="preserve">, </w:t>
      </w:r>
      <w:r w:rsidRPr="7333BE59">
        <w:rPr>
          <w:lang w:val="es-ES"/>
        </w:rPr>
        <w:t xml:space="preserve">esta Sala considera necesario precisar que de conformidad con </w:t>
      </w:r>
      <w:r w:rsidR="00092792" w:rsidRPr="7333BE59">
        <w:rPr>
          <w:lang w:val="es-ES"/>
        </w:rPr>
        <w:t xml:space="preserve">la doctrina de esta Suprema Corte de Justicia de la Nación </w:t>
      </w:r>
      <w:r w:rsidR="00242A27" w:rsidRPr="7333BE59">
        <w:rPr>
          <w:lang w:val="es-ES"/>
        </w:rPr>
        <w:t xml:space="preserve">en relación con la perspectiva de género, </w:t>
      </w:r>
      <w:r w:rsidR="006869DD" w:rsidRPr="7333BE59">
        <w:rPr>
          <w:lang w:val="es-ES"/>
        </w:rPr>
        <w:t xml:space="preserve">las juezas y jueces </w:t>
      </w:r>
      <w:r w:rsidR="00242A27" w:rsidRPr="7333BE59">
        <w:rPr>
          <w:lang w:val="es-ES"/>
        </w:rPr>
        <w:t>tienen la obligación de</w:t>
      </w:r>
      <w:r w:rsidR="006869DD" w:rsidRPr="7333BE59">
        <w:rPr>
          <w:lang w:val="es-ES"/>
        </w:rPr>
        <w:t xml:space="preserve"> realizar los ajustes necesarios para atender las violaciones según su naturaleza, lo que </w:t>
      </w:r>
      <w:r w:rsidR="006869DD" w:rsidRPr="7333BE59">
        <w:rPr>
          <w:lang w:val="es-ES"/>
        </w:rPr>
        <w:lastRenderedPageBreak/>
        <w:t>comprende</w:t>
      </w:r>
      <w:r w:rsidR="0083086A" w:rsidRPr="7333BE59">
        <w:rPr>
          <w:lang w:val="es-ES"/>
        </w:rPr>
        <w:t>,</w:t>
      </w:r>
      <w:r w:rsidR="006869DD" w:rsidRPr="7333BE59">
        <w:rPr>
          <w:lang w:val="es-ES"/>
        </w:rPr>
        <w:t xml:space="preserve"> sin duda</w:t>
      </w:r>
      <w:r w:rsidR="0083086A" w:rsidRPr="7333BE59">
        <w:rPr>
          <w:lang w:val="es-ES"/>
        </w:rPr>
        <w:t>,</w:t>
      </w:r>
      <w:r w:rsidR="006869DD" w:rsidRPr="7333BE59">
        <w:rPr>
          <w:lang w:val="es-ES"/>
        </w:rPr>
        <w:t xml:space="preserve"> la posibilidad de hacer ajustes al proceso de amparo que permitan atender violaciones de carácter urgente.</w:t>
      </w:r>
    </w:p>
    <w:p w14:paraId="3FA5BAA9" w14:textId="00FD80FA" w:rsidR="00744C87" w:rsidRDefault="00092792" w:rsidP="00CB5188">
      <w:pPr>
        <w:pStyle w:val="Prrafo"/>
        <w:numPr>
          <w:ilvl w:val="0"/>
          <w:numId w:val="3"/>
        </w:numPr>
        <w:spacing w:before="360"/>
        <w:ind w:left="0" w:right="51" w:hanging="567"/>
        <w:rPr>
          <w:lang w:val="es-ES"/>
        </w:rPr>
      </w:pPr>
      <w:r w:rsidRPr="00593CFE">
        <w:rPr>
          <w:lang w:val="es-ES"/>
        </w:rPr>
        <w:t xml:space="preserve">Así, aunque </w:t>
      </w:r>
      <w:r w:rsidR="00744C87" w:rsidRPr="00593CFE">
        <w:rPr>
          <w:lang w:val="es-ES"/>
        </w:rPr>
        <w:t>d</w:t>
      </w:r>
      <w:r w:rsidRPr="00593CFE">
        <w:rPr>
          <w:lang w:val="es-ES"/>
        </w:rPr>
        <w:t>el</w:t>
      </w:r>
      <w:r w:rsidR="00CB5188" w:rsidRPr="00593CFE">
        <w:rPr>
          <w:lang w:val="es-ES"/>
        </w:rPr>
        <w:t xml:space="preserve"> </w:t>
      </w:r>
      <w:r w:rsidRPr="00593CFE">
        <w:t xml:space="preserve">artículo 48 del Acuerdo General del Pleno del Consejo de la Judicatura Federal </w:t>
      </w:r>
      <w:r w:rsidR="002601AA" w:rsidRPr="00593CFE">
        <w:t xml:space="preserve">no se desprenda explícitamente un supuesto relativo a los actos y omisiones </w:t>
      </w:r>
      <w:r w:rsidR="00744C87" w:rsidRPr="00593CFE">
        <w:t xml:space="preserve">de autoridades sanitarias </w:t>
      </w:r>
      <w:r w:rsidR="002601AA" w:rsidRPr="00593CFE">
        <w:t>relacionados con el embarazo</w:t>
      </w:r>
      <w:r w:rsidR="00744C87" w:rsidRPr="00593CFE">
        <w:t xml:space="preserve"> o cualquier otro proceso biológico que sólo las mujeres o personas con capacidad de gestar puedan transitar, </w:t>
      </w:r>
      <w:r w:rsidR="00A1530A" w:rsidRPr="00593CFE">
        <w:t>estos deben</w:t>
      </w:r>
      <w:r w:rsidR="00CB5188" w:rsidRPr="00593CFE">
        <w:rPr>
          <w:lang w:val="es-ES"/>
        </w:rPr>
        <w:t xml:space="preserve"> entenderse </w:t>
      </w:r>
      <w:r w:rsidR="00C572C2" w:rsidRPr="00593CFE">
        <w:rPr>
          <w:lang w:val="es-ES"/>
        </w:rPr>
        <w:t>como cuestiones urgentes</w:t>
      </w:r>
      <w:r w:rsidR="00183394" w:rsidRPr="00593CFE">
        <w:rPr>
          <w:lang w:val="es-ES"/>
        </w:rPr>
        <w:t xml:space="preserve"> que deben ser atendidos con celeridad</w:t>
      </w:r>
      <w:r w:rsidR="000A0E38" w:rsidRPr="000A0E38">
        <w:rPr>
          <w:lang w:val="es-ES"/>
        </w:rPr>
        <w:t xml:space="preserve"> </w:t>
      </w:r>
      <w:r w:rsidR="000A0E38" w:rsidRPr="00593CFE">
        <w:rPr>
          <w:lang w:val="es-ES"/>
        </w:rPr>
        <w:t>especial</w:t>
      </w:r>
      <w:r w:rsidR="000C00F8" w:rsidRPr="00593CFE">
        <w:rPr>
          <w:rStyle w:val="Refdenotaalpie"/>
        </w:rPr>
        <w:footnoteReference w:id="82"/>
      </w:r>
      <w:r w:rsidR="00183394" w:rsidRPr="00593CFE">
        <w:rPr>
          <w:lang w:val="es-ES"/>
        </w:rPr>
        <w:t>.</w:t>
      </w:r>
      <w:r w:rsidR="00CB4007" w:rsidRPr="00593CFE">
        <w:rPr>
          <w:lang w:val="es-ES"/>
        </w:rPr>
        <w:t xml:space="preserve"> Esto</w:t>
      </w:r>
      <w:r w:rsidR="000A0E38">
        <w:rPr>
          <w:lang w:val="es-ES"/>
        </w:rPr>
        <w:t>,</w:t>
      </w:r>
      <w:r w:rsidR="00CB4007">
        <w:rPr>
          <w:shd w:val="clear" w:color="auto" w:fill="FFD966" w:themeFill="accent4" w:themeFillTint="99"/>
          <w:lang w:val="es-ES"/>
        </w:rPr>
        <w:t xml:space="preserve"> </w:t>
      </w:r>
      <w:r w:rsidR="00CB4007" w:rsidRPr="00593CFE">
        <w:rPr>
          <w:lang w:val="es-ES"/>
        </w:rPr>
        <w:t>pues ante una violación a derechos fundamentales, las personas deben tener acceso a recursos efectivos donde se hagan justiciables sus derechos.</w:t>
      </w:r>
    </w:p>
    <w:p w14:paraId="65219EAB" w14:textId="44683745" w:rsidR="000D455E" w:rsidRPr="00435B4C" w:rsidRDefault="005375E7" w:rsidP="00722E14">
      <w:pPr>
        <w:pStyle w:val="Prrafo"/>
        <w:numPr>
          <w:ilvl w:val="0"/>
          <w:numId w:val="3"/>
        </w:numPr>
        <w:ind w:left="0" w:hanging="567"/>
        <w:rPr>
          <w:kern w:val="2"/>
          <w:lang w:val="es-ES_tradnl"/>
          <w14:ligatures w14:val="standardContextual"/>
        </w:rPr>
      </w:pPr>
      <w:r>
        <w:t>De la misma forma, aunque no fue objeto de estudio el tratamiento que otorgó el Hospital Civil de Gua</w:t>
      </w:r>
      <w:r w:rsidR="00426D18">
        <w:t xml:space="preserve">dalajara durante el tiempo que la joven </w:t>
      </w:r>
      <w:r w:rsidR="005F4719">
        <w:rPr>
          <w:i/>
          <w:iCs/>
        </w:rPr>
        <w:t>María</w:t>
      </w:r>
      <w:r w:rsidR="007B2687" w:rsidRPr="00761163">
        <w:rPr>
          <w:color w:val="C00000"/>
        </w:rPr>
        <w:t xml:space="preserve"> </w:t>
      </w:r>
      <w:r w:rsidR="00426D18">
        <w:t>estuvo internada antes de solicitar la interrupción</w:t>
      </w:r>
      <w:r w:rsidR="006B3D25">
        <w:t xml:space="preserve"> del embarazo</w:t>
      </w:r>
      <w:r w:rsidR="005140A8">
        <w:rPr>
          <w:rStyle w:val="Refdenotaalpie"/>
        </w:rPr>
        <w:footnoteReference w:id="83"/>
      </w:r>
      <w:r w:rsidR="00426D18">
        <w:t xml:space="preserve">, esta Sala debe insistir en </w:t>
      </w:r>
      <w:r w:rsidR="00553EB5" w:rsidRPr="00F37318">
        <w:t xml:space="preserve">la </w:t>
      </w:r>
      <w:r w:rsidR="00426D18">
        <w:t xml:space="preserve">importancia de observar </w:t>
      </w:r>
      <w:r w:rsidR="00553EB5" w:rsidRPr="00F37318">
        <w:t>las reglas, los códigos y las normas éticas, en particular, la aplicable al caso: la NOM-046-SSA2-2005. Violencia familiar, sexual y contra las mujeres. Criterios para la prevención y atención</w:t>
      </w:r>
      <w:r w:rsidR="00722E14">
        <w:t>.</w:t>
      </w:r>
    </w:p>
    <w:p w14:paraId="34F33690" w14:textId="79EA8A92" w:rsidR="006A45B0" w:rsidRPr="00BA2FF4" w:rsidRDefault="00215AF9" w:rsidP="00DD60F4">
      <w:pPr>
        <w:pStyle w:val="Ttulo7"/>
        <w:rPr>
          <w:lang w:val="es-ES"/>
        </w:rPr>
      </w:pPr>
      <w:r w:rsidRPr="7333BE59">
        <w:rPr>
          <w:shd w:val="clear" w:color="auto" w:fill="auto"/>
          <w:lang w:val="es-ES"/>
        </w:rPr>
        <w:t xml:space="preserve">Capacitación de </w:t>
      </w:r>
      <w:r w:rsidR="00814D97" w:rsidRPr="7333BE59">
        <w:rPr>
          <w:shd w:val="clear" w:color="auto" w:fill="auto"/>
          <w:lang w:val="es-ES"/>
        </w:rPr>
        <w:t>personal prestador de servicios médicos</w:t>
      </w:r>
    </w:p>
    <w:p w14:paraId="627E686F" w14:textId="5D06B722" w:rsidR="001949F9" w:rsidRPr="004F2636" w:rsidRDefault="00686A0E" w:rsidP="7333BE59">
      <w:pPr>
        <w:pStyle w:val="Prrafo"/>
        <w:numPr>
          <w:ilvl w:val="0"/>
          <w:numId w:val="3"/>
        </w:numPr>
        <w:ind w:left="0" w:hanging="567"/>
        <w:rPr>
          <w:kern w:val="2"/>
          <w:lang w:val="es-ES"/>
          <w14:ligatures w14:val="standardContextual"/>
        </w:rPr>
      </w:pPr>
      <w:r>
        <w:lastRenderedPageBreak/>
        <w:t>T</w:t>
      </w:r>
      <w:r w:rsidR="006C6332">
        <w:t xml:space="preserve">ambién como </w:t>
      </w:r>
      <w:r w:rsidR="0394F196">
        <w:t xml:space="preserve">garantía </w:t>
      </w:r>
      <w:r w:rsidR="006C6332">
        <w:t>de no repetición</w:t>
      </w:r>
      <w:r w:rsidR="00553EB5">
        <w:t xml:space="preserve">, </w:t>
      </w:r>
      <w:r w:rsidR="006E60CB">
        <w:t xml:space="preserve">se ordena a </w:t>
      </w:r>
      <w:r w:rsidR="00553EB5">
        <w:t>la Secretaría de Salud</w:t>
      </w:r>
      <w:r w:rsidR="00480696">
        <w:t xml:space="preserve"> del Estado de Jalisco</w:t>
      </w:r>
      <w:r w:rsidR="00553EB5">
        <w:t xml:space="preserve"> diseñar planes de capacitación en materia de derechos humanos dirigidos al personal médico y los servidores públicos administrativos que se desempeñen en esta área para la debida atención de solicitudes de interrupción del embarazo</w:t>
      </w:r>
      <w:r w:rsidR="006E60CB">
        <w:t xml:space="preserve"> y otros</w:t>
      </w:r>
      <w:r w:rsidR="000E4D07">
        <w:t xml:space="preserve"> servicios relacionados con </w:t>
      </w:r>
      <w:r w:rsidR="00392721">
        <w:t>el embarazo, las cuales deben ser atendid</w:t>
      </w:r>
      <w:r w:rsidR="00EF0D85">
        <w:t>a</w:t>
      </w:r>
      <w:r w:rsidR="00392721">
        <w:t>s de manera urgente.</w:t>
      </w:r>
    </w:p>
    <w:p w14:paraId="0B3FC158" w14:textId="77777777" w:rsidR="009E2C43" w:rsidRDefault="009E2C43" w:rsidP="009E2C43">
      <w:pPr>
        <w:pStyle w:val="Ttulo3"/>
      </w:pPr>
      <w:r>
        <w:t>DECISIÓN</w:t>
      </w:r>
    </w:p>
    <w:p w14:paraId="27E9052B" w14:textId="78D167DF" w:rsidR="009E2C43" w:rsidRDefault="00553357" w:rsidP="002A52B4">
      <w:pPr>
        <w:pStyle w:val="Prrafo"/>
        <w:numPr>
          <w:ilvl w:val="0"/>
          <w:numId w:val="3"/>
        </w:numPr>
        <w:ind w:left="0" w:hanging="567"/>
      </w:pPr>
      <w:r>
        <w:t xml:space="preserve">Por las consideraciones </w:t>
      </w:r>
      <w:r w:rsidR="007F1011">
        <w:t>anteriores</w:t>
      </w:r>
      <w:r w:rsidR="000558CA">
        <w:t xml:space="preserve">, </w:t>
      </w:r>
      <w:r w:rsidR="007A21EB">
        <w:t xml:space="preserve">al resultar fundados los agravios de la recurrente principal e infundados los de la recurrente adhesiva, </w:t>
      </w:r>
      <w:r w:rsidR="000558CA">
        <w:t>lo que procede es</w:t>
      </w:r>
      <w:r w:rsidR="007F1011">
        <w:t xml:space="preserve"> revocar </w:t>
      </w:r>
      <w:r w:rsidR="00A3035C">
        <w:t>el sobreseimiento decretado por la jueza de amparo</w:t>
      </w:r>
      <w:r w:rsidR="00E73083">
        <w:t xml:space="preserve">. En cuanto al fondo, </w:t>
      </w:r>
      <w:r w:rsidR="002D40F4">
        <w:t>corresponde</w:t>
      </w:r>
      <w:r w:rsidR="00E73083">
        <w:t xml:space="preserve"> </w:t>
      </w:r>
      <w:r w:rsidR="00FE15AB">
        <w:t>otorgar el amparo</w:t>
      </w:r>
      <w:r w:rsidR="00F80E2A">
        <w:t xml:space="preserve"> para el efecto de que la joven </w:t>
      </w:r>
      <w:r w:rsidR="005F4719">
        <w:rPr>
          <w:i/>
          <w:iCs/>
        </w:rPr>
        <w:t>María</w:t>
      </w:r>
      <w:r w:rsidR="00F80E2A">
        <w:t xml:space="preserve"> sea restablecida en el goce de su derecho a la salud y, por la violación de derechos </w:t>
      </w:r>
      <w:r w:rsidR="0070493B">
        <w:t xml:space="preserve">fundamentales </w:t>
      </w:r>
      <w:r w:rsidR="00F80E2A">
        <w:t>de la que fue víctima, sea reparada de manera integral</w:t>
      </w:r>
      <w:r w:rsidR="00C525D0">
        <w:t xml:space="preserve"> </w:t>
      </w:r>
      <w:r w:rsidR="00374683">
        <w:t xml:space="preserve">en todos los daños que </w:t>
      </w:r>
      <w:r w:rsidR="0018129A">
        <w:t>se le ocasionaron como consecuencia de la dilación en la prestación del servicio de interrupción del embarazo al que tenía derecho.</w:t>
      </w:r>
    </w:p>
    <w:p w14:paraId="3177FEF1" w14:textId="77777777" w:rsidR="009E2C43" w:rsidRDefault="009E2C43" w:rsidP="002A52B4">
      <w:pPr>
        <w:pStyle w:val="Prrafo"/>
      </w:pPr>
      <w:r>
        <w:t>Por lo expuesto y fundado, esta Primera Sala de la Suprema Corte de Justicia de la Nación resuelve:</w:t>
      </w:r>
    </w:p>
    <w:p w14:paraId="637C1F7E" w14:textId="510CC886" w:rsidR="009E2C43" w:rsidRDefault="009E2C43" w:rsidP="009E2C43">
      <w:pPr>
        <w:pStyle w:val="Prrafo"/>
        <w:ind w:firstLine="567"/>
      </w:pPr>
      <w:r w:rsidRPr="007849F2">
        <w:rPr>
          <w:b/>
        </w:rPr>
        <w:t>PRIMERO.</w:t>
      </w:r>
      <w:r>
        <w:t xml:space="preserve"> Se </w:t>
      </w:r>
      <w:r w:rsidR="00AA086A">
        <w:t>revoca</w:t>
      </w:r>
      <w:r>
        <w:t xml:space="preserve"> la sentencia recurrida.</w:t>
      </w:r>
    </w:p>
    <w:p w14:paraId="2867EE91" w14:textId="77777777" w:rsidR="00BF6D0C" w:rsidRDefault="00BF6D0C" w:rsidP="00BF6D0C">
      <w:pPr>
        <w:pStyle w:val="Prrafo"/>
        <w:ind w:firstLine="567"/>
      </w:pPr>
      <w:r w:rsidRPr="007849F2">
        <w:rPr>
          <w:b/>
        </w:rPr>
        <w:t>SEGUNDO.</w:t>
      </w:r>
      <w:r>
        <w:t xml:space="preserve"> Es infundada la revisión adhesiva.</w:t>
      </w:r>
    </w:p>
    <w:p w14:paraId="666694B8" w14:textId="05380EB4" w:rsidR="00E078BD" w:rsidRDefault="00BF6D0C" w:rsidP="009E2C43">
      <w:pPr>
        <w:pStyle w:val="Prrafo"/>
        <w:ind w:firstLine="567"/>
      </w:pPr>
      <w:r w:rsidRPr="00DC2288">
        <w:rPr>
          <w:b/>
          <w:bCs/>
        </w:rPr>
        <w:t>TERCERO.</w:t>
      </w:r>
      <w:r>
        <w:t xml:space="preserve"> </w:t>
      </w:r>
      <w:r w:rsidR="009E2C43">
        <w:t xml:space="preserve">La Justicia de la Unión ampara y protege a </w:t>
      </w:r>
      <w:r w:rsidR="005F4719">
        <w:rPr>
          <w:i/>
          <w:iCs/>
        </w:rPr>
        <w:t>María</w:t>
      </w:r>
      <w:r w:rsidR="00BF418E">
        <w:t xml:space="preserve"> </w:t>
      </w:r>
      <w:r w:rsidR="008C2E55">
        <w:t>contra los actos</w:t>
      </w:r>
      <w:r w:rsidR="009E2C43">
        <w:t xml:space="preserve"> y </w:t>
      </w:r>
      <w:r w:rsidR="008C2E55">
        <w:t>omisiones</w:t>
      </w:r>
      <w:r w:rsidR="009E2C43">
        <w:t xml:space="preserve"> </w:t>
      </w:r>
      <w:r w:rsidR="00E65BEA">
        <w:t>atribuidos al</w:t>
      </w:r>
      <w:r w:rsidR="009E2C43">
        <w:t xml:space="preserve"> </w:t>
      </w:r>
      <w:r w:rsidR="008C2E55">
        <w:t>Secretario de Salud de</w:t>
      </w:r>
      <w:r w:rsidR="0067119A">
        <w:t>l Estado de</w:t>
      </w:r>
      <w:r w:rsidR="008C2E55">
        <w:t xml:space="preserve"> Jalisco y </w:t>
      </w:r>
      <w:r w:rsidR="003F2CF9">
        <w:t>al</w:t>
      </w:r>
      <w:r w:rsidR="008C2E55">
        <w:t xml:space="preserve"> Hospital Civil de Guadalajara</w:t>
      </w:r>
      <w:r w:rsidR="009E2C43">
        <w:t>, para los efectos precisados en el último apartado de esta ejecutoria.</w:t>
      </w:r>
    </w:p>
    <w:p w14:paraId="7161537F" w14:textId="77777777" w:rsidR="00866E63" w:rsidRDefault="00866E63" w:rsidP="00866E63">
      <w:pPr>
        <w:pStyle w:val="Prrafo"/>
      </w:pPr>
      <w:r w:rsidRPr="000C7727">
        <w:rPr>
          <w:b/>
        </w:rPr>
        <w:t>Notifíquese;</w:t>
      </w:r>
      <w:r w:rsidRPr="000C7727">
        <w:t xml:space="preserve"> y, en su oportunidad, archívese el expediente como asunto concluido.</w:t>
      </w:r>
    </w:p>
    <w:p w14:paraId="3DCD1AE2" w14:textId="63F50617" w:rsidR="00866E63" w:rsidRDefault="00116CA0" w:rsidP="00866E63">
      <w:pPr>
        <w:pStyle w:val="corte4fondo"/>
        <w:tabs>
          <w:tab w:val="left" w:pos="426"/>
        </w:tabs>
        <w:spacing w:before="240" w:after="240"/>
        <w:ind w:firstLine="0"/>
        <w:rPr>
          <w:sz w:val="26"/>
          <w:szCs w:val="26"/>
          <w:lang w:val="es-MX"/>
        </w:rPr>
      </w:pPr>
      <w:r w:rsidRPr="00116CA0">
        <w:rPr>
          <w:sz w:val="26"/>
          <w:szCs w:val="26"/>
          <w:lang w:val="es-MX"/>
        </w:rPr>
        <w:lastRenderedPageBreak/>
        <w:t xml:space="preserve">Así lo resolvió la Primera Sala de la Suprema Corte de Justicia de la Nación, por unanimidad de cuatro votos de los ministros y las ministras Loretta Ortiz </w:t>
      </w:r>
      <w:proofErr w:type="spellStart"/>
      <w:r w:rsidRPr="00116CA0">
        <w:rPr>
          <w:sz w:val="26"/>
          <w:szCs w:val="26"/>
          <w:lang w:val="es-MX"/>
        </w:rPr>
        <w:t>Ahlf</w:t>
      </w:r>
      <w:proofErr w:type="spellEnd"/>
      <w:r w:rsidRPr="00116CA0">
        <w:rPr>
          <w:sz w:val="26"/>
          <w:szCs w:val="26"/>
          <w:lang w:val="es-MX"/>
        </w:rPr>
        <w:t xml:space="preserve">, Juan Luis González Alcántara Carrancá, quienes se reservaron su derecho a formular voto concurrente, Ana Margarita Ríos </w:t>
      </w:r>
      <w:proofErr w:type="spellStart"/>
      <w:r w:rsidRPr="00116CA0">
        <w:rPr>
          <w:sz w:val="26"/>
          <w:szCs w:val="26"/>
          <w:lang w:val="es-MX"/>
        </w:rPr>
        <w:t>Farjat</w:t>
      </w:r>
      <w:proofErr w:type="spellEnd"/>
      <w:r w:rsidRPr="00116CA0">
        <w:rPr>
          <w:sz w:val="26"/>
          <w:szCs w:val="26"/>
          <w:lang w:val="es-MX"/>
        </w:rPr>
        <w:t xml:space="preserve"> y Alfredo Gutiérrez Ortiz Mena (ponente y presidente en funciones). Ausente, ministro Jorge Mario Pardo Rebolledo</w:t>
      </w:r>
      <w:r w:rsidR="00866E63" w:rsidRPr="00545FAF">
        <w:rPr>
          <w:sz w:val="26"/>
          <w:szCs w:val="26"/>
          <w:lang w:val="es-MX"/>
        </w:rPr>
        <w:t>.</w:t>
      </w:r>
      <w:r w:rsidR="00866E63">
        <w:rPr>
          <w:sz w:val="26"/>
          <w:szCs w:val="26"/>
          <w:lang w:val="es-MX"/>
        </w:rPr>
        <w:t xml:space="preserve"> </w:t>
      </w:r>
    </w:p>
    <w:p w14:paraId="008D31BD" w14:textId="02EB95D6" w:rsidR="00866E63" w:rsidRDefault="00866E63" w:rsidP="00866E63">
      <w:pPr>
        <w:pStyle w:val="corte4fondo"/>
        <w:tabs>
          <w:tab w:val="left" w:pos="426"/>
        </w:tabs>
        <w:spacing w:before="240" w:after="240"/>
        <w:ind w:firstLine="0"/>
        <w:rPr>
          <w:sz w:val="26"/>
          <w:szCs w:val="26"/>
        </w:rPr>
      </w:pPr>
      <w:r w:rsidRPr="006C1226">
        <w:rPr>
          <w:sz w:val="26"/>
          <w:szCs w:val="26"/>
        </w:rPr>
        <w:t>Firma</w:t>
      </w:r>
      <w:r w:rsidR="00527A74">
        <w:rPr>
          <w:sz w:val="26"/>
          <w:szCs w:val="26"/>
        </w:rPr>
        <w:t xml:space="preserve"> el</w:t>
      </w:r>
      <w:r w:rsidRPr="006C1226">
        <w:rPr>
          <w:sz w:val="26"/>
          <w:szCs w:val="26"/>
        </w:rPr>
        <w:t xml:space="preserve"> </w:t>
      </w:r>
      <w:r w:rsidR="002A028A">
        <w:rPr>
          <w:sz w:val="26"/>
          <w:szCs w:val="26"/>
        </w:rPr>
        <w:t>ministro presidente en funciones de la Primera Sala y ponente con el secretario de acuerdos, que autoriza y da fe</w:t>
      </w:r>
      <w:r w:rsidRPr="006C1226">
        <w:rPr>
          <w:sz w:val="26"/>
          <w:szCs w:val="26"/>
        </w:rPr>
        <w:t>.</w:t>
      </w:r>
    </w:p>
    <w:p w14:paraId="0F473CAA" w14:textId="77777777" w:rsidR="00866E63" w:rsidRPr="007C74D8" w:rsidRDefault="00866E63" w:rsidP="008D080C">
      <w:pPr>
        <w:pStyle w:val="corte4fondo"/>
        <w:tabs>
          <w:tab w:val="left" w:pos="426"/>
          <w:tab w:val="center" w:pos="4536"/>
          <w:tab w:val="left" w:pos="6754"/>
        </w:tabs>
        <w:spacing w:before="240" w:after="240"/>
        <w:ind w:firstLine="0"/>
        <w:rPr>
          <w:b/>
          <w:sz w:val="26"/>
          <w:szCs w:val="26"/>
          <w:lang w:val="es-MX"/>
        </w:rPr>
      </w:pPr>
      <w:bookmarkStart w:id="4" w:name="_Hlk105148980"/>
    </w:p>
    <w:p w14:paraId="3AEEEFDE" w14:textId="534CDCB6" w:rsidR="00866E63" w:rsidRDefault="007F4B8A" w:rsidP="00866E63">
      <w:pPr>
        <w:pStyle w:val="corte4fondo"/>
        <w:tabs>
          <w:tab w:val="left" w:pos="426"/>
        </w:tabs>
        <w:spacing w:before="240" w:after="240"/>
        <w:ind w:firstLine="0"/>
        <w:jc w:val="center"/>
        <w:rPr>
          <w:b/>
          <w:sz w:val="26"/>
          <w:szCs w:val="26"/>
          <w:lang w:val="es-MX"/>
        </w:rPr>
      </w:pPr>
      <w:r>
        <w:rPr>
          <w:b/>
          <w:sz w:val="26"/>
          <w:szCs w:val="26"/>
          <w:lang w:val="es-MX"/>
        </w:rPr>
        <w:t xml:space="preserve">PRESIDENTE EN FUNCIONES DE LA PRIMERA SALA Y </w:t>
      </w:r>
      <w:r w:rsidR="00866E63" w:rsidRPr="007C74D8">
        <w:rPr>
          <w:b/>
          <w:sz w:val="26"/>
          <w:szCs w:val="26"/>
          <w:lang w:val="es-MX"/>
        </w:rPr>
        <w:t>PONENTE</w:t>
      </w:r>
    </w:p>
    <w:p w14:paraId="7B74F4A2" w14:textId="77777777" w:rsidR="00866E63" w:rsidRDefault="00866E63" w:rsidP="00866E63">
      <w:pPr>
        <w:pStyle w:val="corte4fondo"/>
        <w:tabs>
          <w:tab w:val="left" w:pos="426"/>
          <w:tab w:val="center" w:pos="4536"/>
          <w:tab w:val="left" w:pos="6754"/>
        </w:tabs>
        <w:spacing w:before="240" w:after="240"/>
        <w:ind w:firstLine="0"/>
        <w:jc w:val="center"/>
        <w:rPr>
          <w:b/>
          <w:sz w:val="26"/>
          <w:szCs w:val="26"/>
          <w:lang w:val="es-MX"/>
        </w:rPr>
      </w:pPr>
      <w:r w:rsidRPr="007C74D8">
        <w:rPr>
          <w:b/>
          <w:sz w:val="26"/>
          <w:szCs w:val="26"/>
          <w:lang w:val="es-MX"/>
        </w:rPr>
        <w:t>MINISTRO ALFREDO GUTIÉRREZ ORTIZ MENA</w:t>
      </w:r>
    </w:p>
    <w:p w14:paraId="50D9D4A6" w14:textId="77777777" w:rsidR="00866E63" w:rsidRDefault="00866E63" w:rsidP="00866E63">
      <w:pPr>
        <w:pStyle w:val="corte4fondo"/>
        <w:tabs>
          <w:tab w:val="left" w:pos="426"/>
          <w:tab w:val="center" w:pos="4536"/>
          <w:tab w:val="left" w:pos="6754"/>
        </w:tabs>
        <w:spacing w:before="240" w:after="240"/>
        <w:ind w:firstLine="0"/>
        <w:jc w:val="center"/>
        <w:rPr>
          <w:b/>
          <w:sz w:val="26"/>
          <w:szCs w:val="26"/>
          <w:lang w:val="es-MX"/>
        </w:rPr>
      </w:pPr>
    </w:p>
    <w:p w14:paraId="4FBFD06D" w14:textId="77777777" w:rsidR="00866E63" w:rsidRDefault="00866E63" w:rsidP="00866E63">
      <w:pPr>
        <w:pStyle w:val="corte4fondo"/>
        <w:tabs>
          <w:tab w:val="left" w:pos="426"/>
          <w:tab w:val="center" w:pos="4536"/>
          <w:tab w:val="left" w:pos="6754"/>
        </w:tabs>
        <w:spacing w:before="240" w:after="240"/>
        <w:ind w:firstLine="0"/>
        <w:jc w:val="center"/>
        <w:rPr>
          <w:b/>
          <w:sz w:val="26"/>
          <w:szCs w:val="26"/>
          <w:lang w:val="es-MX"/>
        </w:rPr>
      </w:pPr>
    </w:p>
    <w:p w14:paraId="0CABC390" w14:textId="77777777" w:rsidR="00866E63" w:rsidRDefault="00866E63" w:rsidP="00866E63">
      <w:pPr>
        <w:pStyle w:val="corte4fondo"/>
        <w:tabs>
          <w:tab w:val="left" w:pos="426"/>
        </w:tabs>
        <w:spacing w:before="240" w:after="240"/>
        <w:ind w:firstLine="0"/>
        <w:jc w:val="center"/>
        <w:rPr>
          <w:b/>
          <w:sz w:val="26"/>
          <w:szCs w:val="26"/>
          <w:lang w:val="es-MX"/>
        </w:rPr>
      </w:pPr>
      <w:r w:rsidRPr="007C74D8">
        <w:rPr>
          <w:b/>
          <w:sz w:val="26"/>
          <w:szCs w:val="26"/>
          <w:lang w:val="es-MX"/>
        </w:rPr>
        <w:t>SECRETARI</w:t>
      </w:r>
      <w:r>
        <w:rPr>
          <w:b/>
          <w:sz w:val="26"/>
          <w:szCs w:val="26"/>
          <w:lang w:val="es-MX"/>
        </w:rPr>
        <w:t>O</w:t>
      </w:r>
      <w:r w:rsidRPr="007C74D8">
        <w:rPr>
          <w:b/>
          <w:sz w:val="26"/>
          <w:szCs w:val="26"/>
          <w:lang w:val="es-MX"/>
        </w:rPr>
        <w:t xml:space="preserve"> DE ACUERDOS DE LA PRIMERA SALA</w:t>
      </w:r>
    </w:p>
    <w:p w14:paraId="347A163F" w14:textId="77777777" w:rsidR="00866E63" w:rsidRDefault="00866E63" w:rsidP="00866E63">
      <w:pPr>
        <w:pStyle w:val="corte4fondo"/>
        <w:tabs>
          <w:tab w:val="left" w:pos="426"/>
          <w:tab w:val="center" w:pos="4536"/>
          <w:tab w:val="left" w:pos="6754"/>
        </w:tabs>
        <w:spacing w:before="240" w:after="240"/>
        <w:ind w:firstLine="0"/>
        <w:jc w:val="center"/>
        <w:rPr>
          <w:b/>
          <w:sz w:val="26"/>
          <w:szCs w:val="26"/>
          <w:lang w:val="es-MX"/>
        </w:rPr>
      </w:pPr>
      <w:r>
        <w:rPr>
          <w:b/>
          <w:sz w:val="26"/>
          <w:szCs w:val="26"/>
          <w:lang w:val="es-MX"/>
        </w:rPr>
        <w:t>RAÚL MENDIOLA PIZAÑA</w:t>
      </w:r>
      <w:bookmarkEnd w:id="4"/>
    </w:p>
    <w:p w14:paraId="604428E8" w14:textId="77777777" w:rsidR="003C7BDB" w:rsidRPr="000F2726" w:rsidRDefault="003C7BDB" w:rsidP="003C7BDB">
      <w:pPr>
        <w:pStyle w:val="corte4fondo"/>
        <w:tabs>
          <w:tab w:val="left" w:pos="426"/>
        </w:tabs>
        <w:spacing w:before="1200" w:after="240" w:line="240" w:lineRule="auto"/>
        <w:ind w:firstLine="0"/>
        <w:rPr>
          <w:bCs/>
          <w:sz w:val="22"/>
          <w:szCs w:val="22"/>
          <w:lang w:val="es-MX"/>
        </w:rPr>
      </w:pPr>
      <w:r w:rsidRPr="000F2726">
        <w:rPr>
          <w:bCs/>
          <w:sz w:val="22"/>
          <w:szCs w:val="22"/>
          <w:lang w:val="es-MX"/>
        </w:rPr>
        <w:t>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17910D12" w14:textId="77777777" w:rsidR="00A3177A" w:rsidRDefault="00A3177A"/>
    <w:sectPr w:rsidR="00A3177A" w:rsidSect="00DC1462">
      <w:headerReference w:type="default" r:id="rId14"/>
      <w:footerReference w:type="default" r:id="rId15"/>
      <w:pgSz w:w="12242" w:h="19442" w:code="10005"/>
      <w:pgMar w:top="1417" w:right="1701" w:bottom="1417"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F7799" w14:textId="77777777" w:rsidR="001B10F6" w:rsidRDefault="001B10F6" w:rsidP="009E2C43">
      <w:pPr>
        <w:spacing w:before="0" w:after="0" w:line="240" w:lineRule="auto"/>
      </w:pPr>
      <w:r>
        <w:separator/>
      </w:r>
    </w:p>
  </w:endnote>
  <w:endnote w:type="continuationSeparator" w:id="0">
    <w:p w14:paraId="24FA372D" w14:textId="77777777" w:rsidR="001B10F6" w:rsidRDefault="001B10F6" w:rsidP="009E2C43">
      <w:pPr>
        <w:spacing w:before="0" w:after="0" w:line="240" w:lineRule="auto"/>
      </w:pPr>
      <w:r>
        <w:continuationSeparator/>
      </w:r>
    </w:p>
  </w:endnote>
  <w:endnote w:type="continuationNotice" w:id="1">
    <w:p w14:paraId="2057A939" w14:textId="77777777" w:rsidR="001B10F6" w:rsidRDefault="001B10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a">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81875728"/>
      <w:docPartObj>
        <w:docPartGallery w:val="Page Numbers (Bottom of Page)"/>
        <w:docPartUnique/>
      </w:docPartObj>
    </w:sdtPr>
    <w:sdtContent>
      <w:p w14:paraId="1401CA12" w14:textId="77777777" w:rsidR="00B67251" w:rsidRDefault="00B67251" w:rsidP="009530D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3B1CB3D" w14:textId="77777777" w:rsidR="00B67251" w:rsidRDefault="00B672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58044698"/>
      <w:docPartObj>
        <w:docPartGallery w:val="Page Numbers (Bottom of Page)"/>
        <w:docPartUnique/>
      </w:docPartObj>
    </w:sdtPr>
    <w:sdtContent>
      <w:p w14:paraId="71E5554F" w14:textId="77777777" w:rsidR="00B67251" w:rsidRDefault="00B67251" w:rsidP="009530D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II</w:t>
        </w:r>
        <w:r>
          <w:rPr>
            <w:rStyle w:val="Nmerodepgina"/>
          </w:rPr>
          <w:fldChar w:fldCharType="end"/>
        </w:r>
      </w:p>
    </w:sdtContent>
  </w:sdt>
  <w:p w14:paraId="0606BC67" w14:textId="77777777" w:rsidR="00B67251" w:rsidRDefault="00B672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noProof/>
        <w:lang w:val="es-ES"/>
      </w:rPr>
      <w:id w:val="-2010741196"/>
      <w:docPartObj>
        <w:docPartGallery w:val="Page Numbers (Bottom of Page)"/>
        <w:docPartUnique/>
      </w:docPartObj>
    </w:sdtPr>
    <w:sdtContent>
      <w:p w14:paraId="3A24CAF0" w14:textId="77777777" w:rsidR="00D766E0" w:rsidRPr="00EE5B65" w:rsidRDefault="00D20E1C">
        <w:pPr>
          <w:pStyle w:val="Piedepgina"/>
          <w:tabs>
            <w:tab w:val="clear" w:pos="4419"/>
            <w:tab w:val="clear" w:pos="8838"/>
            <w:tab w:val="center" w:pos="4252"/>
            <w:tab w:val="right" w:pos="8504"/>
          </w:tabs>
          <w:spacing w:before="240"/>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Pr>
            <w:rFonts w:eastAsia="Times New Roman"/>
            <w:noProof/>
            <w:lang w:val="es-ES_tradnl" w:eastAsia="x-none"/>
          </w:rPr>
          <w:t>63</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F6DD2" w14:textId="77777777" w:rsidR="001B10F6" w:rsidRDefault="001B10F6" w:rsidP="009E2C43">
      <w:pPr>
        <w:spacing w:before="0" w:after="0" w:line="240" w:lineRule="auto"/>
      </w:pPr>
      <w:r>
        <w:separator/>
      </w:r>
    </w:p>
  </w:footnote>
  <w:footnote w:type="continuationSeparator" w:id="0">
    <w:p w14:paraId="447747F6" w14:textId="77777777" w:rsidR="001B10F6" w:rsidRDefault="001B10F6" w:rsidP="009E2C43">
      <w:pPr>
        <w:spacing w:before="0" w:after="0" w:line="240" w:lineRule="auto"/>
      </w:pPr>
      <w:r>
        <w:continuationSeparator/>
      </w:r>
    </w:p>
  </w:footnote>
  <w:footnote w:type="continuationNotice" w:id="1">
    <w:p w14:paraId="29A4A2CE" w14:textId="77777777" w:rsidR="001B10F6" w:rsidRDefault="001B10F6">
      <w:pPr>
        <w:spacing w:before="0" w:after="0" w:line="240" w:lineRule="auto"/>
      </w:pPr>
    </w:p>
  </w:footnote>
  <w:footnote w:id="2">
    <w:p w14:paraId="4AF661E9" w14:textId="6F7EDF48" w:rsidR="00636BAF" w:rsidRPr="00CD2989" w:rsidRDefault="00776658" w:rsidP="00CD2989">
      <w:pPr>
        <w:pStyle w:val="Textonotapie"/>
        <w:snapToGrid w:val="0"/>
        <w:spacing w:before="60" w:after="60"/>
      </w:pPr>
      <w:r w:rsidRPr="00CD2989">
        <w:rPr>
          <w:rStyle w:val="Refdenotaalpie"/>
        </w:rPr>
        <w:footnoteRef/>
      </w:r>
      <w:r w:rsidRPr="00CD2989">
        <w:t xml:space="preserve"> Demanda de amparo, páginas 15 a 17.</w:t>
      </w:r>
    </w:p>
  </w:footnote>
  <w:footnote w:id="3">
    <w:p w14:paraId="7A1CCFB1" w14:textId="7554F5BB" w:rsidR="009E2C43" w:rsidRPr="00CD2989" w:rsidRDefault="009E2C43" w:rsidP="00CD2989">
      <w:pPr>
        <w:pStyle w:val="Textonotapie"/>
        <w:snapToGrid w:val="0"/>
        <w:spacing w:before="60" w:after="60"/>
      </w:pPr>
      <w:r w:rsidRPr="00CD2989">
        <w:rPr>
          <w:rStyle w:val="Refdenotaalpie"/>
        </w:rPr>
        <w:footnoteRef/>
      </w:r>
      <w:r w:rsidR="00776658" w:rsidRPr="00CD2989">
        <w:t xml:space="preserve"> Demanda</w:t>
      </w:r>
      <w:r w:rsidRPr="00CD2989">
        <w:t xml:space="preserve"> de amparo, </w:t>
      </w:r>
      <w:r w:rsidR="00776658" w:rsidRPr="00CD2989">
        <w:t>página 9.</w:t>
      </w:r>
    </w:p>
  </w:footnote>
  <w:footnote w:id="4">
    <w:p w14:paraId="3752C170" w14:textId="0137AF7A" w:rsidR="009E2C43" w:rsidRPr="00CD2989" w:rsidRDefault="009E2C43" w:rsidP="00CD2989">
      <w:pPr>
        <w:pStyle w:val="Textonotapie"/>
        <w:snapToGrid w:val="0"/>
        <w:spacing w:before="60" w:after="60"/>
      </w:pPr>
      <w:r w:rsidRPr="00CD2989">
        <w:rPr>
          <w:rStyle w:val="Refdenotaalpie"/>
        </w:rPr>
        <w:footnoteRef/>
      </w:r>
      <w:r w:rsidRPr="00CD2989">
        <w:t xml:space="preserve"> </w:t>
      </w:r>
      <w:r w:rsidR="00BC5DEB" w:rsidRPr="00CD2989">
        <w:t>Sentencia recaída al j</w:t>
      </w:r>
      <w:r w:rsidRPr="00CD2989">
        <w:t xml:space="preserve">uicio de amparo </w:t>
      </w:r>
      <w:r w:rsidR="001E2C70">
        <w:rPr>
          <w:color w:val="C00000"/>
        </w:rPr>
        <w:t>*****</w:t>
      </w:r>
      <w:r w:rsidRPr="00CD2989">
        <w:t xml:space="preserve">, </w:t>
      </w:r>
      <w:r w:rsidR="00BC5DEB" w:rsidRPr="00CD2989">
        <w:t>página 7.</w:t>
      </w:r>
    </w:p>
  </w:footnote>
  <w:footnote w:id="5">
    <w:p w14:paraId="7CD3A500" w14:textId="77777777" w:rsidR="009E2C43" w:rsidRPr="00CD2989" w:rsidRDefault="009E2C43" w:rsidP="00CD2989">
      <w:pPr>
        <w:pStyle w:val="Textonotapie"/>
        <w:snapToGrid w:val="0"/>
        <w:spacing w:before="60" w:after="60"/>
      </w:pPr>
      <w:r w:rsidRPr="00CD2989">
        <w:rPr>
          <w:rStyle w:val="Refdenotaalpie"/>
        </w:rPr>
        <w:footnoteRef/>
      </w:r>
      <w:r w:rsidRPr="00CD2989">
        <w:t xml:space="preserve"> </w:t>
      </w:r>
      <w:proofErr w:type="spellStart"/>
      <w:r w:rsidRPr="00CD2989">
        <w:rPr>
          <w:i/>
        </w:rPr>
        <w:t>Ibídem</w:t>
      </w:r>
      <w:proofErr w:type="spellEnd"/>
      <w:r w:rsidRPr="00CD2989">
        <w:t>, hoja 259.</w:t>
      </w:r>
    </w:p>
  </w:footnote>
  <w:footnote w:id="6">
    <w:p w14:paraId="37D72B93" w14:textId="2771FE2D" w:rsidR="009E2C43" w:rsidRPr="00CD2989" w:rsidRDefault="009E2C43" w:rsidP="00CD2989">
      <w:pPr>
        <w:pStyle w:val="Textonotapie"/>
        <w:snapToGrid w:val="0"/>
        <w:spacing w:before="60" w:after="60"/>
      </w:pPr>
      <w:r w:rsidRPr="00CD2989">
        <w:rPr>
          <w:rStyle w:val="Refdenotaalpie"/>
        </w:rPr>
        <w:footnoteRef/>
      </w:r>
      <w:r w:rsidRPr="00CD2989">
        <w:t xml:space="preserve"> Solicitud de ejercicio de la facultad de atracción </w:t>
      </w:r>
      <w:r w:rsidR="001E2C70">
        <w:rPr>
          <w:color w:val="C00000"/>
        </w:rPr>
        <w:t>*****</w:t>
      </w:r>
      <w:r w:rsidRPr="00CD2989">
        <w:t xml:space="preserve">, </w:t>
      </w:r>
      <w:r w:rsidR="00D83105" w:rsidRPr="00CD2989">
        <w:t>página 4</w:t>
      </w:r>
      <w:r w:rsidRPr="00CD2989">
        <w:t>.</w:t>
      </w:r>
    </w:p>
  </w:footnote>
  <w:footnote w:id="7">
    <w:p w14:paraId="3457414D" w14:textId="77777777" w:rsidR="009E2C43" w:rsidRPr="00CD2989" w:rsidRDefault="009E2C43" w:rsidP="00CD2989">
      <w:pPr>
        <w:pStyle w:val="Textonotapie"/>
        <w:snapToGrid w:val="0"/>
        <w:spacing w:before="60" w:after="60"/>
      </w:pPr>
      <w:r w:rsidRPr="00CD2989">
        <w:rPr>
          <w:rStyle w:val="Refdenotaalpie"/>
        </w:rPr>
        <w:footnoteRef/>
      </w:r>
      <w:r w:rsidRPr="00CD2989">
        <w:t xml:space="preserve"> Conforme al artículo 19 de la Ley de Amparo vigente y el artículo 163 de la Ley Orgánica del Poder Judicial de la Federación.</w:t>
      </w:r>
    </w:p>
  </w:footnote>
  <w:footnote w:id="8">
    <w:p w14:paraId="2A6B99AA" w14:textId="77777777" w:rsidR="006316C9" w:rsidRPr="00CD2989" w:rsidRDefault="006316C9" w:rsidP="00CD2989">
      <w:pPr>
        <w:pStyle w:val="Textonotapie"/>
        <w:snapToGrid w:val="0"/>
        <w:spacing w:before="60" w:after="60"/>
      </w:pPr>
      <w:r w:rsidRPr="00CD2989">
        <w:rPr>
          <w:rStyle w:val="Refdenotaalpie"/>
        </w:rPr>
        <w:footnoteRef/>
      </w:r>
      <w:r w:rsidRPr="00CD2989">
        <w:t xml:space="preserve"> Jurisprudencia 2a./J. 55/98, de la Segunda Sala de la Suprema Corte de Justicia de la Nación, publicada en el Semanario Judicial de la Federación y su Gaceta, tomo VIII, agosto de 1998, página 227, de rubro y texto: “ACTOS RECLAMADOS. DEBE ESTUDIARSE ÍNTEGRAMENTE LA DEMANDA DE AMPARO PARA DETERMINARLOS. Si del análisis integral del escrito de demanda se llega al conocimiento de que, aunque no de manera formal, se señala algún acto como lesivo de garantías dentro de los conceptos de violación o en cualquier otra parte de la demanda de amparo, debe tenérsele como acto reclamado y estudiarse su constitucionalidad en la sentencia, pues ha sido criterio reiterado de esta Suprema Corte de Justicia, considerar la demanda como un todo.”</w:t>
      </w:r>
    </w:p>
  </w:footnote>
  <w:footnote w:id="9">
    <w:p w14:paraId="17FA9322" w14:textId="672C2F75" w:rsidR="004C000B" w:rsidRPr="00CD2989" w:rsidRDefault="004C000B" w:rsidP="00CD2989">
      <w:pPr>
        <w:pStyle w:val="Textonotapie"/>
        <w:snapToGrid w:val="0"/>
        <w:spacing w:before="60" w:after="60"/>
      </w:pPr>
      <w:r w:rsidRPr="00CD2989">
        <w:rPr>
          <w:rStyle w:val="Refdenotaalpie"/>
        </w:rPr>
        <w:footnoteRef/>
      </w:r>
      <w:r w:rsidRPr="00CD2989">
        <w:t xml:space="preserve"> </w:t>
      </w:r>
      <w:r w:rsidRPr="00CD2989">
        <w:rPr>
          <w:i/>
          <w:iCs/>
        </w:rPr>
        <w:t xml:space="preserve">Karen Noelia </w:t>
      </w:r>
      <w:proofErr w:type="spellStart"/>
      <w:r w:rsidRPr="00CD2989">
        <w:rPr>
          <w:i/>
          <w:iCs/>
        </w:rPr>
        <w:t>Llantoy</w:t>
      </w:r>
      <w:proofErr w:type="spellEnd"/>
      <w:r w:rsidRPr="00CD2989">
        <w:rPr>
          <w:i/>
          <w:iCs/>
        </w:rPr>
        <w:t xml:space="preserve"> vs. Perú</w:t>
      </w:r>
      <w:r w:rsidR="00307CB4" w:rsidRPr="00CD2989">
        <w:t>, COIDH</w:t>
      </w:r>
      <w:r w:rsidRPr="00CD2989">
        <w:t xml:space="preserve">; Sentencia de los tribunales </w:t>
      </w:r>
      <w:r w:rsidRPr="00CD2989">
        <w:rPr>
          <w:i/>
          <w:iCs/>
        </w:rPr>
        <w:t>ad hoc</w:t>
      </w:r>
      <w:r w:rsidRPr="00CD2989">
        <w:t xml:space="preserve"> para Ruanda y Yugoslavia. </w:t>
      </w:r>
      <w:r w:rsidR="00BE5145" w:rsidRPr="00CD2989">
        <w:t xml:space="preserve">Amparo en revisión 1388/2015, Primera Sala de la Suprema Corte de Justicia de la Nación, unanimidad de cinco votos. Ponente: ministro Alfredo Gutiérrez Ortiz Mena, 15 de mayo de 2019; Amparo en revisión 45/2018, Primera Sala de la Suprema Corte de Justicia de la Nación, unanimidad de cinco votos. Ponente: ministra Ana Margarita Ríos </w:t>
      </w:r>
      <w:proofErr w:type="spellStart"/>
      <w:r w:rsidR="00BE5145" w:rsidRPr="00CD2989">
        <w:t>Farjat</w:t>
      </w:r>
      <w:proofErr w:type="spellEnd"/>
      <w:r w:rsidR="00BE5145" w:rsidRPr="00CD2989">
        <w:t xml:space="preserve">, 23 de </w:t>
      </w:r>
      <w:r w:rsidR="00F170D5">
        <w:t>febrero</w:t>
      </w:r>
      <w:r w:rsidR="00BE5145" w:rsidRPr="00CD2989">
        <w:t xml:space="preserve"> de 2022; Amparo en revisión 438/2020, Primera Sala de la Suprema Corte de Justicia de la Nación, unanimidad de cinco votos. Ponente: ministro Jorge Mario Pardo Rebolledo, 07 de julio de 2021; Amparo en revisión 601/2017, Segunda Sala de la Suprema Corte de Justicia de la Nación, unanimidad de cinco votos. Ponente: ministro José Fernando Franco González Salas, 04 de abril de 2018; Amparo en revisión 1170/2017, Segunda Sala de la Suprema Corte de Justicia de la Nación, unanimidad de cuatro votos. Ponente: ministro José Fernando Franco González Salas, 18 de abril de 2018; Acción de inconstitucionalidad 148/2017, Pleno de la Suprema Corte de Justicia de la Nación, unanimidad de 10 votos. Ponente: ministro Luis María Aguilar Morales, 07 de septiembre de 2021; Acción de inconstitucionalidad 106/2018 y su acumulada 107/2018, Pleno de la Suprema Corte de Justicia de la Nación, unanimidad de 10 votos. Ponente: ministro Alfredo Gutiérrez Ortiz Mena, 09 de septiembre de 2021.</w:t>
      </w:r>
    </w:p>
  </w:footnote>
  <w:footnote w:id="10">
    <w:p w14:paraId="142634E7" w14:textId="77777777" w:rsidR="002519D8" w:rsidRPr="00CD2989" w:rsidRDefault="002519D8" w:rsidP="00CD2989">
      <w:pPr>
        <w:pStyle w:val="Textonotapie"/>
        <w:snapToGrid w:val="0"/>
        <w:spacing w:before="60" w:after="60"/>
      </w:pPr>
      <w:r w:rsidRPr="00CD2989">
        <w:rPr>
          <w:rStyle w:val="Refdenotaalpie"/>
        </w:rPr>
        <w:footnoteRef/>
      </w:r>
      <w:r w:rsidRPr="00CD2989">
        <w:t xml:space="preserve"> Anexos del informe justificado del Hospital Civil de Guadalajara, página 10.</w:t>
      </w:r>
    </w:p>
  </w:footnote>
  <w:footnote w:id="11">
    <w:p w14:paraId="666A4576" w14:textId="214E6211" w:rsidR="00745674" w:rsidRPr="00CD2989" w:rsidRDefault="00745674" w:rsidP="00CD2989">
      <w:pPr>
        <w:pStyle w:val="Textonotapie"/>
        <w:snapToGrid w:val="0"/>
        <w:spacing w:before="60" w:after="60"/>
      </w:pPr>
      <w:r w:rsidRPr="00CD2989">
        <w:rPr>
          <w:rStyle w:val="Refdenotaalpie"/>
        </w:rPr>
        <w:footnoteRef/>
      </w:r>
      <w:r w:rsidRPr="00CD2989">
        <w:t xml:space="preserve"> Ley del Organismo Público Descentralizado "Hospital Civil de Guadalajara”</w:t>
      </w:r>
    </w:p>
    <w:p w14:paraId="15F7ACD1" w14:textId="77777777" w:rsidR="00745674" w:rsidRPr="00CD2989" w:rsidRDefault="00745674" w:rsidP="00CD2989">
      <w:pPr>
        <w:pStyle w:val="Textonotapie"/>
        <w:snapToGrid w:val="0"/>
        <w:spacing w:before="60" w:after="60"/>
      </w:pPr>
      <w:r w:rsidRPr="00CD2989">
        <w:t xml:space="preserve">Artículo 1. El Hospital Civil de Guadalajara es un organismo público descentralizado de la administración pública estatal, con personalidad jurídica y patrimonio propios, el cual tendrá por objeto </w:t>
      </w:r>
      <w:r w:rsidRPr="00CD2989">
        <w:rPr>
          <w:u w:val="single"/>
        </w:rPr>
        <w:t>prestar servicios de salud a la población</w:t>
      </w:r>
      <w:r w:rsidRPr="00CD2989">
        <w:t xml:space="preserve"> en los términos que se establecen en el presente ordenamiento, en las Leyes General y Estatal de Salud, y se sujetará a lo establecido en el Acuerdo de Coordinación para la Descentralización Integral de los Servicios de Salud, entre los Ejecutivos Federal y el de esta Entidad Federativa. Así también, fungirá como hospital-escuela de la Universidad de Guadalajara para las funciones de docencia, investigación y extensión en el área de salud, cuyos programas académicos se desarrollarán de conformidad con la normatividad de esta Casa de Estudios.</w:t>
      </w:r>
    </w:p>
    <w:p w14:paraId="70E5571B" w14:textId="77777777" w:rsidR="00745674" w:rsidRPr="00CD2989" w:rsidRDefault="00745674" w:rsidP="00CD2989">
      <w:pPr>
        <w:pStyle w:val="Textonotapie"/>
        <w:snapToGrid w:val="0"/>
        <w:spacing w:before="60" w:after="60"/>
      </w:pPr>
      <w:r w:rsidRPr="00CD2989">
        <w:t>Artículo 4. El Hospital Civil de Guadalajara tendrá las siguientes funciones:</w:t>
      </w:r>
    </w:p>
    <w:p w14:paraId="51A725A3" w14:textId="77777777" w:rsidR="00745674" w:rsidRPr="00CD2989" w:rsidRDefault="00745674" w:rsidP="00CD2989">
      <w:pPr>
        <w:pStyle w:val="Textonotapie"/>
        <w:snapToGrid w:val="0"/>
        <w:spacing w:before="60" w:after="60"/>
      </w:pPr>
      <w:r w:rsidRPr="00CD2989">
        <w:t>I. Organizar y operar servicios de atención médica, fundamentalmente a población abierta.</w:t>
      </w:r>
    </w:p>
    <w:p w14:paraId="145BB296" w14:textId="77777777" w:rsidR="00745674" w:rsidRPr="00CD2989" w:rsidRDefault="00745674" w:rsidP="00CD2989">
      <w:pPr>
        <w:pStyle w:val="Textonotapie"/>
        <w:snapToGrid w:val="0"/>
        <w:spacing w:before="60" w:after="60"/>
      </w:pPr>
      <w:r w:rsidRPr="00CD2989">
        <w:t>[…]</w:t>
      </w:r>
    </w:p>
    <w:p w14:paraId="58064F36" w14:textId="1CDEEC33" w:rsidR="00745674" w:rsidRPr="00CD2989" w:rsidRDefault="00745674" w:rsidP="00CD2989">
      <w:pPr>
        <w:pStyle w:val="Textonotapie"/>
        <w:snapToGrid w:val="0"/>
        <w:spacing w:before="60" w:after="60"/>
      </w:pPr>
      <w:r w:rsidRPr="00CD2989">
        <w:t>III. Realizar todas aquellas acciones tendientes a garantizar el derecho a la protección de la salud de los habitantes del Estado.</w:t>
      </w:r>
    </w:p>
    <w:p w14:paraId="70CC8A04" w14:textId="68EFCA1E" w:rsidR="00745674" w:rsidRPr="00CD2989" w:rsidRDefault="00745674" w:rsidP="00CD2989">
      <w:pPr>
        <w:pStyle w:val="Textonotapie"/>
        <w:snapToGrid w:val="0"/>
        <w:spacing w:before="60" w:after="60"/>
      </w:pPr>
      <w:r w:rsidRPr="00CD2989">
        <w:t>[…]</w:t>
      </w:r>
    </w:p>
  </w:footnote>
  <w:footnote w:id="12">
    <w:p w14:paraId="54B6A47A" w14:textId="3A32A0BB" w:rsidR="00CD6245" w:rsidRPr="00CD2989" w:rsidRDefault="00CD6245" w:rsidP="00CD2989">
      <w:pPr>
        <w:pStyle w:val="Textonotapie"/>
        <w:snapToGrid w:val="0"/>
        <w:spacing w:before="60" w:after="60"/>
      </w:pPr>
      <w:r w:rsidRPr="00CD2989">
        <w:rPr>
          <w:rStyle w:val="Refdenotaalpie"/>
        </w:rPr>
        <w:footnoteRef/>
      </w:r>
      <w:r w:rsidRPr="00CD2989">
        <w:t xml:space="preserve"> Amparo en revisión 1388/2015, resuelto en sesión de 15 de mayo de 2019 por unanimidad de 5 votos, bajo la ponencia del ministro Alfredo Gutiérrez Ortiz Mena.</w:t>
      </w:r>
    </w:p>
  </w:footnote>
  <w:footnote w:id="13">
    <w:p w14:paraId="37FE2138" w14:textId="77777777" w:rsidR="00D654D6" w:rsidRPr="00CD2989" w:rsidRDefault="00D654D6" w:rsidP="00CD2989">
      <w:pPr>
        <w:pStyle w:val="Textonotapie"/>
        <w:snapToGrid w:val="0"/>
        <w:spacing w:before="60" w:after="60"/>
      </w:pPr>
      <w:r w:rsidRPr="00CD2989">
        <w:rPr>
          <w:rStyle w:val="Refdenotaalpie"/>
        </w:rPr>
        <w:footnoteRef/>
      </w:r>
      <w:r w:rsidRPr="00CD2989">
        <w:t xml:space="preserve"> El principio de interés superior de la infancia está reconocido por los artículos 1º y 4º de la Constitución, 19 de la Convención Americana sobre Derechos Humanos y 3º de la Convención sobre los Derechos del Niño, así como 3º, 4º, 6º y 7º de la Ley para la Protección de los Derechos de Niñas, Niños y Adolescentes. De acuerdo con los precedentes de esta Primera Sala, se trata de un principio de rango constitucional que, en el ámbito jurisdiccional, orienta la actividad interpretativa y exige, al aplicar una norma que pueda afectar los intereses de algún niño o niña, tomar en cuenta los deberes de protección y derechos especiales, así como un escrutinio más estricto. Ver tesis jurisprudencial Registro digital: 2006011. De la Primera Sala de la Suprema Corte de Justicia de la Nación, de rubro </w:t>
      </w:r>
    </w:p>
    <w:p w14:paraId="465CD512" w14:textId="2EB56438" w:rsidR="00D654D6" w:rsidRPr="00CD2989" w:rsidRDefault="00D654D6" w:rsidP="00CD2989">
      <w:pPr>
        <w:pStyle w:val="Textonotapie"/>
        <w:snapToGrid w:val="0"/>
        <w:spacing w:before="60" w:after="60"/>
        <w:rPr>
          <w:lang w:val="es-ES_tradnl"/>
        </w:rPr>
      </w:pPr>
      <w:r w:rsidRPr="00CD2989">
        <w:t>“INTERÉS SUPERIOR DEL NIÑO. FUNCIÓN EN EL ÁMBITO JURISDICCIONAL”</w:t>
      </w:r>
    </w:p>
  </w:footnote>
  <w:footnote w:id="14">
    <w:p w14:paraId="2D7BDFCF" w14:textId="6587E6B3" w:rsidR="000A5A54" w:rsidRPr="00CD2989" w:rsidRDefault="000A5A54" w:rsidP="00CD2989">
      <w:pPr>
        <w:pStyle w:val="Textonotapie"/>
        <w:snapToGrid w:val="0"/>
        <w:spacing w:before="60" w:after="60"/>
      </w:pPr>
      <w:r w:rsidRPr="00CD2989">
        <w:rPr>
          <w:rStyle w:val="Refdenotaalpie"/>
        </w:rPr>
        <w:footnoteRef/>
      </w:r>
      <w:r w:rsidRPr="00CD2989">
        <w:t xml:space="preserve"> Tesis aislada CVIII/2014 de la Segunda Sala de la Suprema Corte de Justicia de la Nación, </w:t>
      </w:r>
      <w:r w:rsidR="0046360F" w:rsidRPr="00CD2989">
        <w:t>publicada</w:t>
      </w:r>
      <w:r w:rsidRPr="00CD2989">
        <w:t xml:space="preserve"> en la Gaceta del Semanario Judicial de la Federación, libro 12, tomo I, noviembre de 2014, página 1192, de rubro: “SALUD. DERECHO AL NIVEL MÁS ALTO POSIBLE. ÉSTE PUEDE COMPRENDER OBLIGACIONES INMEDIATAS, COMO DE CUMPLIMIENTO PROGRESIVO.” También ver la tesis aislada LXV/2008 de la Primera Sala de la Suprema Corte de Justicia de la Nación, </w:t>
      </w:r>
      <w:r w:rsidR="0046360F" w:rsidRPr="00CD2989">
        <w:t>publicada</w:t>
      </w:r>
      <w:r w:rsidRPr="00CD2989">
        <w:t xml:space="preserve"> en el Semanario Judicial de la Federación, tomo XXVIII, julio de 2008, página 457, de rubro: “DERECHO A LA SALUD. SU REGULACIÓN EN EL ARTÍCULO 4º DE LA CONSTITUCIÓN POLÍTICA DE LOS ESTADOS UNIDOS MEXICANOS Y SU COMPLEMENTARIEDAD CON LOS TRATADOS INTERNACIONALES EN MATERIA DE DERECHOS HUMANOS.”</w:t>
      </w:r>
    </w:p>
  </w:footnote>
  <w:footnote w:id="15">
    <w:p w14:paraId="2791EE77" w14:textId="67496B30" w:rsidR="002E0005" w:rsidRPr="00CD2989" w:rsidRDefault="002E0005" w:rsidP="00CD2989">
      <w:pPr>
        <w:pStyle w:val="Sinespaciado"/>
        <w:snapToGrid w:val="0"/>
        <w:spacing w:before="60" w:after="60" w:line="240" w:lineRule="auto"/>
        <w:rPr>
          <w:sz w:val="20"/>
          <w:szCs w:val="20"/>
        </w:rPr>
      </w:pPr>
      <w:r w:rsidRPr="00CD2989">
        <w:rPr>
          <w:rStyle w:val="Refdenotaalpie"/>
          <w:sz w:val="20"/>
          <w:szCs w:val="20"/>
        </w:rPr>
        <w:footnoteRef/>
      </w:r>
      <w:r w:rsidR="001C095D" w:rsidRPr="00CD2989">
        <w:rPr>
          <w:sz w:val="20"/>
          <w:szCs w:val="20"/>
        </w:rPr>
        <w:t xml:space="preserve"> Amparo en revisión 315/2010, resuelto el 28 de marzo de 2011, por mayoría de 6 votos</w:t>
      </w:r>
      <w:r w:rsidR="00B84A58" w:rsidRPr="00CD2989">
        <w:rPr>
          <w:sz w:val="20"/>
          <w:szCs w:val="20"/>
        </w:rPr>
        <w:t xml:space="preserve"> en contra de los emitidos por los ministros</w:t>
      </w:r>
      <w:r w:rsidR="001C095D" w:rsidRPr="00CD2989">
        <w:rPr>
          <w:sz w:val="20"/>
          <w:szCs w:val="20"/>
        </w:rPr>
        <w:t xml:space="preserve"> Aguirre Anguiano</w:t>
      </w:r>
      <w:r w:rsidR="00B84A58" w:rsidRPr="00CD2989">
        <w:rPr>
          <w:sz w:val="20"/>
          <w:szCs w:val="20"/>
        </w:rPr>
        <w:t xml:space="preserve">, Pardo Rebolledo, Aguilar Morales y Ortiz </w:t>
      </w:r>
      <w:proofErr w:type="spellStart"/>
      <w:r w:rsidR="00B84A58" w:rsidRPr="00CD2989">
        <w:rPr>
          <w:sz w:val="20"/>
          <w:szCs w:val="20"/>
        </w:rPr>
        <w:t>Mayagoitia</w:t>
      </w:r>
      <w:proofErr w:type="spellEnd"/>
      <w:r w:rsidR="00B84A58" w:rsidRPr="00CD2989">
        <w:rPr>
          <w:sz w:val="20"/>
          <w:szCs w:val="20"/>
        </w:rPr>
        <w:t xml:space="preserve"> y la ministra </w:t>
      </w:r>
      <w:r w:rsidR="001C095D" w:rsidRPr="00CD2989">
        <w:rPr>
          <w:sz w:val="20"/>
          <w:szCs w:val="20"/>
        </w:rPr>
        <w:t>Luna Ramos,</w:t>
      </w:r>
      <w:r w:rsidR="00B84A58" w:rsidRPr="00CD2989">
        <w:rPr>
          <w:sz w:val="20"/>
          <w:szCs w:val="20"/>
        </w:rPr>
        <w:t xml:space="preserve"> bajo la ponencia del ministro</w:t>
      </w:r>
      <w:r w:rsidR="001C095D" w:rsidRPr="00CD2989">
        <w:rPr>
          <w:sz w:val="20"/>
          <w:szCs w:val="20"/>
        </w:rPr>
        <w:t xml:space="preserve"> Cossío Díaz. Secretarias: Francisca María Pou Giménez, Fabiana Estrada Tena y Paula María García Villegas Sánchez Cordero. Del asunto derivó la t</w:t>
      </w:r>
      <w:r w:rsidRPr="00CD2989">
        <w:rPr>
          <w:sz w:val="20"/>
          <w:szCs w:val="20"/>
        </w:rPr>
        <w:t>esis: P. XV/2011</w:t>
      </w:r>
      <w:r w:rsidR="001C095D" w:rsidRPr="00CD2989">
        <w:rPr>
          <w:sz w:val="20"/>
          <w:szCs w:val="20"/>
        </w:rPr>
        <w:t>, en los siguientes términos:</w:t>
      </w:r>
      <w:r w:rsidRPr="00CD2989">
        <w:rPr>
          <w:sz w:val="20"/>
          <w:szCs w:val="20"/>
        </w:rPr>
        <w:t xml:space="preserve"> </w:t>
      </w:r>
      <w:r w:rsidR="001C095D" w:rsidRPr="00CD2989">
        <w:rPr>
          <w:sz w:val="20"/>
          <w:szCs w:val="20"/>
        </w:rPr>
        <w:t>“</w:t>
      </w:r>
      <w:r w:rsidRPr="00CD2989">
        <w:rPr>
          <w:sz w:val="20"/>
          <w:szCs w:val="20"/>
        </w:rPr>
        <w:t>DERECHO A LA SALUD. SU NATURALEZA NORMATIVA. Nuestro país atraviesa una etapa de intensa transformación en la manera de identificar la sustancia normativa de la Constitución Política de los Estados Unidos Mexicanos y sus consecuencias para la mecánica del funcionamiento del juicio de amparo. Una de las manifestaciones específicas de este fenómeno es la alteración de la comprensión, hasta ahora tradicional, de derechos como el relativo a la salud o a la educación. Esto es, a pesar de su consagración textual en la Carta Magna, estos derechos han sido tradicionalmente entendidos como meras declaraciones de intenciones, sin mucho poder vinculante real sobre la acción de ciudadanos y poderes públicos. Se ha entendido que su efectiva consecución estaba subordinada a actuaciones legislativas y administraciones específicas, en cuya ausencia los Jueces Constitucionales no podían hacer mucho. Ahora, en cambio, se parte de la premisa de que, aunque en un Estado constitucional democrático el legislador ordinario y las autoridades gubernamentales y administrativas tienen un margen muy amplio para plasmar su visión de la Constitución y, en particular, para desplegar en una dirección u otra las políticas públicas y regulaciones que deben dar cuerpo a la garantía efectiva de los derechos, el Juez Constitucional puede contrastar su labor con los estándares contenidos en la propia Ley Suprema y en los tratados de derechos humanos que forman parte de la normativa y vinculan a todas las autoridades estatales.</w:t>
      </w:r>
      <w:r w:rsidR="001C095D" w:rsidRPr="00CD2989">
        <w:rPr>
          <w:sz w:val="20"/>
          <w:szCs w:val="20"/>
        </w:rPr>
        <w:t>”</w:t>
      </w:r>
    </w:p>
  </w:footnote>
  <w:footnote w:id="16">
    <w:p w14:paraId="0445D24F" w14:textId="5886EAC8" w:rsidR="000A5A54" w:rsidRPr="00CD2989" w:rsidRDefault="000A5A54" w:rsidP="00CD2989">
      <w:pPr>
        <w:pStyle w:val="Textonotapie"/>
        <w:snapToGrid w:val="0"/>
        <w:spacing w:before="60" w:after="60"/>
      </w:pPr>
      <w:r w:rsidRPr="00CD2989">
        <w:rPr>
          <w:rStyle w:val="Refdenotaalpie"/>
        </w:rPr>
        <w:footnoteRef/>
      </w:r>
      <w:r w:rsidRPr="00CD2989">
        <w:t xml:space="preserve"> Resuelto en sesión de 15 de mayo de 2019, por unanimidad de cinco votos, bajo la ponencia del ministro Alfredo Gutiérrez Ortiz Mena.</w:t>
      </w:r>
    </w:p>
  </w:footnote>
  <w:footnote w:id="17">
    <w:p w14:paraId="05A1C678" w14:textId="60D1C643" w:rsidR="000A5A54" w:rsidRPr="00CD2989" w:rsidRDefault="000A5A54" w:rsidP="00CD2989">
      <w:pPr>
        <w:pStyle w:val="Textonotapie"/>
        <w:snapToGrid w:val="0"/>
        <w:spacing w:before="60" w:after="60"/>
      </w:pPr>
      <w:r w:rsidRPr="00CD2989">
        <w:rPr>
          <w:rStyle w:val="Refdenotaalpie"/>
        </w:rPr>
        <w:footnoteRef/>
      </w:r>
      <w:r w:rsidRPr="00CD2989">
        <w:t xml:space="preserve"> Resuelta por el Pleno en sesión de </w:t>
      </w:r>
      <w:r w:rsidR="00FE4FAD">
        <w:t>7</w:t>
      </w:r>
      <w:r w:rsidRPr="00CD2989">
        <w:t xml:space="preserve"> de septiembre de 2021, por unanimidad de 10 votos, bajo la ponencia del ministro Luis María Aguilar Morales.</w:t>
      </w:r>
    </w:p>
  </w:footnote>
  <w:footnote w:id="18">
    <w:p w14:paraId="2A478BB0" w14:textId="77777777" w:rsidR="000A5A54" w:rsidRPr="00CD2989" w:rsidRDefault="000A5A54" w:rsidP="00CD2989">
      <w:pPr>
        <w:pStyle w:val="Textonotapie"/>
        <w:snapToGrid w:val="0"/>
        <w:spacing w:before="60" w:after="60"/>
      </w:pPr>
      <w:r w:rsidRPr="00CD2989">
        <w:rPr>
          <w:rStyle w:val="Refdenotaalpie"/>
        </w:rPr>
        <w:footnoteRef/>
      </w:r>
      <w:r w:rsidRPr="00CD2989">
        <w:t xml:space="preserve"> Resuelta por el Pleno en sesión de 9 de septiembre de 2021, por unanimidad de 10 votos, bajo la ponencia del ministro Alfredo Gutiérrez Ortiz Mena.</w:t>
      </w:r>
    </w:p>
  </w:footnote>
  <w:footnote w:id="19">
    <w:p w14:paraId="15C6AB38" w14:textId="18617CE2" w:rsidR="000A5A54" w:rsidRPr="00CD2989" w:rsidRDefault="000A5A54" w:rsidP="00CD2989">
      <w:pPr>
        <w:pStyle w:val="Textonotapie"/>
        <w:snapToGrid w:val="0"/>
        <w:spacing w:before="60" w:after="60"/>
      </w:pPr>
      <w:r w:rsidRPr="00CD2989">
        <w:rPr>
          <w:rStyle w:val="Refdenotaalpie"/>
        </w:rPr>
        <w:footnoteRef/>
      </w:r>
      <w:r w:rsidRPr="00CD2989">
        <w:t xml:space="preserve"> Tesis aislada XVI/2011, publicada en el Semanario Judicial de la Federación y su Gaceta, tomo XXXIV, agosto de 2011, página 29, de rubro: “DERECHO A LA SALUD. IMPONE AL ESTADO LAS OBLIGACIONES DE GARANTIZAR QUE SEA EJERCIDO SIN DISCRIMINACIÓN ALGUNA Y DE ADOPTAR MEDIDAS PARA SU PLENA REALIZACIÓN.” Amparo en revisión 315/2010, resuelto por el Pleno en sesión de 28 de marzo de 2011, por mayoría de seis votos</w:t>
      </w:r>
      <w:r w:rsidRPr="00CD2989">
        <w:rPr>
          <w:i/>
        </w:rPr>
        <w:t xml:space="preserve">. </w:t>
      </w:r>
      <w:r w:rsidRPr="00CD2989">
        <w:t xml:space="preserve">En el mismo sentido se han pronunciado las Salas: ver amparo en revisión 584/2013, resuelto por la Primera Sala en sesión de cinco de noviembre de dos mil catorce, por unanimidad de cinco votos, bajo la ponencia de la ministra Olga Sánchez Cordero. Secretario: Ignacio Valdés Barreiro; amparo en revisión 173/2008, resuelto por la Primera Sala en sesión de treinta de abril de dos mil ocho, por unanimidad de votos, bajo la ponencia del ministro José Ramón Cossío. Secretaria: Yaritza </w:t>
      </w:r>
      <w:proofErr w:type="spellStart"/>
      <w:r w:rsidRPr="00CD2989">
        <w:t>Lissete</w:t>
      </w:r>
      <w:proofErr w:type="spellEnd"/>
      <w:r w:rsidRPr="00CD2989">
        <w:t xml:space="preserve"> Reséndiz Estrada: amparo en revisión 378/2014, resuelto por la Segunda Sala en sesión de </w:t>
      </w:r>
      <w:r w:rsidR="00E318EF">
        <w:t xml:space="preserve">quince de octubre </w:t>
      </w:r>
      <w:r w:rsidRPr="00CD2989">
        <w:t xml:space="preserve">de dos mil catorce, por mayoría de tres votos, bajo la ponencia del ministro Alberto Pérez Dayán. Secretaria: Georgina Laso de la Vega Romero. En la Corte Interamericana de Derechos Humanos ver, por ejemplo, Corte IDH. </w:t>
      </w:r>
      <w:r w:rsidRPr="00CD2989">
        <w:rPr>
          <w:i/>
        </w:rPr>
        <w:t xml:space="preserve">Caso </w:t>
      </w:r>
      <w:proofErr w:type="spellStart"/>
      <w:r w:rsidRPr="00CD2989">
        <w:rPr>
          <w:i/>
        </w:rPr>
        <w:t>Furlan</w:t>
      </w:r>
      <w:proofErr w:type="spellEnd"/>
      <w:r w:rsidRPr="00CD2989">
        <w:rPr>
          <w:i/>
        </w:rPr>
        <w:t xml:space="preserve"> y Familiares Vs. Argentina.</w:t>
      </w:r>
      <w:r w:rsidRPr="00CD2989">
        <w:t xml:space="preserve"> Excepciones Preliminares, Fondo, Reparaciones y Costas. Sentencia de 31 de agosto de 2012. Serie C No. 246</w:t>
      </w:r>
    </w:p>
  </w:footnote>
  <w:footnote w:id="20">
    <w:p w14:paraId="01A33360" w14:textId="77777777" w:rsidR="000A5A54" w:rsidRPr="00CD2989" w:rsidRDefault="000A5A54" w:rsidP="00CD2989">
      <w:pPr>
        <w:pStyle w:val="Textonotapie"/>
        <w:snapToGrid w:val="0"/>
        <w:spacing w:before="60" w:after="60"/>
        <w:rPr>
          <w:iCs/>
        </w:rPr>
      </w:pPr>
      <w:r w:rsidRPr="00CD2989">
        <w:rPr>
          <w:rStyle w:val="Refdenotaalpie"/>
        </w:rPr>
        <w:footnoteRef/>
      </w:r>
      <w:r w:rsidRPr="00CD2989">
        <w:t xml:space="preserve"> Amparo en revisión 1388/2015,</w:t>
      </w:r>
      <w:r w:rsidRPr="00CD2989">
        <w:rPr>
          <w:i/>
        </w:rPr>
        <w:t xml:space="preserve"> </w:t>
      </w:r>
      <w:proofErr w:type="spellStart"/>
      <w:r w:rsidRPr="00CD2989">
        <w:rPr>
          <w:i/>
        </w:rPr>
        <w:t>op</w:t>
      </w:r>
      <w:proofErr w:type="spellEnd"/>
      <w:r w:rsidRPr="00CD2989">
        <w:rPr>
          <w:i/>
        </w:rPr>
        <w:t xml:space="preserve"> cit</w:t>
      </w:r>
      <w:r w:rsidRPr="00CD2989">
        <w:rPr>
          <w:iCs/>
        </w:rPr>
        <w:t>., párrafo 93</w:t>
      </w:r>
    </w:p>
  </w:footnote>
  <w:footnote w:id="21">
    <w:p w14:paraId="6CF6ADE8" w14:textId="4724450C" w:rsidR="000A5A54" w:rsidRPr="00CD2989" w:rsidRDefault="000A5A54" w:rsidP="00CD2989">
      <w:pPr>
        <w:pStyle w:val="Textonotapie"/>
        <w:snapToGrid w:val="0"/>
        <w:spacing w:before="60" w:after="60"/>
      </w:pPr>
      <w:r w:rsidRPr="00CD2989">
        <w:rPr>
          <w:rStyle w:val="Refdenotaalpie"/>
        </w:rPr>
        <w:footnoteRef/>
      </w:r>
      <w:r w:rsidRPr="00CD2989">
        <w:t xml:space="preserve"> Cfr. </w:t>
      </w:r>
      <w:r w:rsidR="0001713B" w:rsidRPr="00CD2989">
        <w:t>e</w:t>
      </w:r>
      <w:r w:rsidR="0001713B" w:rsidRPr="00CD2989">
        <w:rPr>
          <w:iCs/>
        </w:rPr>
        <w:t>ntre otros</w:t>
      </w:r>
      <w:r w:rsidRPr="00CD2989">
        <w:t xml:space="preserve">, amparo directo 51/2013, resuelto por la Primera Sala en sesión de 2 de diciembre de 2015, por unanimidad de cuatro votos, bajo la ponencia del ministro Alfredo Gutiérrez Ortiz Mena. Secretario: Miguel Antonio </w:t>
      </w:r>
      <w:r w:rsidR="005F4EC5" w:rsidRPr="00CD2989">
        <w:t>Núñez</w:t>
      </w:r>
      <w:r w:rsidRPr="00CD2989">
        <w:t xml:space="preserve"> Valadez. Corte IDH. </w:t>
      </w:r>
      <w:proofErr w:type="spellStart"/>
      <w:r w:rsidRPr="00CD2989">
        <w:rPr>
          <w:i/>
          <w:iCs/>
        </w:rPr>
        <w:t>Ximenes</w:t>
      </w:r>
      <w:proofErr w:type="spellEnd"/>
      <w:r w:rsidRPr="00CD2989">
        <w:rPr>
          <w:i/>
          <w:iCs/>
        </w:rPr>
        <w:t xml:space="preserve"> </w:t>
      </w:r>
      <w:proofErr w:type="spellStart"/>
      <w:r w:rsidRPr="00CD2989">
        <w:rPr>
          <w:i/>
          <w:iCs/>
        </w:rPr>
        <w:t>Lopes</w:t>
      </w:r>
      <w:proofErr w:type="spellEnd"/>
      <w:r w:rsidRPr="00CD2989">
        <w:rPr>
          <w:i/>
          <w:iCs/>
        </w:rPr>
        <w:t xml:space="preserve"> vs Brasil</w:t>
      </w:r>
      <w:r w:rsidRPr="00CD2989">
        <w:t>. Sentencia de 4 de julio de 2006. Serie C No. 149</w:t>
      </w:r>
    </w:p>
  </w:footnote>
  <w:footnote w:id="22">
    <w:p w14:paraId="4E7A9AC9" w14:textId="77777777" w:rsidR="000A5A54" w:rsidRPr="00CD2989" w:rsidRDefault="000A5A54" w:rsidP="00CD2989">
      <w:pPr>
        <w:pStyle w:val="Textonotapie"/>
        <w:snapToGrid w:val="0"/>
        <w:spacing w:before="60" w:after="60"/>
        <w:rPr>
          <w:lang w:val="es-ES_tradnl"/>
        </w:rPr>
      </w:pPr>
      <w:r w:rsidRPr="00CD2989">
        <w:rPr>
          <w:rStyle w:val="Refdenotaalpie"/>
        </w:rPr>
        <w:footnoteRef/>
      </w:r>
      <w:r w:rsidRPr="00CD2989">
        <w:t xml:space="preserve"> Cfr. Amparo en revisión 476/2014, resuelto por la Primera Sala en sesión de veintidós de abril de dos mil quince, bajo la ponencia del ministro Alfredo Gutiérrez Ortiz Mena. Secretaria: Karla I. Quintana Osuna.</w:t>
      </w:r>
    </w:p>
  </w:footnote>
  <w:footnote w:id="23">
    <w:p w14:paraId="5090FFFD" w14:textId="77777777" w:rsidR="000A5A54" w:rsidRPr="00CD2989" w:rsidRDefault="000A5A54" w:rsidP="00CD2989">
      <w:pPr>
        <w:pStyle w:val="Textonotapie"/>
        <w:snapToGrid w:val="0"/>
        <w:spacing w:before="60" w:after="60"/>
      </w:pPr>
      <w:r w:rsidRPr="00CD2989">
        <w:rPr>
          <w:rStyle w:val="Refdenotaalpie"/>
        </w:rPr>
        <w:footnoteRef/>
      </w:r>
      <w:r w:rsidRPr="00CD2989">
        <w:t xml:space="preserve"> Amparo en revisión 315/2010, </w:t>
      </w:r>
      <w:proofErr w:type="spellStart"/>
      <w:r w:rsidRPr="00CD2989">
        <w:t>op</w:t>
      </w:r>
      <w:proofErr w:type="spellEnd"/>
      <w:r w:rsidRPr="00CD2989">
        <w:t xml:space="preserve">. cit. Cfr. Corte IDH. Caso </w:t>
      </w:r>
      <w:r w:rsidRPr="00CD2989">
        <w:rPr>
          <w:i/>
          <w:iCs/>
        </w:rPr>
        <w:t xml:space="preserve">Comunidad Indígena </w:t>
      </w:r>
      <w:proofErr w:type="spellStart"/>
      <w:r w:rsidRPr="00CD2989">
        <w:rPr>
          <w:i/>
          <w:iCs/>
        </w:rPr>
        <w:t>Xákmok</w:t>
      </w:r>
      <w:proofErr w:type="spellEnd"/>
      <w:r w:rsidRPr="00CD2989">
        <w:rPr>
          <w:i/>
          <w:iCs/>
        </w:rPr>
        <w:t xml:space="preserve"> </w:t>
      </w:r>
      <w:proofErr w:type="spellStart"/>
      <w:r w:rsidRPr="00CD2989">
        <w:rPr>
          <w:i/>
          <w:iCs/>
        </w:rPr>
        <w:t>Kásek</w:t>
      </w:r>
      <w:proofErr w:type="spellEnd"/>
      <w:r w:rsidRPr="00CD2989">
        <w:rPr>
          <w:i/>
          <w:iCs/>
        </w:rPr>
        <w:t>. Vs. Paraguay</w:t>
      </w:r>
      <w:r w:rsidRPr="00CD2989">
        <w:t xml:space="preserve">. Fondo, Reparaciones y Costas. Sentencia de 24 de agosto de 2010 Serie C No. 214, Corte IDH. Caso </w:t>
      </w:r>
      <w:r w:rsidRPr="00CD2989">
        <w:rPr>
          <w:i/>
          <w:iCs/>
        </w:rPr>
        <w:t xml:space="preserve">Comunidad Indígena </w:t>
      </w:r>
      <w:proofErr w:type="spellStart"/>
      <w:r w:rsidRPr="00CD2989">
        <w:rPr>
          <w:i/>
          <w:iCs/>
        </w:rPr>
        <w:t>Yakye</w:t>
      </w:r>
      <w:proofErr w:type="spellEnd"/>
      <w:r w:rsidRPr="00CD2989">
        <w:rPr>
          <w:i/>
          <w:iCs/>
        </w:rPr>
        <w:t xml:space="preserve"> Axa Vs. Paraguay</w:t>
      </w:r>
      <w:r w:rsidRPr="00CD2989">
        <w:t xml:space="preserve">. Fondo Reparaciones y Costas. Sentencia 17 de junio de 2005. Serie C No. 125, Corte IDH. Caso Comunidad Indígena </w:t>
      </w:r>
      <w:proofErr w:type="spellStart"/>
      <w:r w:rsidRPr="00CD2989">
        <w:t>Sawhoyamaxa</w:t>
      </w:r>
      <w:proofErr w:type="spellEnd"/>
      <w:r w:rsidRPr="00CD2989">
        <w:t xml:space="preserve"> Vs. Paraguay. Fondo, Reparaciones y Costas. Sentencia de 29 de marzo de 2006. Serie C No. 146 Observación General </w:t>
      </w:r>
      <w:proofErr w:type="spellStart"/>
      <w:r w:rsidRPr="00CD2989">
        <w:t>N°</w:t>
      </w:r>
      <w:proofErr w:type="spellEnd"/>
      <w:r w:rsidRPr="00CD2989">
        <w:t xml:space="preserve"> 14 del Comité de Derechos Económicos, Sociales y Culturales.</w:t>
      </w:r>
    </w:p>
  </w:footnote>
  <w:footnote w:id="24">
    <w:p w14:paraId="65B9671F" w14:textId="1D7E22EF" w:rsidR="000A5A54" w:rsidRPr="00CD2989" w:rsidRDefault="000A5A54" w:rsidP="00CD2989">
      <w:pPr>
        <w:pStyle w:val="Textonotapie"/>
        <w:snapToGrid w:val="0"/>
        <w:spacing w:before="60" w:after="60"/>
      </w:pPr>
      <w:r w:rsidRPr="00CD2989">
        <w:rPr>
          <w:rStyle w:val="Refdenotaalpie"/>
        </w:rPr>
        <w:footnoteRef/>
      </w:r>
      <w:r w:rsidRPr="00CD2989">
        <w:t xml:space="preserve"> </w:t>
      </w:r>
      <w:r w:rsidR="001F54C6" w:rsidRPr="00CD2989">
        <w:t>Ver nota</w:t>
      </w:r>
      <w:r w:rsidR="006E1A1E" w:rsidRPr="00CD2989">
        <w:t>s 15 y 16.</w:t>
      </w:r>
    </w:p>
  </w:footnote>
  <w:footnote w:id="25">
    <w:p w14:paraId="14B604C7" w14:textId="77777777" w:rsidR="000A5A54" w:rsidRPr="00CD2989" w:rsidRDefault="000A5A54" w:rsidP="00CD2989">
      <w:pPr>
        <w:pStyle w:val="Textonotapie"/>
        <w:snapToGrid w:val="0"/>
        <w:spacing w:before="60" w:after="60"/>
        <w:rPr>
          <w:lang w:val="es-ES_tradnl"/>
        </w:rPr>
      </w:pPr>
      <w:r w:rsidRPr="00CD2989">
        <w:rPr>
          <w:rStyle w:val="Refdenotaalpie"/>
        </w:rPr>
        <w:footnoteRef/>
      </w:r>
      <w:r w:rsidRPr="00CD2989">
        <w:t xml:space="preserve"> “(…)</w:t>
      </w:r>
      <w:r w:rsidRPr="00CD2989">
        <w:rPr>
          <w:i/>
        </w:rPr>
        <w:t>. El derecho a la salud entraña libertades y derechos. Entre las libertades figura el derecho a controlar su salud y su cuerpo, con inclusión de la libertad sexual y genésica, y el derecho a no padecer injerencias, como el derecho a no ser sometido a torturas ni a tratamientos y experimentos médicos no consensuales (…)</w:t>
      </w:r>
      <w:r w:rsidRPr="00CD2989">
        <w:t xml:space="preserve">” Observación general </w:t>
      </w:r>
      <w:proofErr w:type="spellStart"/>
      <w:r w:rsidRPr="00CD2989">
        <w:t>Nº</w:t>
      </w:r>
      <w:proofErr w:type="spellEnd"/>
      <w:r w:rsidRPr="00CD2989">
        <w:t xml:space="preserve"> 14 (2000). El derecho al disfrute del más alto nivel posible de salud (artículo 12 del Pacto Internacional de Derechos Económicos, Sociales y Culturales). Comité de derechos económicos, sociales y culturales. 22º período de sesiones. Ginebra, 25 de abril a 12 de mayo de 2000 Tema 3 del programa. E/C.12/2000/4; 11 de agosto de 2000.</w:t>
      </w:r>
    </w:p>
  </w:footnote>
  <w:footnote w:id="26">
    <w:p w14:paraId="25E20B14" w14:textId="77777777" w:rsidR="000A5A54" w:rsidRPr="00CD2989" w:rsidRDefault="000A5A54" w:rsidP="00CD2989">
      <w:pPr>
        <w:pStyle w:val="Textonotapie"/>
        <w:snapToGrid w:val="0"/>
        <w:spacing w:before="60" w:after="60"/>
      </w:pPr>
      <w:r w:rsidRPr="00CD2989">
        <w:rPr>
          <w:rStyle w:val="Refdenotaalpie"/>
        </w:rPr>
        <w:footnoteRef/>
      </w:r>
      <w:r w:rsidRPr="00CD2989">
        <w:t xml:space="preserve"> El derecho de toda persona al disfrute del más alto nivel posible de salud física y mental. Informe del Relator Especial, Sr. Paul Hunt. Comisión de derechos humanos. 60º período de sesiones. Tema 10 del programa provisional. E/CN.4/2004/49; 16 de febrero de 2004.</w:t>
      </w:r>
    </w:p>
  </w:footnote>
  <w:footnote w:id="27">
    <w:p w14:paraId="6BCFCE5D" w14:textId="77777777" w:rsidR="000A5A54" w:rsidRPr="00CD2989" w:rsidRDefault="000A5A54" w:rsidP="00CD2989">
      <w:pPr>
        <w:snapToGrid w:val="0"/>
        <w:spacing w:line="240" w:lineRule="auto"/>
        <w:rPr>
          <w:sz w:val="20"/>
          <w:szCs w:val="20"/>
        </w:rPr>
      </w:pPr>
      <w:r w:rsidRPr="00CD2989">
        <w:rPr>
          <w:rStyle w:val="Refdenotaalpie"/>
          <w:sz w:val="20"/>
          <w:szCs w:val="20"/>
        </w:rPr>
        <w:footnoteRef/>
      </w:r>
      <w:r w:rsidRPr="00CD2989">
        <w:rPr>
          <w:sz w:val="20"/>
          <w:szCs w:val="20"/>
        </w:rPr>
        <w:t xml:space="preserve"> Tesis P.LXVI/2009, publicada en el Semanario Judicial de la Federación y su Gaceta, tomo XXX, diciembre de 2009, página 7, de rubro y texto: “DERECHO AL LIBRE DESARROLLO DE LA PERSONALIDAD. ASPECTOS QUE COMPRENDE. De la dignidad humana, como derecho fundamental superior reconocido por el orden jurídico mexicano, deriva, entre otros derechos personalísimos, el de todo individuo a elegir en forma libre y autónoma su proyecto de vida. Así, acorde a la doctrina y jurisprudencia comparadas, tal derecho es el reconocimiento del Estado sobre la facultad natural de toda persona a ser individualmente como quiere ser, sin coacción ni controles injustificados, con el fin de cumplir las metas u objetivos que se ha fijado, de acuerdo con sus valores, ideas, expectativas, gustos, etcétera. Por tanto, el libre desarrollo de la personalidad comprende, entre otras expresiones,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w:t>
      </w:r>
    </w:p>
  </w:footnote>
  <w:footnote w:id="28">
    <w:p w14:paraId="1E2CA64C" w14:textId="77777777" w:rsidR="000A5A54" w:rsidRPr="00CD2989" w:rsidRDefault="000A5A54" w:rsidP="00CD2989">
      <w:pPr>
        <w:autoSpaceDE w:val="0"/>
        <w:autoSpaceDN w:val="0"/>
        <w:adjustRightInd w:val="0"/>
        <w:snapToGrid w:val="0"/>
        <w:spacing w:line="240" w:lineRule="auto"/>
        <w:rPr>
          <w:rFonts w:eastAsia="Calibri"/>
          <w:sz w:val="20"/>
          <w:szCs w:val="20"/>
          <w:lang w:eastAsia="es-MX"/>
        </w:rPr>
      </w:pPr>
      <w:r w:rsidRPr="00CD2989">
        <w:rPr>
          <w:rStyle w:val="Refdenotaalpie"/>
          <w:sz w:val="20"/>
          <w:szCs w:val="20"/>
        </w:rPr>
        <w:footnoteRef/>
      </w:r>
      <w:r w:rsidRPr="00CD2989">
        <w:rPr>
          <w:sz w:val="20"/>
          <w:szCs w:val="20"/>
        </w:rPr>
        <w:t xml:space="preserve"> </w:t>
      </w:r>
      <w:r w:rsidRPr="00CD2989">
        <w:rPr>
          <w:rFonts w:eastAsia="Calibri"/>
          <w:sz w:val="20"/>
          <w:szCs w:val="20"/>
          <w:lang w:eastAsia="es-MX"/>
        </w:rPr>
        <w:t>En México, el acceso al derecho a la seguridad social, por ejemplo, depende de la situación laboral de las personas. Según el informe de GIRE, 59.1% de las personas trabajan en el sector informal; de ellas, 29% son mujeres. Así, esta parte de la población no cuenta con acceso a servicios de atención de la salud o, de estar afiliadas a esquemas como el Seguro Popular, su acceso es muy limitado.</w:t>
      </w:r>
    </w:p>
    <w:p w14:paraId="31F4634A" w14:textId="77777777" w:rsidR="000A5A54" w:rsidRPr="00CD2989" w:rsidRDefault="000A5A54" w:rsidP="00CD2989">
      <w:pPr>
        <w:autoSpaceDE w:val="0"/>
        <w:autoSpaceDN w:val="0"/>
        <w:adjustRightInd w:val="0"/>
        <w:snapToGrid w:val="0"/>
        <w:spacing w:line="240" w:lineRule="auto"/>
        <w:rPr>
          <w:rFonts w:eastAsia="Calibri"/>
          <w:sz w:val="20"/>
          <w:szCs w:val="20"/>
          <w:lang w:eastAsia="es-MX"/>
        </w:rPr>
      </w:pPr>
      <w:r w:rsidRPr="00CD2989">
        <w:rPr>
          <w:rFonts w:eastAsia="Calibri"/>
          <w:sz w:val="20"/>
          <w:szCs w:val="20"/>
          <w:lang w:eastAsia="es-MX"/>
        </w:rPr>
        <w:t xml:space="preserve">Resultan relevantes igualmente las cifras sobre la mortalidad materna, esto es, el fallecimiento de una mujer por causas prevenibles, durante el embarazo, parto o el posparto, y que guarda relación con falles estructurales del sistema de salud, de 2012 a 2016, murieron 4,283 mujeres por causas prevenibles relacionadas con el embarazo, parto y puerperio; 1/8 de ellas eran adolescentes y el 11.2% mujeres indígenas. En efecto, en 2016, las entidades con más muertes maternas fueron Campeche, CDMX, Guerrero, Hidalgo y Oaxaca. GIRE, </w:t>
      </w:r>
      <w:r w:rsidRPr="00CD2989">
        <w:rPr>
          <w:rFonts w:eastAsia="Calibri"/>
          <w:i/>
          <w:iCs/>
          <w:sz w:val="20"/>
          <w:szCs w:val="20"/>
          <w:lang w:eastAsia="es-MX"/>
        </w:rPr>
        <w:t>La pieza faltante. Justicia reproductiva</w:t>
      </w:r>
      <w:r w:rsidRPr="00CD2989">
        <w:rPr>
          <w:rFonts w:eastAsia="Calibri"/>
          <w:sz w:val="20"/>
          <w:szCs w:val="20"/>
          <w:lang w:eastAsia="es-MX"/>
        </w:rPr>
        <w:t xml:space="preserve">, 2018, disponible en </w:t>
      </w:r>
      <w:hyperlink r:id="rId1" w:history="1">
        <w:r w:rsidRPr="00CD2989">
          <w:rPr>
            <w:rStyle w:val="Hipervnculo"/>
            <w:rFonts w:eastAsia="Calibri"/>
            <w:sz w:val="20"/>
            <w:szCs w:val="20"/>
            <w:lang w:eastAsia="es-MX"/>
          </w:rPr>
          <w:t>https://gire.org.mx/publicaciones/la-pieza-faltante-justicia-reproductiva/</w:t>
        </w:r>
      </w:hyperlink>
      <w:r w:rsidRPr="00CD2989">
        <w:rPr>
          <w:rFonts w:eastAsia="Calibri"/>
          <w:sz w:val="20"/>
          <w:szCs w:val="20"/>
          <w:lang w:eastAsia="es-MX"/>
        </w:rPr>
        <w:t xml:space="preserve"> </w:t>
      </w:r>
    </w:p>
    <w:p w14:paraId="0791D1C6" w14:textId="77777777" w:rsidR="000A5A54" w:rsidRPr="00CD2989" w:rsidRDefault="000A5A54" w:rsidP="00CD2989">
      <w:pPr>
        <w:snapToGrid w:val="0"/>
        <w:spacing w:line="240" w:lineRule="auto"/>
        <w:rPr>
          <w:rFonts w:eastAsia="Calibri"/>
          <w:sz w:val="20"/>
          <w:szCs w:val="20"/>
        </w:rPr>
      </w:pPr>
      <w:r w:rsidRPr="00CD2989">
        <w:rPr>
          <w:rFonts w:eastAsia="Calibri"/>
          <w:sz w:val="20"/>
          <w:szCs w:val="20"/>
        </w:rPr>
        <w:t xml:space="preserve">Por otra parte, el conocimiento y uso de los métodos anticonceptivos también son muy limitados, muchas mujeres dicen conocer sobre ellos, pero no saber usarlos o no los usan de manera adecuada. Esta situación es aún </w:t>
      </w:r>
      <w:proofErr w:type="spellStart"/>
      <w:r w:rsidRPr="00CD2989">
        <w:rPr>
          <w:rFonts w:eastAsia="Calibri"/>
          <w:sz w:val="20"/>
          <w:szCs w:val="20"/>
        </w:rPr>
        <w:t>mas</w:t>
      </w:r>
      <w:proofErr w:type="spellEnd"/>
      <w:r w:rsidRPr="00CD2989">
        <w:rPr>
          <w:rFonts w:eastAsia="Calibri"/>
          <w:sz w:val="20"/>
          <w:szCs w:val="20"/>
        </w:rPr>
        <w:t xml:space="preserve"> grave cuando se trata de adolescentes y mujeres pertenecientes a poblaciones rurales o de habla indígena. Cfr. Consejo Nacional de Población, </w:t>
      </w:r>
      <w:r w:rsidRPr="00CD2989">
        <w:rPr>
          <w:rFonts w:eastAsia="Calibri"/>
          <w:i/>
          <w:iCs/>
          <w:sz w:val="20"/>
          <w:szCs w:val="20"/>
        </w:rPr>
        <w:t>Situación de la Salud Sexual y Reproductiva</w:t>
      </w:r>
      <w:r w:rsidRPr="00CD2989">
        <w:rPr>
          <w:rFonts w:eastAsia="Calibri"/>
          <w:sz w:val="20"/>
          <w:szCs w:val="20"/>
        </w:rPr>
        <w:t xml:space="preserve">, 2016, disponible en </w:t>
      </w:r>
      <w:hyperlink r:id="rId2" w:history="1">
        <w:r w:rsidRPr="00CD2989">
          <w:rPr>
            <w:rStyle w:val="Hipervnculo"/>
            <w:rFonts w:eastAsia="Calibri"/>
            <w:sz w:val="20"/>
            <w:szCs w:val="20"/>
          </w:rPr>
          <w:t>https://www.gob.mx/cms/uploads/attachment/file/237216/Cuadernillo_SSR_RM.pdf</w:t>
        </w:r>
      </w:hyperlink>
    </w:p>
  </w:footnote>
  <w:footnote w:id="29">
    <w:p w14:paraId="11A2AA49" w14:textId="1BFF3A20" w:rsidR="00FF527C" w:rsidRPr="00CD2989" w:rsidRDefault="00FF527C" w:rsidP="00CD2989">
      <w:pPr>
        <w:autoSpaceDE w:val="0"/>
        <w:autoSpaceDN w:val="0"/>
        <w:adjustRightInd w:val="0"/>
        <w:snapToGrid w:val="0"/>
        <w:spacing w:line="240" w:lineRule="auto"/>
        <w:rPr>
          <w:sz w:val="20"/>
          <w:szCs w:val="20"/>
        </w:rPr>
      </w:pPr>
      <w:r w:rsidRPr="00CD2989">
        <w:rPr>
          <w:rStyle w:val="Refdenotaalpie"/>
          <w:sz w:val="20"/>
          <w:szCs w:val="20"/>
        </w:rPr>
        <w:footnoteRef/>
      </w:r>
      <w:r w:rsidRPr="00CD2989">
        <w:rPr>
          <w:sz w:val="20"/>
          <w:szCs w:val="20"/>
        </w:rPr>
        <w:t xml:space="preserve">  Las violaciones de las obligaciones de respetar son las acciones, políticas o leyes de los Estados que contravienen las normas establecidas en el artículo 12 del Pacto y que son susceptibles de producir lesiones corporales, una morbosidad innecesaria y una mortalidad evitable. Como ejemplos de ello cabe mencionar la denegación de acceso a los establecimientos, bienes y servicios de salud a determinadas personas o grupos de personas como resultado de la discriminación de i</w:t>
      </w:r>
      <w:r w:rsidRPr="00CD2989">
        <w:rPr>
          <w:i/>
          <w:sz w:val="20"/>
          <w:szCs w:val="20"/>
        </w:rPr>
        <w:t xml:space="preserve">ure </w:t>
      </w:r>
      <w:r w:rsidRPr="00CD2989">
        <w:rPr>
          <w:sz w:val="20"/>
          <w:szCs w:val="20"/>
        </w:rPr>
        <w:t xml:space="preserve">o de </w:t>
      </w:r>
      <w:r w:rsidRPr="00CD2989">
        <w:rPr>
          <w:i/>
          <w:sz w:val="20"/>
          <w:szCs w:val="20"/>
        </w:rPr>
        <w:t>facto.</w:t>
      </w:r>
    </w:p>
  </w:footnote>
  <w:footnote w:id="30">
    <w:p w14:paraId="48E6E02A" w14:textId="77777777" w:rsidR="000A5A54" w:rsidRPr="00CD2989" w:rsidRDefault="000A5A54" w:rsidP="00CD2989">
      <w:pPr>
        <w:pStyle w:val="Textonotapie"/>
        <w:snapToGrid w:val="0"/>
        <w:spacing w:before="60" w:after="60"/>
        <w:rPr>
          <w:lang w:val="es-ES_tradnl"/>
        </w:rPr>
      </w:pPr>
      <w:r w:rsidRPr="00CD2989">
        <w:rPr>
          <w:rStyle w:val="Refdenotaalpie"/>
        </w:rPr>
        <w:footnoteRef/>
      </w:r>
      <w:r w:rsidRPr="00CD2989">
        <w:t xml:space="preserve"> Tesis aislada LXV/2008 de la Primera Sala de la Suprema Corte de Justicia de la Nación, visible en la página 457 del Tomo XXVIII (julio de 2008) del Semanario Judicial de la Federación y su Gaceta, de rubro: “DERECHO A LA SALUD. SU REGULACIÓN EN EL ARTÍCULO 4º. DE LA CONSTITUCIÓN POLÍTICA DE LOS ESTADOOS UNIDOS MEXICANOS Y SU COMPLEMENTARIEDAD CON LOS TRATADOS INTERNACIONALES EN MATERIA DE DERECHOS HUMANOS.”</w:t>
      </w:r>
    </w:p>
  </w:footnote>
  <w:footnote w:id="31">
    <w:p w14:paraId="44A3A8E6" w14:textId="77777777" w:rsidR="003533F0" w:rsidRPr="00CD2989" w:rsidRDefault="003533F0" w:rsidP="00CD2989">
      <w:pPr>
        <w:pStyle w:val="Textonotapie"/>
        <w:snapToGrid w:val="0"/>
        <w:spacing w:before="60" w:after="60"/>
      </w:pPr>
      <w:r w:rsidRPr="00CD2989">
        <w:rPr>
          <w:rStyle w:val="Refdenotaalpie"/>
        </w:rPr>
        <w:footnoteRef/>
      </w:r>
      <w:r w:rsidRPr="00CD2989">
        <w:t xml:space="preserve"> Informe sobre la salud en el mundo 2002, reducir los riesgos y promover una vida sana. OMS. 2002. P. 12. Sobre este punto ver también: </w:t>
      </w:r>
      <w:proofErr w:type="spellStart"/>
      <w:r w:rsidRPr="00CD2989">
        <w:t>Gaután</w:t>
      </w:r>
      <w:proofErr w:type="spellEnd"/>
      <w:r w:rsidRPr="00CD2989">
        <w:t xml:space="preserve"> Duarte, Hernando Guillermo y Gómez Sánchez, Pío Iván. Aspectos médicos. En: 81. Implicaciones éticas, jurídicas y médicas de la sentencia C-355 de la Corte Constitucional. Un avance para el ejercicio de los derechos humanos, sexuales y reproductivos de las colombianas. Ministerio de Protección Social. Universidad Nacional de Colombia. Colombia. 2007 </w:t>
      </w:r>
    </w:p>
  </w:footnote>
  <w:footnote w:id="32">
    <w:p w14:paraId="559354E6" w14:textId="77777777" w:rsidR="003533F0" w:rsidRPr="00CD2989" w:rsidRDefault="003533F0" w:rsidP="00CD2989">
      <w:pPr>
        <w:pStyle w:val="Textonotapie"/>
        <w:snapToGrid w:val="0"/>
        <w:spacing w:before="60" w:after="60"/>
      </w:pPr>
      <w:r w:rsidRPr="00CD2989">
        <w:rPr>
          <w:rStyle w:val="Refdenotaalpie"/>
        </w:rPr>
        <w:footnoteRef/>
      </w:r>
      <w:r w:rsidRPr="00CD2989">
        <w:t xml:space="preserve"> Informe sobre la salud en el mundo 2002, reducir los riesgos y promover una vida sana. P. 12</w:t>
      </w:r>
    </w:p>
  </w:footnote>
  <w:footnote w:id="33">
    <w:p w14:paraId="4E700996" w14:textId="5A49C5C6" w:rsidR="00015694" w:rsidRPr="00CD2989" w:rsidRDefault="00015694" w:rsidP="00CD2989">
      <w:pPr>
        <w:pStyle w:val="Textonotapie"/>
        <w:snapToGrid w:val="0"/>
        <w:spacing w:before="60" w:after="60"/>
      </w:pPr>
      <w:r w:rsidRPr="00CD2989">
        <w:rPr>
          <w:rStyle w:val="Refdenotaalpie"/>
        </w:rPr>
        <w:footnoteRef/>
      </w:r>
      <w:r w:rsidRPr="00CD2989">
        <w:t xml:space="preserve"> </w:t>
      </w:r>
      <w:r w:rsidR="006B657A" w:rsidRPr="00CD2989">
        <w:t>Expediente clínico de la paciente, anexado al informe</w:t>
      </w:r>
      <w:r w:rsidR="00D9393B" w:rsidRPr="00CD2989">
        <w:t xml:space="preserve"> justificado del Hospital Civil de Guadalajara</w:t>
      </w:r>
      <w:r w:rsidR="006B657A" w:rsidRPr="00CD2989">
        <w:t>, página</w:t>
      </w:r>
      <w:r w:rsidR="00852E33" w:rsidRPr="00CD2989">
        <w:t>s</w:t>
      </w:r>
      <w:r w:rsidR="006B657A" w:rsidRPr="00CD2989">
        <w:t xml:space="preserve"> </w:t>
      </w:r>
      <w:r w:rsidR="00852E33" w:rsidRPr="00CD2989">
        <w:t xml:space="preserve">37 y </w:t>
      </w:r>
      <w:proofErr w:type="spellStart"/>
      <w:r w:rsidR="00852E33" w:rsidRPr="00CD2989">
        <w:t>ss</w:t>
      </w:r>
      <w:proofErr w:type="spellEnd"/>
    </w:p>
  </w:footnote>
  <w:footnote w:id="34">
    <w:p w14:paraId="75CF21F2" w14:textId="77777777" w:rsidR="00664A6C" w:rsidRPr="00CD2989" w:rsidRDefault="00664A6C" w:rsidP="00CD2989">
      <w:pPr>
        <w:pStyle w:val="Textonotapie"/>
        <w:snapToGrid w:val="0"/>
        <w:spacing w:before="60" w:after="60"/>
      </w:pPr>
      <w:r w:rsidRPr="00CD2989">
        <w:rPr>
          <w:rStyle w:val="Refdenotaalpie"/>
        </w:rPr>
        <w:footnoteRef/>
      </w:r>
      <w:r w:rsidRPr="00CD2989">
        <w:t xml:space="preserve"> En el caso </w:t>
      </w:r>
      <w:proofErr w:type="spellStart"/>
      <w:r w:rsidRPr="00CD2989">
        <w:t>Bourne</w:t>
      </w:r>
      <w:proofErr w:type="spellEnd"/>
      <w:r w:rsidRPr="00CD2989">
        <w:t xml:space="preserve"> (R v </w:t>
      </w:r>
      <w:proofErr w:type="spellStart"/>
      <w:r w:rsidRPr="00CD2989">
        <w:t>Bourne</w:t>
      </w:r>
      <w:proofErr w:type="spellEnd"/>
      <w:r w:rsidRPr="00CD2989">
        <w:t xml:space="preserve">, [1938] 3 </w:t>
      </w:r>
      <w:proofErr w:type="spellStart"/>
      <w:r w:rsidRPr="00CD2989">
        <w:t>All</w:t>
      </w:r>
      <w:proofErr w:type="spellEnd"/>
      <w:r w:rsidRPr="00CD2989">
        <w:t xml:space="preserve"> </w:t>
      </w:r>
      <w:proofErr w:type="spellStart"/>
      <w:r w:rsidRPr="00CD2989">
        <w:t>England</w:t>
      </w:r>
      <w:proofErr w:type="spellEnd"/>
      <w:r w:rsidRPr="00CD2989">
        <w:t xml:space="preserve"> </w:t>
      </w:r>
      <w:proofErr w:type="spellStart"/>
      <w:r w:rsidRPr="00CD2989">
        <w:t>Reports</w:t>
      </w:r>
      <w:proofErr w:type="spellEnd"/>
      <w:r w:rsidRPr="00CD2989">
        <w:t xml:space="preserve"> 615, [1939] 1 </w:t>
      </w:r>
      <w:proofErr w:type="spellStart"/>
      <w:r w:rsidRPr="00CD2989">
        <w:t>King’s</w:t>
      </w:r>
      <w:proofErr w:type="spellEnd"/>
      <w:r w:rsidRPr="00CD2989">
        <w:t xml:space="preserve"> </w:t>
      </w:r>
      <w:proofErr w:type="spellStart"/>
      <w:r w:rsidRPr="00CD2989">
        <w:t>Bench</w:t>
      </w:r>
      <w:proofErr w:type="spellEnd"/>
      <w:r w:rsidRPr="00CD2989">
        <w:t xml:space="preserve"> 687 (</w:t>
      </w:r>
      <w:proofErr w:type="spellStart"/>
      <w:r w:rsidRPr="00CD2989">
        <w:t>CentralCriminal</w:t>
      </w:r>
      <w:proofErr w:type="spellEnd"/>
      <w:r w:rsidRPr="00CD2989">
        <w:t xml:space="preserve"> </w:t>
      </w:r>
      <w:proofErr w:type="spellStart"/>
      <w:r w:rsidRPr="00CD2989">
        <w:t>Court</w:t>
      </w:r>
      <w:proofErr w:type="spellEnd"/>
      <w:r w:rsidRPr="00CD2989">
        <w:t xml:space="preserve">, London), resuelto el siglo pasado en Inglaterra, el aborto fue considerado como una emergencia obstétrica, pues la adolescente que lo solicitaba había expresado ideaciones suicidas. El argumento central de la Corte, en aquel entonces, fue el principio del </w:t>
      </w:r>
      <w:r w:rsidRPr="00CD2989">
        <w:rPr>
          <w:i/>
          <w:iCs/>
        </w:rPr>
        <w:t>doble efecto</w:t>
      </w:r>
      <w:r w:rsidRPr="00CD2989">
        <w:t xml:space="preserve">, un principio de origen cristiano que obliga que -en circunstancias trágicas- debe optarse por el menor de los males. </w:t>
      </w:r>
    </w:p>
  </w:footnote>
  <w:footnote w:id="35">
    <w:p w14:paraId="5C6901F7" w14:textId="77777777" w:rsidR="003D3A9A" w:rsidRPr="00CD2989" w:rsidRDefault="003D3A9A" w:rsidP="00CD2989">
      <w:pPr>
        <w:pStyle w:val="Textonotapie"/>
        <w:snapToGrid w:val="0"/>
        <w:spacing w:before="60" w:after="60"/>
      </w:pPr>
      <w:r w:rsidRPr="00CD2989">
        <w:rPr>
          <w:rStyle w:val="Refdenotaalpie"/>
        </w:rPr>
        <w:footnoteRef/>
      </w:r>
      <w:r w:rsidRPr="00CD2989">
        <w:t xml:space="preserve"> Tesis aislada LXV/2008 de la Primera Sala de la Suprema Corte de Justicia de la Nación, visible en la página 457 del Tomo XXVIII (julio de 2008) del Semanario Judicial de la Federación y su Gaceta, de rubro: “DERECHO A LA SALUD. SU REGULACIÓN EN EL ARTÍCULO 4º. DE LA CONSTITUCIÓN POLÍTICA DE LOS ESTADOOS UNIDOS MEXICANOS Y SU COMPLEMENTARIEDAD CON LOS TRATADOS INTERNACIONALES EN MATERIA DE DERECHOS HUMANOS.”</w:t>
      </w:r>
    </w:p>
  </w:footnote>
  <w:footnote w:id="36">
    <w:p w14:paraId="1D2D0581" w14:textId="06069A26" w:rsidR="00046A2C" w:rsidRPr="00CD2989" w:rsidRDefault="00046A2C" w:rsidP="00CD2989">
      <w:pPr>
        <w:pStyle w:val="Textonotapie"/>
        <w:snapToGrid w:val="0"/>
        <w:spacing w:before="60" w:after="60"/>
      </w:pPr>
      <w:r w:rsidRPr="00CD2989">
        <w:rPr>
          <w:rStyle w:val="Refdenotaalpie"/>
        </w:rPr>
        <w:footnoteRef/>
      </w:r>
      <w:r w:rsidRPr="00CD2989">
        <w:t xml:space="preserve"> </w:t>
      </w:r>
      <w:r w:rsidR="00D17CE8" w:rsidRPr="00CD2989">
        <w:t xml:space="preserve">Según el informe justificado, ante la omisión de remitir la petición a la que hizo alusión en su oficio </w:t>
      </w:r>
      <w:r w:rsidR="00A87DCD">
        <w:rPr>
          <w:color w:val="C00000"/>
        </w:rPr>
        <w:t>*****</w:t>
      </w:r>
      <w:r w:rsidR="00D17CE8" w:rsidRPr="00CD2989">
        <w:rPr>
          <w:color w:val="C00000"/>
        </w:rPr>
        <w:t xml:space="preserve"> </w:t>
      </w:r>
      <w:r w:rsidR="00D17CE8" w:rsidRPr="00CD2989">
        <w:t>suscrito por Alejandro González Zaragoza, el secretario particular del secretario de Salud, Fernando Petersen Aranguren, la dirección general del hospital se comunicó por teléfono quien le comentó que tenían una solicitud de la organización GIRE para la interrupción del embarazo. Según el director general, el secretario particular le dijo que ellos se encargarían del caso a través del departamento de Salud Reproductiva de la Secretaría de Salud del Estado de Jalisco,</w:t>
      </w:r>
    </w:p>
  </w:footnote>
  <w:footnote w:id="37">
    <w:p w14:paraId="764513E2" w14:textId="77777777" w:rsidR="00741370" w:rsidRPr="00CD2989" w:rsidRDefault="00741370" w:rsidP="00CD2989">
      <w:pPr>
        <w:pStyle w:val="Textonotapie"/>
        <w:snapToGrid w:val="0"/>
        <w:spacing w:before="60" w:after="60"/>
      </w:pPr>
      <w:r w:rsidRPr="00CD2989">
        <w:rPr>
          <w:rStyle w:val="Refdenotaalpie"/>
        </w:rPr>
        <w:footnoteRef/>
      </w:r>
      <w:r w:rsidRPr="00CD2989">
        <w:t xml:space="preserve"> Tesis P.LXVI/2009, publicada en el Semanario Judicial de la Federación y su Gaceta, tomo XXX, diciembre de 2009, página 7</w:t>
      </w:r>
      <w:r w:rsidR="00A05FA5" w:rsidRPr="00CD2989">
        <w:t>, rubro y texto siguientes: “DERECHO AL LIBRE DESARROLLO DE LA PERSONALIDAD. ASPECTOS QUE COMPRENDE. De la dignidad humana, como derecho fundamental superior reconocido por el orden jurídico mexicano, deriva, entre otros derechos personalísimos, el de todo individuo a elegir en forma libre y autónoma su proyecto de vida. Así, acorde a la doctrina y jurisprudencia comparadas, tal derecho es el reconocimiento del Estado sobre la facultad natural de toda persona a ser individualmente como quiere ser, sin coacción ni controles injustificados, con el fin de cumplir las metas u objetivos que se ha fijado, de acuerdo con sus valores, ideas, expectativas, gustos, etcétera. Por tanto, el libre desarrollo de la personalidad comprende, entre otras expresiones,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w:t>
      </w:r>
    </w:p>
  </w:footnote>
  <w:footnote w:id="38">
    <w:p w14:paraId="6487A216" w14:textId="77777777" w:rsidR="00EF0DBA" w:rsidRPr="00CD2989" w:rsidRDefault="00EF0DBA" w:rsidP="00CD2989">
      <w:pPr>
        <w:pStyle w:val="Textonotapie"/>
        <w:snapToGrid w:val="0"/>
        <w:spacing w:before="60" w:after="60"/>
        <w:rPr>
          <w:lang w:val="en-US"/>
        </w:rPr>
      </w:pPr>
      <w:r w:rsidRPr="00CD2989">
        <w:rPr>
          <w:rStyle w:val="Refdenotaalpie"/>
        </w:rPr>
        <w:footnoteRef/>
      </w:r>
      <w:r w:rsidRPr="00CD2989">
        <w:rPr>
          <w:lang w:val="en-US"/>
        </w:rPr>
        <w:t xml:space="preserve"> </w:t>
      </w:r>
      <w:proofErr w:type="spellStart"/>
      <w:r w:rsidRPr="00CD2989">
        <w:rPr>
          <w:lang w:val="en-US"/>
        </w:rPr>
        <w:t>Nedelsky</w:t>
      </w:r>
      <w:proofErr w:type="spellEnd"/>
      <w:r w:rsidRPr="00CD2989">
        <w:rPr>
          <w:lang w:val="en-US"/>
        </w:rPr>
        <w:t xml:space="preserve">, Jennifer, "Reconceiving autonomy: Sources, Thoughts and Possibilities", </w:t>
      </w:r>
      <w:proofErr w:type="spellStart"/>
      <w:r w:rsidRPr="00CD2989">
        <w:rPr>
          <w:lang w:val="en-US"/>
        </w:rPr>
        <w:t>en</w:t>
      </w:r>
      <w:proofErr w:type="spellEnd"/>
      <w:r w:rsidRPr="00CD2989">
        <w:rPr>
          <w:lang w:val="en-US"/>
        </w:rPr>
        <w:t xml:space="preserve"> Yale Journal of Law and Feminism, vol. 1, 7, 1989, pp. 8-36</w:t>
      </w:r>
    </w:p>
  </w:footnote>
  <w:footnote w:id="39">
    <w:p w14:paraId="4E73A572" w14:textId="77777777" w:rsidR="000947A6" w:rsidRPr="00CD2989" w:rsidRDefault="000947A6" w:rsidP="00CD2989">
      <w:pPr>
        <w:pStyle w:val="Textonotapie"/>
        <w:snapToGrid w:val="0"/>
        <w:spacing w:before="60" w:after="60"/>
      </w:pPr>
      <w:r w:rsidRPr="00CD2989">
        <w:rPr>
          <w:rStyle w:val="Refdenotaalpie"/>
        </w:rPr>
        <w:footnoteRef/>
      </w:r>
      <w:r w:rsidRPr="00CD2989">
        <w:t xml:space="preserve"> Corte Interamericana de Derechos Humanos. Caso </w:t>
      </w:r>
      <w:r w:rsidRPr="00CD2989">
        <w:rPr>
          <w:i/>
          <w:iCs/>
        </w:rPr>
        <w:t>Loayza Tamayo Vs. Perú</w:t>
      </w:r>
      <w:r w:rsidRPr="00CD2989">
        <w:t>. Reparaciones y costas. Sentencia de 27 de noviembre de 1998. Serie C No. 42:</w:t>
      </w:r>
    </w:p>
    <w:p w14:paraId="459EDAEF" w14:textId="77777777" w:rsidR="000947A6" w:rsidRPr="00CD2989" w:rsidRDefault="000947A6" w:rsidP="00CD2989">
      <w:pPr>
        <w:pStyle w:val="Textonotapie"/>
        <w:snapToGrid w:val="0"/>
        <w:spacing w:before="60" w:after="60"/>
        <w:ind w:left="567" w:right="567"/>
        <w:rPr>
          <w:lang w:val="es-ES_tradnl"/>
        </w:rPr>
      </w:pPr>
      <w:r w:rsidRPr="00CD2989">
        <w:rPr>
          <w:lang w:val="es-ES_tradnl"/>
        </w:rPr>
        <w:t>“[…] el denominado “proyecto de vida” atiende a la realización integral de la persona afectada, considerando su vocación, aptitudes, circunstancias, potencialidades y aspiraciones, que le permiten fijarse razonablemente determinadas expectativas y acceder a ellas.</w:t>
      </w:r>
    </w:p>
    <w:p w14:paraId="7A41D877" w14:textId="77777777" w:rsidR="000947A6" w:rsidRPr="00CD2989" w:rsidRDefault="000947A6" w:rsidP="00CD2989">
      <w:pPr>
        <w:pStyle w:val="Textonotapie"/>
        <w:snapToGrid w:val="0"/>
        <w:spacing w:before="60" w:after="60"/>
        <w:ind w:left="567" w:right="567"/>
        <w:rPr>
          <w:lang w:val="es-ES_tradnl"/>
        </w:rPr>
      </w:pPr>
      <w:r w:rsidRPr="00CD2989">
        <w:rPr>
          <w:lang w:val="es-ES_tradnl"/>
        </w:rPr>
        <w:t>[…]</w:t>
      </w:r>
    </w:p>
    <w:p w14:paraId="4B1A3EAC" w14:textId="77777777" w:rsidR="000947A6" w:rsidRPr="00CD2989" w:rsidRDefault="000947A6" w:rsidP="00CD2989">
      <w:pPr>
        <w:pStyle w:val="Textonotapie"/>
        <w:snapToGrid w:val="0"/>
        <w:spacing w:before="60" w:after="60"/>
        <w:ind w:left="567" w:right="567"/>
        <w:rPr>
          <w:lang w:val="es-ES_tradnl"/>
        </w:rPr>
      </w:pPr>
      <w:r w:rsidRPr="00CD2989">
        <w:rPr>
          <w:lang w:val="es-ES_tradnl"/>
        </w:rPr>
        <w:t>El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Por lo tanto, su cancelación o menoscabo implican la reducción objetiva de la libertad y la pérdida de un valor que no puede ser ajeno a la observación de esta Corte.”</w:t>
      </w:r>
    </w:p>
  </w:footnote>
  <w:footnote w:id="40">
    <w:p w14:paraId="60E4FFF0" w14:textId="77777777" w:rsidR="00EF0DBA" w:rsidRPr="00CD2989" w:rsidRDefault="00EF0DBA" w:rsidP="00CD2989">
      <w:pPr>
        <w:pStyle w:val="Textonotapie"/>
        <w:snapToGrid w:val="0"/>
        <w:spacing w:before="60" w:after="60"/>
      </w:pPr>
      <w:r w:rsidRPr="00CD2989">
        <w:rPr>
          <w:rStyle w:val="Refdenotaalpie"/>
        </w:rPr>
        <w:footnoteRef/>
      </w:r>
      <w:r w:rsidRPr="00CD2989">
        <w:t xml:space="preserve"> Cook, Rebecca y Dickens Bernard M. Dinámicas de los derechos humanos en la reforma de las leyes de aborto. </w:t>
      </w:r>
      <w:proofErr w:type="spellStart"/>
      <w:r w:rsidRPr="00CD2989">
        <w:rPr>
          <w:i/>
          <w:iCs/>
        </w:rPr>
        <w:t>Op</w:t>
      </w:r>
      <w:proofErr w:type="spellEnd"/>
      <w:r w:rsidRPr="00CD2989">
        <w:rPr>
          <w:i/>
          <w:iCs/>
        </w:rPr>
        <w:t>. cit</w:t>
      </w:r>
      <w:r w:rsidRPr="00CD2989">
        <w:t>. P, 10 y ss. “III Salud y bienestar”.</w:t>
      </w:r>
    </w:p>
  </w:footnote>
  <w:footnote w:id="41">
    <w:p w14:paraId="02FF6797" w14:textId="106E2023" w:rsidR="00741370" w:rsidRPr="00CD2989" w:rsidRDefault="00741370" w:rsidP="00CD2989">
      <w:pPr>
        <w:pStyle w:val="Textonotapie"/>
        <w:tabs>
          <w:tab w:val="left" w:pos="9072"/>
        </w:tabs>
        <w:snapToGrid w:val="0"/>
        <w:spacing w:before="60" w:after="60"/>
      </w:pPr>
      <w:r w:rsidRPr="00CD2989">
        <w:rPr>
          <w:rStyle w:val="Refdenotaalpie"/>
        </w:rPr>
        <w:footnoteRef/>
      </w:r>
      <w:r w:rsidRPr="00CD2989">
        <w:t xml:space="preserve"> </w:t>
      </w:r>
      <w:r w:rsidR="00E93462" w:rsidRPr="00CD2989">
        <w:t>T</w:t>
      </w:r>
      <w:r w:rsidRPr="00CD2989">
        <w:t xml:space="preserve">esis P. LXV/2009, (registro 165813), localizable el Semanario Judicial de la Federación y su Gaceta, </w:t>
      </w:r>
      <w:r w:rsidR="00E93462" w:rsidRPr="00CD2989">
        <w:t>tomo</w:t>
      </w:r>
      <w:r w:rsidRPr="00CD2989">
        <w:t xml:space="preserve"> XXX, diciembre de 2009, página 8, cuyo rubro es: “DIGNIDAD HUMANA. EL ORDEN JURÍDICO MEXICANO LA RECONOCE COMO CONDICIÓN Y BASE DE LOS DEMÁS DERECHOS FUNDAMENTALES”.</w:t>
      </w:r>
    </w:p>
  </w:footnote>
  <w:footnote w:id="42">
    <w:p w14:paraId="1B35C182" w14:textId="1459C5F5" w:rsidR="00741370" w:rsidRPr="00CD2989" w:rsidRDefault="00741370" w:rsidP="00CD2989">
      <w:pPr>
        <w:pStyle w:val="Textonotapie"/>
        <w:tabs>
          <w:tab w:val="left" w:pos="9072"/>
        </w:tabs>
        <w:snapToGrid w:val="0"/>
        <w:spacing w:before="60" w:after="60"/>
      </w:pPr>
      <w:r w:rsidRPr="00CD2989">
        <w:rPr>
          <w:rStyle w:val="Refdenotaalpie"/>
        </w:rPr>
        <w:footnoteRef/>
      </w:r>
      <w:r w:rsidRPr="00CD2989">
        <w:t xml:space="preserve"> Consideraciones sostenidas por e</w:t>
      </w:r>
      <w:r w:rsidR="00E93462" w:rsidRPr="00CD2989">
        <w:t xml:space="preserve">l </w:t>
      </w:r>
      <w:r w:rsidRPr="00CD2989">
        <w:t xml:space="preserve">Pleno </w:t>
      </w:r>
      <w:r w:rsidR="00E93462" w:rsidRPr="00CD2989">
        <w:t xml:space="preserve">de la SCJN </w:t>
      </w:r>
      <w:r w:rsidRPr="00CD2989">
        <w:t xml:space="preserve">al resolver el </w:t>
      </w:r>
      <w:r w:rsidR="00E93462" w:rsidRPr="00CD2989">
        <w:t>amparo directo</w:t>
      </w:r>
      <w:r w:rsidRPr="00CD2989">
        <w:t xml:space="preserve"> 6/2008 en sesión de seis de enero de dos mil nueve, asunto del cual derivó la tesis referida en la nota al pie anterior.</w:t>
      </w:r>
    </w:p>
  </w:footnote>
  <w:footnote w:id="43">
    <w:p w14:paraId="784D4DCD" w14:textId="77777777" w:rsidR="00741370" w:rsidRPr="00CD2989" w:rsidRDefault="00741370" w:rsidP="00CD2989">
      <w:pPr>
        <w:pStyle w:val="Textonotapie"/>
        <w:tabs>
          <w:tab w:val="left" w:pos="9072"/>
        </w:tabs>
        <w:snapToGrid w:val="0"/>
        <w:spacing w:before="60" w:after="60"/>
      </w:pPr>
      <w:r w:rsidRPr="00CD2989">
        <w:rPr>
          <w:rStyle w:val="Refdenotaalpie"/>
        </w:rPr>
        <w:footnoteRef/>
      </w:r>
      <w:r w:rsidRPr="00CD2989">
        <w:t xml:space="preserve"> Al respecto, véase la tesis: 1a./J. 37/2016 (10a.) (registro 2012363), localizable en la Gaceta del Semanario Judicial de la Federación, Libro 33, agosto de 2016, Tomo II, página 633, cuyo rubro es: “DIGNIDAD HUMANA. CONSTITUYE UNA NORMA JURÍDICA QUE CONSAGRA UN DERECHO FUNDAMENTAL A FAVOR DE LAS PERSONAS Y NO UNA SIMPLE DECLARACIÓN ÉTICA”.</w:t>
      </w:r>
    </w:p>
  </w:footnote>
  <w:footnote w:id="44">
    <w:p w14:paraId="3D6E071E" w14:textId="0B7714FF" w:rsidR="00B93009" w:rsidRPr="00CD2989" w:rsidRDefault="00B93009" w:rsidP="00CD2989">
      <w:pPr>
        <w:pStyle w:val="Textonotapie"/>
        <w:snapToGrid w:val="0"/>
        <w:spacing w:before="60" w:after="60"/>
        <w:rPr>
          <w:rFonts w:eastAsia="Times New Roman"/>
        </w:rPr>
      </w:pPr>
      <w:r w:rsidRPr="00CD2989">
        <w:rPr>
          <w:rStyle w:val="Refdenotaalpie"/>
        </w:rPr>
        <w:footnoteRef/>
      </w:r>
      <w:r w:rsidRPr="00CD2989">
        <w:t xml:space="preserve"> Esta Sala se ha ocupado previamente de este concepto en el amparo directo en revisión 1674/2014, resuelto en la sesión de </w:t>
      </w:r>
      <w:r w:rsidR="00051603" w:rsidRPr="00CD2989">
        <w:t>15</w:t>
      </w:r>
      <w:r w:rsidRPr="00CD2989">
        <w:t xml:space="preserve"> de mayo de </w:t>
      </w:r>
      <w:r w:rsidR="00051603" w:rsidRPr="00CD2989">
        <w:t>2015</w:t>
      </w:r>
      <w:r w:rsidRPr="00CD2989">
        <w:t>, bajo la ponencia del ministro Zaldívar Lelo de Larrea, por unanimidad de cuatro votos con la ausencia en la sesión del ministro Cossío Díaz.</w:t>
      </w:r>
    </w:p>
  </w:footnote>
  <w:footnote w:id="45">
    <w:p w14:paraId="4113E53C" w14:textId="77777777" w:rsidR="00B93009" w:rsidRPr="00CD2989" w:rsidRDefault="00B93009" w:rsidP="00CD2989">
      <w:pPr>
        <w:pStyle w:val="Textonotapie"/>
        <w:snapToGrid w:val="0"/>
        <w:spacing w:before="60" w:after="60"/>
      </w:pPr>
      <w:r w:rsidRPr="00CD2989">
        <w:rPr>
          <w:rStyle w:val="Refdenotaalpie"/>
        </w:rPr>
        <w:footnoteRef/>
      </w:r>
      <w:r w:rsidRPr="00CD2989">
        <w:t xml:space="preserve"> Comité de los Derechos del Niño. “Observación general núm. 20 (2016) sobre la efectividad de los derechos del niño durante la adolescencia”: 16. El artículo 5 de la Convención dispone que la dirección y orientación que impartan los padres debe guardar consonancia con la evolución de las facultades del niño. El Comité define dicha evolución como un principio habilitador que aborda el proceso de maduración y aprendizaje por medio del cual los niños adquieren progresivamente competencias, comprensión y mayores niveles de autonomía para asumir responsabilidades y ejercer sus derechos. El Comité ha señalado que, cuanto más sepa y entienda un niño, más tendrán sus padres que transformar la dirección y la orientación en recordatorios y luego, gradualmente, en un intercambio en pie de igualdad.</w:t>
      </w:r>
    </w:p>
  </w:footnote>
  <w:footnote w:id="46">
    <w:p w14:paraId="5C59E14A" w14:textId="6A217B70" w:rsidR="007D7A57" w:rsidRPr="00CD2989" w:rsidRDefault="007D7A57" w:rsidP="00CD2989">
      <w:pPr>
        <w:pStyle w:val="Textonotapie"/>
        <w:snapToGrid w:val="0"/>
        <w:spacing w:before="60" w:after="60"/>
        <w:rPr>
          <w:lang w:val="es-ES"/>
        </w:rPr>
      </w:pPr>
      <w:r w:rsidRPr="00CD2989">
        <w:rPr>
          <w:rStyle w:val="Refdenotaalpie"/>
        </w:rPr>
        <w:footnoteRef/>
      </w:r>
      <w:r w:rsidRPr="00CD2989">
        <w:t xml:space="preserve"> Dictamen del Comité de Derechos Humanos en el caso de Karen Noelia </w:t>
      </w:r>
      <w:proofErr w:type="spellStart"/>
      <w:r w:rsidRPr="00CD2989">
        <w:t>Llantoy</w:t>
      </w:r>
      <w:proofErr w:type="spellEnd"/>
      <w:r w:rsidRPr="00CD2989">
        <w:t xml:space="preserve"> Huamán contra Perú. Comité de Derechos Humanos de Naciones Unidas. Comunicación No. 1153/2003. 17 de octubre a 3 de noviembre de 2005. En ese caso, se reconoció que la negativa de los servicios de salud a procurar un aborto terapéutico </w:t>
      </w:r>
      <w:r w:rsidR="00385D20" w:rsidRPr="00CD2989">
        <w:t>condujo</w:t>
      </w:r>
      <w:r w:rsidRPr="00CD2989">
        <w:t xml:space="preserve"> a un sufrimiento moral. </w:t>
      </w:r>
      <w:r w:rsidRPr="00CD2989">
        <w:rPr>
          <w:i/>
        </w:rPr>
        <w:t>Cfr.</w:t>
      </w:r>
      <w:r w:rsidRPr="00CD2989">
        <w:t xml:space="preserve"> también Cook, Rebecca y </w:t>
      </w:r>
      <w:proofErr w:type="spellStart"/>
      <w:r w:rsidRPr="00CD2989">
        <w:t>Dockens</w:t>
      </w:r>
      <w:proofErr w:type="spellEnd"/>
      <w:r w:rsidRPr="00CD2989">
        <w:t xml:space="preserve"> Bernard M. Dinámicas de los derechos humanos en la reforma de las leyes de aborto. </w:t>
      </w:r>
      <w:proofErr w:type="spellStart"/>
      <w:r w:rsidRPr="00CD2989">
        <w:t>Op</w:t>
      </w:r>
      <w:proofErr w:type="spellEnd"/>
      <w:r w:rsidRPr="00CD2989">
        <w:t xml:space="preserve">. Cit. P, 28 y ss. En este documento se relatan varios casos de vulneraciones de los derechos a la dignidad y a estar libre de tratos crueles inhumanos y degradantes, considerados, así, por distintas entidades de gestión y justicia internacional. </w:t>
      </w:r>
    </w:p>
  </w:footnote>
  <w:footnote w:id="47">
    <w:p w14:paraId="3E15AD07" w14:textId="11BB8D1F" w:rsidR="0059143E" w:rsidRPr="00CD2989" w:rsidRDefault="0059143E" w:rsidP="00CD2989">
      <w:pPr>
        <w:pStyle w:val="Textonotapie"/>
        <w:snapToGrid w:val="0"/>
        <w:spacing w:before="60" w:after="60"/>
      </w:pPr>
      <w:r w:rsidRPr="00CD2989">
        <w:rPr>
          <w:rStyle w:val="Refdenotaalpie"/>
        </w:rPr>
        <w:footnoteRef/>
      </w:r>
      <w:r w:rsidRPr="00CD2989">
        <w:t xml:space="preserve"> Amparo en revisión 554/2013, resuelto en sesión de </w:t>
      </w:r>
      <w:r w:rsidR="001406A0" w:rsidRPr="00CD2989">
        <w:t>2</w:t>
      </w:r>
      <w:r w:rsidR="00BA51F3">
        <w:t xml:space="preserve">5 </w:t>
      </w:r>
      <w:r w:rsidRPr="00CD2989">
        <w:t xml:space="preserve">de marzo de </w:t>
      </w:r>
      <w:r w:rsidR="001406A0" w:rsidRPr="00CD2989">
        <w:t>2015</w:t>
      </w:r>
      <w:r w:rsidRPr="00CD2989">
        <w:t xml:space="preserve">, bajo la ponencia del ministro Alfredo Gutiérrez Ortiz Mena, aprobado por unanimidad de cinco votos; amparo directo en revisión 4811/2015, resuelto en sesión de </w:t>
      </w:r>
      <w:r w:rsidR="001406A0" w:rsidRPr="00CD2989">
        <w:t>25</w:t>
      </w:r>
      <w:r w:rsidRPr="00CD2989">
        <w:t xml:space="preserve"> de mayo de </w:t>
      </w:r>
      <w:r w:rsidR="001406A0" w:rsidRPr="00CD2989">
        <w:t>2016</w:t>
      </w:r>
      <w:r w:rsidRPr="00CD2989">
        <w:t xml:space="preserve">, bajo la ponencia del ministro Arturo Zaldívar Lelo de Larrea, aprobado por unanimidad de cuatro votos. Ausente: la ministra Norma Lucía Piña Hernández; amparo directo en revisión 912/2014, resuelto en sesión de </w:t>
      </w:r>
      <w:r w:rsidR="001406A0" w:rsidRPr="00CD2989">
        <w:t>5</w:t>
      </w:r>
      <w:r w:rsidRPr="00CD2989">
        <w:t xml:space="preserve"> de noviembre de </w:t>
      </w:r>
      <w:r w:rsidR="001406A0" w:rsidRPr="00CD2989">
        <w:t>2014</w:t>
      </w:r>
      <w:r w:rsidRPr="00CD2989">
        <w:t xml:space="preserve">, bajo la ponencia del ministro José Ramón Cossío Díaz, aprobado por unanimidad de cinco votos; amparo directo en revisión 2655/2013, resuelto en sesión de </w:t>
      </w:r>
      <w:r w:rsidR="001406A0" w:rsidRPr="00CD2989">
        <w:t>6</w:t>
      </w:r>
      <w:r w:rsidRPr="00CD2989">
        <w:t xml:space="preserve"> de noviembre de </w:t>
      </w:r>
      <w:r w:rsidR="001406A0" w:rsidRPr="00CD2989">
        <w:t>2013</w:t>
      </w:r>
      <w:r w:rsidRPr="00CD2989">
        <w:t xml:space="preserve">, bajo la ponencia del ministro Alfredo Gutiérrez Ortiz Mena, aprobado por mayoría de cuatro votos. En contra el ministro Jorge Mario Pardo Rebolledo; amparo directo 12/2012, resuelto en sesión de </w:t>
      </w:r>
      <w:r w:rsidR="001406A0" w:rsidRPr="00CD2989">
        <w:t>12</w:t>
      </w:r>
      <w:r w:rsidRPr="00CD2989">
        <w:t xml:space="preserve"> de junio de </w:t>
      </w:r>
      <w:r w:rsidR="001406A0" w:rsidRPr="00CD2989">
        <w:t>2013</w:t>
      </w:r>
      <w:r w:rsidRPr="00CD2989">
        <w:t>, bajo la ponencia del ministro José Ramón Cossío Díaz, aprobado por mayoría de tres votos. En contra de los emitidos por el ministros Alfredo Gutiérrez Ortiz Mena y por la ministra Olga Sánchez Cordero de García Villegas; amparo directo en revisión 6181/201</w:t>
      </w:r>
      <w:r w:rsidR="00503B6D">
        <w:t>6</w:t>
      </w:r>
      <w:r w:rsidRPr="00CD2989">
        <w:t xml:space="preserve">, resuelto en sesión de </w:t>
      </w:r>
      <w:r w:rsidR="00BD2598" w:rsidRPr="00CD2989">
        <w:t>7</w:t>
      </w:r>
      <w:r w:rsidRPr="00CD2989">
        <w:t xml:space="preserve"> de marzo de </w:t>
      </w:r>
      <w:r w:rsidR="00BD2598" w:rsidRPr="00CD2989">
        <w:t>2018</w:t>
      </w:r>
      <w:r w:rsidRPr="00CD2989">
        <w:t xml:space="preserve">, bajo la ponencia del ministro Arturo Zaldívar Lelo de Larrea, aprobado por unanimidad de cinco votos; amparo directo en revisión 4906/2017, resuelto en sesión de </w:t>
      </w:r>
      <w:r w:rsidR="00BD2598" w:rsidRPr="00CD2989">
        <w:t>7</w:t>
      </w:r>
      <w:r w:rsidRPr="00CD2989">
        <w:t xml:space="preserve"> de marzo de </w:t>
      </w:r>
      <w:r w:rsidR="00BD2598" w:rsidRPr="00CD2989">
        <w:t>2018</w:t>
      </w:r>
      <w:r w:rsidRPr="00CD2989">
        <w:t xml:space="preserve">, bajo la ponencia del ministro José Ramón Cossío Díaz, aprobado por unanimidad de cinco votos; amparo directo en revisión 5490/2016, resuelto en sesión de </w:t>
      </w:r>
      <w:r w:rsidR="00BD2598" w:rsidRPr="00CD2989">
        <w:t>7</w:t>
      </w:r>
      <w:r w:rsidRPr="00CD2989">
        <w:t xml:space="preserve"> de marzo de </w:t>
      </w:r>
      <w:r w:rsidR="00BD2598" w:rsidRPr="00CD2989">
        <w:t>2018</w:t>
      </w:r>
      <w:r w:rsidRPr="00CD2989">
        <w:t xml:space="preserve">, bajo la ponencia del ministro Arturo Zaldívar Lelo de Larrea, aprobado por unanimidad de cinco votos; amparo en revisión 601/2017, resuelto en sesión de </w:t>
      </w:r>
      <w:r w:rsidR="00BD2598" w:rsidRPr="00CD2989">
        <w:t>4</w:t>
      </w:r>
      <w:r w:rsidRPr="00CD2989">
        <w:t xml:space="preserve"> de abril de </w:t>
      </w:r>
      <w:r w:rsidR="00BD2598" w:rsidRPr="00CD2989">
        <w:t>2018</w:t>
      </w:r>
      <w:r w:rsidRPr="00CD2989">
        <w:t>, bajo la ponencia del ministro José Fernando Franco González Salas, aprobado por unanimidad de cinco votos; entre otros.</w:t>
      </w:r>
    </w:p>
  </w:footnote>
  <w:footnote w:id="48">
    <w:p w14:paraId="609BB664" w14:textId="77777777" w:rsidR="0059143E" w:rsidRPr="00CD2989" w:rsidRDefault="0059143E" w:rsidP="00CD2989">
      <w:pPr>
        <w:snapToGrid w:val="0"/>
        <w:spacing w:line="240" w:lineRule="auto"/>
        <w:rPr>
          <w:sz w:val="20"/>
          <w:szCs w:val="20"/>
        </w:rPr>
      </w:pPr>
      <w:r w:rsidRPr="00CD2989">
        <w:rPr>
          <w:rStyle w:val="Refdenotaalpie"/>
          <w:sz w:val="20"/>
          <w:szCs w:val="20"/>
        </w:rPr>
        <w:footnoteRef/>
      </w:r>
      <w:r w:rsidRPr="00CD2989">
        <w:rPr>
          <w:sz w:val="20"/>
          <w:szCs w:val="20"/>
        </w:rPr>
        <w:t xml:space="preserve"> </w:t>
      </w:r>
      <w:r w:rsidRPr="00CD2989">
        <w:rPr>
          <w:b/>
          <w:bCs/>
          <w:sz w:val="20"/>
          <w:szCs w:val="20"/>
        </w:rPr>
        <w:t>Artículo 1.</w:t>
      </w:r>
      <w:r w:rsidRPr="00CD2989">
        <w:rPr>
          <w:sz w:val="20"/>
          <w:szCs w:val="20"/>
        </w:rPr>
        <w:t xml:space="preserve">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50B0F3CB" w14:textId="77777777" w:rsidR="0059143E" w:rsidRPr="00CD2989" w:rsidRDefault="0059143E" w:rsidP="00CD2989">
      <w:pPr>
        <w:snapToGrid w:val="0"/>
        <w:spacing w:line="240" w:lineRule="auto"/>
        <w:rPr>
          <w:b/>
          <w:sz w:val="20"/>
          <w:szCs w:val="20"/>
        </w:rPr>
      </w:pPr>
      <w:r w:rsidRPr="00CD2989">
        <w:rPr>
          <w:b/>
          <w:sz w:val="20"/>
          <w:szCs w:val="20"/>
        </w:rPr>
        <w:t xml:space="preserve">Artículo 2: </w:t>
      </w:r>
      <w:r w:rsidRPr="00CD2989">
        <w:rPr>
          <w:sz w:val="20"/>
          <w:szCs w:val="20"/>
        </w:rPr>
        <w:t>Los Estados Parte condenan la discriminación contra la mujer en todas sus formas, convienen en seguir, por todos los medios apropiados y sin dilaciones, una política encaminada a eliminar la discriminación contra la mujer y, con tal objeto, se comprometen a:</w:t>
      </w:r>
    </w:p>
    <w:p w14:paraId="2F8587F1" w14:textId="77777777" w:rsidR="0059143E" w:rsidRPr="00CD2989" w:rsidRDefault="0059143E" w:rsidP="00CD2989">
      <w:pPr>
        <w:snapToGrid w:val="0"/>
        <w:spacing w:line="240" w:lineRule="auto"/>
        <w:rPr>
          <w:sz w:val="20"/>
          <w:szCs w:val="20"/>
        </w:rPr>
      </w:pPr>
      <w:r w:rsidRPr="00CD2989">
        <w:rPr>
          <w:sz w:val="20"/>
          <w:szCs w:val="20"/>
        </w:rPr>
        <w:t>a) Consagrar, si aún no lo han hecho, en sus constituciones nacionales y en cualquier otra legislación apropiada el principio de la igualdad del hombre y de la mujer y asegurar por ley u otros medios apropiados la realización práctica de ese principio;</w:t>
      </w:r>
    </w:p>
    <w:p w14:paraId="30BCF02F" w14:textId="77777777" w:rsidR="0059143E" w:rsidRPr="00CD2989" w:rsidRDefault="0059143E" w:rsidP="00CD2989">
      <w:pPr>
        <w:snapToGrid w:val="0"/>
        <w:spacing w:line="240" w:lineRule="auto"/>
        <w:rPr>
          <w:sz w:val="20"/>
          <w:szCs w:val="20"/>
        </w:rPr>
      </w:pPr>
      <w:r w:rsidRPr="00CD2989">
        <w:rPr>
          <w:sz w:val="20"/>
          <w:szCs w:val="20"/>
        </w:rPr>
        <w:t>b) Adoptar medidas adecuadas, legislativas y de otro carácter, con las sanciones correspondientes, que prohíban toda discriminación contra la mujer;</w:t>
      </w:r>
    </w:p>
    <w:p w14:paraId="5B57076D" w14:textId="77777777" w:rsidR="0059143E" w:rsidRPr="00CD2989" w:rsidRDefault="0059143E" w:rsidP="00CD2989">
      <w:pPr>
        <w:snapToGrid w:val="0"/>
        <w:spacing w:line="240" w:lineRule="auto"/>
        <w:rPr>
          <w:sz w:val="20"/>
          <w:szCs w:val="20"/>
        </w:rPr>
      </w:pPr>
      <w:r w:rsidRPr="00CD2989">
        <w:rPr>
          <w:sz w:val="20"/>
          <w:szCs w:val="20"/>
        </w:rPr>
        <w:t>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w:t>
      </w:r>
    </w:p>
    <w:p w14:paraId="34C4BDF6" w14:textId="77777777" w:rsidR="0059143E" w:rsidRPr="00CD2989" w:rsidRDefault="0059143E" w:rsidP="00CD2989">
      <w:pPr>
        <w:snapToGrid w:val="0"/>
        <w:spacing w:line="240" w:lineRule="auto"/>
        <w:rPr>
          <w:sz w:val="20"/>
          <w:szCs w:val="20"/>
        </w:rPr>
      </w:pPr>
      <w:r w:rsidRPr="00CD2989">
        <w:rPr>
          <w:sz w:val="20"/>
          <w:szCs w:val="20"/>
        </w:rPr>
        <w:t>d) Abstenerse de incurrir en todo acto o práctica de discriminación contra la mujer y velar por que las autoridades e instituciones públicas actúen de conformidad con esta obligación;</w:t>
      </w:r>
    </w:p>
    <w:p w14:paraId="7AB84647" w14:textId="77777777" w:rsidR="0059143E" w:rsidRPr="00CD2989" w:rsidRDefault="0059143E" w:rsidP="00CD2989">
      <w:pPr>
        <w:snapToGrid w:val="0"/>
        <w:spacing w:line="240" w:lineRule="auto"/>
        <w:rPr>
          <w:sz w:val="20"/>
          <w:szCs w:val="20"/>
        </w:rPr>
      </w:pPr>
      <w:r w:rsidRPr="00CD2989">
        <w:rPr>
          <w:sz w:val="20"/>
          <w:szCs w:val="20"/>
        </w:rPr>
        <w:t>e) Tomar todas las medidas apropiadas para eliminar la discriminación contra la mujer practicada por cualesquiera personas, organizaciones o empresas;</w:t>
      </w:r>
    </w:p>
    <w:p w14:paraId="0A6D0FAD" w14:textId="77777777" w:rsidR="0059143E" w:rsidRPr="00CD2989" w:rsidRDefault="0059143E" w:rsidP="00CD2989">
      <w:pPr>
        <w:snapToGrid w:val="0"/>
        <w:spacing w:line="240" w:lineRule="auto"/>
        <w:rPr>
          <w:sz w:val="20"/>
          <w:szCs w:val="20"/>
        </w:rPr>
      </w:pPr>
      <w:r w:rsidRPr="00CD2989">
        <w:rPr>
          <w:sz w:val="20"/>
          <w:szCs w:val="20"/>
        </w:rPr>
        <w:t>f) Adoptar todas las medidas adecuadas, incluso de carácter legislativo, para modificar o derogar leyes, reglamentos, usos y prácticas que constituyan discriminación contra la mujer;</w:t>
      </w:r>
    </w:p>
    <w:p w14:paraId="14FF1952" w14:textId="77777777" w:rsidR="0059143E" w:rsidRPr="00CD2989" w:rsidRDefault="0059143E" w:rsidP="00CD2989">
      <w:pPr>
        <w:snapToGrid w:val="0"/>
        <w:spacing w:line="240" w:lineRule="auto"/>
        <w:rPr>
          <w:sz w:val="20"/>
          <w:szCs w:val="20"/>
        </w:rPr>
      </w:pPr>
      <w:r w:rsidRPr="00CD2989">
        <w:rPr>
          <w:sz w:val="20"/>
          <w:szCs w:val="20"/>
        </w:rPr>
        <w:t>g) Derogar todas las disposiciones penales nacionales que constituyan discriminación contra la mujer.</w:t>
      </w:r>
    </w:p>
    <w:p w14:paraId="197B1E7B" w14:textId="77777777" w:rsidR="0059143E" w:rsidRPr="00CD2989" w:rsidRDefault="0059143E" w:rsidP="00CD2989">
      <w:pPr>
        <w:snapToGrid w:val="0"/>
        <w:spacing w:line="240" w:lineRule="auto"/>
        <w:rPr>
          <w:b/>
          <w:sz w:val="20"/>
          <w:szCs w:val="20"/>
        </w:rPr>
      </w:pPr>
      <w:r w:rsidRPr="00CD2989">
        <w:rPr>
          <w:b/>
          <w:sz w:val="20"/>
          <w:szCs w:val="20"/>
        </w:rPr>
        <w:t xml:space="preserve">Artículo 3. </w:t>
      </w:r>
      <w:r w:rsidRPr="00CD2989">
        <w:rPr>
          <w:sz w:val="20"/>
          <w:szCs w:val="20"/>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234D174C" w14:textId="77777777" w:rsidR="0059143E" w:rsidRPr="00CD2989" w:rsidRDefault="0059143E" w:rsidP="00CD2989">
      <w:pPr>
        <w:snapToGrid w:val="0"/>
        <w:spacing w:line="240" w:lineRule="auto"/>
        <w:rPr>
          <w:b/>
          <w:sz w:val="20"/>
          <w:szCs w:val="20"/>
        </w:rPr>
      </w:pPr>
      <w:r w:rsidRPr="00CD2989">
        <w:rPr>
          <w:b/>
          <w:sz w:val="20"/>
          <w:szCs w:val="20"/>
        </w:rPr>
        <w:t xml:space="preserve">Artículo 4. </w:t>
      </w:r>
      <w:r w:rsidRPr="00CD2989">
        <w:rPr>
          <w:sz w:val="20"/>
          <w:szCs w:val="20"/>
        </w:rPr>
        <w:t xml:space="preserve">1.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 </w:t>
      </w:r>
    </w:p>
    <w:p w14:paraId="5F838471" w14:textId="77777777" w:rsidR="0059143E" w:rsidRPr="00CD2989" w:rsidRDefault="0059143E" w:rsidP="00CD2989">
      <w:pPr>
        <w:snapToGrid w:val="0"/>
        <w:spacing w:line="240" w:lineRule="auto"/>
        <w:rPr>
          <w:sz w:val="20"/>
          <w:szCs w:val="20"/>
        </w:rPr>
      </w:pPr>
      <w:r w:rsidRPr="00CD2989">
        <w:rPr>
          <w:sz w:val="20"/>
          <w:szCs w:val="20"/>
        </w:rPr>
        <w:t>2. La adopción por los Estados Partes de medidas especiales, incluso las contenidas en la presente Convención, encaminadas a proteger la maternidad no se considerará discriminatoria.</w:t>
      </w:r>
    </w:p>
    <w:p w14:paraId="537CC7FA" w14:textId="77777777" w:rsidR="0059143E" w:rsidRPr="00CD2989" w:rsidRDefault="0059143E" w:rsidP="00CD2989">
      <w:pPr>
        <w:snapToGrid w:val="0"/>
        <w:spacing w:line="240" w:lineRule="auto"/>
        <w:rPr>
          <w:b/>
          <w:sz w:val="20"/>
          <w:szCs w:val="20"/>
        </w:rPr>
      </w:pPr>
      <w:r w:rsidRPr="00CD2989">
        <w:rPr>
          <w:sz w:val="20"/>
          <w:szCs w:val="20"/>
        </w:rPr>
        <w:t>“</w:t>
      </w:r>
      <w:r w:rsidRPr="00CD2989">
        <w:rPr>
          <w:b/>
          <w:sz w:val="20"/>
          <w:szCs w:val="20"/>
        </w:rPr>
        <w:t xml:space="preserve">Artículo 5: </w:t>
      </w:r>
      <w:r w:rsidRPr="00CD2989">
        <w:rPr>
          <w:sz w:val="20"/>
          <w:szCs w:val="20"/>
        </w:rPr>
        <w:t>Los Estados Partes tomarán todas las medidas apropiadas para:</w:t>
      </w:r>
    </w:p>
    <w:p w14:paraId="7510B55B" w14:textId="77777777" w:rsidR="0059143E" w:rsidRPr="00CD2989" w:rsidRDefault="0059143E" w:rsidP="00CD2989">
      <w:pPr>
        <w:snapToGrid w:val="0"/>
        <w:spacing w:line="240" w:lineRule="auto"/>
        <w:rPr>
          <w:sz w:val="20"/>
          <w:szCs w:val="20"/>
        </w:rPr>
      </w:pPr>
      <w:r w:rsidRPr="00CD2989">
        <w:rPr>
          <w:sz w:val="20"/>
          <w:szCs w:val="20"/>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14:paraId="1D0A67B6" w14:textId="77777777" w:rsidR="0059143E" w:rsidRPr="00CD2989" w:rsidRDefault="0059143E" w:rsidP="00CD2989">
      <w:pPr>
        <w:snapToGrid w:val="0"/>
        <w:spacing w:line="240" w:lineRule="auto"/>
        <w:rPr>
          <w:sz w:val="20"/>
          <w:szCs w:val="20"/>
        </w:rPr>
      </w:pPr>
      <w:r w:rsidRPr="00CD2989">
        <w:rPr>
          <w:sz w:val="20"/>
          <w:szCs w:val="20"/>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14:paraId="33396A24" w14:textId="77777777" w:rsidR="0059143E" w:rsidRPr="00CD2989" w:rsidRDefault="0059143E" w:rsidP="00CD2989">
      <w:pPr>
        <w:snapToGrid w:val="0"/>
        <w:spacing w:line="240" w:lineRule="auto"/>
        <w:rPr>
          <w:sz w:val="20"/>
          <w:szCs w:val="20"/>
        </w:rPr>
      </w:pPr>
      <w:r w:rsidRPr="00CD2989">
        <w:rPr>
          <w:b/>
          <w:sz w:val="20"/>
          <w:szCs w:val="20"/>
        </w:rPr>
        <w:t xml:space="preserve">Artículo 6. </w:t>
      </w:r>
      <w:r w:rsidRPr="00CD2989">
        <w:rPr>
          <w:sz w:val="20"/>
          <w:szCs w:val="20"/>
        </w:rPr>
        <w:t>Los Estados Partes tomarán todas las medidas apropiadas, incluso de carácter legislativo, para suprimir todas las formas de trata de mujeres y explotación de la prostitución de la mujer.</w:t>
      </w:r>
    </w:p>
  </w:footnote>
  <w:footnote w:id="49">
    <w:p w14:paraId="3CA9A352" w14:textId="77777777" w:rsidR="0059143E" w:rsidRPr="00CD2989" w:rsidRDefault="0059143E" w:rsidP="00CD2989">
      <w:pPr>
        <w:pStyle w:val="Textonotapie"/>
        <w:snapToGrid w:val="0"/>
        <w:spacing w:before="60" w:after="60"/>
      </w:pPr>
      <w:r w:rsidRPr="00CD2989">
        <w:rPr>
          <w:rStyle w:val="Refdenotaalpie"/>
        </w:rPr>
        <w:footnoteRef/>
      </w:r>
      <w:r w:rsidRPr="00CD2989">
        <w:t xml:space="preserve"> Amparo directo en revisión 1464/2013, resuelto por la Primera Sala en sesión de 13 de noviembre de 2013, bajo la ponencia del ministro Alfredo Gutiérrez Ortiz Mena.</w:t>
      </w:r>
    </w:p>
  </w:footnote>
  <w:footnote w:id="50">
    <w:p w14:paraId="52EB5C20" w14:textId="77777777" w:rsidR="0059143E" w:rsidRPr="00CD2989" w:rsidRDefault="0059143E" w:rsidP="00CD2989">
      <w:pPr>
        <w:snapToGrid w:val="0"/>
        <w:spacing w:line="240" w:lineRule="auto"/>
        <w:rPr>
          <w:b/>
          <w:sz w:val="20"/>
          <w:szCs w:val="20"/>
          <w:lang w:eastAsia="es-MX"/>
        </w:rPr>
      </w:pPr>
      <w:r w:rsidRPr="00CD2989">
        <w:rPr>
          <w:rStyle w:val="Refdenotaalpie"/>
          <w:sz w:val="20"/>
          <w:szCs w:val="20"/>
        </w:rPr>
        <w:footnoteRef/>
      </w:r>
      <w:r w:rsidRPr="00CD2989">
        <w:rPr>
          <w:sz w:val="20"/>
          <w:szCs w:val="20"/>
        </w:rPr>
        <w:t xml:space="preserve"> </w:t>
      </w:r>
      <w:r w:rsidRPr="00CD2989">
        <w:rPr>
          <w:b/>
          <w:sz w:val="20"/>
          <w:szCs w:val="20"/>
        </w:rPr>
        <w:t xml:space="preserve">Artículo 1. </w:t>
      </w:r>
      <w:r w:rsidRPr="00CD2989">
        <w:rPr>
          <w:sz w:val="20"/>
          <w:szCs w:val="20"/>
        </w:rPr>
        <w:t>Para los efectos de esta Convención debe entenderse por violencia contra la mujer cualquier acción o conducta, basada en su género, que cause muerte, daño o sufrimiento físico, sexual o psicológico a la mujer, tanto en el ámbito público como en el privado.</w:t>
      </w:r>
    </w:p>
    <w:p w14:paraId="2A3A2193" w14:textId="77777777" w:rsidR="0059143E" w:rsidRPr="00CD2989" w:rsidRDefault="0059143E" w:rsidP="00CD2989">
      <w:pPr>
        <w:snapToGrid w:val="0"/>
        <w:spacing w:line="240" w:lineRule="auto"/>
        <w:rPr>
          <w:b/>
          <w:sz w:val="20"/>
          <w:szCs w:val="20"/>
        </w:rPr>
      </w:pPr>
      <w:r w:rsidRPr="00CD2989">
        <w:rPr>
          <w:b/>
          <w:sz w:val="20"/>
          <w:szCs w:val="20"/>
        </w:rPr>
        <w:t xml:space="preserve">Artículo 2. </w:t>
      </w:r>
      <w:r w:rsidRPr="00CD2989">
        <w:rPr>
          <w:sz w:val="20"/>
          <w:szCs w:val="20"/>
        </w:rPr>
        <w:t>Se entenderá que violencia contra la mujer incluye la violencia física, sexual y psicológica: a. que tenga lugar dentro de la familia o unidad doméstica o en cualquier otra relación interpersonal, ya sea que el agresor comparta o haya compartido el mismo domicilio que la mujer, y que comprende, entre otros, violación, maltrato y abuso sexual; 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1326D81A" w14:textId="77777777" w:rsidR="0059143E" w:rsidRPr="00CD2989" w:rsidRDefault="0059143E" w:rsidP="00CD2989">
      <w:pPr>
        <w:snapToGrid w:val="0"/>
        <w:spacing w:line="240" w:lineRule="auto"/>
        <w:rPr>
          <w:sz w:val="20"/>
          <w:szCs w:val="20"/>
        </w:rPr>
      </w:pPr>
      <w:r w:rsidRPr="00CD2989">
        <w:rPr>
          <w:sz w:val="20"/>
          <w:szCs w:val="20"/>
        </w:rPr>
        <w:t>c. que sea perpetrada o tolerada por el Estado o sus agentes, donde quiera que ocurra</w:t>
      </w:r>
    </w:p>
    <w:p w14:paraId="543D0CCD" w14:textId="77777777" w:rsidR="0059143E" w:rsidRPr="00CD2989" w:rsidRDefault="0059143E" w:rsidP="00CD2989">
      <w:pPr>
        <w:snapToGrid w:val="0"/>
        <w:spacing w:line="240" w:lineRule="auto"/>
        <w:rPr>
          <w:sz w:val="20"/>
          <w:szCs w:val="20"/>
        </w:rPr>
      </w:pPr>
      <w:r w:rsidRPr="00CD2989">
        <w:rPr>
          <w:sz w:val="20"/>
          <w:szCs w:val="20"/>
        </w:rPr>
        <w:t>[…]</w:t>
      </w:r>
    </w:p>
    <w:p w14:paraId="4520E685" w14:textId="77777777" w:rsidR="0059143E" w:rsidRPr="00CD2989" w:rsidRDefault="0059143E" w:rsidP="00CD2989">
      <w:pPr>
        <w:snapToGrid w:val="0"/>
        <w:spacing w:line="240" w:lineRule="auto"/>
        <w:rPr>
          <w:b/>
          <w:sz w:val="20"/>
          <w:szCs w:val="20"/>
        </w:rPr>
      </w:pPr>
      <w:r w:rsidRPr="00CD2989">
        <w:rPr>
          <w:b/>
          <w:sz w:val="20"/>
          <w:szCs w:val="20"/>
        </w:rPr>
        <w:t xml:space="preserve">Artículo 5. </w:t>
      </w:r>
      <w:r w:rsidRPr="00CD2989">
        <w:rPr>
          <w:sz w:val="20"/>
          <w:szCs w:val="20"/>
        </w:rPr>
        <w:t>Toda mujer podrá ejercer libre y plenamente sus derechos civiles, políticos, económicos, sociales y culturales y contará con la total protección de esos derechos consagrados en los instrumentos regionales e internacionales sobre derechos humanos. Los Estados Partes reconocen que la violencia contra la mujer impide y anula el ejercicio de esos derechos”</w:t>
      </w:r>
    </w:p>
    <w:p w14:paraId="1A385230" w14:textId="77777777" w:rsidR="0059143E" w:rsidRPr="00CD2989" w:rsidRDefault="0059143E" w:rsidP="00CD2989">
      <w:pPr>
        <w:snapToGrid w:val="0"/>
        <w:spacing w:line="240" w:lineRule="auto"/>
        <w:rPr>
          <w:b/>
          <w:sz w:val="20"/>
          <w:szCs w:val="20"/>
        </w:rPr>
      </w:pPr>
      <w:r w:rsidRPr="00CD2989">
        <w:rPr>
          <w:b/>
          <w:sz w:val="20"/>
          <w:szCs w:val="20"/>
        </w:rPr>
        <w:t xml:space="preserve">Artículo 6. </w:t>
      </w:r>
      <w:r w:rsidRPr="00CD2989">
        <w:rPr>
          <w:sz w:val="20"/>
          <w:szCs w:val="20"/>
        </w:rPr>
        <w:t>El derecho de toda mujer a una vida libre de violencia incluye, entre otros:</w:t>
      </w:r>
    </w:p>
    <w:p w14:paraId="7DB5B50E" w14:textId="77777777" w:rsidR="0059143E" w:rsidRPr="00CD2989" w:rsidRDefault="0059143E" w:rsidP="00CD2989">
      <w:pPr>
        <w:snapToGrid w:val="0"/>
        <w:spacing w:line="240" w:lineRule="auto"/>
        <w:rPr>
          <w:sz w:val="20"/>
          <w:szCs w:val="20"/>
        </w:rPr>
      </w:pPr>
      <w:r w:rsidRPr="00CD2989">
        <w:rPr>
          <w:sz w:val="20"/>
          <w:szCs w:val="20"/>
        </w:rPr>
        <w:t>a. el derecho de la mujer a ser libre de toda forma de discriminación, y</w:t>
      </w:r>
    </w:p>
    <w:p w14:paraId="3EEFCE13" w14:textId="77777777" w:rsidR="0059143E" w:rsidRPr="00CD2989" w:rsidRDefault="0059143E" w:rsidP="00CD2989">
      <w:pPr>
        <w:snapToGrid w:val="0"/>
        <w:spacing w:line="240" w:lineRule="auto"/>
        <w:rPr>
          <w:sz w:val="20"/>
          <w:szCs w:val="20"/>
        </w:rPr>
      </w:pPr>
      <w:r w:rsidRPr="00CD2989">
        <w:rPr>
          <w:sz w:val="20"/>
          <w:szCs w:val="20"/>
        </w:rPr>
        <w:t>b. el derecho de la mujer a ser valorada y educada libre de patrones estereotipados de comportamiento y prácticas sociales y culturales basadas en conceptos de inferioridad o subordinación”.</w:t>
      </w:r>
    </w:p>
    <w:p w14:paraId="10C18FA3" w14:textId="77777777" w:rsidR="0059143E" w:rsidRPr="00CD2989" w:rsidRDefault="0059143E" w:rsidP="00CD2989">
      <w:pPr>
        <w:snapToGrid w:val="0"/>
        <w:spacing w:line="240" w:lineRule="auto"/>
        <w:rPr>
          <w:sz w:val="20"/>
          <w:szCs w:val="20"/>
        </w:rPr>
      </w:pPr>
      <w:r w:rsidRPr="00CD2989">
        <w:rPr>
          <w:sz w:val="20"/>
          <w:szCs w:val="20"/>
        </w:rPr>
        <w:t>[…]</w:t>
      </w:r>
    </w:p>
    <w:p w14:paraId="6CB026CB" w14:textId="77777777" w:rsidR="0059143E" w:rsidRPr="00CD2989" w:rsidRDefault="0059143E" w:rsidP="00CD2989">
      <w:pPr>
        <w:snapToGrid w:val="0"/>
        <w:spacing w:line="240" w:lineRule="auto"/>
        <w:rPr>
          <w:b/>
          <w:sz w:val="20"/>
          <w:szCs w:val="20"/>
        </w:rPr>
      </w:pPr>
      <w:r w:rsidRPr="00CD2989">
        <w:rPr>
          <w:b/>
          <w:sz w:val="20"/>
          <w:szCs w:val="20"/>
        </w:rPr>
        <w:t xml:space="preserve">Artículo 7. </w:t>
      </w:r>
      <w:r w:rsidRPr="00CD2989">
        <w:rPr>
          <w:sz w:val="20"/>
          <w:szCs w:val="20"/>
        </w:rPr>
        <w:t>Los Estados Partes condenan todas las formas de violencia contra la mujer y convienen en adoptar, por todos los medios apropiados y sin dilaciones, políticas orientadas a prevenir, sancionar y erradicar dicha violencia y en llevar a cabo lo siguiente:</w:t>
      </w:r>
    </w:p>
    <w:p w14:paraId="3CCD3DFF" w14:textId="77777777" w:rsidR="0059143E" w:rsidRPr="00CD2989" w:rsidRDefault="0059143E" w:rsidP="00CD2989">
      <w:pPr>
        <w:snapToGrid w:val="0"/>
        <w:spacing w:line="240" w:lineRule="auto"/>
        <w:rPr>
          <w:sz w:val="20"/>
          <w:szCs w:val="20"/>
        </w:rPr>
      </w:pPr>
      <w:r w:rsidRPr="00CD2989">
        <w:rPr>
          <w:sz w:val="20"/>
          <w:szCs w:val="20"/>
        </w:rPr>
        <w:t>a. abstenerse de cualquier acción o práctica de violencia contra la mujer y velar por que las autoridades, sus funcionarios, personal y agentes e instituciones se comporten de conformidad con esta obligación;</w:t>
      </w:r>
    </w:p>
    <w:p w14:paraId="28D02A0B" w14:textId="77777777" w:rsidR="0059143E" w:rsidRPr="00CD2989" w:rsidRDefault="0059143E" w:rsidP="00CD2989">
      <w:pPr>
        <w:snapToGrid w:val="0"/>
        <w:spacing w:line="240" w:lineRule="auto"/>
        <w:rPr>
          <w:sz w:val="20"/>
          <w:szCs w:val="20"/>
        </w:rPr>
      </w:pPr>
      <w:r w:rsidRPr="00CD2989">
        <w:rPr>
          <w:sz w:val="20"/>
          <w:szCs w:val="20"/>
        </w:rPr>
        <w:t>b. actuar con la debida diligencia para prevenir, investigar y sancionar la violencia contra la mujer;</w:t>
      </w:r>
    </w:p>
    <w:p w14:paraId="54E9A9A2" w14:textId="77777777" w:rsidR="0059143E" w:rsidRPr="00CD2989" w:rsidRDefault="0059143E" w:rsidP="00CD2989">
      <w:pPr>
        <w:snapToGrid w:val="0"/>
        <w:spacing w:line="240" w:lineRule="auto"/>
        <w:rPr>
          <w:sz w:val="20"/>
          <w:szCs w:val="20"/>
        </w:rPr>
      </w:pPr>
      <w:r w:rsidRPr="00CD2989">
        <w:rPr>
          <w:sz w:val="20"/>
          <w:szCs w:val="20"/>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231D8A30" w14:textId="77777777" w:rsidR="0059143E" w:rsidRPr="00CD2989" w:rsidRDefault="0059143E" w:rsidP="00CD2989">
      <w:pPr>
        <w:snapToGrid w:val="0"/>
        <w:spacing w:line="240" w:lineRule="auto"/>
        <w:rPr>
          <w:sz w:val="20"/>
          <w:szCs w:val="20"/>
        </w:rPr>
      </w:pPr>
      <w:r w:rsidRPr="00CD2989">
        <w:rPr>
          <w:sz w:val="20"/>
          <w:szCs w:val="20"/>
        </w:rPr>
        <w:t>d. adoptar medidas jurídicas para conminar al agresor a abstenerse de hostigar, intimidar, amenazar, dañar o poner en peligro la vida de la mujer de cualquier forma que atente contra su integridad o perjudique su propiedad;</w:t>
      </w:r>
    </w:p>
    <w:p w14:paraId="3F4B2137" w14:textId="77777777" w:rsidR="0059143E" w:rsidRPr="00CD2989" w:rsidRDefault="0059143E" w:rsidP="00CD2989">
      <w:pPr>
        <w:snapToGrid w:val="0"/>
        <w:spacing w:line="240" w:lineRule="auto"/>
        <w:rPr>
          <w:sz w:val="20"/>
          <w:szCs w:val="20"/>
        </w:rPr>
      </w:pPr>
      <w:r w:rsidRPr="00CD2989">
        <w:rPr>
          <w:sz w:val="20"/>
          <w:szCs w:val="20"/>
        </w:rPr>
        <w:t>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40460349" w14:textId="77777777" w:rsidR="0059143E" w:rsidRPr="00CD2989" w:rsidRDefault="0059143E" w:rsidP="00CD2989">
      <w:pPr>
        <w:snapToGrid w:val="0"/>
        <w:spacing w:line="240" w:lineRule="auto"/>
        <w:rPr>
          <w:sz w:val="20"/>
          <w:szCs w:val="20"/>
        </w:rPr>
      </w:pPr>
      <w:r w:rsidRPr="00CD2989">
        <w:rPr>
          <w:sz w:val="20"/>
          <w:szCs w:val="20"/>
        </w:rPr>
        <w:t>f. establecer procedimientos legales justos y eficaces para la mujer que haya sido sometida a violencia, que incluyan, entre otros, medidas de protección, un juicio oportuno y el acceso efectivo a tales procedimientos;</w:t>
      </w:r>
    </w:p>
    <w:p w14:paraId="58F8EC39" w14:textId="77777777" w:rsidR="0059143E" w:rsidRPr="00CD2989" w:rsidRDefault="0059143E" w:rsidP="00CD2989">
      <w:pPr>
        <w:snapToGrid w:val="0"/>
        <w:spacing w:line="240" w:lineRule="auto"/>
        <w:rPr>
          <w:sz w:val="20"/>
          <w:szCs w:val="20"/>
        </w:rPr>
      </w:pPr>
      <w:r w:rsidRPr="00CD2989">
        <w:rPr>
          <w:sz w:val="20"/>
          <w:szCs w:val="20"/>
        </w:rPr>
        <w:t>g. establecer los mecanismos judiciales y administrativos necesarios para asegurar que la mujer objeto de violencia tenga acceso efectivo a resarcimiento, reparación del daño u otros medios de compensación justos y eficaces, y</w:t>
      </w:r>
    </w:p>
    <w:p w14:paraId="608B2557" w14:textId="77777777" w:rsidR="0059143E" w:rsidRPr="00CD2989" w:rsidRDefault="0059143E" w:rsidP="00CD2989">
      <w:pPr>
        <w:snapToGrid w:val="0"/>
        <w:spacing w:line="240" w:lineRule="auto"/>
        <w:rPr>
          <w:sz w:val="20"/>
          <w:szCs w:val="20"/>
        </w:rPr>
      </w:pPr>
      <w:r w:rsidRPr="00CD2989">
        <w:rPr>
          <w:sz w:val="20"/>
          <w:szCs w:val="20"/>
        </w:rPr>
        <w:t>h. adoptar las disposiciones legislativas o de otra índole que sean necesarias para hacer efectiva esta Convención.</w:t>
      </w:r>
    </w:p>
    <w:p w14:paraId="55246441" w14:textId="77777777" w:rsidR="0059143E" w:rsidRPr="00CD2989" w:rsidRDefault="0059143E" w:rsidP="00CD2989">
      <w:pPr>
        <w:snapToGrid w:val="0"/>
        <w:spacing w:line="240" w:lineRule="auto"/>
        <w:rPr>
          <w:b/>
          <w:sz w:val="20"/>
          <w:szCs w:val="20"/>
        </w:rPr>
      </w:pPr>
      <w:r w:rsidRPr="00CD2989">
        <w:rPr>
          <w:b/>
          <w:sz w:val="20"/>
          <w:szCs w:val="20"/>
        </w:rPr>
        <w:t xml:space="preserve">Artículo 8. </w:t>
      </w:r>
      <w:r w:rsidRPr="00CD2989">
        <w:rPr>
          <w:sz w:val="20"/>
          <w:szCs w:val="20"/>
        </w:rPr>
        <w:t>Los Estados Partes convienen en adoptar, en forma progresiva, medidas específicas, inclusive programas para:</w:t>
      </w:r>
    </w:p>
    <w:p w14:paraId="7026EFCC" w14:textId="77777777" w:rsidR="0059143E" w:rsidRPr="00CD2989" w:rsidRDefault="0059143E" w:rsidP="00CD2989">
      <w:pPr>
        <w:snapToGrid w:val="0"/>
        <w:spacing w:line="240" w:lineRule="auto"/>
        <w:rPr>
          <w:sz w:val="20"/>
          <w:szCs w:val="20"/>
        </w:rPr>
      </w:pPr>
      <w:r w:rsidRPr="00CD2989">
        <w:rPr>
          <w:sz w:val="20"/>
          <w:szCs w:val="20"/>
        </w:rPr>
        <w:t>a. fomentar el conocimiento y la observancia del derecho de la mujer a una vida libre de violencia, y el derecho de la mujer a que se respeten y protejan sus derechos humanos;</w:t>
      </w:r>
    </w:p>
    <w:p w14:paraId="20CA4B50" w14:textId="77777777" w:rsidR="0059143E" w:rsidRPr="00CD2989" w:rsidRDefault="0059143E" w:rsidP="00CD2989">
      <w:pPr>
        <w:snapToGrid w:val="0"/>
        <w:spacing w:line="240" w:lineRule="auto"/>
        <w:rPr>
          <w:sz w:val="20"/>
          <w:szCs w:val="20"/>
        </w:rPr>
      </w:pPr>
      <w:r w:rsidRPr="00CD2989">
        <w:rPr>
          <w:sz w:val="20"/>
          <w:szCs w:val="20"/>
        </w:rPr>
        <w:t>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legitiman o exacerban la violencia contra la mujer;</w:t>
      </w:r>
    </w:p>
    <w:p w14:paraId="0BB80C9D" w14:textId="77777777" w:rsidR="0059143E" w:rsidRPr="00CD2989" w:rsidRDefault="0059143E" w:rsidP="00CD2989">
      <w:pPr>
        <w:snapToGrid w:val="0"/>
        <w:spacing w:line="240" w:lineRule="auto"/>
        <w:rPr>
          <w:sz w:val="20"/>
          <w:szCs w:val="20"/>
        </w:rPr>
      </w:pPr>
      <w:r w:rsidRPr="00CD2989">
        <w:rPr>
          <w:sz w:val="20"/>
          <w:szCs w:val="20"/>
        </w:rPr>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p>
    <w:p w14:paraId="2EC8A0A1" w14:textId="77777777" w:rsidR="0059143E" w:rsidRPr="00CD2989" w:rsidRDefault="0059143E" w:rsidP="00CD2989">
      <w:pPr>
        <w:snapToGrid w:val="0"/>
        <w:spacing w:line="240" w:lineRule="auto"/>
        <w:rPr>
          <w:sz w:val="20"/>
          <w:szCs w:val="20"/>
        </w:rPr>
      </w:pPr>
      <w:r w:rsidRPr="00CD2989">
        <w:rPr>
          <w:sz w:val="20"/>
          <w:szCs w:val="20"/>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14:paraId="61C6FFCD" w14:textId="77777777" w:rsidR="0059143E" w:rsidRPr="00CD2989" w:rsidRDefault="0059143E" w:rsidP="00CD2989">
      <w:pPr>
        <w:snapToGrid w:val="0"/>
        <w:spacing w:line="240" w:lineRule="auto"/>
        <w:rPr>
          <w:sz w:val="20"/>
          <w:szCs w:val="20"/>
        </w:rPr>
      </w:pPr>
      <w:r w:rsidRPr="00CD2989">
        <w:rPr>
          <w:sz w:val="20"/>
          <w:szCs w:val="20"/>
        </w:rPr>
        <w:t>e. fomentar y apoyar programas de educación gubernamentales y del sector privado destinados a concientizar al público sobre los problemas relacionados con la violencia contra la mujer, los recursos legales y la reparación que corresponda;</w:t>
      </w:r>
    </w:p>
    <w:p w14:paraId="2A5047F8" w14:textId="77777777" w:rsidR="0059143E" w:rsidRPr="00CD2989" w:rsidRDefault="0059143E" w:rsidP="00CD2989">
      <w:pPr>
        <w:snapToGrid w:val="0"/>
        <w:spacing w:line="240" w:lineRule="auto"/>
        <w:rPr>
          <w:sz w:val="20"/>
          <w:szCs w:val="20"/>
        </w:rPr>
      </w:pPr>
      <w:r w:rsidRPr="00CD2989">
        <w:rPr>
          <w:sz w:val="20"/>
          <w:szCs w:val="20"/>
        </w:rPr>
        <w:t>f. ofrecer a la mujer objeto de violencia acceso a programas eficaces de rehabilitación y capacitación que le permitan participar plenamente en la vida pública, privada y social;</w:t>
      </w:r>
    </w:p>
    <w:p w14:paraId="64E5CF88" w14:textId="77777777" w:rsidR="0059143E" w:rsidRPr="00CD2989" w:rsidRDefault="0059143E" w:rsidP="00CD2989">
      <w:pPr>
        <w:snapToGrid w:val="0"/>
        <w:spacing w:line="240" w:lineRule="auto"/>
        <w:rPr>
          <w:sz w:val="20"/>
          <w:szCs w:val="20"/>
        </w:rPr>
      </w:pPr>
      <w:r w:rsidRPr="00CD2989">
        <w:rPr>
          <w:sz w:val="20"/>
          <w:szCs w:val="20"/>
        </w:rPr>
        <w:t>g. alentar a los medios de comunicación a elaborar directrices adecuadas de difusión que contribuyan a erradicar la violencia contra la mujer en todas sus formas y a realzar el respeto a la dignidad de la mujer;</w:t>
      </w:r>
    </w:p>
    <w:p w14:paraId="5F577776" w14:textId="77777777" w:rsidR="0059143E" w:rsidRPr="00CD2989" w:rsidRDefault="0059143E" w:rsidP="00CD2989">
      <w:pPr>
        <w:snapToGrid w:val="0"/>
        <w:spacing w:line="240" w:lineRule="auto"/>
        <w:rPr>
          <w:sz w:val="20"/>
          <w:szCs w:val="20"/>
        </w:rPr>
      </w:pPr>
      <w:r w:rsidRPr="00CD2989">
        <w:rPr>
          <w:sz w:val="20"/>
          <w:szCs w:val="20"/>
        </w:rPr>
        <w:t>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w:t>
      </w:r>
    </w:p>
    <w:p w14:paraId="398EC8A7" w14:textId="77777777" w:rsidR="0059143E" w:rsidRPr="00CD2989" w:rsidRDefault="0059143E" w:rsidP="00CD2989">
      <w:pPr>
        <w:pStyle w:val="Textonotapie"/>
        <w:snapToGrid w:val="0"/>
        <w:spacing w:before="60" w:after="60"/>
      </w:pPr>
      <w:r w:rsidRPr="00CD2989">
        <w:t>i. promover la cooperación internacional para el intercambio de ideas y experiencias y la ejecución de programas encaminados a proteger a la mujer objeto de violencia.</w:t>
      </w:r>
    </w:p>
  </w:footnote>
  <w:footnote w:id="51">
    <w:p w14:paraId="35B47FE4" w14:textId="77777777" w:rsidR="0059143E" w:rsidRPr="00CD2989" w:rsidRDefault="0059143E" w:rsidP="00CD2989">
      <w:pPr>
        <w:pStyle w:val="Textonotapie"/>
        <w:snapToGrid w:val="0"/>
        <w:spacing w:before="60" w:after="60"/>
      </w:pPr>
      <w:r w:rsidRPr="00CD2989">
        <w:rPr>
          <w:rStyle w:val="Refdenotaalpie"/>
        </w:rPr>
        <w:footnoteRef/>
      </w:r>
      <w:r w:rsidRPr="00CD2989">
        <w:t xml:space="preserve"> Párrafo 18: L</w:t>
      </w:r>
      <w:r w:rsidRPr="00CD2989">
        <w:rPr>
          <w:color w:val="000000"/>
        </w:rPr>
        <w:t>as violaciones de la salud y los derechos sexuales y reproductivos de la mujer, como la esterilización forzada, el aborto forzado, el embarazo forzado, la tipificación como delito del aborto, la denegación o la postergación del aborto sin riesgo y la atención posterior al aborto, la continuación forzada del embarazo y el abuso y el maltrato de las mujeres y las niñas que buscan información sobre salud, bienes y servicios sexuales y reproductivos, son formas de violencia por razón de género que, según las circunstancias, pueden constituir tortura o trato cruel, inhumano o degradante.</w:t>
      </w:r>
    </w:p>
  </w:footnote>
  <w:footnote w:id="52">
    <w:p w14:paraId="22A34F66" w14:textId="77777777" w:rsidR="0059143E" w:rsidRPr="00CD2989" w:rsidRDefault="0059143E" w:rsidP="00CD2989">
      <w:pPr>
        <w:pStyle w:val="Textonotapie"/>
        <w:snapToGrid w:val="0"/>
        <w:spacing w:before="60" w:after="60"/>
      </w:pPr>
      <w:r w:rsidRPr="00CD2989">
        <w:rPr>
          <w:rStyle w:val="Refdenotaalpie"/>
        </w:rPr>
        <w:footnoteRef/>
      </w:r>
      <w:r w:rsidRPr="00CD2989">
        <w:t xml:space="preserve"> A partir de la adopción del Protocolo Facultativo de la CEDAW, estas obligaciones son el marco con el que se supervise internacionalmente el accionar de los Estados en materia de salud de las mujeres.</w:t>
      </w:r>
    </w:p>
  </w:footnote>
  <w:footnote w:id="53">
    <w:p w14:paraId="26FA52DC" w14:textId="77777777" w:rsidR="0059143E" w:rsidRPr="00CD2989" w:rsidRDefault="0059143E" w:rsidP="00CD2989">
      <w:pPr>
        <w:pStyle w:val="Textonotapie"/>
        <w:snapToGrid w:val="0"/>
        <w:spacing w:before="60" w:after="60"/>
        <w:rPr>
          <w:lang w:eastAsia="x-none"/>
        </w:rPr>
      </w:pPr>
      <w:r w:rsidRPr="00CD2989">
        <w:rPr>
          <w:rStyle w:val="Refdenotaalpie"/>
        </w:rPr>
        <w:footnoteRef/>
      </w:r>
      <w:r w:rsidRPr="00CD2989">
        <w:t xml:space="preserve"> Existen sentencias emitidas por diversas cortes constitucionales que demuestran la innegable la relación entre los derechos de libertad y el derecho a la salud, en lo relativo a las decisiones sobre la interrupción del embarazo, y que señalan, por ejemplo, que el libre desarrollo de la personalidad de las mujeres prevalece cuando el embarazo resulta una carga extraordinaria y opresiva para las mujeres o cuando afecta su salud, sus condiciones económicas o las de su familia.(Consejo del Estado Francés, 1975); </w:t>
      </w:r>
      <w:r w:rsidRPr="00CD2989">
        <w:rPr>
          <w:i/>
        </w:rPr>
        <w:t xml:space="preserve">Roe vs. Wade y </w:t>
      </w:r>
      <w:proofErr w:type="spellStart"/>
      <w:r w:rsidRPr="00CD2989">
        <w:rPr>
          <w:i/>
        </w:rPr>
        <w:t>Planned</w:t>
      </w:r>
      <w:proofErr w:type="spellEnd"/>
      <w:r w:rsidRPr="00CD2989">
        <w:rPr>
          <w:i/>
        </w:rPr>
        <w:t xml:space="preserve"> </w:t>
      </w:r>
      <w:proofErr w:type="spellStart"/>
      <w:r w:rsidRPr="00CD2989">
        <w:rPr>
          <w:i/>
        </w:rPr>
        <w:t>Parenthood</w:t>
      </w:r>
      <w:proofErr w:type="spellEnd"/>
      <w:r w:rsidRPr="00CD2989">
        <w:rPr>
          <w:i/>
        </w:rPr>
        <w:t xml:space="preserve"> v. Casey,</w:t>
      </w:r>
      <w:r w:rsidRPr="00CD2989">
        <w:t xml:space="preserve"> (Suprema Corte de Estados Unidos); Tribunal Constitucional Alemán, 1993; Tribunal Constitucional Español, 1985; </w:t>
      </w:r>
      <w:r w:rsidRPr="00CD2989">
        <w:rPr>
          <w:i/>
        </w:rPr>
        <w:t xml:space="preserve">Caso </w:t>
      </w:r>
      <w:proofErr w:type="spellStart"/>
      <w:r w:rsidRPr="00CD2989">
        <w:rPr>
          <w:i/>
        </w:rPr>
        <w:t>Morgentaler</w:t>
      </w:r>
      <w:proofErr w:type="spellEnd"/>
      <w:r w:rsidRPr="00CD2989">
        <w:rPr>
          <w:i/>
        </w:rPr>
        <w:t xml:space="preserve">, </w:t>
      </w:r>
      <w:r w:rsidRPr="00CD2989">
        <w:t>Suprema Corte de Justicia De Canadá, y Corte Constitucional Colombiana C335-06; entre otros.</w:t>
      </w:r>
    </w:p>
  </w:footnote>
  <w:footnote w:id="54">
    <w:p w14:paraId="1C8F04D7" w14:textId="1CD6BCC2" w:rsidR="00FB72D1" w:rsidRPr="00CD2989" w:rsidRDefault="00FB72D1" w:rsidP="00CD2989">
      <w:pPr>
        <w:pStyle w:val="Textonotapie"/>
        <w:snapToGrid w:val="0"/>
        <w:spacing w:before="60" w:after="60"/>
      </w:pPr>
      <w:r w:rsidRPr="00CD2989">
        <w:rPr>
          <w:rStyle w:val="Refdenotaalpie"/>
        </w:rPr>
        <w:footnoteRef/>
      </w:r>
      <w:r w:rsidRPr="00CD2989">
        <w:t xml:space="preserve"> </w:t>
      </w:r>
      <w:r w:rsidR="004E6700" w:rsidRPr="00CD2989">
        <w:t xml:space="preserve">Amparo directo en revisión 2468/2015 resuelto por la Primera Sala de la Suprema Corte de Justicia de la Nación, el </w:t>
      </w:r>
      <w:r w:rsidR="00916C43">
        <w:t>22 de febrero de 2017</w:t>
      </w:r>
      <w:r w:rsidR="004E6700" w:rsidRPr="00CD2989">
        <w:t xml:space="preserve"> por mayoría de tres votos de los ministros Arturo Zaldívar Lelo de Larrea, José Ramón Cossío Díaz (Ponente) y Alfredo Gutiérrez Ortiz Mena en contra de los emitidos por el ministro Jorge Mario Pardo Rebolledo y la ministra Norma Lucía Piña Hernández.</w:t>
      </w:r>
    </w:p>
  </w:footnote>
  <w:footnote w:id="55">
    <w:p w14:paraId="4F6DC2D2" w14:textId="77777777" w:rsidR="00BA6C71" w:rsidRPr="00CD2989" w:rsidRDefault="00BA6C71" w:rsidP="00CD2989">
      <w:pPr>
        <w:pStyle w:val="Textonotapie"/>
        <w:snapToGrid w:val="0"/>
        <w:spacing w:before="60" w:after="60"/>
      </w:pPr>
      <w:r w:rsidRPr="00CD2989">
        <w:rPr>
          <w:rStyle w:val="Refdenotaalpie"/>
        </w:rPr>
        <w:footnoteRef/>
      </w:r>
      <w:r w:rsidRPr="00CD2989">
        <w:t xml:space="preserve"> Ley General de Salud</w:t>
      </w:r>
    </w:p>
    <w:p w14:paraId="40D7DC50" w14:textId="77777777" w:rsidR="00BA6C71" w:rsidRPr="00CD2989" w:rsidRDefault="00BA6C71" w:rsidP="00CD2989">
      <w:pPr>
        <w:pStyle w:val="Textonotapie"/>
        <w:snapToGrid w:val="0"/>
        <w:spacing w:before="60" w:after="60"/>
      </w:pPr>
      <w:r w:rsidRPr="00CD2989">
        <w:t>Artículo 13. La competencia entre la Federación y las entidades federativas en materia de salubridad general quedará distribuida conforme a lo siguiente:</w:t>
      </w:r>
    </w:p>
    <w:p w14:paraId="342BC3BA" w14:textId="77777777" w:rsidR="00BA6C71" w:rsidRPr="00CD2989" w:rsidRDefault="00BA6C71" w:rsidP="00CD2989">
      <w:pPr>
        <w:pStyle w:val="Textonotapie"/>
        <w:snapToGrid w:val="0"/>
        <w:spacing w:before="60" w:after="60"/>
      </w:pPr>
      <w:r w:rsidRPr="00CD2989">
        <w:t>[…]</w:t>
      </w:r>
    </w:p>
    <w:p w14:paraId="0E00882C" w14:textId="77777777" w:rsidR="00BA6C71" w:rsidRPr="00CD2989" w:rsidRDefault="00BA6C71" w:rsidP="00CD2989">
      <w:pPr>
        <w:pStyle w:val="Textonotapie"/>
        <w:snapToGrid w:val="0"/>
        <w:spacing w:before="60" w:after="60"/>
      </w:pPr>
      <w:r w:rsidRPr="00CD2989">
        <w:t>B. Corresponde a los gobiernos de las entidades federativas, en materia de salubridad general, como autoridades locales y dentro de sus respectivas jurisdicciones territoriales:</w:t>
      </w:r>
    </w:p>
    <w:p w14:paraId="4574AC0B" w14:textId="77777777" w:rsidR="00BA6C71" w:rsidRPr="00CD2989" w:rsidRDefault="00BA6C71" w:rsidP="00CD2989">
      <w:pPr>
        <w:pStyle w:val="Textonotapie"/>
        <w:snapToGrid w:val="0"/>
        <w:spacing w:before="60" w:after="60"/>
      </w:pPr>
      <w:r w:rsidRPr="00CD2989">
        <w:t xml:space="preserve">I. Organizar, operar, supervisar y evaluar la prestación de los servicios de salubridad general a que se refieren las fracciones </w:t>
      </w:r>
      <w:r w:rsidRPr="00CD2989">
        <w:rPr>
          <w:u w:val="single"/>
        </w:rPr>
        <w:t>II</w:t>
      </w:r>
      <w:r w:rsidRPr="00CD2989">
        <w:t xml:space="preserve">, II Bis, </w:t>
      </w:r>
      <w:r w:rsidRPr="00CD2989">
        <w:rPr>
          <w:u w:val="single"/>
        </w:rPr>
        <w:t>IV</w:t>
      </w:r>
      <w:r w:rsidRPr="00CD2989">
        <w:t xml:space="preserve">, IV Bis, IV Bis 1, IV Bis 2, IV Bis 3, </w:t>
      </w:r>
      <w:r w:rsidRPr="00CD2989">
        <w:rPr>
          <w:u w:val="single"/>
        </w:rPr>
        <w:t>V</w:t>
      </w:r>
      <w:r w:rsidRPr="00CD2989">
        <w:t xml:space="preserve">, </w:t>
      </w:r>
      <w:r w:rsidRPr="00CD2989">
        <w:rPr>
          <w:u w:val="single"/>
        </w:rPr>
        <w:t>VI</w:t>
      </w:r>
      <w:r w:rsidRPr="00CD2989">
        <w:t xml:space="preserve">, VII, VIII, IX, </w:t>
      </w:r>
      <w:r w:rsidRPr="00CD2989">
        <w:rPr>
          <w:u w:val="single"/>
        </w:rPr>
        <w:t>X</w:t>
      </w:r>
      <w:r w:rsidRPr="00CD2989">
        <w:t>, XI, XII, XIII, XIV, XV, XVI, XVII, XVIII, XIX, XX, XXVI Bis y XXVII Bis, del artículo 3o. de esta Ley, de conformidad con las disposiciones aplicables;</w:t>
      </w:r>
    </w:p>
    <w:p w14:paraId="14C29F59" w14:textId="77777777" w:rsidR="00BA6C71" w:rsidRPr="00CD2989" w:rsidRDefault="00BA6C71" w:rsidP="00CD2989">
      <w:pPr>
        <w:pStyle w:val="Textonotapie"/>
        <w:snapToGrid w:val="0"/>
        <w:spacing w:before="60" w:after="60"/>
      </w:pPr>
      <w:r w:rsidRPr="00CD2989">
        <w:t>[…]</w:t>
      </w:r>
    </w:p>
  </w:footnote>
  <w:footnote w:id="56">
    <w:p w14:paraId="5F51776C" w14:textId="69F24CA7" w:rsidR="0060346C" w:rsidRPr="00CD2989" w:rsidRDefault="0060346C" w:rsidP="00CD2989">
      <w:pPr>
        <w:pStyle w:val="Textonotapie"/>
        <w:snapToGrid w:val="0"/>
        <w:spacing w:before="60" w:after="60"/>
      </w:pPr>
      <w:r w:rsidRPr="00CD2989">
        <w:rPr>
          <w:rStyle w:val="Refdenotaalpie"/>
        </w:rPr>
        <w:footnoteRef/>
      </w:r>
      <w:r w:rsidRPr="00CD2989">
        <w:t xml:space="preserve"> En su informe justificado, se relata que el director general del Hospital se comunicó con la Secretaría de Salud de la entidad por teléfono para solicitar información sobre el oficio recibido. En ese momento, sostiene, se le comunicó que había una petición por parte de la organización GIRE para la interrupción del embarazo forzado que cursaba la joven </w:t>
      </w:r>
      <w:r w:rsidR="00751305">
        <w:rPr>
          <w:i/>
          <w:iCs/>
        </w:rPr>
        <w:t>María</w:t>
      </w:r>
      <w:r w:rsidRPr="00CD2989">
        <w:t>.</w:t>
      </w:r>
    </w:p>
  </w:footnote>
  <w:footnote w:id="57">
    <w:p w14:paraId="431D9588" w14:textId="72EA0B9F" w:rsidR="009662C6" w:rsidRPr="00CD2989" w:rsidRDefault="00486251" w:rsidP="00CD2989">
      <w:pPr>
        <w:pStyle w:val="Textonotapie"/>
        <w:snapToGrid w:val="0"/>
        <w:spacing w:before="60" w:after="60"/>
      </w:pPr>
      <w:r w:rsidRPr="00CD2989">
        <w:rPr>
          <w:rStyle w:val="Refdenotaalpie"/>
        </w:rPr>
        <w:footnoteRef/>
      </w:r>
      <w:r w:rsidRPr="00CD2989">
        <w:t xml:space="preserve"> </w:t>
      </w:r>
      <w:r w:rsidR="009662C6" w:rsidRPr="00CD2989">
        <w:t>De acuerdo con la NOM-046-SSA2-2005. Violencia familiar, sexual y contra las mujeres. Criterios para la prevención y atención, las autoridades están obligadas, cuando reciben a personas que han sufrido violación, a:</w:t>
      </w:r>
    </w:p>
    <w:p w14:paraId="60FE6D07" w14:textId="77777777" w:rsidR="009662C6" w:rsidRPr="00CD2989" w:rsidRDefault="009662C6" w:rsidP="00CD2989">
      <w:pPr>
        <w:pStyle w:val="Textonotapie"/>
        <w:snapToGrid w:val="0"/>
        <w:spacing w:before="60" w:after="60"/>
      </w:pPr>
      <w:r w:rsidRPr="00CD2989">
        <w:t>i.</w:t>
      </w:r>
      <w:r w:rsidRPr="00CD2989">
        <w:tab/>
        <w:t>Ofrecer de inmediato y hasta en un máximo de 120 horas después de ocurrido el delito, la anticoncepción de emergencia, previa información completa;</w:t>
      </w:r>
    </w:p>
    <w:p w14:paraId="1BA99198" w14:textId="77777777" w:rsidR="009662C6" w:rsidRPr="00CD2989" w:rsidRDefault="009662C6" w:rsidP="00CD2989">
      <w:pPr>
        <w:pStyle w:val="Textonotapie"/>
        <w:snapToGrid w:val="0"/>
        <w:spacing w:before="60" w:after="60"/>
      </w:pPr>
      <w:proofErr w:type="spellStart"/>
      <w:r w:rsidRPr="00CD2989">
        <w:t>ii</w:t>
      </w:r>
      <w:proofErr w:type="spellEnd"/>
      <w:r w:rsidRPr="00CD2989">
        <w:t>.</w:t>
      </w:r>
      <w:r w:rsidRPr="00CD2989">
        <w:tab/>
        <w:t>Informar sobre los riesgos de posibles infecciones de transmisión sexual y de los medios para su prevención; prescribir a profilaxis contra el VIH/SIDA, considerando la percepción de riesgo de la paciente;</w:t>
      </w:r>
    </w:p>
    <w:p w14:paraId="78FA3392" w14:textId="77777777" w:rsidR="009662C6" w:rsidRPr="00CD2989" w:rsidRDefault="009662C6" w:rsidP="00CD2989">
      <w:pPr>
        <w:pStyle w:val="Textonotapie"/>
        <w:snapToGrid w:val="0"/>
        <w:spacing w:before="60" w:after="60"/>
      </w:pPr>
      <w:proofErr w:type="spellStart"/>
      <w:r w:rsidRPr="00CD2989">
        <w:t>iii</w:t>
      </w:r>
      <w:proofErr w:type="spellEnd"/>
      <w:r w:rsidRPr="00CD2989">
        <w:t>.</w:t>
      </w:r>
      <w:r w:rsidRPr="00CD2989">
        <w:tab/>
        <w:t>Proporcionar consejería, seguimiento y orientación a la persona afectada sobre las dependencias a las que puede acudir para recibir otros servicios, y</w:t>
      </w:r>
    </w:p>
    <w:p w14:paraId="2624FD6D" w14:textId="4B5F7BA6" w:rsidR="00486251" w:rsidRPr="00CD2989" w:rsidRDefault="00987D6B" w:rsidP="00CD2989">
      <w:pPr>
        <w:pStyle w:val="Textonotapie"/>
        <w:snapToGrid w:val="0"/>
        <w:spacing w:before="60" w:after="60"/>
      </w:pPr>
      <w:proofErr w:type="spellStart"/>
      <w:r w:rsidRPr="00CD2989">
        <w:t>iv</w:t>
      </w:r>
      <w:proofErr w:type="spellEnd"/>
      <w:r w:rsidRPr="00CD2989">
        <w:t xml:space="preserve">. </w:t>
      </w:r>
      <w:r w:rsidR="009662C6" w:rsidRPr="00CD2989">
        <w:t>En caso de embarazo, informar sobre su derecho a interrumpir el embarazo, con información completa sobre los posibles riesgos y consecuencias del procedimiento, a fin de garantizar que la víctima tome una decisión informada</w:t>
      </w:r>
    </w:p>
  </w:footnote>
  <w:footnote w:id="58">
    <w:p w14:paraId="124A6D03" w14:textId="77777777" w:rsidR="009D1BDC" w:rsidRPr="00CD2989" w:rsidRDefault="009D1BDC" w:rsidP="00CD2989">
      <w:pPr>
        <w:pStyle w:val="Textonotapie"/>
        <w:snapToGrid w:val="0"/>
        <w:spacing w:before="60" w:after="60"/>
      </w:pPr>
      <w:r w:rsidRPr="00CD2989">
        <w:rPr>
          <w:rStyle w:val="Refdenotaalpie"/>
        </w:rPr>
        <w:footnoteRef/>
      </w:r>
      <w:r w:rsidRPr="00CD2989">
        <w:t xml:space="preserve"> Resuelto en sesión de 7 de julio de 2021, por unanimidad de 5 votos, bajo la ponencia del ministro Jorge Mario Pardo Rebolledo.</w:t>
      </w:r>
    </w:p>
  </w:footnote>
  <w:footnote w:id="59">
    <w:p w14:paraId="4C44BE37" w14:textId="77777777" w:rsidR="009D1BDC" w:rsidRPr="00CD2989" w:rsidRDefault="009D1BDC" w:rsidP="00CD2989">
      <w:pPr>
        <w:pStyle w:val="Textonotapie"/>
        <w:snapToGrid w:val="0"/>
        <w:spacing w:before="60" w:after="60"/>
      </w:pPr>
      <w:r w:rsidRPr="00CD2989">
        <w:rPr>
          <w:rStyle w:val="Refdenotaalpie"/>
        </w:rPr>
        <w:footnoteRef/>
      </w:r>
      <w:r w:rsidRPr="00CD2989">
        <w:t xml:space="preserve"> Resuelto en sesión de 23 de febrero de 2022, por unanimidad de 5 votos, bajo la ponencia de la ministra Ana Margarita Ríos </w:t>
      </w:r>
      <w:proofErr w:type="spellStart"/>
      <w:r w:rsidRPr="00CD2989">
        <w:t>Farjat</w:t>
      </w:r>
      <w:proofErr w:type="spellEnd"/>
      <w:r w:rsidRPr="00CD2989">
        <w:t>.</w:t>
      </w:r>
    </w:p>
  </w:footnote>
  <w:footnote w:id="60">
    <w:p w14:paraId="708DC41A" w14:textId="77777777" w:rsidR="00377255" w:rsidRPr="00CD2989" w:rsidRDefault="00377255" w:rsidP="00CD2989">
      <w:pPr>
        <w:pStyle w:val="Textonotapie"/>
        <w:snapToGrid w:val="0"/>
        <w:spacing w:before="60" w:after="60"/>
      </w:pPr>
      <w:r w:rsidRPr="00CD2989">
        <w:rPr>
          <w:rStyle w:val="Refdenotaalpie"/>
        </w:rPr>
        <w:footnoteRef/>
      </w:r>
      <w:r w:rsidRPr="00CD2989">
        <w:t xml:space="preserve"> Artículo 30. Los servicios de emergencia médica, odontológica, quirúrgica y hospitalaria consistirán en:</w:t>
      </w:r>
    </w:p>
    <w:p w14:paraId="09A918FA" w14:textId="77777777" w:rsidR="00377255" w:rsidRPr="00CD2989" w:rsidRDefault="00377255" w:rsidP="00CD2989">
      <w:pPr>
        <w:pStyle w:val="Textonotapie"/>
        <w:snapToGrid w:val="0"/>
        <w:spacing w:before="60" w:after="60"/>
      </w:pPr>
      <w:r w:rsidRPr="00CD2989">
        <w:t>[…]</w:t>
      </w:r>
    </w:p>
    <w:p w14:paraId="372FE84B" w14:textId="77777777" w:rsidR="00377255" w:rsidRPr="00CD2989" w:rsidRDefault="00377255" w:rsidP="00CD2989">
      <w:pPr>
        <w:pStyle w:val="Textonotapie"/>
        <w:snapToGrid w:val="0"/>
        <w:spacing w:before="60" w:after="60"/>
      </w:pPr>
      <w:r w:rsidRPr="00CD2989">
        <w:t>IX. Servicios de interrupción voluntaria del embarazo en los casos permitidos por ley, con absoluto respeto de la voluntad de la víctima, y</w:t>
      </w:r>
    </w:p>
    <w:p w14:paraId="43EF44EF" w14:textId="77777777" w:rsidR="00377255" w:rsidRPr="00CD2989" w:rsidRDefault="00377255" w:rsidP="00CD2989">
      <w:pPr>
        <w:pStyle w:val="Textonotapie"/>
        <w:snapToGrid w:val="0"/>
        <w:spacing w:before="60" w:after="60"/>
      </w:pPr>
      <w:r w:rsidRPr="00CD2989">
        <w:t>[…]</w:t>
      </w:r>
    </w:p>
    <w:p w14:paraId="4D346DCC" w14:textId="77777777" w:rsidR="00377255" w:rsidRPr="00CD2989" w:rsidRDefault="00377255" w:rsidP="00CD2989">
      <w:pPr>
        <w:pStyle w:val="Textonotapie"/>
        <w:snapToGrid w:val="0"/>
        <w:spacing w:before="60" w:after="60"/>
      </w:pPr>
      <w:r w:rsidRPr="00CD2989">
        <w:t>Artículo 35. A toda víctima de violación sexual, o cualquier otra conducta que afecte su integridad física o psicológica, se le garantizará el acceso a los servicios de anticoncepción de emergencia y de interrupción voluntaria del embarazo en los casos permitidos por la ley, con absoluto respeto a la voluntad de la víctima;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w:t>
      </w:r>
    </w:p>
    <w:p w14:paraId="6F65174E" w14:textId="77777777" w:rsidR="00377255" w:rsidRPr="00CD2989" w:rsidRDefault="00377255" w:rsidP="00CD2989">
      <w:pPr>
        <w:pStyle w:val="Textonotapie"/>
        <w:snapToGrid w:val="0"/>
        <w:spacing w:before="60" w:after="60"/>
      </w:pPr>
      <w:r w:rsidRPr="00CD2989">
        <w:t>En cada una de las entidades públicas que brinden servicios, asistencia y atención a las víctimas, se dispondrá de personal capacitado en el tratamiento de la violencia sexual con un enfoque transversal de género.</w:t>
      </w:r>
    </w:p>
  </w:footnote>
  <w:footnote w:id="61">
    <w:p w14:paraId="3CB70D01" w14:textId="578DA837" w:rsidR="00F31847" w:rsidRPr="00CD2989" w:rsidRDefault="00F31847" w:rsidP="00CD2989">
      <w:pPr>
        <w:pStyle w:val="Textonotapie"/>
        <w:snapToGrid w:val="0"/>
        <w:spacing w:before="60" w:after="60"/>
      </w:pPr>
      <w:r w:rsidRPr="00CD2989">
        <w:rPr>
          <w:rStyle w:val="Refdenotaalpie"/>
        </w:rPr>
        <w:footnoteRef/>
      </w:r>
      <w:r w:rsidRPr="00CD2989">
        <w:t xml:space="preserve"> Expediente clínico de la paciente anexado al informe justificado del Hospital Civil de Guadalajara, páginas</w:t>
      </w:r>
      <w:r w:rsidR="009D05E7" w:rsidRPr="00CD2989">
        <w:t xml:space="preserve"> 20 y </w:t>
      </w:r>
      <w:proofErr w:type="spellStart"/>
      <w:r w:rsidR="009D05E7" w:rsidRPr="00CD2989">
        <w:t>ss</w:t>
      </w:r>
      <w:proofErr w:type="spellEnd"/>
    </w:p>
  </w:footnote>
  <w:footnote w:id="62">
    <w:p w14:paraId="30AE2A96" w14:textId="5AB42874" w:rsidR="00BD2217" w:rsidRPr="00CD2989" w:rsidRDefault="00BD2217" w:rsidP="00CD2989">
      <w:pPr>
        <w:pStyle w:val="Textonotapie"/>
        <w:spacing w:before="60" w:after="60"/>
      </w:pPr>
      <w:r w:rsidRPr="00CD2989">
        <w:rPr>
          <w:rStyle w:val="Refdenotaalpie"/>
        </w:rPr>
        <w:footnoteRef/>
      </w:r>
      <w:r w:rsidRPr="00CD2989">
        <w:t xml:space="preserve"> Asamblea General de la Organización de las Naciones Unidas</w:t>
      </w:r>
      <w:r w:rsidR="00794B6A" w:rsidRPr="00CD2989">
        <w:t>. Resolución 60/147</w:t>
      </w:r>
      <w:r w:rsidR="00922DD0" w:rsidRPr="00CD2989">
        <w:t>: “Principios y directrices básicos sobre el derecho de las víctimas de violaciones de las normas internacionales de derechos humanos y del derecho internacional humanitario a interponer recursos y obtener reparaciones”</w:t>
      </w:r>
      <w:r w:rsidR="00794B6A" w:rsidRPr="00CD2989">
        <w:t xml:space="preserve">, aprobada el 16 de diciembre de 2005, 21 de marzo de 2004. </w:t>
      </w:r>
      <w:r w:rsidR="008D0836" w:rsidRPr="00CD2989">
        <w:t>ONU A/RES/60/147.</w:t>
      </w:r>
    </w:p>
  </w:footnote>
  <w:footnote w:id="63">
    <w:p w14:paraId="76ABD549" w14:textId="77777777" w:rsidR="00037E27" w:rsidRPr="00CD2989" w:rsidRDefault="009A4991" w:rsidP="00CD2989">
      <w:pPr>
        <w:pStyle w:val="Textonotapie"/>
        <w:spacing w:before="60" w:after="60"/>
      </w:pPr>
      <w:r w:rsidRPr="00CD2989">
        <w:rPr>
          <w:rStyle w:val="Refdenotaalpie"/>
        </w:rPr>
        <w:footnoteRef/>
      </w:r>
      <w:r w:rsidRPr="00CD2989">
        <w:t xml:space="preserve"> </w:t>
      </w:r>
      <w:r w:rsidR="00037E27" w:rsidRPr="00CD2989">
        <w:t>Convención Americana sobre Derechos Humanos</w:t>
      </w:r>
    </w:p>
    <w:p w14:paraId="128740E8" w14:textId="68A7566F" w:rsidR="00EC035E" w:rsidRPr="00CD2989" w:rsidRDefault="00EC035E" w:rsidP="00CD2989">
      <w:pPr>
        <w:pStyle w:val="Textonotapie"/>
        <w:spacing w:before="60" w:after="60"/>
      </w:pPr>
      <w:r w:rsidRPr="00CD2989">
        <w:t>Artículo 63</w:t>
      </w:r>
    </w:p>
    <w:p w14:paraId="1E0D218E" w14:textId="69D1C5D7" w:rsidR="009A4991" w:rsidRPr="00CD2989" w:rsidRDefault="00EC035E" w:rsidP="00CD2989">
      <w:pPr>
        <w:pStyle w:val="Textonotapie"/>
        <w:spacing w:before="60" w:after="60"/>
      </w:pPr>
      <w:r w:rsidRPr="00CD2989">
        <w:t>1.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64">
    <w:p w14:paraId="0202C478" w14:textId="77777777" w:rsidR="00A86EF6" w:rsidRPr="00CD2989" w:rsidRDefault="00A86EF6" w:rsidP="00CD2989">
      <w:pPr>
        <w:pStyle w:val="Textonotapie"/>
        <w:snapToGrid w:val="0"/>
        <w:spacing w:before="60" w:after="60"/>
        <w:rPr>
          <w:lang w:val="es-ES"/>
        </w:rPr>
      </w:pPr>
      <w:r w:rsidRPr="00CD2989">
        <w:rPr>
          <w:rStyle w:val="Refdenotaalpie"/>
          <w:lang w:val="es-ES"/>
        </w:rPr>
        <w:footnoteRef/>
      </w:r>
      <w:r w:rsidRPr="00CD2989">
        <w:rPr>
          <w:lang w:val="es-ES"/>
        </w:rPr>
        <w:t xml:space="preserve"> Constitución Política de los Estados Unidos Mexicanos</w:t>
      </w:r>
    </w:p>
    <w:p w14:paraId="3F37D0A3" w14:textId="77777777" w:rsidR="00A86EF6" w:rsidRPr="00CD2989" w:rsidRDefault="00A86EF6" w:rsidP="00CD2989">
      <w:pPr>
        <w:pStyle w:val="Textonotapie"/>
        <w:snapToGrid w:val="0"/>
        <w:spacing w:before="60" w:after="60"/>
        <w:rPr>
          <w:lang w:val="es-ES"/>
        </w:rPr>
      </w:pPr>
      <w:r w:rsidRPr="00CD2989">
        <w:rPr>
          <w:lang w:val="es-ES"/>
        </w:rPr>
        <w:t>Artículo 1.</w:t>
      </w:r>
      <w:r w:rsidRPr="00CD2989">
        <w:rPr>
          <w:b/>
          <w:bCs/>
          <w:lang w:val="es-ES"/>
        </w:rPr>
        <w:t xml:space="preserve"> </w:t>
      </w:r>
      <w:r w:rsidRPr="00CD2989">
        <w:rPr>
          <w:lang w:val="es-ES"/>
        </w:rPr>
        <w:t>[…]</w:t>
      </w:r>
    </w:p>
    <w:p w14:paraId="5B4BDB07" w14:textId="77777777" w:rsidR="00A86EF6" w:rsidRPr="00CD2989" w:rsidRDefault="00A86EF6" w:rsidP="00CD2989">
      <w:pPr>
        <w:pStyle w:val="Textonotapie"/>
        <w:snapToGrid w:val="0"/>
        <w:spacing w:before="60" w:after="60"/>
        <w:rPr>
          <w:lang w:val="es-ES"/>
        </w:rPr>
      </w:pPr>
      <w:r w:rsidRPr="00CD2989">
        <w:rPr>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81E75E9" w14:textId="77777777" w:rsidR="00A86EF6" w:rsidRPr="00CD2989" w:rsidRDefault="00A86EF6" w:rsidP="00CD2989">
      <w:pPr>
        <w:pStyle w:val="Textonotapie"/>
        <w:snapToGrid w:val="0"/>
        <w:spacing w:before="60" w:after="60"/>
        <w:rPr>
          <w:lang w:val="es-ES"/>
        </w:rPr>
      </w:pPr>
      <w:r w:rsidRPr="00CD2989">
        <w:rPr>
          <w:lang w:val="es-ES"/>
        </w:rPr>
        <w:t>[…]</w:t>
      </w:r>
    </w:p>
  </w:footnote>
  <w:footnote w:id="65">
    <w:p w14:paraId="247F1B62" w14:textId="77777777" w:rsidR="00BB7CDA" w:rsidRPr="00CD2989" w:rsidRDefault="00BB7CDA" w:rsidP="00CD2989">
      <w:pPr>
        <w:pStyle w:val="Textonotapie"/>
        <w:spacing w:before="60" w:after="60"/>
      </w:pPr>
      <w:r w:rsidRPr="00CD2989">
        <w:rPr>
          <w:rStyle w:val="Refdenotaalpie"/>
        </w:rPr>
        <w:footnoteRef/>
      </w:r>
      <w:r w:rsidRPr="00CD2989">
        <w:t xml:space="preserve"> </w:t>
      </w:r>
      <w:r w:rsidRPr="00CD2989">
        <w:rPr>
          <w:i/>
          <w:iCs/>
        </w:rPr>
        <w:t>Cfr</w:t>
      </w:r>
      <w:r w:rsidRPr="00CD2989">
        <w:t xml:space="preserve">. </w:t>
      </w:r>
      <w:r w:rsidRPr="00CD2989">
        <w:rPr>
          <w:lang w:val="es-ES"/>
        </w:rPr>
        <w:t>Amparo directo en revisión 1068/2011, sentencia de 19 de octubre de 2011, fallada por unanimidad de votos; amparos en revisión 943/2016 y 959/2016, ambos de la Segunda Sala; amparo en revisión 152/2013 (matrimonio igualitario), resuelto por la Primera Sala el 23 de abril de 2014; amparo en revisión 378/2014 (</w:t>
      </w:r>
      <w:r w:rsidRPr="00CD2989">
        <w:rPr>
          <w:i/>
          <w:iCs/>
          <w:lang w:val="es-ES"/>
        </w:rPr>
        <w:t>Pabellón 13</w:t>
      </w:r>
      <w:r w:rsidRPr="00CD2989">
        <w:rPr>
          <w:lang w:val="es-ES"/>
        </w:rPr>
        <w:t xml:space="preserve">), resuelto por la Segunda Sala el 15 de octubre de 2014; amparo en revisión 476/2014, resuelto por la Primera Sala en sesión de 22 de abril de 2015, por unanimidad de cinco votos; luego, en el amparo en revisión 554/2013 (Caso </w:t>
      </w:r>
      <w:r w:rsidRPr="00CD2989">
        <w:rPr>
          <w:i/>
          <w:iCs/>
          <w:lang w:val="es-ES"/>
        </w:rPr>
        <w:t>Mariana Lima Buendía</w:t>
      </w:r>
      <w:r w:rsidRPr="00CD2989">
        <w:rPr>
          <w:lang w:val="es-ES"/>
        </w:rPr>
        <w:t xml:space="preserve">), resuelto por la Primera Sala el 25 de marzo de 2015; amparo en revisión 159/2013, resuelto por la Primera Sala el 16 de octubre de 2013; amparo en revisión 1388/2015 (aborto por razones de salud), resuelto por la Primera Sala el 15 de mayo de 2019; amparo en revisión 73/2016, resuelto por la Segunda Sala en 13 de abril de 2016; </w:t>
      </w:r>
      <w:r w:rsidRPr="00CD2989">
        <w:t>amparos en revisión 601/2017, 1170/2017, de la Segunda Sala, resueltos el 4 y 18 de abril de 2018, respectivamente;</w:t>
      </w:r>
      <w:r w:rsidRPr="00CD2989">
        <w:rPr>
          <w:lang w:val="es-ES"/>
        </w:rPr>
        <w:t xml:space="preserve"> el amparo directo 9/2018 (trabajo del hogar), resuelto por la Segunda Sala el 5 de diciembre de 2018, por unanimidad de votos; amparo en revisión 955/2019, sentencia de la Segunda Sala de 4 de marzo de 2020; amparo en revisión 1064/2019, resuelto por la Primera Sala el 26 de mayo de 2021; </w:t>
      </w:r>
      <w:r w:rsidRPr="00CD2989">
        <w:t xml:space="preserve">amparo en revisión 438/2020, resuelto el 7 de julio de 2021, por unanimidad de votos; amparo en revisión 45/2018, resuelto por la Primera Sala el 23 de mayo de 2022, por unanimidad de cinco votos; amparo en revisión 51/2020, resuelto por la Primera Sala el </w:t>
      </w:r>
      <w:r w:rsidRPr="00CD2989">
        <w:rPr>
          <w:lang w:val="es-ES"/>
        </w:rPr>
        <w:t>10 de agosto de 2022, por mayoría de 3 votos contra el del ministro González, ausente la ministra Piña</w:t>
      </w:r>
      <w:r w:rsidRPr="00CD2989">
        <w:t xml:space="preserve">, y los </w:t>
      </w:r>
      <w:r w:rsidRPr="00CD2989">
        <w:rPr>
          <w:lang w:val="es-ES"/>
        </w:rPr>
        <w:t>amparos en revisión 79/2023, sentencia de 20 de agosto de 2023, y 267/2023, de 6 de septiembre de 2023, ambos de la Primera Sala.</w:t>
      </w:r>
    </w:p>
  </w:footnote>
  <w:footnote w:id="66">
    <w:p w14:paraId="0D5CA729" w14:textId="77777777" w:rsidR="00BD545E" w:rsidRPr="00CD2989" w:rsidRDefault="00BD545E" w:rsidP="00CD2989">
      <w:pPr>
        <w:pStyle w:val="Cuadrculamedia21"/>
        <w:spacing w:before="60" w:after="60"/>
        <w:jc w:val="both"/>
        <w:rPr>
          <w:rFonts w:ascii="Arial" w:hAnsi="Arial" w:cs="Arial"/>
          <w:sz w:val="20"/>
          <w:szCs w:val="20"/>
        </w:rPr>
      </w:pPr>
      <w:r w:rsidRPr="00CD2989">
        <w:rPr>
          <w:rStyle w:val="Caracteresdenotaalpie"/>
          <w:rFonts w:ascii="Arial" w:hAnsi="Arial" w:cs="Arial"/>
          <w:sz w:val="20"/>
          <w:szCs w:val="20"/>
        </w:rPr>
        <w:footnoteRef/>
      </w:r>
      <w:r w:rsidRPr="00CD2989">
        <w:rPr>
          <w:rFonts w:ascii="Arial" w:eastAsia="Arial" w:hAnsi="Arial" w:cs="Arial"/>
          <w:sz w:val="20"/>
          <w:szCs w:val="20"/>
        </w:rPr>
        <w:t xml:space="preserve"> </w:t>
      </w:r>
      <w:r w:rsidRPr="00CD2989">
        <w:rPr>
          <w:rFonts w:ascii="Arial" w:hAnsi="Arial" w:cs="Arial"/>
          <w:sz w:val="20"/>
          <w:szCs w:val="20"/>
        </w:rPr>
        <w:t xml:space="preserve">Cfr. Corte IDH. </w:t>
      </w:r>
      <w:r w:rsidRPr="00CD2989">
        <w:rPr>
          <w:rFonts w:ascii="Arial" w:hAnsi="Arial" w:cs="Arial"/>
          <w:bCs/>
          <w:i/>
          <w:sz w:val="20"/>
          <w:szCs w:val="20"/>
        </w:rPr>
        <w:t>Caso Castañeda Gutman Vs. Estados Unidos Mexicanos</w:t>
      </w:r>
      <w:r w:rsidRPr="00CD2989">
        <w:rPr>
          <w:rFonts w:ascii="Arial" w:hAnsi="Arial" w:cs="Arial"/>
          <w:bCs/>
          <w:sz w:val="20"/>
          <w:szCs w:val="20"/>
        </w:rPr>
        <w:t xml:space="preserve">. </w:t>
      </w:r>
      <w:r w:rsidRPr="00CD2989">
        <w:rPr>
          <w:rFonts w:ascii="Arial" w:hAnsi="Arial" w:cs="Arial"/>
          <w:i/>
          <w:sz w:val="20"/>
          <w:szCs w:val="20"/>
        </w:rPr>
        <w:t>Excepciones Preliminares, Fondo, Reparaciones y Costas</w:t>
      </w:r>
      <w:r w:rsidRPr="00CD2989">
        <w:rPr>
          <w:rFonts w:ascii="Arial" w:hAnsi="Arial" w:cs="Arial"/>
          <w:sz w:val="20"/>
          <w:szCs w:val="20"/>
        </w:rPr>
        <w:t xml:space="preserve">. Sentencia de 6 de agosto de 2008. Serie C No. 184, párr. 214. </w:t>
      </w:r>
      <w:r w:rsidRPr="00CD2989">
        <w:rPr>
          <w:rFonts w:ascii="Arial" w:hAnsi="Arial" w:cs="Arial"/>
          <w:bCs/>
          <w:i/>
          <w:sz w:val="20"/>
          <w:szCs w:val="20"/>
        </w:rPr>
        <w:t>Caso González y otras (“Campo Algodonero”) Vs. México</w:t>
      </w:r>
      <w:r w:rsidRPr="00CD2989">
        <w:rPr>
          <w:rFonts w:ascii="Arial" w:hAnsi="Arial" w:cs="Arial"/>
          <w:bCs/>
          <w:sz w:val="20"/>
          <w:szCs w:val="20"/>
        </w:rPr>
        <w:t xml:space="preserve">. </w:t>
      </w:r>
      <w:r w:rsidRPr="00CD2989">
        <w:rPr>
          <w:rFonts w:ascii="Arial" w:hAnsi="Arial" w:cs="Arial"/>
          <w:i/>
          <w:sz w:val="20"/>
          <w:szCs w:val="20"/>
        </w:rPr>
        <w:t>Excepción Preliminar, Fondo, Reparaciones y Costas</w:t>
      </w:r>
      <w:r w:rsidRPr="00CD2989">
        <w:rPr>
          <w:rFonts w:ascii="Arial" w:hAnsi="Arial" w:cs="Arial"/>
          <w:sz w:val="20"/>
          <w:szCs w:val="20"/>
        </w:rPr>
        <w:t xml:space="preserve">. Sentencia de 16 de noviembre de 2009. Serie C No. 205, </w:t>
      </w:r>
      <w:proofErr w:type="spellStart"/>
      <w:r w:rsidRPr="00CD2989">
        <w:rPr>
          <w:rFonts w:ascii="Arial" w:hAnsi="Arial" w:cs="Arial"/>
          <w:sz w:val="20"/>
          <w:szCs w:val="20"/>
        </w:rPr>
        <w:t>párrs</w:t>
      </w:r>
      <w:proofErr w:type="spellEnd"/>
      <w:r w:rsidRPr="00CD2989">
        <w:rPr>
          <w:rFonts w:ascii="Arial" w:hAnsi="Arial" w:cs="Arial"/>
          <w:sz w:val="20"/>
          <w:szCs w:val="20"/>
        </w:rPr>
        <w:t xml:space="preserve">. 446 y 447. </w:t>
      </w:r>
      <w:r w:rsidRPr="00CD2989">
        <w:rPr>
          <w:rFonts w:ascii="Arial" w:hAnsi="Arial" w:cs="Arial"/>
          <w:bCs/>
          <w:i/>
          <w:sz w:val="20"/>
          <w:szCs w:val="20"/>
        </w:rPr>
        <w:t>Caso Radilla Pacheco Vs. Estados Unidos Mexicanos</w:t>
      </w:r>
      <w:r w:rsidRPr="00CD2989">
        <w:rPr>
          <w:rFonts w:ascii="Arial" w:hAnsi="Arial" w:cs="Arial"/>
          <w:bCs/>
          <w:sz w:val="20"/>
          <w:szCs w:val="20"/>
        </w:rPr>
        <w:t xml:space="preserve">. </w:t>
      </w:r>
      <w:r w:rsidRPr="00CD2989">
        <w:rPr>
          <w:rFonts w:ascii="Arial" w:hAnsi="Arial" w:cs="Arial"/>
          <w:i/>
          <w:sz w:val="20"/>
          <w:szCs w:val="20"/>
        </w:rPr>
        <w:t>Excepciones Preliminares, Fondo, Reparaciones y Costas</w:t>
      </w:r>
      <w:r w:rsidRPr="00CD2989">
        <w:rPr>
          <w:rFonts w:ascii="Arial" w:hAnsi="Arial" w:cs="Arial"/>
          <w:sz w:val="20"/>
          <w:szCs w:val="20"/>
        </w:rPr>
        <w:t xml:space="preserve">. Sentencia de 23 de noviembre de 2009. Serie C No. 209, párr. 327. </w:t>
      </w:r>
      <w:r w:rsidRPr="00CD2989">
        <w:rPr>
          <w:rFonts w:ascii="Arial" w:hAnsi="Arial" w:cs="Arial"/>
          <w:i/>
          <w:sz w:val="20"/>
          <w:szCs w:val="20"/>
        </w:rPr>
        <w:t xml:space="preserve">Caso </w:t>
      </w:r>
      <w:r w:rsidRPr="00CD2989">
        <w:rPr>
          <w:rFonts w:ascii="Arial" w:eastAsia="MS Mincho" w:hAnsi="Arial" w:cs="Arial"/>
          <w:bCs/>
          <w:i/>
          <w:sz w:val="20"/>
          <w:szCs w:val="20"/>
        </w:rPr>
        <w:t>Fernández Ortega y Otros Vs. México</w:t>
      </w:r>
      <w:r w:rsidRPr="00CD2989">
        <w:rPr>
          <w:rFonts w:ascii="Arial" w:eastAsia="MS Mincho" w:hAnsi="Arial" w:cs="Arial"/>
          <w:bCs/>
          <w:i/>
          <w:smallCaps/>
          <w:sz w:val="20"/>
          <w:szCs w:val="20"/>
        </w:rPr>
        <w:t>.</w:t>
      </w:r>
      <w:r w:rsidRPr="00CD2989">
        <w:rPr>
          <w:rFonts w:ascii="Arial" w:eastAsia="MS Mincho" w:hAnsi="Arial" w:cs="Arial"/>
          <w:bCs/>
          <w:smallCaps/>
          <w:sz w:val="20"/>
          <w:szCs w:val="20"/>
        </w:rPr>
        <w:t xml:space="preserve"> </w:t>
      </w:r>
      <w:r w:rsidRPr="00CD2989">
        <w:rPr>
          <w:rFonts w:ascii="Arial" w:hAnsi="Arial" w:cs="Arial"/>
          <w:bCs/>
          <w:i/>
          <w:sz w:val="20"/>
          <w:szCs w:val="20"/>
        </w:rPr>
        <w:t>Excepción Preliminar, Fondo, Reparaciones y Costas</w:t>
      </w:r>
      <w:r w:rsidRPr="00CD2989">
        <w:rPr>
          <w:rFonts w:ascii="Arial" w:hAnsi="Arial" w:cs="Arial"/>
          <w:sz w:val="20"/>
          <w:szCs w:val="20"/>
        </w:rPr>
        <w:t xml:space="preserve">. </w:t>
      </w:r>
      <w:r w:rsidRPr="00CD2989">
        <w:rPr>
          <w:rFonts w:ascii="Arial" w:eastAsia="MS Mincho" w:hAnsi="Arial" w:cs="Arial"/>
          <w:sz w:val="20"/>
          <w:szCs w:val="20"/>
        </w:rPr>
        <w:t xml:space="preserve">Sentencia de 30 de Agosto de 2010. </w:t>
      </w:r>
      <w:r w:rsidRPr="00CD2989">
        <w:rPr>
          <w:rFonts w:ascii="Arial" w:hAnsi="Arial" w:cs="Arial"/>
          <w:sz w:val="20"/>
          <w:szCs w:val="20"/>
        </w:rPr>
        <w:t xml:space="preserve">Serie C No. 215, </w:t>
      </w:r>
      <w:proofErr w:type="spellStart"/>
      <w:r w:rsidRPr="00CD2989">
        <w:rPr>
          <w:rFonts w:ascii="Arial" w:hAnsi="Arial" w:cs="Arial"/>
          <w:sz w:val="20"/>
          <w:szCs w:val="20"/>
        </w:rPr>
        <w:t>párrs</w:t>
      </w:r>
      <w:proofErr w:type="spellEnd"/>
      <w:r w:rsidRPr="00CD2989">
        <w:rPr>
          <w:rFonts w:ascii="Arial" w:hAnsi="Arial" w:cs="Arial"/>
          <w:sz w:val="20"/>
          <w:szCs w:val="20"/>
        </w:rPr>
        <w:t xml:space="preserve">. 220 y 221. </w:t>
      </w:r>
      <w:r w:rsidRPr="00CD2989">
        <w:rPr>
          <w:rFonts w:ascii="Arial" w:hAnsi="Arial" w:cs="Arial"/>
          <w:bCs/>
          <w:i/>
          <w:sz w:val="20"/>
          <w:szCs w:val="20"/>
        </w:rPr>
        <w:t>Caso Rosendo Cantú y otra Vs. México</w:t>
      </w:r>
      <w:r w:rsidRPr="00CD2989">
        <w:rPr>
          <w:rFonts w:ascii="Arial" w:hAnsi="Arial" w:cs="Arial"/>
          <w:bCs/>
          <w:sz w:val="20"/>
          <w:szCs w:val="20"/>
        </w:rPr>
        <w:t xml:space="preserve">. </w:t>
      </w:r>
      <w:r w:rsidRPr="00CD2989">
        <w:rPr>
          <w:rFonts w:ascii="Arial" w:hAnsi="Arial" w:cs="Arial"/>
          <w:i/>
          <w:sz w:val="20"/>
          <w:szCs w:val="20"/>
        </w:rPr>
        <w:t>Excepción Preliminar, Fondo, Reparaciones y Costas</w:t>
      </w:r>
      <w:r w:rsidRPr="00CD2989">
        <w:rPr>
          <w:rFonts w:ascii="Arial" w:hAnsi="Arial" w:cs="Arial"/>
          <w:sz w:val="20"/>
          <w:szCs w:val="20"/>
        </w:rPr>
        <w:t xml:space="preserve">. Sentencia de 31 de agosto de 2010. Serie C No. 216, </w:t>
      </w:r>
      <w:r w:rsidRPr="00CD2989">
        <w:rPr>
          <w:rFonts w:ascii="Arial" w:hAnsi="Arial" w:cs="Arial"/>
          <w:color w:val="000000"/>
          <w:sz w:val="20"/>
          <w:szCs w:val="20"/>
        </w:rPr>
        <w:t xml:space="preserve">párr. 203, y </w:t>
      </w:r>
      <w:r w:rsidRPr="00CD2989">
        <w:rPr>
          <w:rFonts w:ascii="Arial" w:hAnsi="Arial" w:cs="Arial"/>
          <w:bCs/>
          <w:i/>
          <w:sz w:val="20"/>
          <w:szCs w:val="20"/>
        </w:rPr>
        <w:t>Caso Cabrera García y Montiel Flores Vs. México</w:t>
      </w:r>
      <w:r w:rsidRPr="00CD2989">
        <w:rPr>
          <w:rFonts w:ascii="Arial" w:hAnsi="Arial" w:cs="Arial"/>
          <w:bCs/>
          <w:sz w:val="20"/>
          <w:szCs w:val="20"/>
        </w:rPr>
        <w:t xml:space="preserve">. </w:t>
      </w:r>
      <w:r w:rsidRPr="00CD2989">
        <w:rPr>
          <w:rFonts w:ascii="Arial" w:hAnsi="Arial" w:cs="Arial"/>
          <w:i/>
          <w:sz w:val="20"/>
          <w:szCs w:val="20"/>
        </w:rPr>
        <w:t>Excepción Preliminar, Fondo, Reparaciones y Costas</w:t>
      </w:r>
      <w:r w:rsidRPr="00CD2989">
        <w:rPr>
          <w:rFonts w:ascii="Arial" w:hAnsi="Arial" w:cs="Arial"/>
          <w:sz w:val="20"/>
          <w:szCs w:val="20"/>
        </w:rPr>
        <w:t xml:space="preserve">. Sentencia de 26 de noviembre de 2010. Serie C No. 220. </w:t>
      </w:r>
      <w:r w:rsidRPr="00CD2989">
        <w:rPr>
          <w:rFonts w:ascii="Arial" w:hAnsi="Arial" w:cs="Arial"/>
          <w:color w:val="000000"/>
          <w:sz w:val="20"/>
          <w:szCs w:val="20"/>
        </w:rPr>
        <w:t>párr. 208 y 209.</w:t>
      </w:r>
    </w:p>
  </w:footnote>
  <w:footnote w:id="67">
    <w:p w14:paraId="68FE4682" w14:textId="37FC0960" w:rsidR="00D779E4" w:rsidRPr="00CD2989" w:rsidRDefault="00D779E4" w:rsidP="00CD2989">
      <w:pPr>
        <w:pStyle w:val="Textonotapie"/>
        <w:spacing w:before="60" w:after="60"/>
        <w:rPr>
          <w:lang w:val="es-ES"/>
        </w:rPr>
      </w:pPr>
      <w:r w:rsidRPr="00CD2989">
        <w:rPr>
          <w:rStyle w:val="Refdenotaalpie"/>
        </w:rPr>
        <w:footnoteRef/>
      </w:r>
      <w:r w:rsidR="00C26263" w:rsidRPr="00CD2989">
        <w:t xml:space="preserve"> Amparo directo en revisión 1068/2011, resuelto en sesión de 19 de octubre de 2011, por unanimidad de votos de la ministra Sánchez Cordero y los ministros Pardo Rebolledo (ponente), Cossío Díaz, Ortiz </w:t>
      </w:r>
      <w:proofErr w:type="spellStart"/>
      <w:r w:rsidR="00C26263" w:rsidRPr="00CD2989">
        <w:t>Mayagoitia</w:t>
      </w:r>
      <w:proofErr w:type="spellEnd"/>
      <w:r w:rsidR="00C26263" w:rsidRPr="00CD2989">
        <w:t xml:space="preserve"> y Zaldívar Lelo de Larrea</w:t>
      </w:r>
      <w:r w:rsidR="00F46894" w:rsidRPr="00CD2989">
        <w:t>. En el mismo sentido, a</w:t>
      </w:r>
      <w:r w:rsidRPr="00CD2989">
        <w:t>mparo en revisión 554/2013 (</w:t>
      </w:r>
      <w:r w:rsidRPr="00CD2989">
        <w:rPr>
          <w:i/>
          <w:iCs/>
        </w:rPr>
        <w:t>caso Mariana Lima</w:t>
      </w:r>
      <w:r w:rsidRPr="00CD2989">
        <w:t>), resuelto el 25 de marzo de 2015</w:t>
      </w:r>
      <w:r w:rsidR="00F46894" w:rsidRPr="00CD2989">
        <w:t>, por unanimidad de cinco votos</w:t>
      </w:r>
      <w:r w:rsidR="00625240" w:rsidRPr="00CD2989">
        <w:t>.</w:t>
      </w:r>
    </w:p>
  </w:footnote>
  <w:footnote w:id="68">
    <w:p w14:paraId="2B06EBEC" w14:textId="5B0072A7" w:rsidR="00901ECE" w:rsidRPr="00CD2989" w:rsidRDefault="00901ECE" w:rsidP="00CD2989">
      <w:pPr>
        <w:pStyle w:val="Textonotapie"/>
        <w:shd w:val="clear" w:color="auto" w:fill="FFFFFF"/>
        <w:spacing w:before="60" w:after="60"/>
      </w:pPr>
      <w:r w:rsidRPr="00CD2989">
        <w:rPr>
          <w:rStyle w:val="Refdenotaalpie"/>
        </w:rPr>
        <w:footnoteRef/>
      </w:r>
      <w:r w:rsidRPr="00CD2989">
        <w:t xml:space="preserve"> </w:t>
      </w:r>
      <w:r w:rsidR="00625240" w:rsidRPr="00CD2989">
        <w:t>Amparo en revisión 476/2014, resuelto de 22 de abril de 2015, por unanimidad de cinco votos de los ministros Zaldívar Lelo de Larrea, Cossío Díaz, Pardo Rebolledo, Gutiérrez Ortiz Mena (ponente) y de la ministra Sánchez Cordero García Villegas. De este precedente derivó la tesis 1a. CCCXLII/2015 (10a.) de rubro: “ACCESO A LA JUSTICIA. EL DEBER DE REPARAR A LAS VÍCTIMAS DE VIOLACIONES DE DERECHOS HUMANOS ES UNA DE LAS FASES IMPRESCINDIBLES DE DICHO DERECHO.”</w:t>
      </w:r>
    </w:p>
  </w:footnote>
  <w:footnote w:id="69">
    <w:p w14:paraId="7D6C92C5" w14:textId="77777777" w:rsidR="009C1D02" w:rsidRPr="00CD2989" w:rsidRDefault="009C1D02" w:rsidP="00CD2989">
      <w:pPr>
        <w:pStyle w:val="Textonotapie"/>
        <w:spacing w:before="60" w:after="60"/>
      </w:pPr>
      <w:r w:rsidRPr="00CD2989">
        <w:rPr>
          <w:rStyle w:val="Caracteresdenotaalpie"/>
        </w:rPr>
        <w:footnoteRef/>
      </w:r>
      <w:r w:rsidRPr="00CD2989">
        <w:rPr>
          <w:rFonts w:eastAsia="Arial"/>
        </w:rPr>
        <w:t xml:space="preserve"> </w:t>
      </w:r>
      <w:r w:rsidRPr="00CD2989">
        <w:t xml:space="preserve">Salvo en los casos de discriminaciones estructurales y de violencia sistemática en razón de género que impliquen la necesidad de otorgar “reparaciones transformadoras” de forma que las mimas no sólo tengan un efecto restitutivo sino también correctivo, no resultando adecuado restituir a la víctima en la misma situación anterior. Véase Corte IDH, </w:t>
      </w:r>
      <w:r w:rsidRPr="00CD2989">
        <w:rPr>
          <w:i/>
        </w:rPr>
        <w:t>Caso González y otras (“Campo Algodonero”) vs. México</w:t>
      </w:r>
      <w:r w:rsidRPr="00CD2989">
        <w:t xml:space="preserve">, </w:t>
      </w:r>
      <w:r w:rsidRPr="00CD2989">
        <w:rPr>
          <w:i/>
        </w:rPr>
        <w:t>Excepción Preliminar, Fondo, Reparaciones y Costas</w:t>
      </w:r>
      <w:r w:rsidRPr="00CD2989">
        <w:t>, Sentencia de 16 de noviembre de 2009, Serie C. No. 205, párrafo 450.</w:t>
      </w:r>
    </w:p>
  </w:footnote>
  <w:footnote w:id="70">
    <w:p w14:paraId="388153AE" w14:textId="66D9D920" w:rsidR="00774DB9" w:rsidRPr="00CD2989" w:rsidRDefault="00774DB9" w:rsidP="00CD2989">
      <w:pPr>
        <w:pStyle w:val="Textonotapie"/>
        <w:spacing w:before="60" w:after="60"/>
        <w:rPr>
          <w:lang w:val="es-ES"/>
        </w:rPr>
      </w:pPr>
      <w:r w:rsidRPr="00CD2989">
        <w:rPr>
          <w:rStyle w:val="Refdenotaalpie"/>
          <w:lang w:val="es-ES"/>
        </w:rPr>
        <w:footnoteRef/>
      </w:r>
      <w:r w:rsidRPr="00CD2989">
        <w:rPr>
          <w:lang w:val="es-ES"/>
        </w:rPr>
        <w:t xml:space="preserve"> Amparo en Revisión 1068/2011, p. 66. </w:t>
      </w:r>
      <w:r w:rsidR="00514169" w:rsidRPr="00CD2989">
        <w:rPr>
          <w:lang w:val="es-ES"/>
        </w:rPr>
        <w:t>Ver</w:t>
      </w:r>
      <w:r w:rsidRPr="00CD2989">
        <w:rPr>
          <w:lang w:val="es-ES"/>
        </w:rPr>
        <w:t xml:space="preserve"> también los amparos en revisión 943/2016 y 959/2016 de la Segunda Sala sobre este punto.</w:t>
      </w:r>
    </w:p>
  </w:footnote>
  <w:footnote w:id="71">
    <w:p w14:paraId="2DA6C02D" w14:textId="77777777" w:rsidR="003C0C49" w:rsidRPr="00CD2989" w:rsidRDefault="003C0C49" w:rsidP="00CD2989">
      <w:pPr>
        <w:pStyle w:val="Textonotapie"/>
        <w:spacing w:before="60" w:after="60"/>
      </w:pPr>
      <w:r w:rsidRPr="00CD2989">
        <w:rPr>
          <w:rStyle w:val="Caracteresdenotaalpie"/>
        </w:rPr>
        <w:footnoteRef/>
      </w:r>
      <w:r w:rsidRPr="00CD2989">
        <w:rPr>
          <w:rFonts w:eastAsia="Arial"/>
        </w:rPr>
        <w:t xml:space="preserve"> </w:t>
      </w:r>
      <w:r w:rsidRPr="00CD2989">
        <w:t xml:space="preserve">Corte IDH, </w:t>
      </w:r>
      <w:r w:rsidRPr="00CD2989">
        <w:rPr>
          <w:i/>
        </w:rPr>
        <w:t>Caso González y otras (“Campo Algodonero”) vs. México, Excepción Preliminar, Fondo, Reparaciones y Costas</w:t>
      </w:r>
      <w:r w:rsidRPr="00CD2989">
        <w:t>, Sentencia de 16 de noviembre de 2009, Serie C. No. 205, párrafo 450.</w:t>
      </w:r>
    </w:p>
  </w:footnote>
  <w:footnote w:id="72">
    <w:p w14:paraId="1DBDB79E" w14:textId="77777777" w:rsidR="005B3DCC" w:rsidRPr="00CD2989" w:rsidRDefault="005B3DCC" w:rsidP="00CD2989">
      <w:pPr>
        <w:pStyle w:val="Textonotapie"/>
        <w:spacing w:before="60" w:after="60"/>
      </w:pPr>
      <w:r w:rsidRPr="00CD2989">
        <w:rPr>
          <w:rStyle w:val="Refdenotaalpie"/>
        </w:rPr>
        <w:footnoteRef/>
      </w:r>
      <w:r w:rsidRPr="00CD2989">
        <w:t xml:space="preserve"> La Corte Interamericana ha empleado una lógica igualmente casuística en materia de reparaciones. Véase, entre otros ejemplos, lo dicho en </w:t>
      </w:r>
      <w:r w:rsidRPr="00CD2989">
        <w:rPr>
          <w:i/>
          <w:iCs/>
        </w:rPr>
        <w:t>Veliz Franco y Otros vs. Guatemala (Excepciones Preliminares, Fondo, Reparaciones y Costas)</w:t>
      </w:r>
      <w:r w:rsidRPr="00CD2989">
        <w:t xml:space="preserve">, sentencia de 19 de mayo de 2014, párr. 65 (“la consideración de información contextual coadyuvará (junto con elementos fácticos propios del caso) a la precisión sobre el grado en que era exigible al Estado […] como también en relación con la actuación estatal en la investigación de los hechos, permitirá una mejor comprensión de las aducidas violaciones, </w:t>
      </w:r>
      <w:r w:rsidRPr="00CD2989">
        <w:rPr>
          <w:i/>
          <w:iCs/>
        </w:rPr>
        <w:t>como de la procedencia de ciertas medidas de reparación</w:t>
      </w:r>
      <w:r w:rsidRPr="00CD2989">
        <w:t xml:space="preserve">” (énfasis añadido)); </w:t>
      </w:r>
      <w:r w:rsidRPr="00CD2989">
        <w:rPr>
          <w:i/>
          <w:iCs/>
        </w:rPr>
        <w:t xml:space="preserve">Empleados de la Fábrica de Fuegos en Santo </w:t>
      </w:r>
      <w:proofErr w:type="spellStart"/>
      <w:r w:rsidRPr="00CD2989">
        <w:rPr>
          <w:i/>
          <w:iCs/>
        </w:rPr>
        <w:t>Antônio</w:t>
      </w:r>
      <w:proofErr w:type="spellEnd"/>
      <w:r w:rsidRPr="00CD2989">
        <w:rPr>
          <w:i/>
          <w:iCs/>
        </w:rPr>
        <w:t xml:space="preserve"> De </w:t>
      </w:r>
      <w:proofErr w:type="spellStart"/>
      <w:r w:rsidRPr="00CD2989">
        <w:rPr>
          <w:i/>
          <w:iCs/>
        </w:rPr>
        <w:t>Jesus</w:t>
      </w:r>
      <w:proofErr w:type="spellEnd"/>
      <w:r w:rsidRPr="00CD2989">
        <w:rPr>
          <w:i/>
          <w:iCs/>
        </w:rPr>
        <w:t xml:space="preserve"> y sus Familiares vs. Brasil (Excepciones Preliminares, Fondo, Reparaciones y Costas)</w:t>
      </w:r>
      <w:r w:rsidRPr="00CD2989">
        <w:t>, sentencia de 15 de julio de 2020, párr. 259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p>
  </w:footnote>
  <w:footnote w:id="73">
    <w:p w14:paraId="0803449A" w14:textId="0E6B89B1" w:rsidR="00123401" w:rsidRPr="00CD2989" w:rsidRDefault="00123401" w:rsidP="00CD2989">
      <w:pPr>
        <w:pStyle w:val="Textonotapie"/>
        <w:snapToGrid w:val="0"/>
        <w:spacing w:before="60" w:after="60"/>
        <w:rPr>
          <w:bCs/>
        </w:rPr>
      </w:pPr>
      <w:r w:rsidRPr="00CD2989">
        <w:rPr>
          <w:rStyle w:val="Refdenotaalpie"/>
          <w:bCs/>
        </w:rPr>
        <w:footnoteRef/>
      </w:r>
      <w:r w:rsidRPr="00CD2989">
        <w:rPr>
          <w:bCs/>
        </w:rPr>
        <w:t xml:space="preserve"> </w:t>
      </w:r>
      <w:r w:rsidR="00364A3E" w:rsidRPr="00CD2989">
        <w:rPr>
          <w:bCs/>
        </w:rPr>
        <w:t xml:space="preserve">Amparos en revisión </w:t>
      </w:r>
      <w:r w:rsidR="00364A3E" w:rsidRPr="00CD2989">
        <w:t>601/2017, 1170/2017, así como 438/2020 y 45/2018, citados; en particular, el</w:t>
      </w:r>
      <w:r w:rsidR="00364A3E" w:rsidRPr="00CD2989">
        <w:rPr>
          <w:bCs/>
        </w:rPr>
        <w:t xml:space="preserve"> p</w:t>
      </w:r>
      <w:r w:rsidR="00111691" w:rsidRPr="00CD2989">
        <w:rPr>
          <w:bCs/>
        </w:rPr>
        <w:t xml:space="preserve">árrafo 146 </w:t>
      </w:r>
      <w:r w:rsidR="00364A3E" w:rsidRPr="00CD2989">
        <w:rPr>
          <w:bCs/>
        </w:rPr>
        <w:t>del último.</w:t>
      </w:r>
    </w:p>
  </w:footnote>
  <w:footnote w:id="74">
    <w:p w14:paraId="0884C8AA" w14:textId="4394F225" w:rsidR="003C13C4" w:rsidRPr="00CD2989" w:rsidRDefault="00F2605E" w:rsidP="00CD2989">
      <w:pPr>
        <w:pStyle w:val="Textonotapie"/>
        <w:snapToGrid w:val="0"/>
        <w:spacing w:before="60" w:after="60"/>
      </w:pPr>
      <w:r w:rsidRPr="00CD2989">
        <w:rPr>
          <w:rStyle w:val="Refdenotaalpie"/>
        </w:rPr>
        <w:footnoteRef/>
      </w:r>
      <w:r w:rsidRPr="00CD2989">
        <w:t xml:space="preserve"> </w:t>
      </w:r>
      <w:r w:rsidR="00CD2989" w:rsidRPr="00CD2989">
        <w:t>Ley General de Víctimas</w:t>
      </w:r>
      <w:r w:rsidR="003C3080">
        <w:t xml:space="preserve">, artículos </w:t>
      </w:r>
      <w:r w:rsidR="00CD2989" w:rsidRPr="00CD2989">
        <w:t>30</w:t>
      </w:r>
      <w:r w:rsidR="003C3080">
        <w:t xml:space="preserve"> y 35 citados.</w:t>
      </w:r>
      <w:r w:rsidR="003B26F4">
        <w:t xml:space="preserve"> Asimismo, la </w:t>
      </w:r>
      <w:r w:rsidR="00B242CA" w:rsidRPr="00CD2989">
        <w:t xml:space="preserve">NOM-046-SSA2-2005. Violencia familiar, sexual y contra las mujeres. Criterios para la prevención y </w:t>
      </w:r>
      <w:r w:rsidR="00CD2989" w:rsidRPr="00CD2989">
        <w:t>atención</w:t>
      </w:r>
      <w:r w:rsidR="003B26F4">
        <w:t>, también citada.</w:t>
      </w:r>
    </w:p>
  </w:footnote>
  <w:footnote w:id="75">
    <w:p w14:paraId="7D568420" w14:textId="75530709" w:rsidR="00F2605E" w:rsidRPr="00CD2989" w:rsidRDefault="00F2605E" w:rsidP="00CD2989">
      <w:pPr>
        <w:pStyle w:val="Textonotapie"/>
        <w:snapToGrid w:val="0"/>
        <w:spacing w:before="60" w:after="60"/>
        <w:rPr>
          <w:lang w:val="es-ES"/>
        </w:rPr>
      </w:pPr>
      <w:r w:rsidRPr="00CD2989">
        <w:rPr>
          <w:rStyle w:val="Refdenotaalpie"/>
        </w:rPr>
        <w:footnoteRef/>
      </w:r>
      <w:r w:rsidRPr="00CD2989">
        <w:t xml:space="preserve"> </w:t>
      </w:r>
      <w:r w:rsidR="00B242CA" w:rsidRPr="00CD2989">
        <w:rPr>
          <w:bCs/>
        </w:rPr>
        <w:t xml:space="preserve">Amparos en revisión </w:t>
      </w:r>
      <w:r w:rsidR="00B242CA" w:rsidRPr="00CD2989">
        <w:t xml:space="preserve">601/2017, 1170/2017, 438/2020 y 45/2018, </w:t>
      </w:r>
      <w:proofErr w:type="spellStart"/>
      <w:r w:rsidR="00B242CA" w:rsidRPr="00CD2989">
        <w:rPr>
          <w:i/>
          <w:iCs/>
        </w:rPr>
        <w:t>op</w:t>
      </w:r>
      <w:proofErr w:type="spellEnd"/>
      <w:r w:rsidR="00B242CA" w:rsidRPr="00CD2989">
        <w:rPr>
          <w:i/>
          <w:iCs/>
        </w:rPr>
        <w:t xml:space="preserve">. </w:t>
      </w:r>
      <w:proofErr w:type="spellStart"/>
      <w:r w:rsidR="00B242CA" w:rsidRPr="00CD2989">
        <w:rPr>
          <w:i/>
          <w:iCs/>
        </w:rPr>
        <w:t>cit</w:t>
      </w:r>
      <w:proofErr w:type="spellEnd"/>
      <w:r w:rsidRPr="00CD2989">
        <w:rPr>
          <w:lang w:val="es-ES"/>
        </w:rPr>
        <w:t>.</w:t>
      </w:r>
    </w:p>
  </w:footnote>
  <w:footnote w:id="76">
    <w:p w14:paraId="2388FB64" w14:textId="77777777" w:rsidR="00F16A6E" w:rsidRPr="00CD2989" w:rsidRDefault="00F16A6E" w:rsidP="00CD2989">
      <w:pPr>
        <w:pStyle w:val="Textonotapie"/>
        <w:spacing w:before="60" w:after="60"/>
      </w:pPr>
      <w:r w:rsidRPr="00CD2989">
        <w:rPr>
          <w:rStyle w:val="Refdenotaalpie"/>
        </w:rPr>
        <w:footnoteRef/>
      </w:r>
      <w:r w:rsidRPr="00CD2989">
        <w:t xml:space="preserve"> Artículo 77. Los efectos de la concesión del amparo serán:</w:t>
      </w:r>
    </w:p>
    <w:p w14:paraId="592103F8" w14:textId="77777777" w:rsidR="00F16A6E" w:rsidRPr="00CD2989" w:rsidRDefault="00F16A6E" w:rsidP="00CD2989">
      <w:pPr>
        <w:pStyle w:val="Textonotapie"/>
        <w:spacing w:before="60" w:after="60"/>
      </w:pPr>
      <w:r w:rsidRPr="00CD2989">
        <w:t>I. Cuando el acto reclamado sea de carácter positivo se restituirá al quejoso en el pleno goce del derecho violado, restableciendo las cosas al estado que guardaban antes de la violación; y</w:t>
      </w:r>
    </w:p>
    <w:p w14:paraId="62A2165C" w14:textId="77777777" w:rsidR="00F16A6E" w:rsidRPr="00CD2989" w:rsidRDefault="00F16A6E" w:rsidP="00CD2989">
      <w:pPr>
        <w:pStyle w:val="Textonotapie"/>
        <w:spacing w:before="60" w:after="60"/>
      </w:pPr>
      <w:r w:rsidRPr="00CD2989">
        <w:t>II. Cuando el acto reclamado sea de carácter negativo o implique una omisión, obligar a la autoridad responsable a respetar el derecho de que se trate y a cumplir lo que el mismo exija.</w:t>
      </w:r>
    </w:p>
    <w:p w14:paraId="7F40BC62" w14:textId="77777777" w:rsidR="00F16A6E" w:rsidRPr="00CD2989" w:rsidRDefault="00F16A6E" w:rsidP="00CD2989">
      <w:pPr>
        <w:pStyle w:val="Textonotapie"/>
        <w:spacing w:before="60" w:after="60"/>
      </w:pPr>
      <w:r w:rsidRPr="00CD2989">
        <w:t>En el último considerando de la sentencia que conceda el amparo, el juzgador deberá determinar con precisión los efectos del mismo, especificando las medidas que las autoridades o particulares deban adoptar para asegurar su estricto cumplimiento y la restitución del quejoso en el goce del derecho.</w:t>
      </w:r>
    </w:p>
  </w:footnote>
  <w:footnote w:id="77">
    <w:p w14:paraId="1790868D" w14:textId="77777777" w:rsidR="00761163" w:rsidRPr="00CD2989" w:rsidRDefault="00761163" w:rsidP="00761163">
      <w:pPr>
        <w:pStyle w:val="Textonotapie"/>
        <w:snapToGrid w:val="0"/>
        <w:spacing w:before="60" w:after="60"/>
        <w:rPr>
          <w:bCs/>
        </w:rPr>
      </w:pPr>
      <w:r w:rsidRPr="00CD2989">
        <w:rPr>
          <w:rStyle w:val="Refdenotaalpie"/>
          <w:bCs/>
        </w:rPr>
        <w:footnoteRef/>
      </w:r>
      <w:r w:rsidRPr="00CD2989">
        <w:rPr>
          <w:bCs/>
        </w:rPr>
        <w:t xml:space="preserve"> Artículo 110. El reconocimiento de la calidad de víctima, para efectos de esta Ley, se realiza por las determinaciones de cualquiera de las siguientes autoridades:</w:t>
      </w:r>
    </w:p>
    <w:p w14:paraId="1E869642" w14:textId="77777777" w:rsidR="00761163" w:rsidRPr="00CD2989" w:rsidRDefault="00761163" w:rsidP="00761163">
      <w:pPr>
        <w:pStyle w:val="Textonotapie"/>
        <w:snapToGrid w:val="0"/>
        <w:spacing w:before="60" w:after="60"/>
        <w:rPr>
          <w:bCs/>
        </w:rPr>
      </w:pPr>
      <w:r w:rsidRPr="00CD2989">
        <w:rPr>
          <w:bCs/>
        </w:rPr>
        <w:t>I. El juzgador penal, mediante sentencia ejecutoriada;</w:t>
      </w:r>
    </w:p>
    <w:p w14:paraId="2C3F1CF2" w14:textId="77777777" w:rsidR="00761163" w:rsidRPr="00CD2989" w:rsidRDefault="00761163" w:rsidP="00761163">
      <w:pPr>
        <w:pStyle w:val="Textonotapie"/>
        <w:snapToGrid w:val="0"/>
        <w:spacing w:before="60" w:after="60"/>
        <w:rPr>
          <w:bCs/>
        </w:rPr>
      </w:pPr>
      <w:r w:rsidRPr="00CD2989">
        <w:rPr>
          <w:bCs/>
        </w:rPr>
        <w:t>II. El juzgador penal o de paz que tiene conocimiento de la causa;</w:t>
      </w:r>
    </w:p>
    <w:p w14:paraId="0C4647E2" w14:textId="77777777" w:rsidR="00761163" w:rsidRPr="00CD2989" w:rsidRDefault="00761163" w:rsidP="00761163">
      <w:pPr>
        <w:pStyle w:val="Textonotapie"/>
        <w:snapToGrid w:val="0"/>
        <w:spacing w:before="60" w:after="60"/>
        <w:rPr>
          <w:bCs/>
        </w:rPr>
      </w:pPr>
      <w:r w:rsidRPr="00CD2989">
        <w:rPr>
          <w:bCs/>
        </w:rPr>
        <w:t>III. El juzgador en materia de amparo, civil o familiar que tenga los elementos para acreditar que el sujeto es víctima;</w:t>
      </w:r>
    </w:p>
    <w:p w14:paraId="7F406604" w14:textId="77777777" w:rsidR="00761163" w:rsidRPr="00CD2989" w:rsidRDefault="00761163" w:rsidP="00761163">
      <w:pPr>
        <w:pStyle w:val="Textonotapie"/>
        <w:snapToGrid w:val="0"/>
        <w:spacing w:before="60" w:after="60"/>
        <w:rPr>
          <w:bCs/>
        </w:rPr>
      </w:pPr>
      <w:r w:rsidRPr="00CD2989">
        <w:rPr>
          <w:bCs/>
        </w:rPr>
        <w:t>IV. Los organismos públicos de protección de los derechos humanos;</w:t>
      </w:r>
    </w:p>
    <w:p w14:paraId="64969B24" w14:textId="77777777" w:rsidR="00761163" w:rsidRPr="00CD2989" w:rsidRDefault="00761163" w:rsidP="00761163">
      <w:pPr>
        <w:pStyle w:val="Textonotapie"/>
        <w:snapToGrid w:val="0"/>
        <w:spacing w:before="60" w:after="60"/>
        <w:rPr>
          <w:bCs/>
        </w:rPr>
      </w:pPr>
      <w:r w:rsidRPr="00CD2989">
        <w:rPr>
          <w:bCs/>
        </w:rPr>
        <w:t>V. Los organismos internacionales de protección de derechos humanos a los que México les reconozca competencia;</w:t>
      </w:r>
    </w:p>
    <w:p w14:paraId="00CA9F4E" w14:textId="77777777" w:rsidR="00761163" w:rsidRPr="00CD2989" w:rsidRDefault="00761163" w:rsidP="00761163">
      <w:pPr>
        <w:pStyle w:val="Textonotapie"/>
        <w:snapToGrid w:val="0"/>
        <w:spacing w:before="60" w:after="60"/>
        <w:rPr>
          <w:bCs/>
        </w:rPr>
      </w:pPr>
      <w:r w:rsidRPr="00CD2989">
        <w:rPr>
          <w:bCs/>
        </w:rPr>
        <w:t>VI. La autoridad responsable de la violación a los derechos humanos que le reconozca tal carácter;</w:t>
      </w:r>
    </w:p>
    <w:p w14:paraId="784E2409" w14:textId="77777777" w:rsidR="00761163" w:rsidRPr="00CD2989" w:rsidRDefault="00761163" w:rsidP="00761163">
      <w:pPr>
        <w:pStyle w:val="Textonotapie"/>
        <w:snapToGrid w:val="0"/>
        <w:spacing w:before="60" w:after="60"/>
        <w:rPr>
          <w:bCs/>
        </w:rPr>
      </w:pPr>
      <w:r w:rsidRPr="00CD2989">
        <w:rPr>
          <w:bCs/>
        </w:rPr>
        <w:t>VII. La Comisión Ejecutiva, y</w:t>
      </w:r>
    </w:p>
    <w:p w14:paraId="68C97005" w14:textId="77777777" w:rsidR="00761163" w:rsidRPr="00CD2989" w:rsidRDefault="00761163" w:rsidP="00761163">
      <w:pPr>
        <w:pStyle w:val="Textonotapie"/>
        <w:snapToGrid w:val="0"/>
        <w:spacing w:before="60" w:after="60"/>
        <w:rPr>
          <w:bCs/>
        </w:rPr>
      </w:pPr>
      <w:r w:rsidRPr="00CD2989">
        <w:rPr>
          <w:bCs/>
        </w:rPr>
        <w:t>VIII. El Ministerio Público.</w:t>
      </w:r>
    </w:p>
    <w:p w14:paraId="12DB53D9" w14:textId="77777777" w:rsidR="00761163" w:rsidRPr="00CD2989" w:rsidRDefault="00761163" w:rsidP="00761163">
      <w:pPr>
        <w:pStyle w:val="Textonotapie"/>
        <w:snapToGrid w:val="0"/>
        <w:spacing w:before="60" w:after="60"/>
      </w:pPr>
      <w:r w:rsidRPr="00CD2989">
        <w:t>El reconocimiento de la calidad de víctima tendrá como efecto que la víctima pueda acceder a los Recursos de Ayuda, a la reparación integral y a la compensación, de conformidad con lo previsto en la presente Ley y en el Reglamento.</w:t>
      </w:r>
    </w:p>
  </w:footnote>
  <w:footnote w:id="78">
    <w:p w14:paraId="032C721E" w14:textId="77777777" w:rsidR="00761163" w:rsidRPr="00CD2989" w:rsidRDefault="00761163" w:rsidP="00761163">
      <w:pPr>
        <w:pStyle w:val="Textonotapie"/>
        <w:snapToGrid w:val="0"/>
        <w:spacing w:before="60" w:after="60"/>
      </w:pPr>
      <w:r w:rsidRPr="00CD2989">
        <w:rPr>
          <w:rStyle w:val="Refdenotaalpie"/>
        </w:rPr>
        <w:footnoteRef/>
      </w:r>
      <w:r w:rsidRPr="00CD2989">
        <w:t xml:space="preserve"> Artículo 111. El reconocimiento de la calidad de víctima tendrá como efecto:</w:t>
      </w:r>
    </w:p>
    <w:p w14:paraId="5B22AAE9" w14:textId="77777777" w:rsidR="00761163" w:rsidRPr="00CD2989" w:rsidRDefault="00761163" w:rsidP="00761163">
      <w:pPr>
        <w:pStyle w:val="Textonotapie"/>
        <w:snapToGrid w:val="0"/>
        <w:spacing w:before="60" w:after="60"/>
      </w:pPr>
      <w:r w:rsidRPr="00CD2989">
        <w:t>I. El acceso a los derechos, garantías, acciones, mecanismos y procedimientos, en los términos de esta Ley y las disposiciones reglamentarias, y</w:t>
      </w:r>
    </w:p>
    <w:p w14:paraId="5C038775" w14:textId="77777777" w:rsidR="00761163" w:rsidRPr="00CD2989" w:rsidRDefault="00761163" w:rsidP="00761163">
      <w:pPr>
        <w:pStyle w:val="Textonotapie"/>
        <w:snapToGrid w:val="0"/>
        <w:spacing w:before="60" w:after="60"/>
      </w:pPr>
      <w:r w:rsidRPr="00CD2989">
        <w:t>II. En el caso de lesiones graves, delitos contra la libertad psicosexual, violencia familiar, trata de personas, secuestro, tortura, tratos crueles, inhumanos o degradantes, desaparición, privación de la libertad y todos aquellos que impidan a la víctima por la naturaleza del daño atender adecuadamente la defensa de sus derechos; que el juez de la causa o la autoridad responsable del procedimiento, de inmediato, suspendan todos los juicios y procedimientos administrativos y detengan los plazos de prescripción y caducidad, así como todos los efectos que de éstos se deriven, en tanto su condición no sea superada, siempre que se justifique la imposibilidad de la víctima de ejercer adecuadamente sus derechos en dichos juicios y procedimientos.</w:t>
      </w:r>
    </w:p>
    <w:p w14:paraId="0E708A0B" w14:textId="77777777" w:rsidR="00761163" w:rsidRPr="00CD2989" w:rsidRDefault="00761163" w:rsidP="00761163">
      <w:pPr>
        <w:pStyle w:val="Textonotapie"/>
        <w:snapToGrid w:val="0"/>
        <w:spacing w:before="60" w:after="60"/>
      </w:pPr>
      <w:r w:rsidRPr="00CD2989">
        <w:t>Al reconocerse su calidad de víctima, ésta podrá acceder a los Recursos de Ayuda y a la reparación integral, de conformidad con lo previsto en la presente Ley y en el Reglamento. El procedimiento y los elementos a acreditar, se determinarán en el Reglamento correspondiente.</w:t>
      </w:r>
    </w:p>
  </w:footnote>
  <w:footnote w:id="79">
    <w:p w14:paraId="4DA3C5B1" w14:textId="27C3D97A" w:rsidR="00B82440" w:rsidRDefault="00B82440" w:rsidP="00B82440">
      <w:pPr>
        <w:pStyle w:val="Textonotapie"/>
        <w:spacing w:before="60" w:after="60"/>
      </w:pPr>
      <w:r>
        <w:rPr>
          <w:rStyle w:val="Refdenotaalpie"/>
        </w:rPr>
        <w:footnoteRef/>
      </w:r>
      <w:r>
        <w:t xml:space="preserve"> </w:t>
      </w:r>
      <w:r w:rsidRPr="00B82440">
        <w:t>Ley General de Víctimas</w:t>
      </w:r>
    </w:p>
    <w:p w14:paraId="464A6E01" w14:textId="1EE3E48E" w:rsidR="00B82440" w:rsidRDefault="00B82440" w:rsidP="00B82440">
      <w:pPr>
        <w:pStyle w:val="Textonotapie"/>
        <w:spacing w:before="60" w:after="60"/>
      </w:pPr>
      <w:r>
        <w:t>Artículo 84. La Comisión Ejecutiva es un organismo con personalidad jurídica y patrimonio propios; con autonomía técnica, de gestión y contará con los recursos que le asigne el Presupuesto de Egresos de la Federación.</w:t>
      </w:r>
    </w:p>
    <w:p w14:paraId="306B08DC" w14:textId="77777777" w:rsidR="00B82440" w:rsidRDefault="00B82440" w:rsidP="00B82440">
      <w:pPr>
        <w:pStyle w:val="Textonotapie"/>
        <w:spacing w:before="60" w:after="60"/>
      </w:pPr>
      <w:r>
        <w:t>[…]</w:t>
      </w:r>
    </w:p>
    <w:p w14:paraId="153FBA5D" w14:textId="77777777" w:rsidR="00B82440" w:rsidRDefault="00B82440" w:rsidP="00B82440">
      <w:pPr>
        <w:pStyle w:val="Textonotapie"/>
        <w:spacing w:before="60" w:after="60"/>
      </w:pPr>
      <w:r>
        <w:t>La Comisión Ejecutiva tendrá por objeto garantizar, promover y proteger los derechos de las víctimas del delito y de violaciones a derechos humanos, en especial los derechos a la asistencia, a la protección, a la atención, a la verdad, a la justicia, a la reparación integral y a la debida diligencia, en términos del artículo 2 de la Ley; así como desempeñarse como el órgano operativo del Sistema y las demás que esta Ley señale.</w:t>
      </w:r>
    </w:p>
    <w:p w14:paraId="48DD3E7A" w14:textId="77777777" w:rsidR="00B82440" w:rsidRDefault="00B82440" w:rsidP="00B82440">
      <w:pPr>
        <w:pStyle w:val="Textonotapie"/>
        <w:spacing w:before="60" w:after="60"/>
      </w:pPr>
      <w:r>
        <w:t>Artículo 95. El Comisionado Ejecutivo, tendrá las siguientes facultades:</w:t>
      </w:r>
    </w:p>
    <w:p w14:paraId="01F75B5B" w14:textId="6AB2AD1A" w:rsidR="00B82440" w:rsidRDefault="00B82440" w:rsidP="00B82440">
      <w:pPr>
        <w:pStyle w:val="Textonotapie"/>
        <w:spacing w:before="60" w:after="60"/>
      </w:pPr>
      <w:r>
        <w:t>VIII. Garantizar el registro de las víctimas que acudan directamente ante la Comisión Ejecutiva a solicitar su inscripción en el Registro Nacional de Víctimas,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w:t>
      </w:r>
    </w:p>
  </w:footnote>
  <w:footnote w:id="80">
    <w:p w14:paraId="35421C6F" w14:textId="77777777" w:rsidR="007139C9" w:rsidRPr="00CD2989" w:rsidRDefault="007139C9" w:rsidP="00CD2989">
      <w:pPr>
        <w:pStyle w:val="Textonotapie"/>
        <w:snapToGrid w:val="0"/>
        <w:spacing w:before="60" w:after="60"/>
      </w:pPr>
      <w:r w:rsidRPr="00CD2989">
        <w:rPr>
          <w:rStyle w:val="Refdenotaalpie"/>
        </w:rPr>
        <w:footnoteRef/>
      </w:r>
      <w:r w:rsidRPr="00CD2989">
        <w:t xml:space="preserve"> Ver amparos en revisión 1133/2019, 337/2020, 393/2020 y 394/2020</w:t>
      </w:r>
      <w:r w:rsidR="007449FC" w:rsidRPr="00CD2989">
        <w:t>, resueltos por la Primera Sala de la Suprema Corte de Justicia de la Nación.</w:t>
      </w:r>
      <w:r w:rsidR="00702850" w:rsidRPr="00CD2989">
        <w:t xml:space="preserve"> Ver también el amparo en revisión 51/2020, supra</w:t>
      </w:r>
      <w:r w:rsidR="008108EF" w:rsidRPr="00CD2989">
        <w:t xml:space="preserve"> 59.</w:t>
      </w:r>
    </w:p>
  </w:footnote>
  <w:footnote w:id="81">
    <w:p w14:paraId="3A2543B7" w14:textId="77777777" w:rsidR="000B678E" w:rsidRDefault="000B678E">
      <w:pPr>
        <w:pStyle w:val="Textonotapie"/>
      </w:pPr>
      <w:r>
        <w:rPr>
          <w:rStyle w:val="Refdenotaalpie"/>
        </w:rPr>
        <w:footnoteRef/>
      </w:r>
      <w:r>
        <w:t xml:space="preserve"> Ley General de Víctimas. </w:t>
      </w:r>
    </w:p>
    <w:p w14:paraId="7F28382C" w14:textId="6FEEE071" w:rsidR="000B678E" w:rsidRDefault="000B678E">
      <w:pPr>
        <w:pStyle w:val="Textonotapie"/>
      </w:pPr>
      <w:r>
        <w:t>Artículo 73. Las medidas de satisfacción comprenden, entre otras y según corresponda:</w:t>
      </w:r>
    </w:p>
    <w:p w14:paraId="18C8F09F" w14:textId="7AE20684" w:rsidR="000B678E" w:rsidRDefault="000B678E">
      <w:pPr>
        <w:pStyle w:val="Textonotapie"/>
      </w:pPr>
      <w:r>
        <w:t>[…]</w:t>
      </w:r>
    </w:p>
    <w:p w14:paraId="255427F1" w14:textId="3FE7F213" w:rsidR="000B678E" w:rsidRDefault="000B678E">
      <w:pPr>
        <w:pStyle w:val="Textonotapie"/>
      </w:pPr>
      <w:r>
        <w:t xml:space="preserve">V. </w:t>
      </w:r>
      <w:r w:rsidR="00051BF7">
        <w:t>La aplicación de sanciones judiciales o administrativas a los responsables de las violaciones de derechos humanos.</w:t>
      </w:r>
    </w:p>
  </w:footnote>
  <w:footnote w:id="82">
    <w:p w14:paraId="0D03EF5E" w14:textId="77777777" w:rsidR="000C00F8" w:rsidRPr="00CD2989" w:rsidRDefault="000C00F8" w:rsidP="00CD2989">
      <w:pPr>
        <w:pStyle w:val="Textonotapie"/>
        <w:snapToGrid w:val="0"/>
        <w:spacing w:before="60" w:after="60"/>
      </w:pPr>
      <w:r w:rsidRPr="00CD2989">
        <w:rPr>
          <w:rStyle w:val="Refdenotaalpie"/>
        </w:rPr>
        <w:footnoteRef/>
      </w:r>
      <w:r w:rsidRPr="00CD2989">
        <w:t xml:space="preserve"> Esta Sala reconoce que la redacción actual del acuerdo sí contempla un supuesto abierto que permite la tramitación con carácter de urgente respecto de “los actos que revistan carácter de urgente, conforme a las leyes que los rijan.” Se incluyeron en el acuerdo criterios específicos para estudiar este último supuesto. Se exige para tomar esa determinación considerar:</w:t>
      </w:r>
    </w:p>
    <w:p w14:paraId="6B02AF6E" w14:textId="77777777" w:rsidR="000C00F8" w:rsidRPr="00CD2989" w:rsidRDefault="000C00F8" w:rsidP="00CD2989">
      <w:pPr>
        <w:pStyle w:val="Textonotapie"/>
        <w:snapToGrid w:val="0"/>
        <w:spacing w:before="60" w:after="60"/>
      </w:pPr>
      <w:r w:rsidRPr="00CD2989">
        <w:t>a) Los derechos humanos que pudieran verse afectados, la trascendencia de su eventual trasgresión y las consecuencias que pudiera traer la demora en su atención; y</w:t>
      </w:r>
    </w:p>
    <w:p w14:paraId="1AA06ECB" w14:textId="239A7AB6" w:rsidR="0065262E" w:rsidRPr="00CD2989" w:rsidRDefault="000C00F8" w:rsidP="00CD2989">
      <w:pPr>
        <w:pStyle w:val="Textonotapie"/>
        <w:snapToGrid w:val="0"/>
        <w:spacing w:before="60" w:after="60"/>
      </w:pPr>
      <w:r w:rsidRPr="00CD2989">
        <w:t>b) Los posibles impactos diferenciados e interseccionales sobre el acceso a derechos económicos y sociales para colectivos y poblaciones en especial situación de vulnerabilidad, destacando enunciativamente los relacionados con su salud.</w:t>
      </w:r>
    </w:p>
    <w:p w14:paraId="4F34D2F6" w14:textId="1075E5A0" w:rsidR="0065262E" w:rsidRPr="00CD2989" w:rsidRDefault="0065262E" w:rsidP="00CD2989">
      <w:pPr>
        <w:pStyle w:val="Textonotapie"/>
        <w:snapToGrid w:val="0"/>
        <w:spacing w:before="60" w:after="60"/>
      </w:pPr>
      <w:r w:rsidRPr="00CD2989">
        <w:t xml:space="preserve">De acuerdo con la </w:t>
      </w:r>
      <w:r w:rsidR="007C647E" w:rsidRPr="00CD2989">
        <w:t xml:space="preserve">NOM-046-SSA2-2005 referida, </w:t>
      </w:r>
      <w:r w:rsidRPr="00CD2989">
        <w:t>que rige</w:t>
      </w:r>
      <w:r w:rsidR="009B7D4F" w:rsidRPr="00CD2989">
        <w:t xml:space="preserve"> la atención de casos de violación sexual, estos constituyen urgencias médicas, por lo que requieren atención inmediata. Así, la caracterización como asuntos urgentes no se desprende únicamente de un entendimiento adecuado de los derechos humanos</w:t>
      </w:r>
      <w:r w:rsidR="00DE3EF2" w:rsidRPr="00CD2989">
        <w:t xml:space="preserve"> involucrados, sino expresamente de las normas que aplican en la materia.</w:t>
      </w:r>
      <w:r w:rsidR="009B7D4F" w:rsidRPr="00CD2989">
        <w:t xml:space="preserve"> </w:t>
      </w:r>
    </w:p>
  </w:footnote>
  <w:footnote w:id="83">
    <w:p w14:paraId="130D869C" w14:textId="459710FD" w:rsidR="00722E14" w:rsidRPr="00CD2989" w:rsidRDefault="005140A8" w:rsidP="00CD2989">
      <w:pPr>
        <w:pStyle w:val="Textonotapie"/>
        <w:snapToGrid w:val="0"/>
        <w:spacing w:before="60" w:after="60"/>
      </w:pPr>
      <w:r w:rsidRPr="00CD2989">
        <w:rPr>
          <w:rStyle w:val="Refdenotaalpie"/>
        </w:rPr>
        <w:footnoteRef/>
      </w:r>
      <w:r w:rsidRPr="00CD2989">
        <w:t xml:space="preserve"> </w:t>
      </w:r>
      <w:r w:rsidR="00722E14" w:rsidRPr="00CD2989">
        <w:rPr>
          <w:lang w:val="es-ES_tradnl"/>
        </w:rPr>
        <w:t xml:space="preserve">De acuerdo con el informe del Hospital, durante el tiempo que estuvo hospitalizada, la joven </w:t>
      </w:r>
      <w:r w:rsidR="005F4719">
        <w:rPr>
          <w:i/>
          <w:iCs/>
        </w:rPr>
        <w:t>María</w:t>
      </w:r>
      <w:r w:rsidR="00A61FAA" w:rsidRPr="00761163">
        <w:rPr>
          <w:color w:val="C00000"/>
        </w:rPr>
        <w:t xml:space="preserve"> </w:t>
      </w:r>
      <w:r w:rsidR="00722E14" w:rsidRPr="00CD2989">
        <w:rPr>
          <w:lang w:val="es-ES_tradnl"/>
        </w:rPr>
        <w:t>no expresó de ninguna forma que diera a entender al personal que era su deseo interrumpir su embarazo. No obstante, era responsabilidad del personal que la atendió informarle, como víctima de una violación, que ese era su derecho además de las implicaciones de optar por ese procedimiento médico, tal como lo ordena la NOM-046 referida. La falta de información oportuna también tuvo ese impacto dilatorio en la prestación del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9FBD" w14:textId="779F4C06" w:rsidR="00B67251" w:rsidRPr="00FF032A" w:rsidRDefault="00B67251" w:rsidP="00FF032A">
    <w:pPr>
      <w:spacing w:before="240" w:after="960"/>
      <w:jc w:val="center"/>
      <w:rPr>
        <w:b/>
        <w:sz w:val="26"/>
        <w:szCs w:val="26"/>
      </w:rPr>
    </w:pPr>
    <w:r w:rsidRPr="00996862">
      <w:rPr>
        <w:b/>
        <w:sz w:val="26"/>
        <w:szCs w:val="26"/>
      </w:rPr>
      <w:t>AMPARO</w:t>
    </w:r>
    <w:r>
      <w:rPr>
        <w:b/>
        <w:sz w:val="26"/>
        <w:szCs w:val="26"/>
      </w:rPr>
      <w:t xml:space="preserve"> </w:t>
    </w:r>
    <w:r w:rsidR="0069128B">
      <w:rPr>
        <w:b/>
        <w:sz w:val="26"/>
        <w:szCs w:val="26"/>
      </w:rPr>
      <w:t>EN REVISIÓN 550/2022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6662" w14:textId="6116B744" w:rsidR="00D766E0" w:rsidRPr="00996862" w:rsidRDefault="00D20E1C">
    <w:pPr>
      <w:spacing w:before="240" w:after="960"/>
      <w:jc w:val="center"/>
      <w:rPr>
        <w:b/>
        <w:sz w:val="26"/>
        <w:szCs w:val="26"/>
      </w:rPr>
    </w:pPr>
    <w:r w:rsidRPr="00996862">
      <w:rPr>
        <w:b/>
        <w:sz w:val="26"/>
        <w:szCs w:val="26"/>
      </w:rPr>
      <w:t xml:space="preserve">AMPARO EN REVISIÓN </w:t>
    </w:r>
    <w:r w:rsidR="009E2C43">
      <w:rPr>
        <w:b/>
        <w:sz w:val="26"/>
        <w:szCs w:val="26"/>
      </w:rPr>
      <w:t>550</w:t>
    </w:r>
    <w:r w:rsidRPr="00996862">
      <w:rPr>
        <w:b/>
        <w:sz w:val="26"/>
        <w:szCs w:val="26"/>
      </w:rPr>
      <w:t>/20</w:t>
    </w:r>
    <w:r w:rsidR="009E2C43">
      <w:rPr>
        <w:b/>
        <w:sz w:val="26"/>
        <w:szCs w:val="26"/>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20"/>
    <w:lvl w:ilvl="0">
      <w:start w:val="1"/>
      <w:numFmt w:val="lowerLetter"/>
      <w:lvlText w:val="%1)"/>
      <w:lvlJc w:val="left"/>
      <w:pPr>
        <w:tabs>
          <w:tab w:val="num" w:pos="0"/>
        </w:tabs>
        <w:ind w:left="720" w:hanging="360"/>
      </w:pPr>
      <w:rPr>
        <w:rFonts w:hint="default"/>
      </w:rPr>
    </w:lvl>
  </w:abstractNum>
  <w:abstractNum w:abstractNumId="1" w15:restartNumberingAfterBreak="0">
    <w:nsid w:val="03E76E6F"/>
    <w:multiLevelType w:val="hybridMultilevel"/>
    <w:tmpl w:val="31F4CD6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4654E"/>
    <w:multiLevelType w:val="hybridMultilevel"/>
    <w:tmpl w:val="31F4CD6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D85A38"/>
    <w:multiLevelType w:val="hybridMultilevel"/>
    <w:tmpl w:val="AED47CD2"/>
    <w:lvl w:ilvl="0" w:tplc="080A001B">
      <w:start w:val="1"/>
      <w:numFmt w:val="lowerRoman"/>
      <w:lvlText w:val="%1."/>
      <w:lvlJc w:val="right"/>
      <w:pPr>
        <w:ind w:left="1569" w:hanging="360"/>
      </w:pPr>
    </w:lvl>
    <w:lvl w:ilvl="1" w:tplc="080A0019">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4" w15:restartNumberingAfterBreak="0">
    <w:nsid w:val="130A2AFC"/>
    <w:multiLevelType w:val="hybridMultilevel"/>
    <w:tmpl w:val="2D520836"/>
    <w:lvl w:ilvl="0" w:tplc="2C90F7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76E54"/>
    <w:multiLevelType w:val="hybridMultilevel"/>
    <w:tmpl w:val="BB9864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85F7D"/>
    <w:multiLevelType w:val="hybridMultilevel"/>
    <w:tmpl w:val="2D52083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A377FC"/>
    <w:multiLevelType w:val="hybridMultilevel"/>
    <w:tmpl w:val="CF741EC8"/>
    <w:lvl w:ilvl="0" w:tplc="E3B09B98">
      <w:start w:val="1"/>
      <w:numFmt w:val="decimal"/>
      <w:lvlText w:val="%1."/>
      <w:lvlJc w:val="left"/>
      <w:pPr>
        <w:ind w:left="6533" w:hanging="720"/>
      </w:pPr>
      <w:rPr>
        <w:rFonts w:ascii="Arial" w:eastAsia="Times New Roman" w:hAnsi="Arial" w:cs="Arial"/>
        <w:b w:val="0"/>
        <w:i w:val="0"/>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7D409778">
      <w:start w:val="1"/>
      <w:numFmt w:val="lowerLetter"/>
      <w:lvlText w:val="%4)"/>
      <w:lvlJc w:val="left"/>
      <w:pPr>
        <w:ind w:left="2520" w:hanging="360"/>
      </w:pPr>
      <w:rPr>
        <w:rFonts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5A721CE"/>
    <w:multiLevelType w:val="hybridMultilevel"/>
    <w:tmpl w:val="368C06AC"/>
    <w:lvl w:ilvl="0" w:tplc="5DBA22EE">
      <w:start w:val="1"/>
      <w:numFmt w:val="decimal"/>
      <w:lvlText w:val="%1."/>
      <w:lvlJc w:val="left"/>
      <w:pPr>
        <w:ind w:left="2423" w:hanging="360"/>
      </w:pPr>
      <w:rPr>
        <w:rFonts w:ascii="Arial" w:eastAsia="Times New Roman" w:hAnsi="Arial" w:cs="Arial" w:hint="default"/>
        <w:b w:val="0"/>
        <w:i w:val="0"/>
        <w:color w:val="auto"/>
      </w:rPr>
    </w:lvl>
    <w:lvl w:ilvl="1" w:tplc="080A0019">
      <w:start w:val="1"/>
      <w:numFmt w:val="lowerLetter"/>
      <w:lvlText w:val="%2."/>
      <w:lvlJc w:val="left"/>
      <w:pPr>
        <w:ind w:left="3143" w:hanging="360"/>
      </w:pPr>
    </w:lvl>
    <w:lvl w:ilvl="2" w:tplc="080A0001">
      <w:start w:val="1"/>
      <w:numFmt w:val="bullet"/>
      <w:lvlText w:val=""/>
      <w:lvlJc w:val="left"/>
      <w:pPr>
        <w:ind w:left="4897" w:hanging="360"/>
      </w:pPr>
      <w:rPr>
        <w:rFonts w:ascii="Symbol" w:hAnsi="Symbol" w:hint="default"/>
      </w:rPr>
    </w:lvl>
    <w:lvl w:ilvl="3" w:tplc="3CB8D732">
      <w:start w:val="1"/>
      <w:numFmt w:val="lowerRoman"/>
      <w:lvlText w:val="%4."/>
      <w:lvlJc w:val="left"/>
      <w:pPr>
        <w:ind w:left="4583" w:hanging="360"/>
      </w:pPr>
      <w:rPr>
        <w:rFonts w:hint="default"/>
      </w:rPr>
    </w:lvl>
    <w:lvl w:ilvl="4" w:tplc="080A0019" w:tentative="1">
      <w:start w:val="1"/>
      <w:numFmt w:val="lowerLetter"/>
      <w:lvlText w:val="%5."/>
      <w:lvlJc w:val="left"/>
      <w:pPr>
        <w:ind w:left="5303" w:hanging="360"/>
      </w:pPr>
    </w:lvl>
    <w:lvl w:ilvl="5" w:tplc="080A001B" w:tentative="1">
      <w:start w:val="1"/>
      <w:numFmt w:val="lowerRoman"/>
      <w:lvlText w:val="%6."/>
      <w:lvlJc w:val="right"/>
      <w:pPr>
        <w:ind w:left="6023" w:hanging="180"/>
      </w:pPr>
    </w:lvl>
    <w:lvl w:ilvl="6" w:tplc="080A000F" w:tentative="1">
      <w:start w:val="1"/>
      <w:numFmt w:val="decimal"/>
      <w:lvlText w:val="%7."/>
      <w:lvlJc w:val="left"/>
      <w:pPr>
        <w:ind w:left="6743" w:hanging="360"/>
      </w:pPr>
    </w:lvl>
    <w:lvl w:ilvl="7" w:tplc="080A0019" w:tentative="1">
      <w:start w:val="1"/>
      <w:numFmt w:val="lowerLetter"/>
      <w:lvlText w:val="%8."/>
      <w:lvlJc w:val="left"/>
      <w:pPr>
        <w:ind w:left="7463" w:hanging="360"/>
      </w:pPr>
    </w:lvl>
    <w:lvl w:ilvl="8" w:tplc="080A001B" w:tentative="1">
      <w:start w:val="1"/>
      <w:numFmt w:val="lowerRoman"/>
      <w:lvlText w:val="%9."/>
      <w:lvlJc w:val="right"/>
      <w:pPr>
        <w:ind w:left="8183" w:hanging="180"/>
      </w:pPr>
    </w:lvl>
  </w:abstractNum>
  <w:abstractNum w:abstractNumId="9" w15:restartNumberingAfterBreak="0">
    <w:nsid w:val="2668138C"/>
    <w:multiLevelType w:val="hybridMultilevel"/>
    <w:tmpl w:val="2D52083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7A6DB2"/>
    <w:multiLevelType w:val="hybridMultilevel"/>
    <w:tmpl w:val="27E4A07A"/>
    <w:lvl w:ilvl="0" w:tplc="CFDCA4C2">
      <w:start w:val="1"/>
      <w:numFmt w:val="decimal"/>
      <w:lvlText w:val="%1."/>
      <w:lvlJc w:val="left"/>
      <w:pPr>
        <w:ind w:left="1429" w:hanging="360"/>
      </w:pPr>
      <w:rPr>
        <w:rFonts w:ascii="Arial" w:eastAsia="Arial" w:hAnsi="Arial" w:cs="Arial" w:hint="default"/>
        <w:b/>
        <w:w w:val="100"/>
        <w:sz w:val="28"/>
        <w:szCs w:val="28"/>
        <w:lang w:val="es-ES" w:eastAsia="en-US" w:bidi="ar-SA"/>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31496971"/>
    <w:multiLevelType w:val="hybridMultilevel"/>
    <w:tmpl w:val="1CA690DE"/>
    <w:lvl w:ilvl="0" w:tplc="EEFA6E68">
      <w:start w:val="1"/>
      <w:numFmt w:val="bullet"/>
      <w:lvlText w:val=""/>
      <w:lvlJc w:val="left"/>
      <w:pPr>
        <w:ind w:left="1429" w:hanging="360"/>
      </w:pPr>
      <w:rPr>
        <w:rFonts w:ascii="Symbol" w:eastAsiaTheme="minorHAnsi" w:hAnsi="Symbol" w:cs="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38C22895"/>
    <w:multiLevelType w:val="hybridMultilevel"/>
    <w:tmpl w:val="793C50E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D00506"/>
    <w:multiLevelType w:val="hybridMultilevel"/>
    <w:tmpl w:val="2D52083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78582B"/>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8A2E02"/>
    <w:multiLevelType w:val="hybridMultilevel"/>
    <w:tmpl w:val="C98EEAAA"/>
    <w:lvl w:ilvl="0" w:tplc="A028C0AE">
      <w:start w:val="1"/>
      <w:numFmt w:val="decimal"/>
      <w:lvlText w:val="%1."/>
      <w:lvlJc w:val="left"/>
      <w:pPr>
        <w:ind w:left="720" w:hanging="360"/>
      </w:pPr>
      <w:rPr>
        <w:rFonts w:ascii="Arial" w:hAnsi="Arial" w:cs="Arial" w:hint="default"/>
        <w:b/>
        <w:i w:val="0"/>
        <w:color w:val="auto"/>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4B0A14"/>
    <w:multiLevelType w:val="hybridMultilevel"/>
    <w:tmpl w:val="31F4CD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F53798"/>
    <w:multiLevelType w:val="hybridMultilevel"/>
    <w:tmpl w:val="31F4CD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A82B5F"/>
    <w:multiLevelType w:val="hybridMultilevel"/>
    <w:tmpl w:val="31F4CD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632649"/>
    <w:multiLevelType w:val="hybridMultilevel"/>
    <w:tmpl w:val="5E10061C"/>
    <w:lvl w:ilvl="0" w:tplc="B4A22B1E">
      <w:start w:val="1"/>
      <w:numFmt w:val="decimal"/>
      <w:pStyle w:val="Fin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B277A8"/>
    <w:multiLevelType w:val="hybridMultilevel"/>
    <w:tmpl w:val="CCE2A3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334B7F"/>
    <w:multiLevelType w:val="hybridMultilevel"/>
    <w:tmpl w:val="2D242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743E6E"/>
    <w:multiLevelType w:val="hybridMultilevel"/>
    <w:tmpl w:val="B5D65B74"/>
    <w:lvl w:ilvl="0" w:tplc="FFFFFFFF">
      <w:start w:val="1"/>
      <w:numFmt w:val="lowerLetter"/>
      <w:pStyle w:val="Ttulo7"/>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C860FA"/>
    <w:multiLevelType w:val="hybridMultilevel"/>
    <w:tmpl w:val="EEB8930E"/>
    <w:lvl w:ilvl="0" w:tplc="FFFFFFFF">
      <w:start w:val="1"/>
      <w:numFmt w:val="decimal"/>
      <w:lvlText w:val="%1."/>
      <w:lvlJc w:val="left"/>
      <w:pPr>
        <w:ind w:left="659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277093"/>
    <w:multiLevelType w:val="hybridMultilevel"/>
    <w:tmpl w:val="E91A504E"/>
    <w:lvl w:ilvl="0" w:tplc="08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076156"/>
    <w:multiLevelType w:val="hybridMultilevel"/>
    <w:tmpl w:val="B87C2330"/>
    <w:lvl w:ilvl="0" w:tplc="5B7E75D8">
      <w:start w:val="1"/>
      <w:numFmt w:val="decimal"/>
      <w:lvlText w:val="%1."/>
      <w:lvlJc w:val="left"/>
      <w:pPr>
        <w:ind w:left="4188" w:hanging="360"/>
      </w:pPr>
      <w:rPr>
        <w:b w:val="0"/>
        <w:i w:val="0"/>
        <w:sz w:val="26"/>
        <w:szCs w:val="26"/>
        <w:vertAlign w:val="baseline"/>
        <w:lang w:val="es-ES_tradnl"/>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6" w15:restartNumberingAfterBreak="0">
    <w:nsid w:val="656117D4"/>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E14F74"/>
    <w:multiLevelType w:val="hybridMultilevel"/>
    <w:tmpl w:val="14B4BD3A"/>
    <w:lvl w:ilvl="0" w:tplc="5ADC20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B63E7B"/>
    <w:multiLevelType w:val="hybridMultilevel"/>
    <w:tmpl w:val="4C54BAB6"/>
    <w:lvl w:ilvl="0" w:tplc="FA24EFDC">
      <w:start w:val="1"/>
      <w:numFmt w:val="lowerRoman"/>
      <w:lvlText w:val="%1."/>
      <w:lvlJc w:val="left"/>
      <w:pPr>
        <w:ind w:left="1429" w:hanging="720"/>
      </w:pPr>
      <w:rPr>
        <w:rFonts w:hint="default"/>
        <w:b/>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9C276C1"/>
    <w:multiLevelType w:val="hybridMultilevel"/>
    <w:tmpl w:val="4DF05990"/>
    <w:lvl w:ilvl="0" w:tplc="08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F75833"/>
    <w:multiLevelType w:val="hybridMultilevel"/>
    <w:tmpl w:val="EDAEAF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BB2343"/>
    <w:multiLevelType w:val="hybridMultilevel"/>
    <w:tmpl w:val="0AF80C5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E4282C"/>
    <w:multiLevelType w:val="multilevel"/>
    <w:tmpl w:val="B75263E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1A2B40"/>
    <w:multiLevelType w:val="hybridMultilevel"/>
    <w:tmpl w:val="EDAEAF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6C2B5A"/>
    <w:multiLevelType w:val="multilevel"/>
    <w:tmpl w:val="6D025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Letter"/>
      <w:lvlText w:val="%1)"/>
      <w:lvlJc w:val="left"/>
      <w:pPr>
        <w:ind w:left="6480" w:hanging="180"/>
      </w:pPr>
    </w:lvl>
  </w:abstractNum>
  <w:abstractNum w:abstractNumId="36" w15:restartNumberingAfterBreak="0">
    <w:nsid w:val="79644627"/>
    <w:multiLevelType w:val="hybridMultilevel"/>
    <w:tmpl w:val="31F4CD6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551F7B"/>
    <w:multiLevelType w:val="hybridMultilevel"/>
    <w:tmpl w:val="6CE6367C"/>
    <w:lvl w:ilvl="0" w:tplc="ADECB5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855F39"/>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4482402">
    <w:abstractNumId w:val="35"/>
  </w:num>
  <w:num w:numId="2" w16cid:durableId="1056320914">
    <w:abstractNumId w:val="28"/>
  </w:num>
  <w:num w:numId="3" w16cid:durableId="400323">
    <w:abstractNumId w:val="23"/>
  </w:num>
  <w:num w:numId="4" w16cid:durableId="220990458">
    <w:abstractNumId w:val="14"/>
  </w:num>
  <w:num w:numId="5" w16cid:durableId="319315070">
    <w:abstractNumId w:val="36"/>
  </w:num>
  <w:num w:numId="6" w16cid:durableId="407188941">
    <w:abstractNumId w:val="2"/>
  </w:num>
  <w:num w:numId="7" w16cid:durableId="1133445930">
    <w:abstractNumId w:val="26"/>
  </w:num>
  <w:num w:numId="8" w16cid:durableId="289282438">
    <w:abstractNumId w:val="1"/>
  </w:num>
  <w:num w:numId="9" w16cid:durableId="132083">
    <w:abstractNumId w:val="32"/>
  </w:num>
  <w:num w:numId="10" w16cid:durableId="518467763">
    <w:abstractNumId w:val="19"/>
  </w:num>
  <w:num w:numId="11" w16cid:durableId="2058970192">
    <w:abstractNumId w:val="17"/>
  </w:num>
  <w:num w:numId="12" w16cid:durableId="1093672098">
    <w:abstractNumId w:val="16"/>
  </w:num>
  <w:num w:numId="13" w16cid:durableId="858350145">
    <w:abstractNumId w:val="3"/>
  </w:num>
  <w:num w:numId="14" w16cid:durableId="2017607735">
    <w:abstractNumId w:val="4"/>
  </w:num>
  <w:num w:numId="15" w16cid:durableId="1025449189">
    <w:abstractNumId w:val="6"/>
  </w:num>
  <w:num w:numId="16" w16cid:durableId="774405863">
    <w:abstractNumId w:val="13"/>
  </w:num>
  <w:num w:numId="17" w16cid:durableId="722798540">
    <w:abstractNumId w:val="9"/>
  </w:num>
  <w:num w:numId="18" w16cid:durableId="409277804">
    <w:abstractNumId w:val="24"/>
  </w:num>
  <w:num w:numId="19" w16cid:durableId="1297838786">
    <w:abstractNumId w:val="7"/>
  </w:num>
  <w:num w:numId="20" w16cid:durableId="1926456877">
    <w:abstractNumId w:val="23"/>
  </w:num>
  <w:num w:numId="21" w16cid:durableId="1176504795">
    <w:abstractNumId w:val="25"/>
  </w:num>
  <w:num w:numId="22" w16cid:durableId="1613660060">
    <w:abstractNumId w:val="38"/>
  </w:num>
  <w:num w:numId="23" w16cid:durableId="335689266">
    <w:abstractNumId w:val="28"/>
  </w:num>
  <w:num w:numId="24" w16cid:durableId="846672259">
    <w:abstractNumId w:val="0"/>
  </w:num>
  <w:num w:numId="25" w16cid:durableId="877163275">
    <w:abstractNumId w:val="29"/>
  </w:num>
  <w:num w:numId="26" w16cid:durableId="936837877">
    <w:abstractNumId w:val="11"/>
  </w:num>
  <w:num w:numId="27" w16cid:durableId="1041980540">
    <w:abstractNumId w:val="10"/>
  </w:num>
  <w:num w:numId="28" w16cid:durableId="539629821">
    <w:abstractNumId w:val="18"/>
  </w:num>
  <w:num w:numId="29" w16cid:durableId="1245842455">
    <w:abstractNumId w:val="28"/>
    <w:lvlOverride w:ilvl="0">
      <w:startOverride w:val="1"/>
    </w:lvlOverride>
  </w:num>
  <w:num w:numId="30" w16cid:durableId="124588505">
    <w:abstractNumId w:val="37"/>
  </w:num>
  <w:num w:numId="31" w16cid:durableId="294222446">
    <w:abstractNumId w:val="30"/>
  </w:num>
  <w:num w:numId="32" w16cid:durableId="957183389">
    <w:abstractNumId w:val="22"/>
  </w:num>
  <w:num w:numId="33" w16cid:durableId="1071077627">
    <w:abstractNumId w:val="20"/>
  </w:num>
  <w:num w:numId="34" w16cid:durableId="1732773677">
    <w:abstractNumId w:val="22"/>
  </w:num>
  <w:num w:numId="35" w16cid:durableId="733116411">
    <w:abstractNumId w:val="8"/>
  </w:num>
  <w:num w:numId="36" w16cid:durableId="208610195">
    <w:abstractNumId w:val="15"/>
  </w:num>
  <w:num w:numId="37" w16cid:durableId="858658829">
    <w:abstractNumId w:val="12"/>
  </w:num>
  <w:num w:numId="38" w16cid:durableId="1565599001">
    <w:abstractNumId w:val="21"/>
  </w:num>
  <w:num w:numId="39" w16cid:durableId="535851393">
    <w:abstractNumId w:val="5"/>
  </w:num>
  <w:num w:numId="40" w16cid:durableId="631329597">
    <w:abstractNumId w:val="34"/>
  </w:num>
  <w:num w:numId="41" w16cid:durableId="1339576840">
    <w:abstractNumId w:val="31"/>
  </w:num>
  <w:num w:numId="42" w16cid:durableId="559052714">
    <w:abstractNumId w:val="33"/>
  </w:num>
  <w:num w:numId="43" w16cid:durableId="1703936361">
    <w:abstractNumId w:val="22"/>
  </w:num>
  <w:num w:numId="44" w16cid:durableId="352417166">
    <w:abstractNumId w:val="22"/>
  </w:num>
  <w:num w:numId="45" w16cid:durableId="1842502750">
    <w:abstractNumId w:val="22"/>
  </w:num>
  <w:num w:numId="46" w16cid:durableId="1164972150">
    <w:abstractNumId w:val="27"/>
  </w:num>
  <w:num w:numId="47" w16cid:durableId="142398528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43"/>
    <w:rsid w:val="000000E7"/>
    <w:rsid w:val="00001248"/>
    <w:rsid w:val="00001342"/>
    <w:rsid w:val="0000138C"/>
    <w:rsid w:val="00002E6A"/>
    <w:rsid w:val="000047E4"/>
    <w:rsid w:val="00006D18"/>
    <w:rsid w:val="00006D2A"/>
    <w:rsid w:val="0000739C"/>
    <w:rsid w:val="00007891"/>
    <w:rsid w:val="00007BEC"/>
    <w:rsid w:val="00010387"/>
    <w:rsid w:val="00012700"/>
    <w:rsid w:val="00012C3D"/>
    <w:rsid w:val="00013112"/>
    <w:rsid w:val="0001370F"/>
    <w:rsid w:val="00013DC7"/>
    <w:rsid w:val="00014039"/>
    <w:rsid w:val="000141BE"/>
    <w:rsid w:val="000144F1"/>
    <w:rsid w:val="00015173"/>
    <w:rsid w:val="000155D1"/>
    <w:rsid w:val="00015694"/>
    <w:rsid w:val="00015C6A"/>
    <w:rsid w:val="00015D43"/>
    <w:rsid w:val="000168DC"/>
    <w:rsid w:val="00016BBB"/>
    <w:rsid w:val="00016F42"/>
    <w:rsid w:val="0001713B"/>
    <w:rsid w:val="00017F5F"/>
    <w:rsid w:val="000216A6"/>
    <w:rsid w:val="00021C0A"/>
    <w:rsid w:val="0002286D"/>
    <w:rsid w:val="00022985"/>
    <w:rsid w:val="00023F1C"/>
    <w:rsid w:val="00024069"/>
    <w:rsid w:val="00024776"/>
    <w:rsid w:val="00024974"/>
    <w:rsid w:val="00024DEE"/>
    <w:rsid w:val="00025090"/>
    <w:rsid w:val="00025176"/>
    <w:rsid w:val="00025BAF"/>
    <w:rsid w:val="0002669C"/>
    <w:rsid w:val="00026785"/>
    <w:rsid w:val="00026D66"/>
    <w:rsid w:val="00026E7C"/>
    <w:rsid w:val="000274F1"/>
    <w:rsid w:val="0002761D"/>
    <w:rsid w:val="0002782E"/>
    <w:rsid w:val="00031243"/>
    <w:rsid w:val="00031516"/>
    <w:rsid w:val="00031D77"/>
    <w:rsid w:val="00031F46"/>
    <w:rsid w:val="00031FE4"/>
    <w:rsid w:val="0003258B"/>
    <w:rsid w:val="000326F0"/>
    <w:rsid w:val="000327F0"/>
    <w:rsid w:val="000335F4"/>
    <w:rsid w:val="000343A6"/>
    <w:rsid w:val="00034C19"/>
    <w:rsid w:val="00034C41"/>
    <w:rsid w:val="00036152"/>
    <w:rsid w:val="000366B5"/>
    <w:rsid w:val="000368D2"/>
    <w:rsid w:val="00036A8B"/>
    <w:rsid w:val="000371A1"/>
    <w:rsid w:val="0003721B"/>
    <w:rsid w:val="0003735D"/>
    <w:rsid w:val="00037DF8"/>
    <w:rsid w:val="00037E27"/>
    <w:rsid w:val="000400A2"/>
    <w:rsid w:val="00040E59"/>
    <w:rsid w:val="000416D7"/>
    <w:rsid w:val="0004248F"/>
    <w:rsid w:val="00043779"/>
    <w:rsid w:val="000438A2"/>
    <w:rsid w:val="00043BF0"/>
    <w:rsid w:val="000442BC"/>
    <w:rsid w:val="00044680"/>
    <w:rsid w:val="00044D2B"/>
    <w:rsid w:val="00044F7A"/>
    <w:rsid w:val="000452EB"/>
    <w:rsid w:val="000457FA"/>
    <w:rsid w:val="00046218"/>
    <w:rsid w:val="0004673B"/>
    <w:rsid w:val="00046A2C"/>
    <w:rsid w:val="00046A8B"/>
    <w:rsid w:val="00047EA8"/>
    <w:rsid w:val="00050783"/>
    <w:rsid w:val="00050970"/>
    <w:rsid w:val="0005135A"/>
    <w:rsid w:val="00051603"/>
    <w:rsid w:val="00051BF7"/>
    <w:rsid w:val="00053225"/>
    <w:rsid w:val="000552FE"/>
    <w:rsid w:val="000558CA"/>
    <w:rsid w:val="0005684A"/>
    <w:rsid w:val="00056D9D"/>
    <w:rsid w:val="00056F53"/>
    <w:rsid w:val="0005706F"/>
    <w:rsid w:val="00057183"/>
    <w:rsid w:val="00057479"/>
    <w:rsid w:val="00057724"/>
    <w:rsid w:val="00063E31"/>
    <w:rsid w:val="000643A5"/>
    <w:rsid w:val="000650CF"/>
    <w:rsid w:val="000652D1"/>
    <w:rsid w:val="00065A61"/>
    <w:rsid w:val="00065B10"/>
    <w:rsid w:val="0006651A"/>
    <w:rsid w:val="00066967"/>
    <w:rsid w:val="00066ABB"/>
    <w:rsid w:val="0006775B"/>
    <w:rsid w:val="000678EC"/>
    <w:rsid w:val="00067ED3"/>
    <w:rsid w:val="0007003D"/>
    <w:rsid w:val="000700BA"/>
    <w:rsid w:val="00070787"/>
    <w:rsid w:val="00071490"/>
    <w:rsid w:val="00071956"/>
    <w:rsid w:val="00071E4A"/>
    <w:rsid w:val="0007204A"/>
    <w:rsid w:val="00072B48"/>
    <w:rsid w:val="00072BE7"/>
    <w:rsid w:val="00074312"/>
    <w:rsid w:val="00074348"/>
    <w:rsid w:val="00074632"/>
    <w:rsid w:val="00075D34"/>
    <w:rsid w:val="0007619F"/>
    <w:rsid w:val="000768DF"/>
    <w:rsid w:val="0007746F"/>
    <w:rsid w:val="000774F5"/>
    <w:rsid w:val="00077733"/>
    <w:rsid w:val="00077AA4"/>
    <w:rsid w:val="00077CE8"/>
    <w:rsid w:val="00081041"/>
    <w:rsid w:val="00081C50"/>
    <w:rsid w:val="00081C52"/>
    <w:rsid w:val="000823B8"/>
    <w:rsid w:val="0008242C"/>
    <w:rsid w:val="000829BD"/>
    <w:rsid w:val="00082E5C"/>
    <w:rsid w:val="000841DB"/>
    <w:rsid w:val="000845CD"/>
    <w:rsid w:val="0008477D"/>
    <w:rsid w:val="000848D4"/>
    <w:rsid w:val="00085620"/>
    <w:rsid w:val="0008652A"/>
    <w:rsid w:val="00086E88"/>
    <w:rsid w:val="00087696"/>
    <w:rsid w:val="000878C2"/>
    <w:rsid w:val="00087DF5"/>
    <w:rsid w:val="00087EFC"/>
    <w:rsid w:val="0009058F"/>
    <w:rsid w:val="0009062E"/>
    <w:rsid w:val="000908FB"/>
    <w:rsid w:val="00091593"/>
    <w:rsid w:val="00092005"/>
    <w:rsid w:val="00092792"/>
    <w:rsid w:val="0009360C"/>
    <w:rsid w:val="00093718"/>
    <w:rsid w:val="000947A6"/>
    <w:rsid w:val="000950F0"/>
    <w:rsid w:val="0009541C"/>
    <w:rsid w:val="00096769"/>
    <w:rsid w:val="000A034C"/>
    <w:rsid w:val="000A0354"/>
    <w:rsid w:val="000A041C"/>
    <w:rsid w:val="000A0AB5"/>
    <w:rsid w:val="000A0E38"/>
    <w:rsid w:val="000A0E7B"/>
    <w:rsid w:val="000A19B0"/>
    <w:rsid w:val="000A19E0"/>
    <w:rsid w:val="000A1C8D"/>
    <w:rsid w:val="000A1E14"/>
    <w:rsid w:val="000A2204"/>
    <w:rsid w:val="000A3284"/>
    <w:rsid w:val="000A441A"/>
    <w:rsid w:val="000A45A1"/>
    <w:rsid w:val="000A45EF"/>
    <w:rsid w:val="000A5A54"/>
    <w:rsid w:val="000A720A"/>
    <w:rsid w:val="000A7AF7"/>
    <w:rsid w:val="000B045C"/>
    <w:rsid w:val="000B19E3"/>
    <w:rsid w:val="000B2AB6"/>
    <w:rsid w:val="000B2CC3"/>
    <w:rsid w:val="000B300D"/>
    <w:rsid w:val="000B318A"/>
    <w:rsid w:val="000B37AC"/>
    <w:rsid w:val="000B3918"/>
    <w:rsid w:val="000B41AF"/>
    <w:rsid w:val="000B4696"/>
    <w:rsid w:val="000B489F"/>
    <w:rsid w:val="000B5E52"/>
    <w:rsid w:val="000B5FC2"/>
    <w:rsid w:val="000B5FC9"/>
    <w:rsid w:val="000B678E"/>
    <w:rsid w:val="000B68B5"/>
    <w:rsid w:val="000B6C56"/>
    <w:rsid w:val="000B6E71"/>
    <w:rsid w:val="000B76A1"/>
    <w:rsid w:val="000B7E8A"/>
    <w:rsid w:val="000C00F8"/>
    <w:rsid w:val="000C1889"/>
    <w:rsid w:val="000C1D4A"/>
    <w:rsid w:val="000C217A"/>
    <w:rsid w:val="000C2C00"/>
    <w:rsid w:val="000C36B6"/>
    <w:rsid w:val="000C3F7C"/>
    <w:rsid w:val="000C4910"/>
    <w:rsid w:val="000C61D8"/>
    <w:rsid w:val="000C63C1"/>
    <w:rsid w:val="000C6B99"/>
    <w:rsid w:val="000C6BE5"/>
    <w:rsid w:val="000C72E5"/>
    <w:rsid w:val="000C769E"/>
    <w:rsid w:val="000C799C"/>
    <w:rsid w:val="000C7C9B"/>
    <w:rsid w:val="000D0119"/>
    <w:rsid w:val="000D0537"/>
    <w:rsid w:val="000D0603"/>
    <w:rsid w:val="000D066C"/>
    <w:rsid w:val="000D0E07"/>
    <w:rsid w:val="000D1C0A"/>
    <w:rsid w:val="000D30A5"/>
    <w:rsid w:val="000D3496"/>
    <w:rsid w:val="000D43B6"/>
    <w:rsid w:val="000D455E"/>
    <w:rsid w:val="000D5168"/>
    <w:rsid w:val="000D52F2"/>
    <w:rsid w:val="000D57B8"/>
    <w:rsid w:val="000D59CE"/>
    <w:rsid w:val="000D5AC2"/>
    <w:rsid w:val="000D5AC5"/>
    <w:rsid w:val="000D645D"/>
    <w:rsid w:val="000D6D53"/>
    <w:rsid w:val="000D7232"/>
    <w:rsid w:val="000D7961"/>
    <w:rsid w:val="000D7D21"/>
    <w:rsid w:val="000E09C8"/>
    <w:rsid w:val="000E102F"/>
    <w:rsid w:val="000E1245"/>
    <w:rsid w:val="000E1835"/>
    <w:rsid w:val="000E1CCE"/>
    <w:rsid w:val="000E1E78"/>
    <w:rsid w:val="000E3A3E"/>
    <w:rsid w:val="000E3EAF"/>
    <w:rsid w:val="000E40D8"/>
    <w:rsid w:val="000E46B0"/>
    <w:rsid w:val="000E4D07"/>
    <w:rsid w:val="000E50E7"/>
    <w:rsid w:val="000E6CD1"/>
    <w:rsid w:val="000E6DD9"/>
    <w:rsid w:val="000E6DE9"/>
    <w:rsid w:val="000E6FE9"/>
    <w:rsid w:val="000F07A4"/>
    <w:rsid w:val="000F1072"/>
    <w:rsid w:val="000F116C"/>
    <w:rsid w:val="000F2200"/>
    <w:rsid w:val="000F3A29"/>
    <w:rsid w:val="000F4CB0"/>
    <w:rsid w:val="000F51D2"/>
    <w:rsid w:val="000F52A6"/>
    <w:rsid w:val="000F5775"/>
    <w:rsid w:val="000F5A80"/>
    <w:rsid w:val="000F6AC6"/>
    <w:rsid w:val="000F6C66"/>
    <w:rsid w:val="000F710F"/>
    <w:rsid w:val="000F7828"/>
    <w:rsid w:val="000F78EC"/>
    <w:rsid w:val="000F7FC5"/>
    <w:rsid w:val="001001C4"/>
    <w:rsid w:val="00100563"/>
    <w:rsid w:val="00100C65"/>
    <w:rsid w:val="001018AD"/>
    <w:rsid w:val="0010221D"/>
    <w:rsid w:val="0010244B"/>
    <w:rsid w:val="001026C1"/>
    <w:rsid w:val="0010315B"/>
    <w:rsid w:val="00104D4C"/>
    <w:rsid w:val="00104FAB"/>
    <w:rsid w:val="001054CC"/>
    <w:rsid w:val="00106525"/>
    <w:rsid w:val="00106AB5"/>
    <w:rsid w:val="00106FB3"/>
    <w:rsid w:val="00107475"/>
    <w:rsid w:val="001102E4"/>
    <w:rsid w:val="001104D4"/>
    <w:rsid w:val="0011084F"/>
    <w:rsid w:val="001110CC"/>
    <w:rsid w:val="00111527"/>
    <w:rsid w:val="00111691"/>
    <w:rsid w:val="00111D5E"/>
    <w:rsid w:val="00111E02"/>
    <w:rsid w:val="0011203A"/>
    <w:rsid w:val="00112EDA"/>
    <w:rsid w:val="00113EEF"/>
    <w:rsid w:val="00114256"/>
    <w:rsid w:val="0011484B"/>
    <w:rsid w:val="00116CA0"/>
    <w:rsid w:val="00116E26"/>
    <w:rsid w:val="0011706B"/>
    <w:rsid w:val="00117373"/>
    <w:rsid w:val="001177AE"/>
    <w:rsid w:val="001200B4"/>
    <w:rsid w:val="00120367"/>
    <w:rsid w:val="001209EB"/>
    <w:rsid w:val="00120FD9"/>
    <w:rsid w:val="00121D74"/>
    <w:rsid w:val="001220BF"/>
    <w:rsid w:val="00122411"/>
    <w:rsid w:val="00122F65"/>
    <w:rsid w:val="00123191"/>
    <w:rsid w:val="001231B2"/>
    <w:rsid w:val="00123401"/>
    <w:rsid w:val="00123A8C"/>
    <w:rsid w:val="001244E6"/>
    <w:rsid w:val="001246B7"/>
    <w:rsid w:val="00124B5D"/>
    <w:rsid w:val="001253AB"/>
    <w:rsid w:val="00125691"/>
    <w:rsid w:val="00126B62"/>
    <w:rsid w:val="00127374"/>
    <w:rsid w:val="001303D2"/>
    <w:rsid w:val="001313F7"/>
    <w:rsid w:val="001316C9"/>
    <w:rsid w:val="001330DB"/>
    <w:rsid w:val="001335C7"/>
    <w:rsid w:val="00134AB0"/>
    <w:rsid w:val="00134C39"/>
    <w:rsid w:val="0013577E"/>
    <w:rsid w:val="00136013"/>
    <w:rsid w:val="0013768B"/>
    <w:rsid w:val="00137E9A"/>
    <w:rsid w:val="00140260"/>
    <w:rsid w:val="00140347"/>
    <w:rsid w:val="00140558"/>
    <w:rsid w:val="001406A0"/>
    <w:rsid w:val="0014229C"/>
    <w:rsid w:val="00143609"/>
    <w:rsid w:val="00143915"/>
    <w:rsid w:val="0014394A"/>
    <w:rsid w:val="001442E5"/>
    <w:rsid w:val="00144A81"/>
    <w:rsid w:val="001462DC"/>
    <w:rsid w:val="001464AE"/>
    <w:rsid w:val="00146D0C"/>
    <w:rsid w:val="00146DB6"/>
    <w:rsid w:val="001470D6"/>
    <w:rsid w:val="00150ADB"/>
    <w:rsid w:val="001516C8"/>
    <w:rsid w:val="001527B2"/>
    <w:rsid w:val="001542C3"/>
    <w:rsid w:val="001548F0"/>
    <w:rsid w:val="00155633"/>
    <w:rsid w:val="00155934"/>
    <w:rsid w:val="00155DE3"/>
    <w:rsid w:val="00156052"/>
    <w:rsid w:val="00157499"/>
    <w:rsid w:val="00157761"/>
    <w:rsid w:val="00157B88"/>
    <w:rsid w:val="00160E78"/>
    <w:rsid w:val="001613BE"/>
    <w:rsid w:val="001614BC"/>
    <w:rsid w:val="001615D6"/>
    <w:rsid w:val="00162DC5"/>
    <w:rsid w:val="001650A1"/>
    <w:rsid w:val="001650AE"/>
    <w:rsid w:val="0016581C"/>
    <w:rsid w:val="001659B4"/>
    <w:rsid w:val="00165F19"/>
    <w:rsid w:val="00166AA3"/>
    <w:rsid w:val="00166D6F"/>
    <w:rsid w:val="001677A3"/>
    <w:rsid w:val="00167C25"/>
    <w:rsid w:val="00170329"/>
    <w:rsid w:val="001707F3"/>
    <w:rsid w:val="00170A94"/>
    <w:rsid w:val="00170B62"/>
    <w:rsid w:val="001710C0"/>
    <w:rsid w:val="0017115A"/>
    <w:rsid w:val="00171714"/>
    <w:rsid w:val="0017180F"/>
    <w:rsid w:val="00171A36"/>
    <w:rsid w:val="0017218B"/>
    <w:rsid w:val="0017252B"/>
    <w:rsid w:val="001725B5"/>
    <w:rsid w:val="001738B9"/>
    <w:rsid w:val="00173E61"/>
    <w:rsid w:val="00175D28"/>
    <w:rsid w:val="00176205"/>
    <w:rsid w:val="0017682B"/>
    <w:rsid w:val="001779C9"/>
    <w:rsid w:val="00177C77"/>
    <w:rsid w:val="0018129A"/>
    <w:rsid w:val="001819E7"/>
    <w:rsid w:val="00181BE3"/>
    <w:rsid w:val="0018302F"/>
    <w:rsid w:val="00183394"/>
    <w:rsid w:val="0018346A"/>
    <w:rsid w:val="00183BF1"/>
    <w:rsid w:val="00183EF7"/>
    <w:rsid w:val="0018400A"/>
    <w:rsid w:val="001841E7"/>
    <w:rsid w:val="00184F7F"/>
    <w:rsid w:val="0018572A"/>
    <w:rsid w:val="00185942"/>
    <w:rsid w:val="00187281"/>
    <w:rsid w:val="001879CF"/>
    <w:rsid w:val="00187C45"/>
    <w:rsid w:val="0019184A"/>
    <w:rsid w:val="001923EA"/>
    <w:rsid w:val="00192501"/>
    <w:rsid w:val="001925AA"/>
    <w:rsid w:val="001932E3"/>
    <w:rsid w:val="0019331C"/>
    <w:rsid w:val="001939FD"/>
    <w:rsid w:val="001948BE"/>
    <w:rsid w:val="001949F9"/>
    <w:rsid w:val="00194D46"/>
    <w:rsid w:val="0019568B"/>
    <w:rsid w:val="00195884"/>
    <w:rsid w:val="001959BD"/>
    <w:rsid w:val="00196462"/>
    <w:rsid w:val="00196679"/>
    <w:rsid w:val="00196F52"/>
    <w:rsid w:val="001A0023"/>
    <w:rsid w:val="001A04C1"/>
    <w:rsid w:val="001A05F4"/>
    <w:rsid w:val="001A2846"/>
    <w:rsid w:val="001A30A4"/>
    <w:rsid w:val="001A31F0"/>
    <w:rsid w:val="001A32DC"/>
    <w:rsid w:val="001A435B"/>
    <w:rsid w:val="001A43DF"/>
    <w:rsid w:val="001A599B"/>
    <w:rsid w:val="001A5A8C"/>
    <w:rsid w:val="001A5F37"/>
    <w:rsid w:val="001A65A4"/>
    <w:rsid w:val="001A6688"/>
    <w:rsid w:val="001A6B41"/>
    <w:rsid w:val="001A7771"/>
    <w:rsid w:val="001A7C47"/>
    <w:rsid w:val="001A7D7F"/>
    <w:rsid w:val="001B00BD"/>
    <w:rsid w:val="001B053D"/>
    <w:rsid w:val="001B0853"/>
    <w:rsid w:val="001B0DCB"/>
    <w:rsid w:val="001B10F6"/>
    <w:rsid w:val="001B18C4"/>
    <w:rsid w:val="001B277D"/>
    <w:rsid w:val="001B2C1D"/>
    <w:rsid w:val="001B3A7B"/>
    <w:rsid w:val="001B4001"/>
    <w:rsid w:val="001B40FB"/>
    <w:rsid w:val="001B488B"/>
    <w:rsid w:val="001B4A06"/>
    <w:rsid w:val="001B5730"/>
    <w:rsid w:val="001B5971"/>
    <w:rsid w:val="001B625F"/>
    <w:rsid w:val="001B6385"/>
    <w:rsid w:val="001B656B"/>
    <w:rsid w:val="001B6573"/>
    <w:rsid w:val="001B74F1"/>
    <w:rsid w:val="001C095D"/>
    <w:rsid w:val="001C1189"/>
    <w:rsid w:val="001C12DD"/>
    <w:rsid w:val="001C145D"/>
    <w:rsid w:val="001C1652"/>
    <w:rsid w:val="001C18CE"/>
    <w:rsid w:val="001C23E8"/>
    <w:rsid w:val="001C2752"/>
    <w:rsid w:val="001C3E46"/>
    <w:rsid w:val="001C5158"/>
    <w:rsid w:val="001C51B9"/>
    <w:rsid w:val="001C59F3"/>
    <w:rsid w:val="001C6AB1"/>
    <w:rsid w:val="001C6B6A"/>
    <w:rsid w:val="001C71CD"/>
    <w:rsid w:val="001C73A2"/>
    <w:rsid w:val="001C742E"/>
    <w:rsid w:val="001C7D6F"/>
    <w:rsid w:val="001D02FF"/>
    <w:rsid w:val="001D107D"/>
    <w:rsid w:val="001D13F0"/>
    <w:rsid w:val="001D186D"/>
    <w:rsid w:val="001D1BFA"/>
    <w:rsid w:val="001D1C41"/>
    <w:rsid w:val="001D3459"/>
    <w:rsid w:val="001D3C92"/>
    <w:rsid w:val="001D43E7"/>
    <w:rsid w:val="001D53D0"/>
    <w:rsid w:val="001D55B0"/>
    <w:rsid w:val="001D6285"/>
    <w:rsid w:val="001D6A92"/>
    <w:rsid w:val="001D7644"/>
    <w:rsid w:val="001E0205"/>
    <w:rsid w:val="001E12C7"/>
    <w:rsid w:val="001E1EEF"/>
    <w:rsid w:val="001E243D"/>
    <w:rsid w:val="001E2775"/>
    <w:rsid w:val="001E2A57"/>
    <w:rsid w:val="001E2C70"/>
    <w:rsid w:val="001E2EAE"/>
    <w:rsid w:val="001E310B"/>
    <w:rsid w:val="001E3B2E"/>
    <w:rsid w:val="001E44FE"/>
    <w:rsid w:val="001E459F"/>
    <w:rsid w:val="001E49DF"/>
    <w:rsid w:val="001E4E90"/>
    <w:rsid w:val="001E50B7"/>
    <w:rsid w:val="001E5A72"/>
    <w:rsid w:val="001E6F86"/>
    <w:rsid w:val="001E79A9"/>
    <w:rsid w:val="001E7A14"/>
    <w:rsid w:val="001E7D2D"/>
    <w:rsid w:val="001E7E97"/>
    <w:rsid w:val="001F0A11"/>
    <w:rsid w:val="001F1628"/>
    <w:rsid w:val="001F17F5"/>
    <w:rsid w:val="001F1A06"/>
    <w:rsid w:val="001F1C34"/>
    <w:rsid w:val="001F21E7"/>
    <w:rsid w:val="001F2D2D"/>
    <w:rsid w:val="001F2DC5"/>
    <w:rsid w:val="001F2EFE"/>
    <w:rsid w:val="001F2FE4"/>
    <w:rsid w:val="001F3201"/>
    <w:rsid w:val="001F3666"/>
    <w:rsid w:val="001F42B2"/>
    <w:rsid w:val="001F4328"/>
    <w:rsid w:val="001F4666"/>
    <w:rsid w:val="001F473D"/>
    <w:rsid w:val="001F5227"/>
    <w:rsid w:val="001F54C6"/>
    <w:rsid w:val="001F57DB"/>
    <w:rsid w:val="001F5C54"/>
    <w:rsid w:val="001F607A"/>
    <w:rsid w:val="001F631F"/>
    <w:rsid w:val="001F6BD5"/>
    <w:rsid w:val="001F7115"/>
    <w:rsid w:val="001F728C"/>
    <w:rsid w:val="001F7CC1"/>
    <w:rsid w:val="00200ABC"/>
    <w:rsid w:val="00200C73"/>
    <w:rsid w:val="00200E2E"/>
    <w:rsid w:val="00201F68"/>
    <w:rsid w:val="00202999"/>
    <w:rsid w:val="002029D6"/>
    <w:rsid w:val="002036A7"/>
    <w:rsid w:val="00203C00"/>
    <w:rsid w:val="00204F71"/>
    <w:rsid w:val="00205C76"/>
    <w:rsid w:val="00205C8C"/>
    <w:rsid w:val="00205D29"/>
    <w:rsid w:val="002066B7"/>
    <w:rsid w:val="00206EAD"/>
    <w:rsid w:val="00207289"/>
    <w:rsid w:val="00207403"/>
    <w:rsid w:val="0020778A"/>
    <w:rsid w:val="00207B84"/>
    <w:rsid w:val="00210079"/>
    <w:rsid w:val="00211698"/>
    <w:rsid w:val="00211BAA"/>
    <w:rsid w:val="00212096"/>
    <w:rsid w:val="00212300"/>
    <w:rsid w:val="002129D2"/>
    <w:rsid w:val="002154B6"/>
    <w:rsid w:val="00215710"/>
    <w:rsid w:val="00215AF9"/>
    <w:rsid w:val="0021689F"/>
    <w:rsid w:val="00216CA4"/>
    <w:rsid w:val="002178F6"/>
    <w:rsid w:val="00217D24"/>
    <w:rsid w:val="00217EB5"/>
    <w:rsid w:val="00220168"/>
    <w:rsid w:val="00220B4E"/>
    <w:rsid w:val="002223F0"/>
    <w:rsid w:val="00223B5B"/>
    <w:rsid w:val="00223FBA"/>
    <w:rsid w:val="002249DC"/>
    <w:rsid w:val="00224A52"/>
    <w:rsid w:val="00225994"/>
    <w:rsid w:val="00225D80"/>
    <w:rsid w:val="0022682E"/>
    <w:rsid w:val="00226BAF"/>
    <w:rsid w:val="00226C3F"/>
    <w:rsid w:val="0022723A"/>
    <w:rsid w:val="0022778A"/>
    <w:rsid w:val="00227938"/>
    <w:rsid w:val="00227C52"/>
    <w:rsid w:val="00230207"/>
    <w:rsid w:val="0023048A"/>
    <w:rsid w:val="00231561"/>
    <w:rsid w:val="0023220C"/>
    <w:rsid w:val="00234D1A"/>
    <w:rsid w:val="0023579A"/>
    <w:rsid w:val="00235977"/>
    <w:rsid w:val="00235EF6"/>
    <w:rsid w:val="00236799"/>
    <w:rsid w:val="00237AFD"/>
    <w:rsid w:val="0024044C"/>
    <w:rsid w:val="00240BF5"/>
    <w:rsid w:val="00242117"/>
    <w:rsid w:val="00242A27"/>
    <w:rsid w:val="00242DE3"/>
    <w:rsid w:val="00243F80"/>
    <w:rsid w:val="002446D5"/>
    <w:rsid w:val="00244F64"/>
    <w:rsid w:val="00244FDA"/>
    <w:rsid w:val="00245141"/>
    <w:rsid w:val="00245A76"/>
    <w:rsid w:val="00246EA6"/>
    <w:rsid w:val="00246F2C"/>
    <w:rsid w:val="002475B5"/>
    <w:rsid w:val="00247618"/>
    <w:rsid w:val="00247876"/>
    <w:rsid w:val="00247B2C"/>
    <w:rsid w:val="0025082F"/>
    <w:rsid w:val="002513FD"/>
    <w:rsid w:val="00251638"/>
    <w:rsid w:val="002519D8"/>
    <w:rsid w:val="00251CA0"/>
    <w:rsid w:val="00251DB0"/>
    <w:rsid w:val="00252ABC"/>
    <w:rsid w:val="00252B3A"/>
    <w:rsid w:val="0025365F"/>
    <w:rsid w:val="0025405C"/>
    <w:rsid w:val="0025498D"/>
    <w:rsid w:val="00254D02"/>
    <w:rsid w:val="00254EBC"/>
    <w:rsid w:val="00255F80"/>
    <w:rsid w:val="00255F82"/>
    <w:rsid w:val="00256031"/>
    <w:rsid w:val="002560C4"/>
    <w:rsid w:val="00256134"/>
    <w:rsid w:val="002567D6"/>
    <w:rsid w:val="002569A2"/>
    <w:rsid w:val="00257C99"/>
    <w:rsid w:val="00257F4D"/>
    <w:rsid w:val="002601AA"/>
    <w:rsid w:val="00261603"/>
    <w:rsid w:val="002620B4"/>
    <w:rsid w:val="00262306"/>
    <w:rsid w:val="002626C7"/>
    <w:rsid w:val="00263740"/>
    <w:rsid w:val="002664AA"/>
    <w:rsid w:val="00266EC3"/>
    <w:rsid w:val="0026742D"/>
    <w:rsid w:val="0026777A"/>
    <w:rsid w:val="00271060"/>
    <w:rsid w:val="002711A1"/>
    <w:rsid w:val="002714B4"/>
    <w:rsid w:val="00271ECB"/>
    <w:rsid w:val="00272549"/>
    <w:rsid w:val="00272797"/>
    <w:rsid w:val="00273F2E"/>
    <w:rsid w:val="0027414E"/>
    <w:rsid w:val="002748E9"/>
    <w:rsid w:val="00274C77"/>
    <w:rsid w:val="002755C3"/>
    <w:rsid w:val="00275B24"/>
    <w:rsid w:val="00275EB1"/>
    <w:rsid w:val="00276C17"/>
    <w:rsid w:val="0027701E"/>
    <w:rsid w:val="002771E5"/>
    <w:rsid w:val="0027741B"/>
    <w:rsid w:val="00277FAD"/>
    <w:rsid w:val="002802E3"/>
    <w:rsid w:val="00280742"/>
    <w:rsid w:val="00280806"/>
    <w:rsid w:val="00280F09"/>
    <w:rsid w:val="00281170"/>
    <w:rsid w:val="002812FE"/>
    <w:rsid w:val="00281AA5"/>
    <w:rsid w:val="00282AF2"/>
    <w:rsid w:val="00283198"/>
    <w:rsid w:val="002832EE"/>
    <w:rsid w:val="00283A10"/>
    <w:rsid w:val="0028476E"/>
    <w:rsid w:val="00284C03"/>
    <w:rsid w:val="0028515E"/>
    <w:rsid w:val="0028557D"/>
    <w:rsid w:val="00285E03"/>
    <w:rsid w:val="00286EF7"/>
    <w:rsid w:val="0028799B"/>
    <w:rsid w:val="002908BE"/>
    <w:rsid w:val="00290AD2"/>
    <w:rsid w:val="00291295"/>
    <w:rsid w:val="002915FA"/>
    <w:rsid w:val="002916C7"/>
    <w:rsid w:val="00291803"/>
    <w:rsid w:val="0029193E"/>
    <w:rsid w:val="00291B83"/>
    <w:rsid w:val="002925A1"/>
    <w:rsid w:val="002930F1"/>
    <w:rsid w:val="00295457"/>
    <w:rsid w:val="00295AEB"/>
    <w:rsid w:val="00296319"/>
    <w:rsid w:val="002964FF"/>
    <w:rsid w:val="0029679F"/>
    <w:rsid w:val="00296936"/>
    <w:rsid w:val="00296B88"/>
    <w:rsid w:val="00297ABE"/>
    <w:rsid w:val="002A028A"/>
    <w:rsid w:val="002A06B5"/>
    <w:rsid w:val="002A1FD1"/>
    <w:rsid w:val="002A2639"/>
    <w:rsid w:val="002A3775"/>
    <w:rsid w:val="002A3A5C"/>
    <w:rsid w:val="002A3C9A"/>
    <w:rsid w:val="002A49E4"/>
    <w:rsid w:val="002A4B70"/>
    <w:rsid w:val="002A52B4"/>
    <w:rsid w:val="002A567A"/>
    <w:rsid w:val="002A5966"/>
    <w:rsid w:val="002A6703"/>
    <w:rsid w:val="002A728E"/>
    <w:rsid w:val="002A78DC"/>
    <w:rsid w:val="002B0E15"/>
    <w:rsid w:val="002B1696"/>
    <w:rsid w:val="002B1BC9"/>
    <w:rsid w:val="002B1F1C"/>
    <w:rsid w:val="002B2819"/>
    <w:rsid w:val="002B3A17"/>
    <w:rsid w:val="002B3FB6"/>
    <w:rsid w:val="002B4F5D"/>
    <w:rsid w:val="002B587F"/>
    <w:rsid w:val="002B6627"/>
    <w:rsid w:val="002B6CB4"/>
    <w:rsid w:val="002B6EF8"/>
    <w:rsid w:val="002B6F1F"/>
    <w:rsid w:val="002B7187"/>
    <w:rsid w:val="002C073F"/>
    <w:rsid w:val="002C0EB4"/>
    <w:rsid w:val="002C11C5"/>
    <w:rsid w:val="002C123A"/>
    <w:rsid w:val="002C138F"/>
    <w:rsid w:val="002C1B9E"/>
    <w:rsid w:val="002C222D"/>
    <w:rsid w:val="002C2CAF"/>
    <w:rsid w:val="002C3E4A"/>
    <w:rsid w:val="002C405A"/>
    <w:rsid w:val="002C40DE"/>
    <w:rsid w:val="002C45D9"/>
    <w:rsid w:val="002C47CC"/>
    <w:rsid w:val="002C4E78"/>
    <w:rsid w:val="002C50DD"/>
    <w:rsid w:val="002C50FD"/>
    <w:rsid w:val="002C5351"/>
    <w:rsid w:val="002C60ED"/>
    <w:rsid w:val="002C60FB"/>
    <w:rsid w:val="002C6A87"/>
    <w:rsid w:val="002C7E21"/>
    <w:rsid w:val="002D0AEE"/>
    <w:rsid w:val="002D0CB9"/>
    <w:rsid w:val="002D197C"/>
    <w:rsid w:val="002D2977"/>
    <w:rsid w:val="002D2F0D"/>
    <w:rsid w:val="002D35EF"/>
    <w:rsid w:val="002D40F4"/>
    <w:rsid w:val="002D45E5"/>
    <w:rsid w:val="002D58AB"/>
    <w:rsid w:val="002D5A69"/>
    <w:rsid w:val="002D5D30"/>
    <w:rsid w:val="002D6046"/>
    <w:rsid w:val="002D61CC"/>
    <w:rsid w:val="002D673E"/>
    <w:rsid w:val="002D6915"/>
    <w:rsid w:val="002D6F5F"/>
    <w:rsid w:val="002D797F"/>
    <w:rsid w:val="002E0005"/>
    <w:rsid w:val="002E0313"/>
    <w:rsid w:val="002E0CB0"/>
    <w:rsid w:val="002E0E9C"/>
    <w:rsid w:val="002E1564"/>
    <w:rsid w:val="002E16C4"/>
    <w:rsid w:val="002E18CF"/>
    <w:rsid w:val="002E2861"/>
    <w:rsid w:val="002E2A0C"/>
    <w:rsid w:val="002E2B13"/>
    <w:rsid w:val="002E333E"/>
    <w:rsid w:val="002E3D36"/>
    <w:rsid w:val="002E44EE"/>
    <w:rsid w:val="002E50B2"/>
    <w:rsid w:val="002E5C1A"/>
    <w:rsid w:val="002E606E"/>
    <w:rsid w:val="002E61A9"/>
    <w:rsid w:val="002E6BD5"/>
    <w:rsid w:val="002E7692"/>
    <w:rsid w:val="002F0359"/>
    <w:rsid w:val="002F078D"/>
    <w:rsid w:val="002F0840"/>
    <w:rsid w:val="002F0D41"/>
    <w:rsid w:val="002F0F79"/>
    <w:rsid w:val="002F18D0"/>
    <w:rsid w:val="002F1F9C"/>
    <w:rsid w:val="002F1FFE"/>
    <w:rsid w:val="002F3B5A"/>
    <w:rsid w:val="002F45EF"/>
    <w:rsid w:val="002F4CDB"/>
    <w:rsid w:val="002F5633"/>
    <w:rsid w:val="002F680A"/>
    <w:rsid w:val="00300AC3"/>
    <w:rsid w:val="0030102D"/>
    <w:rsid w:val="0030119A"/>
    <w:rsid w:val="00302301"/>
    <w:rsid w:val="0030245A"/>
    <w:rsid w:val="003024C0"/>
    <w:rsid w:val="003024DA"/>
    <w:rsid w:val="00304928"/>
    <w:rsid w:val="00305A92"/>
    <w:rsid w:val="00305CB8"/>
    <w:rsid w:val="0030660C"/>
    <w:rsid w:val="00306CBC"/>
    <w:rsid w:val="003074D0"/>
    <w:rsid w:val="003078CB"/>
    <w:rsid w:val="00307CB4"/>
    <w:rsid w:val="003100E8"/>
    <w:rsid w:val="003103C0"/>
    <w:rsid w:val="003111F8"/>
    <w:rsid w:val="0031142D"/>
    <w:rsid w:val="00311691"/>
    <w:rsid w:val="003124CF"/>
    <w:rsid w:val="0031350B"/>
    <w:rsid w:val="00316982"/>
    <w:rsid w:val="003170DE"/>
    <w:rsid w:val="00317C37"/>
    <w:rsid w:val="00317F66"/>
    <w:rsid w:val="00320056"/>
    <w:rsid w:val="00321EBC"/>
    <w:rsid w:val="00322040"/>
    <w:rsid w:val="0032252F"/>
    <w:rsid w:val="003228FF"/>
    <w:rsid w:val="0032314E"/>
    <w:rsid w:val="003233CC"/>
    <w:rsid w:val="0032398F"/>
    <w:rsid w:val="00325112"/>
    <w:rsid w:val="00325241"/>
    <w:rsid w:val="003258C6"/>
    <w:rsid w:val="0032619E"/>
    <w:rsid w:val="003263D2"/>
    <w:rsid w:val="00326704"/>
    <w:rsid w:val="0032695A"/>
    <w:rsid w:val="00326B18"/>
    <w:rsid w:val="0033027D"/>
    <w:rsid w:val="00330B1C"/>
    <w:rsid w:val="00330EAA"/>
    <w:rsid w:val="003311C9"/>
    <w:rsid w:val="0033173F"/>
    <w:rsid w:val="00331C08"/>
    <w:rsid w:val="003339DB"/>
    <w:rsid w:val="003343A4"/>
    <w:rsid w:val="003347C9"/>
    <w:rsid w:val="003348E2"/>
    <w:rsid w:val="00334D8E"/>
    <w:rsid w:val="00334E45"/>
    <w:rsid w:val="00334F34"/>
    <w:rsid w:val="0033519C"/>
    <w:rsid w:val="00335A95"/>
    <w:rsid w:val="003360CC"/>
    <w:rsid w:val="00336FE8"/>
    <w:rsid w:val="00337031"/>
    <w:rsid w:val="00337F00"/>
    <w:rsid w:val="00337F77"/>
    <w:rsid w:val="0034017A"/>
    <w:rsid w:val="0034019E"/>
    <w:rsid w:val="00340B88"/>
    <w:rsid w:val="00340E26"/>
    <w:rsid w:val="003417BD"/>
    <w:rsid w:val="00341C61"/>
    <w:rsid w:val="00342131"/>
    <w:rsid w:val="00343624"/>
    <w:rsid w:val="00343696"/>
    <w:rsid w:val="00343847"/>
    <w:rsid w:val="00343F9E"/>
    <w:rsid w:val="00344444"/>
    <w:rsid w:val="00345359"/>
    <w:rsid w:val="00345900"/>
    <w:rsid w:val="003461F3"/>
    <w:rsid w:val="00346587"/>
    <w:rsid w:val="00346643"/>
    <w:rsid w:val="003466E7"/>
    <w:rsid w:val="003467DE"/>
    <w:rsid w:val="00346CA3"/>
    <w:rsid w:val="003479E8"/>
    <w:rsid w:val="00350709"/>
    <w:rsid w:val="00350CD4"/>
    <w:rsid w:val="0035168D"/>
    <w:rsid w:val="00351F2F"/>
    <w:rsid w:val="003520B0"/>
    <w:rsid w:val="00352514"/>
    <w:rsid w:val="00352BC8"/>
    <w:rsid w:val="003533F0"/>
    <w:rsid w:val="00353701"/>
    <w:rsid w:val="00353970"/>
    <w:rsid w:val="00353C63"/>
    <w:rsid w:val="003541E6"/>
    <w:rsid w:val="0035455D"/>
    <w:rsid w:val="003548B2"/>
    <w:rsid w:val="0035491D"/>
    <w:rsid w:val="00355369"/>
    <w:rsid w:val="003559BF"/>
    <w:rsid w:val="00355EE8"/>
    <w:rsid w:val="003565E7"/>
    <w:rsid w:val="00356847"/>
    <w:rsid w:val="00357352"/>
    <w:rsid w:val="00357967"/>
    <w:rsid w:val="00360323"/>
    <w:rsid w:val="00361B5C"/>
    <w:rsid w:val="0036238C"/>
    <w:rsid w:val="00362766"/>
    <w:rsid w:val="0036288F"/>
    <w:rsid w:val="00363D3F"/>
    <w:rsid w:val="00364661"/>
    <w:rsid w:val="00364A3E"/>
    <w:rsid w:val="00364BC6"/>
    <w:rsid w:val="00364E44"/>
    <w:rsid w:val="003655C5"/>
    <w:rsid w:val="00365824"/>
    <w:rsid w:val="003664BA"/>
    <w:rsid w:val="00366686"/>
    <w:rsid w:val="003666D4"/>
    <w:rsid w:val="00366C35"/>
    <w:rsid w:val="00366F53"/>
    <w:rsid w:val="0036755F"/>
    <w:rsid w:val="00367562"/>
    <w:rsid w:val="00367754"/>
    <w:rsid w:val="00370863"/>
    <w:rsid w:val="00370D3D"/>
    <w:rsid w:val="003720ED"/>
    <w:rsid w:val="003725D1"/>
    <w:rsid w:val="003728E6"/>
    <w:rsid w:val="00373EDA"/>
    <w:rsid w:val="00374116"/>
    <w:rsid w:val="00374434"/>
    <w:rsid w:val="00374648"/>
    <w:rsid w:val="00374683"/>
    <w:rsid w:val="003756BB"/>
    <w:rsid w:val="0037641C"/>
    <w:rsid w:val="00376583"/>
    <w:rsid w:val="00377255"/>
    <w:rsid w:val="00377DCE"/>
    <w:rsid w:val="003800E4"/>
    <w:rsid w:val="00380262"/>
    <w:rsid w:val="00380ADB"/>
    <w:rsid w:val="00380F56"/>
    <w:rsid w:val="003812FB"/>
    <w:rsid w:val="00381519"/>
    <w:rsid w:val="00382201"/>
    <w:rsid w:val="0038224A"/>
    <w:rsid w:val="0038298E"/>
    <w:rsid w:val="00382D03"/>
    <w:rsid w:val="003835C1"/>
    <w:rsid w:val="00383B10"/>
    <w:rsid w:val="00384115"/>
    <w:rsid w:val="003841D0"/>
    <w:rsid w:val="00384375"/>
    <w:rsid w:val="0038486F"/>
    <w:rsid w:val="003848B1"/>
    <w:rsid w:val="00384AD5"/>
    <w:rsid w:val="0038517C"/>
    <w:rsid w:val="00385798"/>
    <w:rsid w:val="00385D20"/>
    <w:rsid w:val="00385D27"/>
    <w:rsid w:val="003861B4"/>
    <w:rsid w:val="0038627E"/>
    <w:rsid w:val="003863B1"/>
    <w:rsid w:val="003865C1"/>
    <w:rsid w:val="0038685D"/>
    <w:rsid w:val="00386DC1"/>
    <w:rsid w:val="00387E75"/>
    <w:rsid w:val="0039149F"/>
    <w:rsid w:val="0039232E"/>
    <w:rsid w:val="00392623"/>
    <w:rsid w:val="00392721"/>
    <w:rsid w:val="00392AD1"/>
    <w:rsid w:val="00392F37"/>
    <w:rsid w:val="003938BB"/>
    <w:rsid w:val="00393B19"/>
    <w:rsid w:val="00393C92"/>
    <w:rsid w:val="00393F6B"/>
    <w:rsid w:val="003941A2"/>
    <w:rsid w:val="00394DDC"/>
    <w:rsid w:val="00394EC7"/>
    <w:rsid w:val="00395A50"/>
    <w:rsid w:val="00395E03"/>
    <w:rsid w:val="00395FC0"/>
    <w:rsid w:val="00396E1D"/>
    <w:rsid w:val="00396E2F"/>
    <w:rsid w:val="00396E6C"/>
    <w:rsid w:val="0039744D"/>
    <w:rsid w:val="00397489"/>
    <w:rsid w:val="003974FF"/>
    <w:rsid w:val="00397935"/>
    <w:rsid w:val="003A0908"/>
    <w:rsid w:val="003A0F25"/>
    <w:rsid w:val="003A12EE"/>
    <w:rsid w:val="003A1893"/>
    <w:rsid w:val="003A1B81"/>
    <w:rsid w:val="003A2447"/>
    <w:rsid w:val="003A24ED"/>
    <w:rsid w:val="003A2E65"/>
    <w:rsid w:val="003A37CE"/>
    <w:rsid w:val="003A3FE3"/>
    <w:rsid w:val="003A409F"/>
    <w:rsid w:val="003A4427"/>
    <w:rsid w:val="003A49FB"/>
    <w:rsid w:val="003A4B94"/>
    <w:rsid w:val="003A579D"/>
    <w:rsid w:val="003A5B88"/>
    <w:rsid w:val="003A622B"/>
    <w:rsid w:val="003A6480"/>
    <w:rsid w:val="003A6E15"/>
    <w:rsid w:val="003A70BA"/>
    <w:rsid w:val="003A7B16"/>
    <w:rsid w:val="003B0BC6"/>
    <w:rsid w:val="003B1278"/>
    <w:rsid w:val="003B1389"/>
    <w:rsid w:val="003B15B0"/>
    <w:rsid w:val="003B1674"/>
    <w:rsid w:val="003B1D25"/>
    <w:rsid w:val="003B26F4"/>
    <w:rsid w:val="003B2794"/>
    <w:rsid w:val="003B2822"/>
    <w:rsid w:val="003B28D2"/>
    <w:rsid w:val="003B368B"/>
    <w:rsid w:val="003B3FAB"/>
    <w:rsid w:val="003B50EB"/>
    <w:rsid w:val="003B585E"/>
    <w:rsid w:val="003B5B75"/>
    <w:rsid w:val="003B6C9F"/>
    <w:rsid w:val="003B6DE4"/>
    <w:rsid w:val="003B6E1A"/>
    <w:rsid w:val="003B73B0"/>
    <w:rsid w:val="003C00CB"/>
    <w:rsid w:val="003C018D"/>
    <w:rsid w:val="003C0C49"/>
    <w:rsid w:val="003C13C4"/>
    <w:rsid w:val="003C19DD"/>
    <w:rsid w:val="003C2250"/>
    <w:rsid w:val="003C2599"/>
    <w:rsid w:val="003C2746"/>
    <w:rsid w:val="003C3080"/>
    <w:rsid w:val="003C3E2E"/>
    <w:rsid w:val="003C4C0A"/>
    <w:rsid w:val="003C546A"/>
    <w:rsid w:val="003C5907"/>
    <w:rsid w:val="003C6208"/>
    <w:rsid w:val="003C642A"/>
    <w:rsid w:val="003C6AFD"/>
    <w:rsid w:val="003C6EDE"/>
    <w:rsid w:val="003C7A31"/>
    <w:rsid w:val="003C7B65"/>
    <w:rsid w:val="003C7BDB"/>
    <w:rsid w:val="003C7FF5"/>
    <w:rsid w:val="003D0057"/>
    <w:rsid w:val="003D1D81"/>
    <w:rsid w:val="003D215D"/>
    <w:rsid w:val="003D22A8"/>
    <w:rsid w:val="003D27D4"/>
    <w:rsid w:val="003D27FB"/>
    <w:rsid w:val="003D2C09"/>
    <w:rsid w:val="003D3A9A"/>
    <w:rsid w:val="003D3D20"/>
    <w:rsid w:val="003D4423"/>
    <w:rsid w:val="003D5243"/>
    <w:rsid w:val="003D56F6"/>
    <w:rsid w:val="003D582D"/>
    <w:rsid w:val="003D5E4F"/>
    <w:rsid w:val="003D6D91"/>
    <w:rsid w:val="003D6F18"/>
    <w:rsid w:val="003E0A56"/>
    <w:rsid w:val="003E0A5C"/>
    <w:rsid w:val="003E0D00"/>
    <w:rsid w:val="003E16BB"/>
    <w:rsid w:val="003E180D"/>
    <w:rsid w:val="003E2990"/>
    <w:rsid w:val="003E365F"/>
    <w:rsid w:val="003E467B"/>
    <w:rsid w:val="003E475B"/>
    <w:rsid w:val="003E4FB0"/>
    <w:rsid w:val="003E5236"/>
    <w:rsid w:val="003E5518"/>
    <w:rsid w:val="003E56D3"/>
    <w:rsid w:val="003E62C1"/>
    <w:rsid w:val="003E67C1"/>
    <w:rsid w:val="003E6866"/>
    <w:rsid w:val="003E6DE9"/>
    <w:rsid w:val="003E6F06"/>
    <w:rsid w:val="003E7003"/>
    <w:rsid w:val="003E7AC1"/>
    <w:rsid w:val="003F0111"/>
    <w:rsid w:val="003F0CFD"/>
    <w:rsid w:val="003F140A"/>
    <w:rsid w:val="003F22B6"/>
    <w:rsid w:val="003F2CF9"/>
    <w:rsid w:val="003F310E"/>
    <w:rsid w:val="003F39BC"/>
    <w:rsid w:val="003F3DCC"/>
    <w:rsid w:val="003F5C36"/>
    <w:rsid w:val="003F71F3"/>
    <w:rsid w:val="003F748C"/>
    <w:rsid w:val="0040078A"/>
    <w:rsid w:val="00400ECC"/>
    <w:rsid w:val="00401455"/>
    <w:rsid w:val="004015FD"/>
    <w:rsid w:val="0040181D"/>
    <w:rsid w:val="00401F02"/>
    <w:rsid w:val="004032C9"/>
    <w:rsid w:val="00403D82"/>
    <w:rsid w:val="00403FA6"/>
    <w:rsid w:val="00404208"/>
    <w:rsid w:val="00404408"/>
    <w:rsid w:val="004047DB"/>
    <w:rsid w:val="00405306"/>
    <w:rsid w:val="00405656"/>
    <w:rsid w:val="00405853"/>
    <w:rsid w:val="00405AEE"/>
    <w:rsid w:val="004064C0"/>
    <w:rsid w:val="00407729"/>
    <w:rsid w:val="00407AFA"/>
    <w:rsid w:val="00410518"/>
    <w:rsid w:val="00411A1A"/>
    <w:rsid w:val="00411CBE"/>
    <w:rsid w:val="004129C8"/>
    <w:rsid w:val="00412CB2"/>
    <w:rsid w:val="004134C7"/>
    <w:rsid w:val="00413699"/>
    <w:rsid w:val="00414CD4"/>
    <w:rsid w:val="004150BC"/>
    <w:rsid w:val="0041599A"/>
    <w:rsid w:val="00415C51"/>
    <w:rsid w:val="00420BD1"/>
    <w:rsid w:val="00420FBC"/>
    <w:rsid w:val="004212A5"/>
    <w:rsid w:val="00421638"/>
    <w:rsid w:val="00421C53"/>
    <w:rsid w:val="00421DDB"/>
    <w:rsid w:val="004234FE"/>
    <w:rsid w:val="004243AB"/>
    <w:rsid w:val="00424DD7"/>
    <w:rsid w:val="0042531D"/>
    <w:rsid w:val="00425B50"/>
    <w:rsid w:val="00425BA3"/>
    <w:rsid w:val="00426ACE"/>
    <w:rsid w:val="00426D18"/>
    <w:rsid w:val="00426F9B"/>
    <w:rsid w:val="0042753E"/>
    <w:rsid w:val="00427750"/>
    <w:rsid w:val="00427DD5"/>
    <w:rsid w:val="00430428"/>
    <w:rsid w:val="00430C7F"/>
    <w:rsid w:val="00430DC7"/>
    <w:rsid w:val="0043162E"/>
    <w:rsid w:val="00432438"/>
    <w:rsid w:val="00432A4E"/>
    <w:rsid w:val="00433677"/>
    <w:rsid w:val="004341E0"/>
    <w:rsid w:val="004343DE"/>
    <w:rsid w:val="0043454B"/>
    <w:rsid w:val="00434DB3"/>
    <w:rsid w:val="00435422"/>
    <w:rsid w:val="0043586C"/>
    <w:rsid w:val="00435B4C"/>
    <w:rsid w:val="00435FFB"/>
    <w:rsid w:val="004361F7"/>
    <w:rsid w:val="00436B3C"/>
    <w:rsid w:val="00436F4F"/>
    <w:rsid w:val="00436F8B"/>
    <w:rsid w:val="00437319"/>
    <w:rsid w:val="00437C0E"/>
    <w:rsid w:val="00437E0B"/>
    <w:rsid w:val="00443565"/>
    <w:rsid w:val="0044437C"/>
    <w:rsid w:val="004448C8"/>
    <w:rsid w:val="00444E86"/>
    <w:rsid w:val="004452B3"/>
    <w:rsid w:val="00446CBF"/>
    <w:rsid w:val="0044721A"/>
    <w:rsid w:val="004505F6"/>
    <w:rsid w:val="004509D4"/>
    <w:rsid w:val="004533C0"/>
    <w:rsid w:val="004549B8"/>
    <w:rsid w:val="00456192"/>
    <w:rsid w:val="004568E8"/>
    <w:rsid w:val="00457D89"/>
    <w:rsid w:val="00460F7C"/>
    <w:rsid w:val="0046167F"/>
    <w:rsid w:val="004619A0"/>
    <w:rsid w:val="00461F2F"/>
    <w:rsid w:val="00462CE6"/>
    <w:rsid w:val="0046360F"/>
    <w:rsid w:val="0046376A"/>
    <w:rsid w:val="00463B87"/>
    <w:rsid w:val="00463DBB"/>
    <w:rsid w:val="00463FFC"/>
    <w:rsid w:val="00464C88"/>
    <w:rsid w:val="00464DA1"/>
    <w:rsid w:val="0046694D"/>
    <w:rsid w:val="00466C30"/>
    <w:rsid w:val="004673DE"/>
    <w:rsid w:val="004701EA"/>
    <w:rsid w:val="00470222"/>
    <w:rsid w:val="00470236"/>
    <w:rsid w:val="00471CC7"/>
    <w:rsid w:val="00471FAB"/>
    <w:rsid w:val="004725AB"/>
    <w:rsid w:val="00472F57"/>
    <w:rsid w:val="0047368D"/>
    <w:rsid w:val="004738B4"/>
    <w:rsid w:val="004740E6"/>
    <w:rsid w:val="00474B80"/>
    <w:rsid w:val="004752CC"/>
    <w:rsid w:val="00475665"/>
    <w:rsid w:val="00476BE6"/>
    <w:rsid w:val="00480696"/>
    <w:rsid w:val="004811E6"/>
    <w:rsid w:val="00481463"/>
    <w:rsid w:val="0048180C"/>
    <w:rsid w:val="00481DE8"/>
    <w:rsid w:val="00481E5B"/>
    <w:rsid w:val="004833B3"/>
    <w:rsid w:val="00483F56"/>
    <w:rsid w:val="004848FD"/>
    <w:rsid w:val="00484EA1"/>
    <w:rsid w:val="0048518A"/>
    <w:rsid w:val="00486069"/>
    <w:rsid w:val="00486251"/>
    <w:rsid w:val="00486D45"/>
    <w:rsid w:val="00486F36"/>
    <w:rsid w:val="0048742F"/>
    <w:rsid w:val="004875DC"/>
    <w:rsid w:val="004906BC"/>
    <w:rsid w:val="00490E48"/>
    <w:rsid w:val="0049104C"/>
    <w:rsid w:val="004912CF"/>
    <w:rsid w:val="00491454"/>
    <w:rsid w:val="00491E8B"/>
    <w:rsid w:val="00492324"/>
    <w:rsid w:val="004934B8"/>
    <w:rsid w:val="00493E1B"/>
    <w:rsid w:val="00494077"/>
    <w:rsid w:val="004944E3"/>
    <w:rsid w:val="004946F7"/>
    <w:rsid w:val="00494728"/>
    <w:rsid w:val="00494E06"/>
    <w:rsid w:val="00494F40"/>
    <w:rsid w:val="00495110"/>
    <w:rsid w:val="00496EA4"/>
    <w:rsid w:val="004A0652"/>
    <w:rsid w:val="004A0B8E"/>
    <w:rsid w:val="004A12CD"/>
    <w:rsid w:val="004A2F94"/>
    <w:rsid w:val="004A49FF"/>
    <w:rsid w:val="004A515B"/>
    <w:rsid w:val="004A6765"/>
    <w:rsid w:val="004A695B"/>
    <w:rsid w:val="004A6D5B"/>
    <w:rsid w:val="004A7E06"/>
    <w:rsid w:val="004B1184"/>
    <w:rsid w:val="004B139D"/>
    <w:rsid w:val="004B1853"/>
    <w:rsid w:val="004B1979"/>
    <w:rsid w:val="004B1B01"/>
    <w:rsid w:val="004B3D2C"/>
    <w:rsid w:val="004B4447"/>
    <w:rsid w:val="004B4606"/>
    <w:rsid w:val="004B47A9"/>
    <w:rsid w:val="004B4B54"/>
    <w:rsid w:val="004B4B57"/>
    <w:rsid w:val="004B658E"/>
    <w:rsid w:val="004B79F7"/>
    <w:rsid w:val="004C000B"/>
    <w:rsid w:val="004C180E"/>
    <w:rsid w:val="004C1A64"/>
    <w:rsid w:val="004C28FC"/>
    <w:rsid w:val="004C2DDF"/>
    <w:rsid w:val="004C2E9F"/>
    <w:rsid w:val="004C3811"/>
    <w:rsid w:val="004C38EF"/>
    <w:rsid w:val="004C3A03"/>
    <w:rsid w:val="004C5AC2"/>
    <w:rsid w:val="004C7285"/>
    <w:rsid w:val="004C7971"/>
    <w:rsid w:val="004D05A8"/>
    <w:rsid w:val="004D0906"/>
    <w:rsid w:val="004D197E"/>
    <w:rsid w:val="004D1BAE"/>
    <w:rsid w:val="004D23AC"/>
    <w:rsid w:val="004D2594"/>
    <w:rsid w:val="004D2637"/>
    <w:rsid w:val="004D26A3"/>
    <w:rsid w:val="004D2A7E"/>
    <w:rsid w:val="004D3D50"/>
    <w:rsid w:val="004D3DDC"/>
    <w:rsid w:val="004D442B"/>
    <w:rsid w:val="004D4564"/>
    <w:rsid w:val="004D680D"/>
    <w:rsid w:val="004D6FC2"/>
    <w:rsid w:val="004D7AEB"/>
    <w:rsid w:val="004E038B"/>
    <w:rsid w:val="004E123A"/>
    <w:rsid w:val="004E154E"/>
    <w:rsid w:val="004E1BCC"/>
    <w:rsid w:val="004E1C85"/>
    <w:rsid w:val="004E2B34"/>
    <w:rsid w:val="004E3078"/>
    <w:rsid w:val="004E31DD"/>
    <w:rsid w:val="004E3217"/>
    <w:rsid w:val="004E4587"/>
    <w:rsid w:val="004E4C99"/>
    <w:rsid w:val="004E5266"/>
    <w:rsid w:val="004E54B4"/>
    <w:rsid w:val="004E5FEA"/>
    <w:rsid w:val="004E66BA"/>
    <w:rsid w:val="004E6700"/>
    <w:rsid w:val="004E683F"/>
    <w:rsid w:val="004E6A17"/>
    <w:rsid w:val="004E733F"/>
    <w:rsid w:val="004E7D1B"/>
    <w:rsid w:val="004F07E5"/>
    <w:rsid w:val="004F0DE2"/>
    <w:rsid w:val="004F14D9"/>
    <w:rsid w:val="004F15C7"/>
    <w:rsid w:val="004F1EB5"/>
    <w:rsid w:val="004F2636"/>
    <w:rsid w:val="004F284A"/>
    <w:rsid w:val="004F36D7"/>
    <w:rsid w:val="004F3FD7"/>
    <w:rsid w:val="004F4126"/>
    <w:rsid w:val="004F4475"/>
    <w:rsid w:val="004F55C7"/>
    <w:rsid w:val="004F5FD5"/>
    <w:rsid w:val="004F60DB"/>
    <w:rsid w:val="004F66A1"/>
    <w:rsid w:val="004F6D6E"/>
    <w:rsid w:val="004F73D6"/>
    <w:rsid w:val="00502054"/>
    <w:rsid w:val="005023D7"/>
    <w:rsid w:val="005035DF"/>
    <w:rsid w:val="00503737"/>
    <w:rsid w:val="00503B6D"/>
    <w:rsid w:val="00504141"/>
    <w:rsid w:val="00504994"/>
    <w:rsid w:val="00504C4C"/>
    <w:rsid w:val="005050B8"/>
    <w:rsid w:val="005062B0"/>
    <w:rsid w:val="005064E9"/>
    <w:rsid w:val="005075D2"/>
    <w:rsid w:val="005076A8"/>
    <w:rsid w:val="0051045F"/>
    <w:rsid w:val="005107A4"/>
    <w:rsid w:val="00511142"/>
    <w:rsid w:val="00511D96"/>
    <w:rsid w:val="00512585"/>
    <w:rsid w:val="00513599"/>
    <w:rsid w:val="00513DB5"/>
    <w:rsid w:val="005140A8"/>
    <w:rsid w:val="00514169"/>
    <w:rsid w:val="005143A2"/>
    <w:rsid w:val="005143F5"/>
    <w:rsid w:val="00514CCB"/>
    <w:rsid w:val="0051517C"/>
    <w:rsid w:val="00515D90"/>
    <w:rsid w:val="0051627D"/>
    <w:rsid w:val="005162A6"/>
    <w:rsid w:val="0051691F"/>
    <w:rsid w:val="00516AFE"/>
    <w:rsid w:val="00520A14"/>
    <w:rsid w:val="00521AC6"/>
    <w:rsid w:val="00521F56"/>
    <w:rsid w:val="005228DB"/>
    <w:rsid w:val="005229F7"/>
    <w:rsid w:val="00522B9F"/>
    <w:rsid w:val="00522CA7"/>
    <w:rsid w:val="00523CA2"/>
    <w:rsid w:val="00523E5C"/>
    <w:rsid w:val="005244E8"/>
    <w:rsid w:val="00525916"/>
    <w:rsid w:val="00525A06"/>
    <w:rsid w:val="00526287"/>
    <w:rsid w:val="0052644E"/>
    <w:rsid w:val="00526FD6"/>
    <w:rsid w:val="005270CC"/>
    <w:rsid w:val="00527A74"/>
    <w:rsid w:val="00527EB0"/>
    <w:rsid w:val="00530880"/>
    <w:rsid w:val="005311A9"/>
    <w:rsid w:val="005314BF"/>
    <w:rsid w:val="005322D0"/>
    <w:rsid w:val="005325D3"/>
    <w:rsid w:val="00534D2A"/>
    <w:rsid w:val="00535009"/>
    <w:rsid w:val="0053504F"/>
    <w:rsid w:val="00535962"/>
    <w:rsid w:val="00535F7A"/>
    <w:rsid w:val="0053601A"/>
    <w:rsid w:val="00536C2E"/>
    <w:rsid w:val="005375E7"/>
    <w:rsid w:val="00540AA4"/>
    <w:rsid w:val="0054140D"/>
    <w:rsid w:val="005422B0"/>
    <w:rsid w:val="005426DF"/>
    <w:rsid w:val="00545040"/>
    <w:rsid w:val="005451A9"/>
    <w:rsid w:val="00545360"/>
    <w:rsid w:val="00546F4F"/>
    <w:rsid w:val="005500C6"/>
    <w:rsid w:val="005514A4"/>
    <w:rsid w:val="00551DC5"/>
    <w:rsid w:val="005525EF"/>
    <w:rsid w:val="00553357"/>
    <w:rsid w:val="00553479"/>
    <w:rsid w:val="00553504"/>
    <w:rsid w:val="00553EB5"/>
    <w:rsid w:val="00555693"/>
    <w:rsid w:val="00555760"/>
    <w:rsid w:val="00555B29"/>
    <w:rsid w:val="00556237"/>
    <w:rsid w:val="0055699E"/>
    <w:rsid w:val="00556B6A"/>
    <w:rsid w:val="005571B9"/>
    <w:rsid w:val="00557E12"/>
    <w:rsid w:val="0056045F"/>
    <w:rsid w:val="0056091D"/>
    <w:rsid w:val="00561387"/>
    <w:rsid w:val="00561B80"/>
    <w:rsid w:val="00561C1F"/>
    <w:rsid w:val="00562A3E"/>
    <w:rsid w:val="00563139"/>
    <w:rsid w:val="00564DF6"/>
    <w:rsid w:val="0056524F"/>
    <w:rsid w:val="00565826"/>
    <w:rsid w:val="0056605B"/>
    <w:rsid w:val="00566AD8"/>
    <w:rsid w:val="00566E50"/>
    <w:rsid w:val="00570402"/>
    <w:rsid w:val="00570A4A"/>
    <w:rsid w:val="00574164"/>
    <w:rsid w:val="005758D5"/>
    <w:rsid w:val="00575CC7"/>
    <w:rsid w:val="0057653C"/>
    <w:rsid w:val="00576900"/>
    <w:rsid w:val="0057705F"/>
    <w:rsid w:val="00577D4E"/>
    <w:rsid w:val="00577DA7"/>
    <w:rsid w:val="00581095"/>
    <w:rsid w:val="00581225"/>
    <w:rsid w:val="00581D99"/>
    <w:rsid w:val="00581DB8"/>
    <w:rsid w:val="00581DC9"/>
    <w:rsid w:val="00581E5C"/>
    <w:rsid w:val="0058280D"/>
    <w:rsid w:val="00582947"/>
    <w:rsid w:val="00582A3C"/>
    <w:rsid w:val="00583185"/>
    <w:rsid w:val="00583414"/>
    <w:rsid w:val="00583480"/>
    <w:rsid w:val="005838B4"/>
    <w:rsid w:val="00583BB8"/>
    <w:rsid w:val="00583E48"/>
    <w:rsid w:val="005843C4"/>
    <w:rsid w:val="005847E1"/>
    <w:rsid w:val="00584A7C"/>
    <w:rsid w:val="005861DF"/>
    <w:rsid w:val="005865F6"/>
    <w:rsid w:val="00586969"/>
    <w:rsid w:val="00586D9A"/>
    <w:rsid w:val="005875BE"/>
    <w:rsid w:val="0058798B"/>
    <w:rsid w:val="00587A3F"/>
    <w:rsid w:val="00587B6C"/>
    <w:rsid w:val="0059030E"/>
    <w:rsid w:val="00591154"/>
    <w:rsid w:val="0059143E"/>
    <w:rsid w:val="00592BD6"/>
    <w:rsid w:val="00593C57"/>
    <w:rsid w:val="00593CFE"/>
    <w:rsid w:val="0059401B"/>
    <w:rsid w:val="005943CD"/>
    <w:rsid w:val="00595FE2"/>
    <w:rsid w:val="005963C6"/>
    <w:rsid w:val="00596DAB"/>
    <w:rsid w:val="00596DCF"/>
    <w:rsid w:val="0059751F"/>
    <w:rsid w:val="00597650"/>
    <w:rsid w:val="00597708"/>
    <w:rsid w:val="00597D14"/>
    <w:rsid w:val="005A0321"/>
    <w:rsid w:val="005A0356"/>
    <w:rsid w:val="005A14EE"/>
    <w:rsid w:val="005A1A18"/>
    <w:rsid w:val="005A1B8C"/>
    <w:rsid w:val="005A268F"/>
    <w:rsid w:val="005A2767"/>
    <w:rsid w:val="005A282E"/>
    <w:rsid w:val="005A3121"/>
    <w:rsid w:val="005A3C2E"/>
    <w:rsid w:val="005A4330"/>
    <w:rsid w:val="005A523B"/>
    <w:rsid w:val="005A584B"/>
    <w:rsid w:val="005A73DA"/>
    <w:rsid w:val="005A78B4"/>
    <w:rsid w:val="005B00CF"/>
    <w:rsid w:val="005B059F"/>
    <w:rsid w:val="005B119D"/>
    <w:rsid w:val="005B1716"/>
    <w:rsid w:val="005B2994"/>
    <w:rsid w:val="005B2B63"/>
    <w:rsid w:val="005B3057"/>
    <w:rsid w:val="005B31B1"/>
    <w:rsid w:val="005B3DCC"/>
    <w:rsid w:val="005B4699"/>
    <w:rsid w:val="005B4B9D"/>
    <w:rsid w:val="005B4F6B"/>
    <w:rsid w:val="005B56F4"/>
    <w:rsid w:val="005B711A"/>
    <w:rsid w:val="005B7E9F"/>
    <w:rsid w:val="005C0356"/>
    <w:rsid w:val="005C0E2A"/>
    <w:rsid w:val="005C12AA"/>
    <w:rsid w:val="005C17FD"/>
    <w:rsid w:val="005C1CF3"/>
    <w:rsid w:val="005C28C2"/>
    <w:rsid w:val="005C3304"/>
    <w:rsid w:val="005C4281"/>
    <w:rsid w:val="005C44D5"/>
    <w:rsid w:val="005C4E49"/>
    <w:rsid w:val="005C6263"/>
    <w:rsid w:val="005C6D06"/>
    <w:rsid w:val="005C7610"/>
    <w:rsid w:val="005C76AA"/>
    <w:rsid w:val="005C7920"/>
    <w:rsid w:val="005C7B1E"/>
    <w:rsid w:val="005D0DB0"/>
    <w:rsid w:val="005D1031"/>
    <w:rsid w:val="005D227A"/>
    <w:rsid w:val="005D2638"/>
    <w:rsid w:val="005D46C6"/>
    <w:rsid w:val="005D495A"/>
    <w:rsid w:val="005D4D28"/>
    <w:rsid w:val="005D5897"/>
    <w:rsid w:val="005D5B36"/>
    <w:rsid w:val="005D6347"/>
    <w:rsid w:val="005D643E"/>
    <w:rsid w:val="005D73E1"/>
    <w:rsid w:val="005D75FC"/>
    <w:rsid w:val="005D7705"/>
    <w:rsid w:val="005D7E6C"/>
    <w:rsid w:val="005D7F26"/>
    <w:rsid w:val="005D7FAE"/>
    <w:rsid w:val="005E0307"/>
    <w:rsid w:val="005E338D"/>
    <w:rsid w:val="005E35CD"/>
    <w:rsid w:val="005E3BAC"/>
    <w:rsid w:val="005E3D61"/>
    <w:rsid w:val="005E40B2"/>
    <w:rsid w:val="005E4AEF"/>
    <w:rsid w:val="005E4BF4"/>
    <w:rsid w:val="005E560F"/>
    <w:rsid w:val="005E6144"/>
    <w:rsid w:val="005E68C1"/>
    <w:rsid w:val="005E6977"/>
    <w:rsid w:val="005E6F88"/>
    <w:rsid w:val="005E7203"/>
    <w:rsid w:val="005E7213"/>
    <w:rsid w:val="005E7BFD"/>
    <w:rsid w:val="005E7C40"/>
    <w:rsid w:val="005E7CE7"/>
    <w:rsid w:val="005F01B1"/>
    <w:rsid w:val="005F0929"/>
    <w:rsid w:val="005F0F74"/>
    <w:rsid w:val="005F1C25"/>
    <w:rsid w:val="005F2002"/>
    <w:rsid w:val="005F2B09"/>
    <w:rsid w:val="005F3FA2"/>
    <w:rsid w:val="005F4719"/>
    <w:rsid w:val="005F483F"/>
    <w:rsid w:val="005F4C27"/>
    <w:rsid w:val="005F4CF8"/>
    <w:rsid w:val="005F4EC5"/>
    <w:rsid w:val="005F6915"/>
    <w:rsid w:val="005F6D87"/>
    <w:rsid w:val="005F6E3C"/>
    <w:rsid w:val="005F716E"/>
    <w:rsid w:val="005F7B44"/>
    <w:rsid w:val="00600085"/>
    <w:rsid w:val="006002AF"/>
    <w:rsid w:val="00600A1C"/>
    <w:rsid w:val="00601E36"/>
    <w:rsid w:val="00602B38"/>
    <w:rsid w:val="0060346C"/>
    <w:rsid w:val="006035CE"/>
    <w:rsid w:val="006045E5"/>
    <w:rsid w:val="006046E5"/>
    <w:rsid w:val="00604C65"/>
    <w:rsid w:val="006051EA"/>
    <w:rsid w:val="00605AEC"/>
    <w:rsid w:val="00606800"/>
    <w:rsid w:val="00606E98"/>
    <w:rsid w:val="006102A3"/>
    <w:rsid w:val="00612126"/>
    <w:rsid w:val="00612295"/>
    <w:rsid w:val="0061320E"/>
    <w:rsid w:val="00613442"/>
    <w:rsid w:val="006134ED"/>
    <w:rsid w:val="00615F4E"/>
    <w:rsid w:val="006169AC"/>
    <w:rsid w:val="006200D7"/>
    <w:rsid w:val="00620C7F"/>
    <w:rsid w:val="00620F07"/>
    <w:rsid w:val="006213BB"/>
    <w:rsid w:val="00621523"/>
    <w:rsid w:val="0062197E"/>
    <w:rsid w:val="00622F0A"/>
    <w:rsid w:val="00622F61"/>
    <w:rsid w:val="0062342E"/>
    <w:rsid w:val="006239B0"/>
    <w:rsid w:val="00623B11"/>
    <w:rsid w:val="00624109"/>
    <w:rsid w:val="00625240"/>
    <w:rsid w:val="00625C4A"/>
    <w:rsid w:val="00626045"/>
    <w:rsid w:val="006268CF"/>
    <w:rsid w:val="00626CC2"/>
    <w:rsid w:val="00626FAC"/>
    <w:rsid w:val="0062733F"/>
    <w:rsid w:val="006279DD"/>
    <w:rsid w:val="006310DF"/>
    <w:rsid w:val="006316C9"/>
    <w:rsid w:val="00631E1B"/>
    <w:rsid w:val="00632513"/>
    <w:rsid w:val="0063286B"/>
    <w:rsid w:val="00632F7C"/>
    <w:rsid w:val="0063394F"/>
    <w:rsid w:val="00634545"/>
    <w:rsid w:val="00634863"/>
    <w:rsid w:val="00634916"/>
    <w:rsid w:val="00635C2A"/>
    <w:rsid w:val="0063680E"/>
    <w:rsid w:val="0063692F"/>
    <w:rsid w:val="00636BAF"/>
    <w:rsid w:val="0063747E"/>
    <w:rsid w:val="00637488"/>
    <w:rsid w:val="00637ACD"/>
    <w:rsid w:val="00637CB0"/>
    <w:rsid w:val="006403BD"/>
    <w:rsid w:val="00640638"/>
    <w:rsid w:val="00640727"/>
    <w:rsid w:val="006407BF"/>
    <w:rsid w:val="006409A1"/>
    <w:rsid w:val="00640B5C"/>
    <w:rsid w:val="006411C3"/>
    <w:rsid w:val="006414F5"/>
    <w:rsid w:val="006424CB"/>
    <w:rsid w:val="006426A3"/>
    <w:rsid w:val="00642BFD"/>
    <w:rsid w:val="006435BA"/>
    <w:rsid w:val="006440F6"/>
    <w:rsid w:val="00644418"/>
    <w:rsid w:val="00644AB1"/>
    <w:rsid w:val="00645152"/>
    <w:rsid w:val="00645C3C"/>
    <w:rsid w:val="00645F32"/>
    <w:rsid w:val="006466E8"/>
    <w:rsid w:val="006468D4"/>
    <w:rsid w:val="00646E4A"/>
    <w:rsid w:val="0064730F"/>
    <w:rsid w:val="006475CA"/>
    <w:rsid w:val="00647DCA"/>
    <w:rsid w:val="006513D0"/>
    <w:rsid w:val="00651D3E"/>
    <w:rsid w:val="006520BD"/>
    <w:rsid w:val="006520E3"/>
    <w:rsid w:val="006523E1"/>
    <w:rsid w:val="0065262E"/>
    <w:rsid w:val="00652997"/>
    <w:rsid w:val="00652E5B"/>
    <w:rsid w:val="006532B1"/>
    <w:rsid w:val="00653866"/>
    <w:rsid w:val="00654610"/>
    <w:rsid w:val="006549C6"/>
    <w:rsid w:val="006549D3"/>
    <w:rsid w:val="00655CF0"/>
    <w:rsid w:val="00656C02"/>
    <w:rsid w:val="00656EE3"/>
    <w:rsid w:val="00657A58"/>
    <w:rsid w:val="006609AC"/>
    <w:rsid w:val="00660AC3"/>
    <w:rsid w:val="006614E4"/>
    <w:rsid w:val="00661BE1"/>
    <w:rsid w:val="006624B1"/>
    <w:rsid w:val="00663147"/>
    <w:rsid w:val="00663161"/>
    <w:rsid w:val="0066485C"/>
    <w:rsid w:val="00664A6C"/>
    <w:rsid w:val="00665521"/>
    <w:rsid w:val="006705AB"/>
    <w:rsid w:val="0067079C"/>
    <w:rsid w:val="0067119A"/>
    <w:rsid w:val="006712F5"/>
    <w:rsid w:val="00672139"/>
    <w:rsid w:val="00672288"/>
    <w:rsid w:val="00672BB3"/>
    <w:rsid w:val="00673054"/>
    <w:rsid w:val="00673D90"/>
    <w:rsid w:val="006751C3"/>
    <w:rsid w:val="00675ED9"/>
    <w:rsid w:val="0067608E"/>
    <w:rsid w:val="006769D7"/>
    <w:rsid w:val="00676F74"/>
    <w:rsid w:val="006774F3"/>
    <w:rsid w:val="00680A2F"/>
    <w:rsid w:val="00681770"/>
    <w:rsid w:val="00681957"/>
    <w:rsid w:val="006832B0"/>
    <w:rsid w:val="00683808"/>
    <w:rsid w:val="00683FEF"/>
    <w:rsid w:val="00684161"/>
    <w:rsid w:val="00685956"/>
    <w:rsid w:val="00685966"/>
    <w:rsid w:val="00685E1A"/>
    <w:rsid w:val="00685E76"/>
    <w:rsid w:val="006869DD"/>
    <w:rsid w:val="00686A0E"/>
    <w:rsid w:val="00687245"/>
    <w:rsid w:val="006878CD"/>
    <w:rsid w:val="00690517"/>
    <w:rsid w:val="0069128B"/>
    <w:rsid w:val="00691FBF"/>
    <w:rsid w:val="00692C50"/>
    <w:rsid w:val="00692CE7"/>
    <w:rsid w:val="00694311"/>
    <w:rsid w:val="00694B10"/>
    <w:rsid w:val="00695880"/>
    <w:rsid w:val="0069600B"/>
    <w:rsid w:val="006962AB"/>
    <w:rsid w:val="006962AD"/>
    <w:rsid w:val="006966F5"/>
    <w:rsid w:val="00696891"/>
    <w:rsid w:val="00696DE3"/>
    <w:rsid w:val="00696ECB"/>
    <w:rsid w:val="006972A8"/>
    <w:rsid w:val="006A0538"/>
    <w:rsid w:val="006A0B36"/>
    <w:rsid w:val="006A114D"/>
    <w:rsid w:val="006A12DA"/>
    <w:rsid w:val="006A1318"/>
    <w:rsid w:val="006A1418"/>
    <w:rsid w:val="006A14D0"/>
    <w:rsid w:val="006A14EF"/>
    <w:rsid w:val="006A17CB"/>
    <w:rsid w:val="006A1AF4"/>
    <w:rsid w:val="006A1DBE"/>
    <w:rsid w:val="006A1FF6"/>
    <w:rsid w:val="006A206D"/>
    <w:rsid w:val="006A2451"/>
    <w:rsid w:val="006A265C"/>
    <w:rsid w:val="006A2D30"/>
    <w:rsid w:val="006A3E11"/>
    <w:rsid w:val="006A444B"/>
    <w:rsid w:val="006A45B0"/>
    <w:rsid w:val="006A512C"/>
    <w:rsid w:val="006A5472"/>
    <w:rsid w:val="006A63BF"/>
    <w:rsid w:val="006A65C5"/>
    <w:rsid w:val="006A67BE"/>
    <w:rsid w:val="006A6945"/>
    <w:rsid w:val="006A6B96"/>
    <w:rsid w:val="006A6CA0"/>
    <w:rsid w:val="006A6F34"/>
    <w:rsid w:val="006A72A7"/>
    <w:rsid w:val="006A7ACC"/>
    <w:rsid w:val="006A7F4E"/>
    <w:rsid w:val="006B0174"/>
    <w:rsid w:val="006B140D"/>
    <w:rsid w:val="006B19F0"/>
    <w:rsid w:val="006B1A0E"/>
    <w:rsid w:val="006B23CC"/>
    <w:rsid w:val="006B27B1"/>
    <w:rsid w:val="006B2E81"/>
    <w:rsid w:val="006B364F"/>
    <w:rsid w:val="006B3906"/>
    <w:rsid w:val="006B3D25"/>
    <w:rsid w:val="006B4CC8"/>
    <w:rsid w:val="006B5528"/>
    <w:rsid w:val="006B657A"/>
    <w:rsid w:val="006B6580"/>
    <w:rsid w:val="006B6E19"/>
    <w:rsid w:val="006B7399"/>
    <w:rsid w:val="006B78F9"/>
    <w:rsid w:val="006C0BA8"/>
    <w:rsid w:val="006C17D0"/>
    <w:rsid w:val="006C1857"/>
    <w:rsid w:val="006C2EF4"/>
    <w:rsid w:val="006C312D"/>
    <w:rsid w:val="006C4A63"/>
    <w:rsid w:val="006C5368"/>
    <w:rsid w:val="006C5B51"/>
    <w:rsid w:val="006C5BF8"/>
    <w:rsid w:val="006C5E5E"/>
    <w:rsid w:val="006C5F76"/>
    <w:rsid w:val="006C6332"/>
    <w:rsid w:val="006C63A6"/>
    <w:rsid w:val="006C6405"/>
    <w:rsid w:val="006C65E3"/>
    <w:rsid w:val="006C6A50"/>
    <w:rsid w:val="006C79A2"/>
    <w:rsid w:val="006D0A96"/>
    <w:rsid w:val="006D165F"/>
    <w:rsid w:val="006D16FF"/>
    <w:rsid w:val="006D1AED"/>
    <w:rsid w:val="006D4169"/>
    <w:rsid w:val="006D486A"/>
    <w:rsid w:val="006D494F"/>
    <w:rsid w:val="006D4A62"/>
    <w:rsid w:val="006D57EF"/>
    <w:rsid w:val="006D5A1E"/>
    <w:rsid w:val="006D6102"/>
    <w:rsid w:val="006D6C23"/>
    <w:rsid w:val="006D7167"/>
    <w:rsid w:val="006E0BB0"/>
    <w:rsid w:val="006E1A1E"/>
    <w:rsid w:val="006E1CA0"/>
    <w:rsid w:val="006E22F5"/>
    <w:rsid w:val="006E29A2"/>
    <w:rsid w:val="006E2A32"/>
    <w:rsid w:val="006E2EF4"/>
    <w:rsid w:val="006E327B"/>
    <w:rsid w:val="006E365F"/>
    <w:rsid w:val="006E39EE"/>
    <w:rsid w:val="006E4F29"/>
    <w:rsid w:val="006E5964"/>
    <w:rsid w:val="006E60CB"/>
    <w:rsid w:val="006E6944"/>
    <w:rsid w:val="006E74D4"/>
    <w:rsid w:val="006E7EA6"/>
    <w:rsid w:val="006E7F57"/>
    <w:rsid w:val="006F0A27"/>
    <w:rsid w:val="006F0DE5"/>
    <w:rsid w:val="006F11E4"/>
    <w:rsid w:val="006F15E9"/>
    <w:rsid w:val="006F24FC"/>
    <w:rsid w:val="006F273C"/>
    <w:rsid w:val="006F4224"/>
    <w:rsid w:val="006F4280"/>
    <w:rsid w:val="006F47C5"/>
    <w:rsid w:val="006F4EC0"/>
    <w:rsid w:val="006F5427"/>
    <w:rsid w:val="006F5BEE"/>
    <w:rsid w:val="006F600C"/>
    <w:rsid w:val="006F6AD0"/>
    <w:rsid w:val="006F74D3"/>
    <w:rsid w:val="0070001A"/>
    <w:rsid w:val="00700913"/>
    <w:rsid w:val="00700B5E"/>
    <w:rsid w:val="00700C61"/>
    <w:rsid w:val="00701114"/>
    <w:rsid w:val="00701AFF"/>
    <w:rsid w:val="007025D4"/>
    <w:rsid w:val="00702850"/>
    <w:rsid w:val="0070394E"/>
    <w:rsid w:val="0070493B"/>
    <w:rsid w:val="00706729"/>
    <w:rsid w:val="00707180"/>
    <w:rsid w:val="00707583"/>
    <w:rsid w:val="0071135B"/>
    <w:rsid w:val="0071137C"/>
    <w:rsid w:val="00711863"/>
    <w:rsid w:val="007121E7"/>
    <w:rsid w:val="00712708"/>
    <w:rsid w:val="00712A47"/>
    <w:rsid w:val="00713315"/>
    <w:rsid w:val="007139C9"/>
    <w:rsid w:val="0071406A"/>
    <w:rsid w:val="00714938"/>
    <w:rsid w:val="00714A17"/>
    <w:rsid w:val="00714E87"/>
    <w:rsid w:val="00715AE7"/>
    <w:rsid w:val="00715CF5"/>
    <w:rsid w:val="00715D99"/>
    <w:rsid w:val="00715E4E"/>
    <w:rsid w:val="007162D2"/>
    <w:rsid w:val="007163F9"/>
    <w:rsid w:val="007165E3"/>
    <w:rsid w:val="007169A8"/>
    <w:rsid w:val="00720880"/>
    <w:rsid w:val="00721855"/>
    <w:rsid w:val="00722E14"/>
    <w:rsid w:val="00723CF7"/>
    <w:rsid w:val="00726AD8"/>
    <w:rsid w:val="00727191"/>
    <w:rsid w:val="0072774E"/>
    <w:rsid w:val="00727E2E"/>
    <w:rsid w:val="007302A8"/>
    <w:rsid w:val="007302E0"/>
    <w:rsid w:val="00730820"/>
    <w:rsid w:val="007309B9"/>
    <w:rsid w:val="00730F9F"/>
    <w:rsid w:val="007316EC"/>
    <w:rsid w:val="00732EB0"/>
    <w:rsid w:val="007340FB"/>
    <w:rsid w:val="00734675"/>
    <w:rsid w:val="00734E0C"/>
    <w:rsid w:val="007351CE"/>
    <w:rsid w:val="00735B43"/>
    <w:rsid w:val="00736CB2"/>
    <w:rsid w:val="00737F36"/>
    <w:rsid w:val="007401AE"/>
    <w:rsid w:val="0074075C"/>
    <w:rsid w:val="00740F91"/>
    <w:rsid w:val="0074112B"/>
    <w:rsid w:val="00741370"/>
    <w:rsid w:val="0074163E"/>
    <w:rsid w:val="007427A8"/>
    <w:rsid w:val="0074308F"/>
    <w:rsid w:val="00743F09"/>
    <w:rsid w:val="00743F12"/>
    <w:rsid w:val="007441A0"/>
    <w:rsid w:val="007442A3"/>
    <w:rsid w:val="00744964"/>
    <w:rsid w:val="007449FC"/>
    <w:rsid w:val="00744C87"/>
    <w:rsid w:val="00744E8A"/>
    <w:rsid w:val="00745614"/>
    <w:rsid w:val="00745674"/>
    <w:rsid w:val="00745770"/>
    <w:rsid w:val="00745FFF"/>
    <w:rsid w:val="00746210"/>
    <w:rsid w:val="00746822"/>
    <w:rsid w:val="007469DB"/>
    <w:rsid w:val="00750538"/>
    <w:rsid w:val="00750580"/>
    <w:rsid w:val="0075084D"/>
    <w:rsid w:val="00750871"/>
    <w:rsid w:val="00750FAD"/>
    <w:rsid w:val="00751305"/>
    <w:rsid w:val="00751452"/>
    <w:rsid w:val="007514E3"/>
    <w:rsid w:val="007519E6"/>
    <w:rsid w:val="007520E6"/>
    <w:rsid w:val="007524AE"/>
    <w:rsid w:val="007525FB"/>
    <w:rsid w:val="00752AFC"/>
    <w:rsid w:val="00753D48"/>
    <w:rsid w:val="007560D5"/>
    <w:rsid w:val="00756281"/>
    <w:rsid w:val="00757050"/>
    <w:rsid w:val="00757149"/>
    <w:rsid w:val="007573DE"/>
    <w:rsid w:val="00757746"/>
    <w:rsid w:val="00760137"/>
    <w:rsid w:val="00761163"/>
    <w:rsid w:val="00761DD7"/>
    <w:rsid w:val="0076265E"/>
    <w:rsid w:val="0076281C"/>
    <w:rsid w:val="00762B46"/>
    <w:rsid w:val="007648AE"/>
    <w:rsid w:val="00764A01"/>
    <w:rsid w:val="0076588A"/>
    <w:rsid w:val="00765AF5"/>
    <w:rsid w:val="00767826"/>
    <w:rsid w:val="00770034"/>
    <w:rsid w:val="007708BB"/>
    <w:rsid w:val="00771C52"/>
    <w:rsid w:val="00771EDE"/>
    <w:rsid w:val="007727EF"/>
    <w:rsid w:val="0077285F"/>
    <w:rsid w:val="00772BED"/>
    <w:rsid w:val="00772EE7"/>
    <w:rsid w:val="007735BF"/>
    <w:rsid w:val="007737A7"/>
    <w:rsid w:val="007739BC"/>
    <w:rsid w:val="007739ED"/>
    <w:rsid w:val="00774103"/>
    <w:rsid w:val="00774DB9"/>
    <w:rsid w:val="007751E9"/>
    <w:rsid w:val="00776658"/>
    <w:rsid w:val="00777BD6"/>
    <w:rsid w:val="00777D4C"/>
    <w:rsid w:val="00780165"/>
    <w:rsid w:val="0078174E"/>
    <w:rsid w:val="00781A5C"/>
    <w:rsid w:val="00781C47"/>
    <w:rsid w:val="0078236E"/>
    <w:rsid w:val="00782794"/>
    <w:rsid w:val="00783330"/>
    <w:rsid w:val="007841B2"/>
    <w:rsid w:val="0078535D"/>
    <w:rsid w:val="00786D6C"/>
    <w:rsid w:val="00786F16"/>
    <w:rsid w:val="00787E11"/>
    <w:rsid w:val="00790086"/>
    <w:rsid w:val="007902F1"/>
    <w:rsid w:val="00790F38"/>
    <w:rsid w:val="0079143A"/>
    <w:rsid w:val="00791CD9"/>
    <w:rsid w:val="00792AD5"/>
    <w:rsid w:val="007937A0"/>
    <w:rsid w:val="00793BB3"/>
    <w:rsid w:val="00793D0F"/>
    <w:rsid w:val="00793F05"/>
    <w:rsid w:val="00794B6A"/>
    <w:rsid w:val="00794FD6"/>
    <w:rsid w:val="00795D0B"/>
    <w:rsid w:val="007974DA"/>
    <w:rsid w:val="00797597"/>
    <w:rsid w:val="00797E43"/>
    <w:rsid w:val="007A1674"/>
    <w:rsid w:val="007A1893"/>
    <w:rsid w:val="007A1D2B"/>
    <w:rsid w:val="007A21EB"/>
    <w:rsid w:val="007A2676"/>
    <w:rsid w:val="007A3601"/>
    <w:rsid w:val="007A3AE9"/>
    <w:rsid w:val="007A4655"/>
    <w:rsid w:val="007A502D"/>
    <w:rsid w:val="007A5D3B"/>
    <w:rsid w:val="007A6254"/>
    <w:rsid w:val="007A777F"/>
    <w:rsid w:val="007A7A47"/>
    <w:rsid w:val="007B0C18"/>
    <w:rsid w:val="007B128A"/>
    <w:rsid w:val="007B1342"/>
    <w:rsid w:val="007B1716"/>
    <w:rsid w:val="007B1A2C"/>
    <w:rsid w:val="007B1B4A"/>
    <w:rsid w:val="007B2687"/>
    <w:rsid w:val="007B2CA9"/>
    <w:rsid w:val="007B37F7"/>
    <w:rsid w:val="007B3955"/>
    <w:rsid w:val="007B5185"/>
    <w:rsid w:val="007B56FD"/>
    <w:rsid w:val="007B5781"/>
    <w:rsid w:val="007B671E"/>
    <w:rsid w:val="007B7CF1"/>
    <w:rsid w:val="007C11C9"/>
    <w:rsid w:val="007C1488"/>
    <w:rsid w:val="007C14BC"/>
    <w:rsid w:val="007C1B5D"/>
    <w:rsid w:val="007C25C3"/>
    <w:rsid w:val="007C2FDB"/>
    <w:rsid w:val="007C3411"/>
    <w:rsid w:val="007C57DC"/>
    <w:rsid w:val="007C647E"/>
    <w:rsid w:val="007C684E"/>
    <w:rsid w:val="007C7E12"/>
    <w:rsid w:val="007D1EDD"/>
    <w:rsid w:val="007D22B3"/>
    <w:rsid w:val="007D2952"/>
    <w:rsid w:val="007D2AFC"/>
    <w:rsid w:val="007D303B"/>
    <w:rsid w:val="007D313F"/>
    <w:rsid w:val="007D35E5"/>
    <w:rsid w:val="007D54D2"/>
    <w:rsid w:val="007D6119"/>
    <w:rsid w:val="007D6406"/>
    <w:rsid w:val="007D6512"/>
    <w:rsid w:val="007D6AA2"/>
    <w:rsid w:val="007D7368"/>
    <w:rsid w:val="007D75CA"/>
    <w:rsid w:val="007D76B3"/>
    <w:rsid w:val="007D7A57"/>
    <w:rsid w:val="007E03F2"/>
    <w:rsid w:val="007E0818"/>
    <w:rsid w:val="007E083C"/>
    <w:rsid w:val="007E17C0"/>
    <w:rsid w:val="007E18E1"/>
    <w:rsid w:val="007E1A95"/>
    <w:rsid w:val="007E1AB4"/>
    <w:rsid w:val="007E1D9C"/>
    <w:rsid w:val="007E240E"/>
    <w:rsid w:val="007E24B1"/>
    <w:rsid w:val="007E277B"/>
    <w:rsid w:val="007E2D8C"/>
    <w:rsid w:val="007E3142"/>
    <w:rsid w:val="007E3253"/>
    <w:rsid w:val="007E33A1"/>
    <w:rsid w:val="007E39B4"/>
    <w:rsid w:val="007E432F"/>
    <w:rsid w:val="007E502D"/>
    <w:rsid w:val="007E6503"/>
    <w:rsid w:val="007E7EBE"/>
    <w:rsid w:val="007F06E9"/>
    <w:rsid w:val="007F1011"/>
    <w:rsid w:val="007F108E"/>
    <w:rsid w:val="007F1183"/>
    <w:rsid w:val="007F332B"/>
    <w:rsid w:val="007F354D"/>
    <w:rsid w:val="007F3C0E"/>
    <w:rsid w:val="007F3FA3"/>
    <w:rsid w:val="007F431C"/>
    <w:rsid w:val="007F4705"/>
    <w:rsid w:val="007F4712"/>
    <w:rsid w:val="007F47DF"/>
    <w:rsid w:val="007F4B8A"/>
    <w:rsid w:val="007F4FFD"/>
    <w:rsid w:val="007F5D84"/>
    <w:rsid w:val="007F5EFA"/>
    <w:rsid w:val="007F7F83"/>
    <w:rsid w:val="00800423"/>
    <w:rsid w:val="008008C4"/>
    <w:rsid w:val="00800B2C"/>
    <w:rsid w:val="00801214"/>
    <w:rsid w:val="00801CD6"/>
    <w:rsid w:val="00802CE8"/>
    <w:rsid w:val="00803348"/>
    <w:rsid w:val="00803FDE"/>
    <w:rsid w:val="00804B24"/>
    <w:rsid w:val="00804BE1"/>
    <w:rsid w:val="00804E81"/>
    <w:rsid w:val="00804EF2"/>
    <w:rsid w:val="00804F89"/>
    <w:rsid w:val="00804FE8"/>
    <w:rsid w:val="0080554C"/>
    <w:rsid w:val="00805623"/>
    <w:rsid w:val="00805A3A"/>
    <w:rsid w:val="00806120"/>
    <w:rsid w:val="00806581"/>
    <w:rsid w:val="00806A43"/>
    <w:rsid w:val="0080781C"/>
    <w:rsid w:val="008078B7"/>
    <w:rsid w:val="008108EF"/>
    <w:rsid w:val="00810C63"/>
    <w:rsid w:val="00810E67"/>
    <w:rsid w:val="008113A1"/>
    <w:rsid w:val="00811968"/>
    <w:rsid w:val="008120E9"/>
    <w:rsid w:val="00812583"/>
    <w:rsid w:val="00812D40"/>
    <w:rsid w:val="008132CA"/>
    <w:rsid w:val="00813528"/>
    <w:rsid w:val="008135AB"/>
    <w:rsid w:val="00813766"/>
    <w:rsid w:val="00814D97"/>
    <w:rsid w:val="00815466"/>
    <w:rsid w:val="00815661"/>
    <w:rsid w:val="008159E9"/>
    <w:rsid w:val="00815C82"/>
    <w:rsid w:val="00815D10"/>
    <w:rsid w:val="00817E35"/>
    <w:rsid w:val="00820223"/>
    <w:rsid w:val="008224C0"/>
    <w:rsid w:val="00823F1F"/>
    <w:rsid w:val="00824F47"/>
    <w:rsid w:val="00826264"/>
    <w:rsid w:val="008265A4"/>
    <w:rsid w:val="00826A6E"/>
    <w:rsid w:val="00826CC3"/>
    <w:rsid w:val="00826D19"/>
    <w:rsid w:val="00826EF3"/>
    <w:rsid w:val="00826FEF"/>
    <w:rsid w:val="008307E6"/>
    <w:rsid w:val="0083086A"/>
    <w:rsid w:val="00833019"/>
    <w:rsid w:val="00833262"/>
    <w:rsid w:val="008335A9"/>
    <w:rsid w:val="00833740"/>
    <w:rsid w:val="008343C6"/>
    <w:rsid w:val="008346D7"/>
    <w:rsid w:val="00834912"/>
    <w:rsid w:val="00834C07"/>
    <w:rsid w:val="00834EED"/>
    <w:rsid w:val="00835853"/>
    <w:rsid w:val="008361ED"/>
    <w:rsid w:val="00836202"/>
    <w:rsid w:val="008366EB"/>
    <w:rsid w:val="00837305"/>
    <w:rsid w:val="00837329"/>
    <w:rsid w:val="0083783D"/>
    <w:rsid w:val="00837C75"/>
    <w:rsid w:val="00837EFF"/>
    <w:rsid w:val="00840454"/>
    <w:rsid w:val="008407F5"/>
    <w:rsid w:val="00840865"/>
    <w:rsid w:val="00840F5C"/>
    <w:rsid w:val="00842B2E"/>
    <w:rsid w:val="00842E9E"/>
    <w:rsid w:val="008438FC"/>
    <w:rsid w:val="0084394D"/>
    <w:rsid w:val="00844011"/>
    <w:rsid w:val="008440C2"/>
    <w:rsid w:val="008444C7"/>
    <w:rsid w:val="008456A7"/>
    <w:rsid w:val="008461F1"/>
    <w:rsid w:val="00846280"/>
    <w:rsid w:val="00846BAC"/>
    <w:rsid w:val="008473AB"/>
    <w:rsid w:val="008479D8"/>
    <w:rsid w:val="00850012"/>
    <w:rsid w:val="008505F8"/>
    <w:rsid w:val="00850601"/>
    <w:rsid w:val="00850D81"/>
    <w:rsid w:val="00850DA5"/>
    <w:rsid w:val="00851111"/>
    <w:rsid w:val="008516F1"/>
    <w:rsid w:val="00851A20"/>
    <w:rsid w:val="00851A64"/>
    <w:rsid w:val="008524DE"/>
    <w:rsid w:val="00852E33"/>
    <w:rsid w:val="00853179"/>
    <w:rsid w:val="008534C3"/>
    <w:rsid w:val="00854A8C"/>
    <w:rsid w:val="00854B3A"/>
    <w:rsid w:val="008550E5"/>
    <w:rsid w:val="0085541E"/>
    <w:rsid w:val="008574BE"/>
    <w:rsid w:val="008603F7"/>
    <w:rsid w:val="00860511"/>
    <w:rsid w:val="0086079A"/>
    <w:rsid w:val="00860B5B"/>
    <w:rsid w:val="00860C9D"/>
    <w:rsid w:val="00860E14"/>
    <w:rsid w:val="00860E8A"/>
    <w:rsid w:val="0086152A"/>
    <w:rsid w:val="008626D8"/>
    <w:rsid w:val="008626E2"/>
    <w:rsid w:val="00862706"/>
    <w:rsid w:val="0086272B"/>
    <w:rsid w:val="00864903"/>
    <w:rsid w:val="008650C6"/>
    <w:rsid w:val="008658C6"/>
    <w:rsid w:val="008660BD"/>
    <w:rsid w:val="008663F5"/>
    <w:rsid w:val="0086660B"/>
    <w:rsid w:val="00866E63"/>
    <w:rsid w:val="0086744D"/>
    <w:rsid w:val="008675D0"/>
    <w:rsid w:val="0087045F"/>
    <w:rsid w:val="00870E7C"/>
    <w:rsid w:val="00871BA6"/>
    <w:rsid w:val="00871F9C"/>
    <w:rsid w:val="008721DA"/>
    <w:rsid w:val="008740E5"/>
    <w:rsid w:val="008741A5"/>
    <w:rsid w:val="00874926"/>
    <w:rsid w:val="00875413"/>
    <w:rsid w:val="00875EC7"/>
    <w:rsid w:val="008762BB"/>
    <w:rsid w:val="00876328"/>
    <w:rsid w:val="00876756"/>
    <w:rsid w:val="00876DED"/>
    <w:rsid w:val="008777BE"/>
    <w:rsid w:val="00877E86"/>
    <w:rsid w:val="00880627"/>
    <w:rsid w:val="008806B2"/>
    <w:rsid w:val="0088071A"/>
    <w:rsid w:val="00881C7B"/>
    <w:rsid w:val="00881DA7"/>
    <w:rsid w:val="0088250F"/>
    <w:rsid w:val="00882569"/>
    <w:rsid w:val="0088264A"/>
    <w:rsid w:val="00883B9A"/>
    <w:rsid w:val="00883C15"/>
    <w:rsid w:val="00883DA0"/>
    <w:rsid w:val="00884540"/>
    <w:rsid w:val="00884649"/>
    <w:rsid w:val="00884EE1"/>
    <w:rsid w:val="00884FA6"/>
    <w:rsid w:val="00885457"/>
    <w:rsid w:val="00885C89"/>
    <w:rsid w:val="00885DA0"/>
    <w:rsid w:val="008861B7"/>
    <w:rsid w:val="008869B2"/>
    <w:rsid w:val="00886BEE"/>
    <w:rsid w:val="008900CE"/>
    <w:rsid w:val="008908A3"/>
    <w:rsid w:val="00890BBA"/>
    <w:rsid w:val="00890D7D"/>
    <w:rsid w:val="00891D6E"/>
    <w:rsid w:val="00892A7E"/>
    <w:rsid w:val="00892FEE"/>
    <w:rsid w:val="00894AF3"/>
    <w:rsid w:val="008951EC"/>
    <w:rsid w:val="00895A7E"/>
    <w:rsid w:val="00895F52"/>
    <w:rsid w:val="00896551"/>
    <w:rsid w:val="00897170"/>
    <w:rsid w:val="00897A6C"/>
    <w:rsid w:val="008A025F"/>
    <w:rsid w:val="008A0E8A"/>
    <w:rsid w:val="008A16FC"/>
    <w:rsid w:val="008A1A1B"/>
    <w:rsid w:val="008A213E"/>
    <w:rsid w:val="008A2552"/>
    <w:rsid w:val="008A320E"/>
    <w:rsid w:val="008A330E"/>
    <w:rsid w:val="008A371D"/>
    <w:rsid w:val="008A377A"/>
    <w:rsid w:val="008A3A1F"/>
    <w:rsid w:val="008A4AB2"/>
    <w:rsid w:val="008A5777"/>
    <w:rsid w:val="008A5BC3"/>
    <w:rsid w:val="008A68B2"/>
    <w:rsid w:val="008A7479"/>
    <w:rsid w:val="008B25E8"/>
    <w:rsid w:val="008B27C4"/>
    <w:rsid w:val="008B2CC2"/>
    <w:rsid w:val="008B3486"/>
    <w:rsid w:val="008B3E7B"/>
    <w:rsid w:val="008B4254"/>
    <w:rsid w:val="008B46F3"/>
    <w:rsid w:val="008B65A5"/>
    <w:rsid w:val="008B6A62"/>
    <w:rsid w:val="008B6F74"/>
    <w:rsid w:val="008C0237"/>
    <w:rsid w:val="008C0329"/>
    <w:rsid w:val="008C0897"/>
    <w:rsid w:val="008C0F8D"/>
    <w:rsid w:val="008C101D"/>
    <w:rsid w:val="008C197D"/>
    <w:rsid w:val="008C278A"/>
    <w:rsid w:val="008C2C2E"/>
    <w:rsid w:val="008C2E55"/>
    <w:rsid w:val="008C3069"/>
    <w:rsid w:val="008C3B82"/>
    <w:rsid w:val="008C4565"/>
    <w:rsid w:val="008C46DC"/>
    <w:rsid w:val="008C525E"/>
    <w:rsid w:val="008C55DB"/>
    <w:rsid w:val="008C5A39"/>
    <w:rsid w:val="008C5AE2"/>
    <w:rsid w:val="008C5B26"/>
    <w:rsid w:val="008C5FB5"/>
    <w:rsid w:val="008C6813"/>
    <w:rsid w:val="008C72AC"/>
    <w:rsid w:val="008D080C"/>
    <w:rsid w:val="008D0836"/>
    <w:rsid w:val="008D0E6D"/>
    <w:rsid w:val="008D0F64"/>
    <w:rsid w:val="008D1AA2"/>
    <w:rsid w:val="008D20B2"/>
    <w:rsid w:val="008D28E0"/>
    <w:rsid w:val="008D2D26"/>
    <w:rsid w:val="008D334B"/>
    <w:rsid w:val="008D3843"/>
    <w:rsid w:val="008D488B"/>
    <w:rsid w:val="008D48F8"/>
    <w:rsid w:val="008D4DB7"/>
    <w:rsid w:val="008D4E4C"/>
    <w:rsid w:val="008D5AB1"/>
    <w:rsid w:val="008D5DD5"/>
    <w:rsid w:val="008D65C2"/>
    <w:rsid w:val="008D7E53"/>
    <w:rsid w:val="008D7E87"/>
    <w:rsid w:val="008E16E7"/>
    <w:rsid w:val="008E1848"/>
    <w:rsid w:val="008E1AD4"/>
    <w:rsid w:val="008E1FCB"/>
    <w:rsid w:val="008E4145"/>
    <w:rsid w:val="008E5219"/>
    <w:rsid w:val="008E631E"/>
    <w:rsid w:val="008E683F"/>
    <w:rsid w:val="008E6933"/>
    <w:rsid w:val="008E74A4"/>
    <w:rsid w:val="008F0643"/>
    <w:rsid w:val="008F0A61"/>
    <w:rsid w:val="008F0FD4"/>
    <w:rsid w:val="008F129E"/>
    <w:rsid w:val="008F1A13"/>
    <w:rsid w:val="008F1C20"/>
    <w:rsid w:val="008F1E53"/>
    <w:rsid w:val="008F1EFF"/>
    <w:rsid w:val="008F1F20"/>
    <w:rsid w:val="008F4118"/>
    <w:rsid w:val="008F480C"/>
    <w:rsid w:val="008F5EFD"/>
    <w:rsid w:val="008F5F7E"/>
    <w:rsid w:val="008F6949"/>
    <w:rsid w:val="009006C4"/>
    <w:rsid w:val="00901ECE"/>
    <w:rsid w:val="00902AF7"/>
    <w:rsid w:val="00903262"/>
    <w:rsid w:val="00903BFF"/>
    <w:rsid w:val="00903C92"/>
    <w:rsid w:val="00904463"/>
    <w:rsid w:val="009045A1"/>
    <w:rsid w:val="009057CF"/>
    <w:rsid w:val="009059AF"/>
    <w:rsid w:val="00905C9C"/>
    <w:rsid w:val="00906285"/>
    <w:rsid w:val="00907649"/>
    <w:rsid w:val="00907662"/>
    <w:rsid w:val="009078B7"/>
    <w:rsid w:val="009124BF"/>
    <w:rsid w:val="00913613"/>
    <w:rsid w:val="0091369B"/>
    <w:rsid w:val="0091507E"/>
    <w:rsid w:val="00915AF4"/>
    <w:rsid w:val="00916029"/>
    <w:rsid w:val="00916466"/>
    <w:rsid w:val="00916C43"/>
    <w:rsid w:val="00916DE4"/>
    <w:rsid w:val="0091749E"/>
    <w:rsid w:val="00917992"/>
    <w:rsid w:val="00917D55"/>
    <w:rsid w:val="00920B89"/>
    <w:rsid w:val="00920F4D"/>
    <w:rsid w:val="009211E0"/>
    <w:rsid w:val="0092144B"/>
    <w:rsid w:val="00921AD8"/>
    <w:rsid w:val="009226F6"/>
    <w:rsid w:val="0092275B"/>
    <w:rsid w:val="00922DD0"/>
    <w:rsid w:val="00923B68"/>
    <w:rsid w:val="009253CF"/>
    <w:rsid w:val="00925A4B"/>
    <w:rsid w:val="00925DAC"/>
    <w:rsid w:val="00925F96"/>
    <w:rsid w:val="00925FBE"/>
    <w:rsid w:val="0092645C"/>
    <w:rsid w:val="0092656A"/>
    <w:rsid w:val="00926A8C"/>
    <w:rsid w:val="00927344"/>
    <w:rsid w:val="00927B5D"/>
    <w:rsid w:val="009309A7"/>
    <w:rsid w:val="00931087"/>
    <w:rsid w:val="009311D0"/>
    <w:rsid w:val="00931499"/>
    <w:rsid w:val="00931D68"/>
    <w:rsid w:val="00932065"/>
    <w:rsid w:val="00932836"/>
    <w:rsid w:val="00932BA5"/>
    <w:rsid w:val="00932DBC"/>
    <w:rsid w:val="00932FB6"/>
    <w:rsid w:val="009333EA"/>
    <w:rsid w:val="00934926"/>
    <w:rsid w:val="00935C70"/>
    <w:rsid w:val="009366EF"/>
    <w:rsid w:val="0093701F"/>
    <w:rsid w:val="0093714D"/>
    <w:rsid w:val="009372A9"/>
    <w:rsid w:val="009375B6"/>
    <w:rsid w:val="00937FBF"/>
    <w:rsid w:val="009404C8"/>
    <w:rsid w:val="00940890"/>
    <w:rsid w:val="00940EB2"/>
    <w:rsid w:val="00940F48"/>
    <w:rsid w:val="00940F9B"/>
    <w:rsid w:val="00941873"/>
    <w:rsid w:val="009424F8"/>
    <w:rsid w:val="00942D66"/>
    <w:rsid w:val="00944AE7"/>
    <w:rsid w:val="00944F9A"/>
    <w:rsid w:val="0094775A"/>
    <w:rsid w:val="00950A72"/>
    <w:rsid w:val="00950F6A"/>
    <w:rsid w:val="00951066"/>
    <w:rsid w:val="009512F5"/>
    <w:rsid w:val="00951FBB"/>
    <w:rsid w:val="00952CFB"/>
    <w:rsid w:val="00953291"/>
    <w:rsid w:val="00953A4C"/>
    <w:rsid w:val="0095548D"/>
    <w:rsid w:val="009558F6"/>
    <w:rsid w:val="00955E8F"/>
    <w:rsid w:val="009562C7"/>
    <w:rsid w:val="00956BD3"/>
    <w:rsid w:val="009579A0"/>
    <w:rsid w:val="00957C8E"/>
    <w:rsid w:val="00957F45"/>
    <w:rsid w:val="0096042A"/>
    <w:rsid w:val="0096120C"/>
    <w:rsid w:val="00961494"/>
    <w:rsid w:val="00962B77"/>
    <w:rsid w:val="00962CF8"/>
    <w:rsid w:val="00963368"/>
    <w:rsid w:val="00964050"/>
    <w:rsid w:val="009648E9"/>
    <w:rsid w:val="00965623"/>
    <w:rsid w:val="009662C6"/>
    <w:rsid w:val="00966E18"/>
    <w:rsid w:val="00967098"/>
    <w:rsid w:val="00967B45"/>
    <w:rsid w:val="009711C2"/>
    <w:rsid w:val="00972869"/>
    <w:rsid w:val="00973396"/>
    <w:rsid w:val="0097386D"/>
    <w:rsid w:val="009740E8"/>
    <w:rsid w:val="00974BF5"/>
    <w:rsid w:val="00975A3F"/>
    <w:rsid w:val="0097664B"/>
    <w:rsid w:val="00976966"/>
    <w:rsid w:val="00976FBE"/>
    <w:rsid w:val="009773BF"/>
    <w:rsid w:val="0098078E"/>
    <w:rsid w:val="00981019"/>
    <w:rsid w:val="009827EB"/>
    <w:rsid w:val="00982A77"/>
    <w:rsid w:val="00982D79"/>
    <w:rsid w:val="009834D8"/>
    <w:rsid w:val="009838C4"/>
    <w:rsid w:val="00984188"/>
    <w:rsid w:val="009843E1"/>
    <w:rsid w:val="00984D70"/>
    <w:rsid w:val="00984EE8"/>
    <w:rsid w:val="009851C3"/>
    <w:rsid w:val="00985B5D"/>
    <w:rsid w:val="0098726D"/>
    <w:rsid w:val="00987D6B"/>
    <w:rsid w:val="00987F2E"/>
    <w:rsid w:val="00990F2A"/>
    <w:rsid w:val="00991D14"/>
    <w:rsid w:val="00992BD6"/>
    <w:rsid w:val="00993D59"/>
    <w:rsid w:val="00994184"/>
    <w:rsid w:val="0099476C"/>
    <w:rsid w:val="009953A1"/>
    <w:rsid w:val="009958BC"/>
    <w:rsid w:val="0099751B"/>
    <w:rsid w:val="009A005C"/>
    <w:rsid w:val="009A05FD"/>
    <w:rsid w:val="009A067C"/>
    <w:rsid w:val="009A06F2"/>
    <w:rsid w:val="009A0C3B"/>
    <w:rsid w:val="009A126D"/>
    <w:rsid w:val="009A1A85"/>
    <w:rsid w:val="009A1B7B"/>
    <w:rsid w:val="009A1D0C"/>
    <w:rsid w:val="009A213B"/>
    <w:rsid w:val="009A25FE"/>
    <w:rsid w:val="009A2C57"/>
    <w:rsid w:val="009A2E23"/>
    <w:rsid w:val="009A3541"/>
    <w:rsid w:val="009A3648"/>
    <w:rsid w:val="009A3857"/>
    <w:rsid w:val="009A3A1A"/>
    <w:rsid w:val="009A3DF9"/>
    <w:rsid w:val="009A4638"/>
    <w:rsid w:val="009A4991"/>
    <w:rsid w:val="009A511D"/>
    <w:rsid w:val="009A5F26"/>
    <w:rsid w:val="009A5FDA"/>
    <w:rsid w:val="009A6EDE"/>
    <w:rsid w:val="009A6F31"/>
    <w:rsid w:val="009A71E2"/>
    <w:rsid w:val="009A7828"/>
    <w:rsid w:val="009A7AF2"/>
    <w:rsid w:val="009B11A9"/>
    <w:rsid w:val="009B22F4"/>
    <w:rsid w:val="009B2CC4"/>
    <w:rsid w:val="009B2F1B"/>
    <w:rsid w:val="009B3014"/>
    <w:rsid w:val="009B35D4"/>
    <w:rsid w:val="009B3E61"/>
    <w:rsid w:val="009B47A6"/>
    <w:rsid w:val="009B4EB3"/>
    <w:rsid w:val="009B69E1"/>
    <w:rsid w:val="009B7D4F"/>
    <w:rsid w:val="009C05A9"/>
    <w:rsid w:val="009C10A4"/>
    <w:rsid w:val="009C1D02"/>
    <w:rsid w:val="009C1F90"/>
    <w:rsid w:val="009C3F98"/>
    <w:rsid w:val="009C4051"/>
    <w:rsid w:val="009C56D1"/>
    <w:rsid w:val="009C56F3"/>
    <w:rsid w:val="009C5917"/>
    <w:rsid w:val="009C62DB"/>
    <w:rsid w:val="009C6344"/>
    <w:rsid w:val="009C6B73"/>
    <w:rsid w:val="009C6DF9"/>
    <w:rsid w:val="009C7533"/>
    <w:rsid w:val="009C7908"/>
    <w:rsid w:val="009C7E98"/>
    <w:rsid w:val="009C7FBE"/>
    <w:rsid w:val="009D0054"/>
    <w:rsid w:val="009D05E7"/>
    <w:rsid w:val="009D0EE7"/>
    <w:rsid w:val="009D1022"/>
    <w:rsid w:val="009D1315"/>
    <w:rsid w:val="009D1A43"/>
    <w:rsid w:val="009D1BC3"/>
    <w:rsid w:val="009D1BDC"/>
    <w:rsid w:val="009D1FB1"/>
    <w:rsid w:val="009D231D"/>
    <w:rsid w:val="009D231F"/>
    <w:rsid w:val="009D2367"/>
    <w:rsid w:val="009D26EE"/>
    <w:rsid w:val="009D2861"/>
    <w:rsid w:val="009D4229"/>
    <w:rsid w:val="009D4479"/>
    <w:rsid w:val="009D4829"/>
    <w:rsid w:val="009D5951"/>
    <w:rsid w:val="009D6779"/>
    <w:rsid w:val="009D78E0"/>
    <w:rsid w:val="009D7A79"/>
    <w:rsid w:val="009E0372"/>
    <w:rsid w:val="009E0828"/>
    <w:rsid w:val="009E0F54"/>
    <w:rsid w:val="009E10F7"/>
    <w:rsid w:val="009E14A7"/>
    <w:rsid w:val="009E17B2"/>
    <w:rsid w:val="009E2C43"/>
    <w:rsid w:val="009E376A"/>
    <w:rsid w:val="009E3F6C"/>
    <w:rsid w:val="009E41C5"/>
    <w:rsid w:val="009E433D"/>
    <w:rsid w:val="009E4581"/>
    <w:rsid w:val="009E4883"/>
    <w:rsid w:val="009E4BD4"/>
    <w:rsid w:val="009E524A"/>
    <w:rsid w:val="009E5372"/>
    <w:rsid w:val="009E5786"/>
    <w:rsid w:val="009E5DA0"/>
    <w:rsid w:val="009E69F3"/>
    <w:rsid w:val="009E71E9"/>
    <w:rsid w:val="009E78BE"/>
    <w:rsid w:val="009F0239"/>
    <w:rsid w:val="009F06EE"/>
    <w:rsid w:val="009F0804"/>
    <w:rsid w:val="009F0DBF"/>
    <w:rsid w:val="009F10D8"/>
    <w:rsid w:val="009F13DF"/>
    <w:rsid w:val="009F2810"/>
    <w:rsid w:val="009F2C49"/>
    <w:rsid w:val="009F303F"/>
    <w:rsid w:val="009F3669"/>
    <w:rsid w:val="009F39D5"/>
    <w:rsid w:val="009F3D4D"/>
    <w:rsid w:val="009F4003"/>
    <w:rsid w:val="009F4445"/>
    <w:rsid w:val="009F493A"/>
    <w:rsid w:val="009F4998"/>
    <w:rsid w:val="009F5C17"/>
    <w:rsid w:val="009F683C"/>
    <w:rsid w:val="00A0031C"/>
    <w:rsid w:val="00A01462"/>
    <w:rsid w:val="00A01C35"/>
    <w:rsid w:val="00A01C61"/>
    <w:rsid w:val="00A01CBD"/>
    <w:rsid w:val="00A02CF4"/>
    <w:rsid w:val="00A03523"/>
    <w:rsid w:val="00A03719"/>
    <w:rsid w:val="00A03AAF"/>
    <w:rsid w:val="00A03B3C"/>
    <w:rsid w:val="00A03F04"/>
    <w:rsid w:val="00A03FE6"/>
    <w:rsid w:val="00A0456A"/>
    <w:rsid w:val="00A0543B"/>
    <w:rsid w:val="00A05FA5"/>
    <w:rsid w:val="00A061B3"/>
    <w:rsid w:val="00A0697A"/>
    <w:rsid w:val="00A07BD1"/>
    <w:rsid w:val="00A113CC"/>
    <w:rsid w:val="00A11466"/>
    <w:rsid w:val="00A11BE7"/>
    <w:rsid w:val="00A12C44"/>
    <w:rsid w:val="00A13044"/>
    <w:rsid w:val="00A13674"/>
    <w:rsid w:val="00A13DA9"/>
    <w:rsid w:val="00A146F1"/>
    <w:rsid w:val="00A1530A"/>
    <w:rsid w:val="00A1587C"/>
    <w:rsid w:val="00A1652E"/>
    <w:rsid w:val="00A16A2A"/>
    <w:rsid w:val="00A17FAE"/>
    <w:rsid w:val="00A20B61"/>
    <w:rsid w:val="00A20C18"/>
    <w:rsid w:val="00A212B8"/>
    <w:rsid w:val="00A21D02"/>
    <w:rsid w:val="00A22C5A"/>
    <w:rsid w:val="00A231DB"/>
    <w:rsid w:val="00A23307"/>
    <w:rsid w:val="00A2463E"/>
    <w:rsid w:val="00A24A72"/>
    <w:rsid w:val="00A2519B"/>
    <w:rsid w:val="00A259B5"/>
    <w:rsid w:val="00A262FE"/>
    <w:rsid w:val="00A26A83"/>
    <w:rsid w:val="00A26BB1"/>
    <w:rsid w:val="00A275CD"/>
    <w:rsid w:val="00A27DDC"/>
    <w:rsid w:val="00A300E6"/>
    <w:rsid w:val="00A3035C"/>
    <w:rsid w:val="00A30BF8"/>
    <w:rsid w:val="00A30E3A"/>
    <w:rsid w:val="00A3177A"/>
    <w:rsid w:val="00A31E47"/>
    <w:rsid w:val="00A31E72"/>
    <w:rsid w:val="00A326A7"/>
    <w:rsid w:val="00A33393"/>
    <w:rsid w:val="00A33576"/>
    <w:rsid w:val="00A33DFD"/>
    <w:rsid w:val="00A34650"/>
    <w:rsid w:val="00A348B0"/>
    <w:rsid w:val="00A34C7E"/>
    <w:rsid w:val="00A352BC"/>
    <w:rsid w:val="00A355A3"/>
    <w:rsid w:val="00A3572E"/>
    <w:rsid w:val="00A35AEB"/>
    <w:rsid w:val="00A36EA0"/>
    <w:rsid w:val="00A36EE1"/>
    <w:rsid w:val="00A375F9"/>
    <w:rsid w:val="00A378AE"/>
    <w:rsid w:val="00A400CA"/>
    <w:rsid w:val="00A4065F"/>
    <w:rsid w:val="00A414A8"/>
    <w:rsid w:val="00A41DC7"/>
    <w:rsid w:val="00A41F25"/>
    <w:rsid w:val="00A42059"/>
    <w:rsid w:val="00A42159"/>
    <w:rsid w:val="00A421AD"/>
    <w:rsid w:val="00A42A85"/>
    <w:rsid w:val="00A42D12"/>
    <w:rsid w:val="00A43086"/>
    <w:rsid w:val="00A43D43"/>
    <w:rsid w:val="00A4437E"/>
    <w:rsid w:val="00A44600"/>
    <w:rsid w:val="00A44980"/>
    <w:rsid w:val="00A46235"/>
    <w:rsid w:val="00A46655"/>
    <w:rsid w:val="00A46EC6"/>
    <w:rsid w:val="00A47928"/>
    <w:rsid w:val="00A47DE6"/>
    <w:rsid w:val="00A47EC5"/>
    <w:rsid w:val="00A50787"/>
    <w:rsid w:val="00A51496"/>
    <w:rsid w:val="00A5159A"/>
    <w:rsid w:val="00A51DAF"/>
    <w:rsid w:val="00A52035"/>
    <w:rsid w:val="00A524F7"/>
    <w:rsid w:val="00A54267"/>
    <w:rsid w:val="00A54578"/>
    <w:rsid w:val="00A54709"/>
    <w:rsid w:val="00A548DE"/>
    <w:rsid w:val="00A54AEC"/>
    <w:rsid w:val="00A54B27"/>
    <w:rsid w:val="00A566CB"/>
    <w:rsid w:val="00A57971"/>
    <w:rsid w:val="00A600A0"/>
    <w:rsid w:val="00A61FAA"/>
    <w:rsid w:val="00A6313D"/>
    <w:rsid w:val="00A643A8"/>
    <w:rsid w:val="00A644CA"/>
    <w:rsid w:val="00A64724"/>
    <w:rsid w:val="00A64C60"/>
    <w:rsid w:val="00A65BA8"/>
    <w:rsid w:val="00A65C73"/>
    <w:rsid w:val="00A65F1E"/>
    <w:rsid w:val="00A661BB"/>
    <w:rsid w:val="00A66A0A"/>
    <w:rsid w:val="00A66DF1"/>
    <w:rsid w:val="00A67F31"/>
    <w:rsid w:val="00A701E7"/>
    <w:rsid w:val="00A71B06"/>
    <w:rsid w:val="00A72DD1"/>
    <w:rsid w:val="00A72F46"/>
    <w:rsid w:val="00A7332E"/>
    <w:rsid w:val="00A73CAE"/>
    <w:rsid w:val="00A74478"/>
    <w:rsid w:val="00A745E6"/>
    <w:rsid w:val="00A76AA5"/>
    <w:rsid w:val="00A770C2"/>
    <w:rsid w:val="00A77497"/>
    <w:rsid w:val="00A77E08"/>
    <w:rsid w:val="00A77EF7"/>
    <w:rsid w:val="00A80BF6"/>
    <w:rsid w:val="00A810ED"/>
    <w:rsid w:val="00A810F1"/>
    <w:rsid w:val="00A8128C"/>
    <w:rsid w:val="00A828F1"/>
    <w:rsid w:val="00A82999"/>
    <w:rsid w:val="00A82E72"/>
    <w:rsid w:val="00A82F2C"/>
    <w:rsid w:val="00A837CB"/>
    <w:rsid w:val="00A848BD"/>
    <w:rsid w:val="00A85076"/>
    <w:rsid w:val="00A85556"/>
    <w:rsid w:val="00A859DC"/>
    <w:rsid w:val="00A867B6"/>
    <w:rsid w:val="00A86EF6"/>
    <w:rsid w:val="00A87030"/>
    <w:rsid w:val="00A87C0C"/>
    <w:rsid w:val="00A87DCD"/>
    <w:rsid w:val="00A906E0"/>
    <w:rsid w:val="00A90E23"/>
    <w:rsid w:val="00A910D1"/>
    <w:rsid w:val="00A9158E"/>
    <w:rsid w:val="00A917C6"/>
    <w:rsid w:val="00A92110"/>
    <w:rsid w:val="00A928B9"/>
    <w:rsid w:val="00A92B86"/>
    <w:rsid w:val="00A9312C"/>
    <w:rsid w:val="00A932C2"/>
    <w:rsid w:val="00A93E53"/>
    <w:rsid w:val="00A94042"/>
    <w:rsid w:val="00A941ED"/>
    <w:rsid w:val="00A942CD"/>
    <w:rsid w:val="00A943B5"/>
    <w:rsid w:val="00A950AA"/>
    <w:rsid w:val="00A9546E"/>
    <w:rsid w:val="00A955F2"/>
    <w:rsid w:val="00A96D42"/>
    <w:rsid w:val="00A97670"/>
    <w:rsid w:val="00AA04C6"/>
    <w:rsid w:val="00AA086A"/>
    <w:rsid w:val="00AA1A8C"/>
    <w:rsid w:val="00AA2B0E"/>
    <w:rsid w:val="00AA325D"/>
    <w:rsid w:val="00AA3392"/>
    <w:rsid w:val="00AA4084"/>
    <w:rsid w:val="00AA4901"/>
    <w:rsid w:val="00AA4D56"/>
    <w:rsid w:val="00AA5E23"/>
    <w:rsid w:val="00AA65A0"/>
    <w:rsid w:val="00AA77C2"/>
    <w:rsid w:val="00AB08D9"/>
    <w:rsid w:val="00AB1000"/>
    <w:rsid w:val="00AB1FF9"/>
    <w:rsid w:val="00AB22ED"/>
    <w:rsid w:val="00AB2CA3"/>
    <w:rsid w:val="00AB2E53"/>
    <w:rsid w:val="00AB31D2"/>
    <w:rsid w:val="00AB371F"/>
    <w:rsid w:val="00AB3F0F"/>
    <w:rsid w:val="00AB3F88"/>
    <w:rsid w:val="00AB6950"/>
    <w:rsid w:val="00AB6DCB"/>
    <w:rsid w:val="00AB7E91"/>
    <w:rsid w:val="00AC1C67"/>
    <w:rsid w:val="00AC1CE1"/>
    <w:rsid w:val="00AC2707"/>
    <w:rsid w:val="00AC32A2"/>
    <w:rsid w:val="00AC400D"/>
    <w:rsid w:val="00AC4240"/>
    <w:rsid w:val="00AC45AA"/>
    <w:rsid w:val="00AC4D5B"/>
    <w:rsid w:val="00AC5402"/>
    <w:rsid w:val="00AC567E"/>
    <w:rsid w:val="00AC598F"/>
    <w:rsid w:val="00AC5DC4"/>
    <w:rsid w:val="00AC6EED"/>
    <w:rsid w:val="00AC730A"/>
    <w:rsid w:val="00AD0F7C"/>
    <w:rsid w:val="00AD2102"/>
    <w:rsid w:val="00AD31AD"/>
    <w:rsid w:val="00AD3584"/>
    <w:rsid w:val="00AD3AAC"/>
    <w:rsid w:val="00AD4076"/>
    <w:rsid w:val="00AD47C9"/>
    <w:rsid w:val="00AD484E"/>
    <w:rsid w:val="00AD6E3C"/>
    <w:rsid w:val="00AD7571"/>
    <w:rsid w:val="00AD76E0"/>
    <w:rsid w:val="00AD7A8D"/>
    <w:rsid w:val="00AD7ED1"/>
    <w:rsid w:val="00AE4040"/>
    <w:rsid w:val="00AE41E4"/>
    <w:rsid w:val="00AE451C"/>
    <w:rsid w:val="00AE49AE"/>
    <w:rsid w:val="00AE4EF1"/>
    <w:rsid w:val="00AE6359"/>
    <w:rsid w:val="00AE7CD6"/>
    <w:rsid w:val="00AF1103"/>
    <w:rsid w:val="00AF138B"/>
    <w:rsid w:val="00AF1434"/>
    <w:rsid w:val="00AF2B9E"/>
    <w:rsid w:val="00AF35B5"/>
    <w:rsid w:val="00AF4124"/>
    <w:rsid w:val="00AF5596"/>
    <w:rsid w:val="00AF579E"/>
    <w:rsid w:val="00AF5F28"/>
    <w:rsid w:val="00AF6F79"/>
    <w:rsid w:val="00AF73EB"/>
    <w:rsid w:val="00AF798E"/>
    <w:rsid w:val="00B007CE"/>
    <w:rsid w:val="00B00968"/>
    <w:rsid w:val="00B00D6F"/>
    <w:rsid w:val="00B01B2E"/>
    <w:rsid w:val="00B01F6E"/>
    <w:rsid w:val="00B025CD"/>
    <w:rsid w:val="00B031CC"/>
    <w:rsid w:val="00B0333A"/>
    <w:rsid w:val="00B03457"/>
    <w:rsid w:val="00B03D71"/>
    <w:rsid w:val="00B0444F"/>
    <w:rsid w:val="00B04A22"/>
    <w:rsid w:val="00B04DBA"/>
    <w:rsid w:val="00B058AC"/>
    <w:rsid w:val="00B05929"/>
    <w:rsid w:val="00B05AE3"/>
    <w:rsid w:val="00B062FF"/>
    <w:rsid w:val="00B07ACA"/>
    <w:rsid w:val="00B10581"/>
    <w:rsid w:val="00B10799"/>
    <w:rsid w:val="00B117D8"/>
    <w:rsid w:val="00B11847"/>
    <w:rsid w:val="00B11A7A"/>
    <w:rsid w:val="00B11A7B"/>
    <w:rsid w:val="00B11FA8"/>
    <w:rsid w:val="00B123D3"/>
    <w:rsid w:val="00B137E2"/>
    <w:rsid w:val="00B13D06"/>
    <w:rsid w:val="00B146C3"/>
    <w:rsid w:val="00B14D7F"/>
    <w:rsid w:val="00B15CC1"/>
    <w:rsid w:val="00B15E2D"/>
    <w:rsid w:val="00B15E32"/>
    <w:rsid w:val="00B16C4D"/>
    <w:rsid w:val="00B17CC9"/>
    <w:rsid w:val="00B203DE"/>
    <w:rsid w:val="00B210DC"/>
    <w:rsid w:val="00B211E7"/>
    <w:rsid w:val="00B22BCD"/>
    <w:rsid w:val="00B236DC"/>
    <w:rsid w:val="00B242CA"/>
    <w:rsid w:val="00B24A06"/>
    <w:rsid w:val="00B24F23"/>
    <w:rsid w:val="00B24F61"/>
    <w:rsid w:val="00B24FDE"/>
    <w:rsid w:val="00B2577F"/>
    <w:rsid w:val="00B2625B"/>
    <w:rsid w:val="00B2681B"/>
    <w:rsid w:val="00B26DEF"/>
    <w:rsid w:val="00B27C6B"/>
    <w:rsid w:val="00B27CCF"/>
    <w:rsid w:val="00B30C8E"/>
    <w:rsid w:val="00B30E14"/>
    <w:rsid w:val="00B31962"/>
    <w:rsid w:val="00B31DBA"/>
    <w:rsid w:val="00B32618"/>
    <w:rsid w:val="00B32C61"/>
    <w:rsid w:val="00B338A1"/>
    <w:rsid w:val="00B33E68"/>
    <w:rsid w:val="00B343AD"/>
    <w:rsid w:val="00B35274"/>
    <w:rsid w:val="00B3538B"/>
    <w:rsid w:val="00B357D4"/>
    <w:rsid w:val="00B35DCA"/>
    <w:rsid w:val="00B36CBF"/>
    <w:rsid w:val="00B37409"/>
    <w:rsid w:val="00B4064B"/>
    <w:rsid w:val="00B408EA"/>
    <w:rsid w:val="00B41E60"/>
    <w:rsid w:val="00B42162"/>
    <w:rsid w:val="00B421C3"/>
    <w:rsid w:val="00B42382"/>
    <w:rsid w:val="00B424E1"/>
    <w:rsid w:val="00B4280F"/>
    <w:rsid w:val="00B42AC0"/>
    <w:rsid w:val="00B42C73"/>
    <w:rsid w:val="00B42E54"/>
    <w:rsid w:val="00B42FDF"/>
    <w:rsid w:val="00B444B5"/>
    <w:rsid w:val="00B44911"/>
    <w:rsid w:val="00B44A02"/>
    <w:rsid w:val="00B44A87"/>
    <w:rsid w:val="00B44BF1"/>
    <w:rsid w:val="00B44D14"/>
    <w:rsid w:val="00B44DBE"/>
    <w:rsid w:val="00B4591F"/>
    <w:rsid w:val="00B45DD4"/>
    <w:rsid w:val="00B45E83"/>
    <w:rsid w:val="00B45F27"/>
    <w:rsid w:val="00B46929"/>
    <w:rsid w:val="00B47DFE"/>
    <w:rsid w:val="00B513A0"/>
    <w:rsid w:val="00B51417"/>
    <w:rsid w:val="00B514D9"/>
    <w:rsid w:val="00B51DF4"/>
    <w:rsid w:val="00B52707"/>
    <w:rsid w:val="00B52D41"/>
    <w:rsid w:val="00B52E5F"/>
    <w:rsid w:val="00B52FF2"/>
    <w:rsid w:val="00B53231"/>
    <w:rsid w:val="00B53CE3"/>
    <w:rsid w:val="00B53EA7"/>
    <w:rsid w:val="00B55B3A"/>
    <w:rsid w:val="00B56A3B"/>
    <w:rsid w:val="00B57691"/>
    <w:rsid w:val="00B57BD7"/>
    <w:rsid w:val="00B60507"/>
    <w:rsid w:val="00B60829"/>
    <w:rsid w:val="00B60A1E"/>
    <w:rsid w:val="00B61A03"/>
    <w:rsid w:val="00B61E5D"/>
    <w:rsid w:val="00B63EA4"/>
    <w:rsid w:val="00B63FD3"/>
    <w:rsid w:val="00B64502"/>
    <w:rsid w:val="00B645F6"/>
    <w:rsid w:val="00B64792"/>
    <w:rsid w:val="00B64D27"/>
    <w:rsid w:val="00B64F0F"/>
    <w:rsid w:val="00B655FA"/>
    <w:rsid w:val="00B65D48"/>
    <w:rsid w:val="00B6615D"/>
    <w:rsid w:val="00B667A4"/>
    <w:rsid w:val="00B66F2E"/>
    <w:rsid w:val="00B670C4"/>
    <w:rsid w:val="00B67251"/>
    <w:rsid w:val="00B67AC6"/>
    <w:rsid w:val="00B7016E"/>
    <w:rsid w:val="00B702BA"/>
    <w:rsid w:val="00B714ED"/>
    <w:rsid w:val="00B718A3"/>
    <w:rsid w:val="00B7257D"/>
    <w:rsid w:val="00B73EFA"/>
    <w:rsid w:val="00B746AE"/>
    <w:rsid w:val="00B74D45"/>
    <w:rsid w:val="00B752B5"/>
    <w:rsid w:val="00B765C3"/>
    <w:rsid w:val="00B7726D"/>
    <w:rsid w:val="00B801E0"/>
    <w:rsid w:val="00B805DC"/>
    <w:rsid w:val="00B81482"/>
    <w:rsid w:val="00B82440"/>
    <w:rsid w:val="00B8289D"/>
    <w:rsid w:val="00B8331A"/>
    <w:rsid w:val="00B8391C"/>
    <w:rsid w:val="00B84405"/>
    <w:rsid w:val="00B84A58"/>
    <w:rsid w:val="00B85FAA"/>
    <w:rsid w:val="00B86AEF"/>
    <w:rsid w:val="00B86BFD"/>
    <w:rsid w:val="00B86E77"/>
    <w:rsid w:val="00B86EFA"/>
    <w:rsid w:val="00B878AD"/>
    <w:rsid w:val="00B87EAF"/>
    <w:rsid w:val="00B90A5B"/>
    <w:rsid w:val="00B91419"/>
    <w:rsid w:val="00B9171D"/>
    <w:rsid w:val="00B922EE"/>
    <w:rsid w:val="00B92393"/>
    <w:rsid w:val="00B93009"/>
    <w:rsid w:val="00B937E9"/>
    <w:rsid w:val="00B93B36"/>
    <w:rsid w:val="00B93D5E"/>
    <w:rsid w:val="00B9430E"/>
    <w:rsid w:val="00B9467B"/>
    <w:rsid w:val="00B946FE"/>
    <w:rsid w:val="00B94A1C"/>
    <w:rsid w:val="00B952CF"/>
    <w:rsid w:val="00B953FA"/>
    <w:rsid w:val="00B95DE9"/>
    <w:rsid w:val="00B96A00"/>
    <w:rsid w:val="00B97758"/>
    <w:rsid w:val="00B97903"/>
    <w:rsid w:val="00B97E0B"/>
    <w:rsid w:val="00B97EC7"/>
    <w:rsid w:val="00BA0679"/>
    <w:rsid w:val="00BA0B6C"/>
    <w:rsid w:val="00BA1B03"/>
    <w:rsid w:val="00BA2023"/>
    <w:rsid w:val="00BA20D6"/>
    <w:rsid w:val="00BA2337"/>
    <w:rsid w:val="00BA248B"/>
    <w:rsid w:val="00BA24C4"/>
    <w:rsid w:val="00BA25C2"/>
    <w:rsid w:val="00BA2FF4"/>
    <w:rsid w:val="00BA3552"/>
    <w:rsid w:val="00BA3B41"/>
    <w:rsid w:val="00BA3D68"/>
    <w:rsid w:val="00BA448B"/>
    <w:rsid w:val="00BA46C2"/>
    <w:rsid w:val="00BA4B26"/>
    <w:rsid w:val="00BA51F3"/>
    <w:rsid w:val="00BA5A30"/>
    <w:rsid w:val="00BA5CC8"/>
    <w:rsid w:val="00BA6B13"/>
    <w:rsid w:val="00BA6C36"/>
    <w:rsid w:val="00BA6C71"/>
    <w:rsid w:val="00BA6F5D"/>
    <w:rsid w:val="00BB03AF"/>
    <w:rsid w:val="00BB0443"/>
    <w:rsid w:val="00BB0958"/>
    <w:rsid w:val="00BB0E1A"/>
    <w:rsid w:val="00BB2568"/>
    <w:rsid w:val="00BB2895"/>
    <w:rsid w:val="00BB3CA9"/>
    <w:rsid w:val="00BB3D1E"/>
    <w:rsid w:val="00BB439B"/>
    <w:rsid w:val="00BB58DE"/>
    <w:rsid w:val="00BB5CB0"/>
    <w:rsid w:val="00BB5FCE"/>
    <w:rsid w:val="00BB628B"/>
    <w:rsid w:val="00BB6AA4"/>
    <w:rsid w:val="00BB6D35"/>
    <w:rsid w:val="00BB780F"/>
    <w:rsid w:val="00BB7A1B"/>
    <w:rsid w:val="00BB7CDA"/>
    <w:rsid w:val="00BB7DF7"/>
    <w:rsid w:val="00BB7EF8"/>
    <w:rsid w:val="00BC09B0"/>
    <w:rsid w:val="00BC0E1D"/>
    <w:rsid w:val="00BC0E89"/>
    <w:rsid w:val="00BC1301"/>
    <w:rsid w:val="00BC215F"/>
    <w:rsid w:val="00BC24D6"/>
    <w:rsid w:val="00BC26D9"/>
    <w:rsid w:val="00BC2ABC"/>
    <w:rsid w:val="00BC472F"/>
    <w:rsid w:val="00BC4925"/>
    <w:rsid w:val="00BC509D"/>
    <w:rsid w:val="00BC55C3"/>
    <w:rsid w:val="00BC578A"/>
    <w:rsid w:val="00BC5AE9"/>
    <w:rsid w:val="00BC5D27"/>
    <w:rsid w:val="00BC5D99"/>
    <w:rsid w:val="00BC5DEB"/>
    <w:rsid w:val="00BC6C51"/>
    <w:rsid w:val="00BC7118"/>
    <w:rsid w:val="00BD02A1"/>
    <w:rsid w:val="00BD14FE"/>
    <w:rsid w:val="00BD1D92"/>
    <w:rsid w:val="00BD2217"/>
    <w:rsid w:val="00BD2598"/>
    <w:rsid w:val="00BD2F1A"/>
    <w:rsid w:val="00BD3275"/>
    <w:rsid w:val="00BD3ED0"/>
    <w:rsid w:val="00BD4738"/>
    <w:rsid w:val="00BD4F1C"/>
    <w:rsid w:val="00BD4F92"/>
    <w:rsid w:val="00BD52AE"/>
    <w:rsid w:val="00BD545E"/>
    <w:rsid w:val="00BD547C"/>
    <w:rsid w:val="00BD5DD0"/>
    <w:rsid w:val="00BD7176"/>
    <w:rsid w:val="00BD722B"/>
    <w:rsid w:val="00BD76A0"/>
    <w:rsid w:val="00BE0E1D"/>
    <w:rsid w:val="00BE11B1"/>
    <w:rsid w:val="00BE2759"/>
    <w:rsid w:val="00BE301A"/>
    <w:rsid w:val="00BE336B"/>
    <w:rsid w:val="00BE3BD5"/>
    <w:rsid w:val="00BE414D"/>
    <w:rsid w:val="00BE434B"/>
    <w:rsid w:val="00BE4983"/>
    <w:rsid w:val="00BE5145"/>
    <w:rsid w:val="00BE5276"/>
    <w:rsid w:val="00BE55FE"/>
    <w:rsid w:val="00BE5ADD"/>
    <w:rsid w:val="00BE5D3F"/>
    <w:rsid w:val="00BE5EA9"/>
    <w:rsid w:val="00BE5EFC"/>
    <w:rsid w:val="00BE734C"/>
    <w:rsid w:val="00BE73E8"/>
    <w:rsid w:val="00BE78C3"/>
    <w:rsid w:val="00BF0672"/>
    <w:rsid w:val="00BF1827"/>
    <w:rsid w:val="00BF2017"/>
    <w:rsid w:val="00BF23DA"/>
    <w:rsid w:val="00BF2492"/>
    <w:rsid w:val="00BF2569"/>
    <w:rsid w:val="00BF30E8"/>
    <w:rsid w:val="00BF316A"/>
    <w:rsid w:val="00BF3251"/>
    <w:rsid w:val="00BF418E"/>
    <w:rsid w:val="00BF46A3"/>
    <w:rsid w:val="00BF4E14"/>
    <w:rsid w:val="00BF5086"/>
    <w:rsid w:val="00BF541F"/>
    <w:rsid w:val="00BF5CC0"/>
    <w:rsid w:val="00BF684A"/>
    <w:rsid w:val="00BF6D0C"/>
    <w:rsid w:val="00BF6E0C"/>
    <w:rsid w:val="00C0092F"/>
    <w:rsid w:val="00C024F8"/>
    <w:rsid w:val="00C03270"/>
    <w:rsid w:val="00C03866"/>
    <w:rsid w:val="00C03888"/>
    <w:rsid w:val="00C03B4A"/>
    <w:rsid w:val="00C041E0"/>
    <w:rsid w:val="00C043A5"/>
    <w:rsid w:val="00C04636"/>
    <w:rsid w:val="00C04C87"/>
    <w:rsid w:val="00C050A6"/>
    <w:rsid w:val="00C055A5"/>
    <w:rsid w:val="00C05F87"/>
    <w:rsid w:val="00C07EE9"/>
    <w:rsid w:val="00C1055B"/>
    <w:rsid w:val="00C106FF"/>
    <w:rsid w:val="00C10B42"/>
    <w:rsid w:val="00C10DE5"/>
    <w:rsid w:val="00C10F49"/>
    <w:rsid w:val="00C11054"/>
    <w:rsid w:val="00C11362"/>
    <w:rsid w:val="00C12290"/>
    <w:rsid w:val="00C137A4"/>
    <w:rsid w:val="00C14AA9"/>
    <w:rsid w:val="00C1535D"/>
    <w:rsid w:val="00C1558B"/>
    <w:rsid w:val="00C1586F"/>
    <w:rsid w:val="00C15E15"/>
    <w:rsid w:val="00C165D0"/>
    <w:rsid w:val="00C16CDF"/>
    <w:rsid w:val="00C17471"/>
    <w:rsid w:val="00C17576"/>
    <w:rsid w:val="00C1780D"/>
    <w:rsid w:val="00C17E57"/>
    <w:rsid w:val="00C17F31"/>
    <w:rsid w:val="00C20083"/>
    <w:rsid w:val="00C2013F"/>
    <w:rsid w:val="00C2092D"/>
    <w:rsid w:val="00C20A49"/>
    <w:rsid w:val="00C21320"/>
    <w:rsid w:val="00C21740"/>
    <w:rsid w:val="00C2297F"/>
    <w:rsid w:val="00C2400C"/>
    <w:rsid w:val="00C24021"/>
    <w:rsid w:val="00C24309"/>
    <w:rsid w:val="00C24D9D"/>
    <w:rsid w:val="00C24F73"/>
    <w:rsid w:val="00C261E0"/>
    <w:rsid w:val="00C26263"/>
    <w:rsid w:val="00C2643C"/>
    <w:rsid w:val="00C26D01"/>
    <w:rsid w:val="00C27044"/>
    <w:rsid w:val="00C2716F"/>
    <w:rsid w:val="00C27645"/>
    <w:rsid w:val="00C278E2"/>
    <w:rsid w:val="00C27D0E"/>
    <w:rsid w:val="00C27FB9"/>
    <w:rsid w:val="00C301BF"/>
    <w:rsid w:val="00C303F7"/>
    <w:rsid w:val="00C30B2E"/>
    <w:rsid w:val="00C30C0B"/>
    <w:rsid w:val="00C310FC"/>
    <w:rsid w:val="00C3121D"/>
    <w:rsid w:val="00C3176C"/>
    <w:rsid w:val="00C31D5C"/>
    <w:rsid w:val="00C32106"/>
    <w:rsid w:val="00C333A9"/>
    <w:rsid w:val="00C338A5"/>
    <w:rsid w:val="00C33D87"/>
    <w:rsid w:val="00C35229"/>
    <w:rsid w:val="00C35442"/>
    <w:rsid w:val="00C35BDA"/>
    <w:rsid w:val="00C368FE"/>
    <w:rsid w:val="00C37A3D"/>
    <w:rsid w:val="00C41229"/>
    <w:rsid w:val="00C41358"/>
    <w:rsid w:val="00C41B54"/>
    <w:rsid w:val="00C429CF"/>
    <w:rsid w:val="00C42D43"/>
    <w:rsid w:val="00C42EA9"/>
    <w:rsid w:val="00C43DC7"/>
    <w:rsid w:val="00C441B0"/>
    <w:rsid w:val="00C442BF"/>
    <w:rsid w:val="00C45622"/>
    <w:rsid w:val="00C464F0"/>
    <w:rsid w:val="00C46686"/>
    <w:rsid w:val="00C468E1"/>
    <w:rsid w:val="00C46D1E"/>
    <w:rsid w:val="00C503F3"/>
    <w:rsid w:val="00C504E6"/>
    <w:rsid w:val="00C5098E"/>
    <w:rsid w:val="00C50B8F"/>
    <w:rsid w:val="00C50D4D"/>
    <w:rsid w:val="00C51539"/>
    <w:rsid w:val="00C516E0"/>
    <w:rsid w:val="00C5220F"/>
    <w:rsid w:val="00C525D0"/>
    <w:rsid w:val="00C526A3"/>
    <w:rsid w:val="00C52EBD"/>
    <w:rsid w:val="00C53AA3"/>
    <w:rsid w:val="00C53B0B"/>
    <w:rsid w:val="00C542B3"/>
    <w:rsid w:val="00C5506B"/>
    <w:rsid w:val="00C55772"/>
    <w:rsid w:val="00C5598B"/>
    <w:rsid w:val="00C55BFB"/>
    <w:rsid w:val="00C560B4"/>
    <w:rsid w:val="00C56906"/>
    <w:rsid w:val="00C56A68"/>
    <w:rsid w:val="00C572A8"/>
    <w:rsid w:val="00C572C2"/>
    <w:rsid w:val="00C57974"/>
    <w:rsid w:val="00C57E5F"/>
    <w:rsid w:val="00C60025"/>
    <w:rsid w:val="00C60484"/>
    <w:rsid w:val="00C606E1"/>
    <w:rsid w:val="00C60A11"/>
    <w:rsid w:val="00C61D50"/>
    <w:rsid w:val="00C63025"/>
    <w:rsid w:val="00C6349D"/>
    <w:rsid w:val="00C63A77"/>
    <w:rsid w:val="00C63DBA"/>
    <w:rsid w:val="00C642A3"/>
    <w:rsid w:val="00C6444A"/>
    <w:rsid w:val="00C646F9"/>
    <w:rsid w:val="00C65EC3"/>
    <w:rsid w:val="00C663FB"/>
    <w:rsid w:val="00C673B5"/>
    <w:rsid w:val="00C67B68"/>
    <w:rsid w:val="00C700C6"/>
    <w:rsid w:val="00C70119"/>
    <w:rsid w:val="00C701A8"/>
    <w:rsid w:val="00C705F2"/>
    <w:rsid w:val="00C706AD"/>
    <w:rsid w:val="00C7141A"/>
    <w:rsid w:val="00C71524"/>
    <w:rsid w:val="00C7240D"/>
    <w:rsid w:val="00C72707"/>
    <w:rsid w:val="00C72B19"/>
    <w:rsid w:val="00C72E1B"/>
    <w:rsid w:val="00C7451A"/>
    <w:rsid w:val="00C74702"/>
    <w:rsid w:val="00C75478"/>
    <w:rsid w:val="00C755E8"/>
    <w:rsid w:val="00C769D0"/>
    <w:rsid w:val="00C76E66"/>
    <w:rsid w:val="00C770BE"/>
    <w:rsid w:val="00C776B4"/>
    <w:rsid w:val="00C8022A"/>
    <w:rsid w:val="00C80465"/>
    <w:rsid w:val="00C80B9B"/>
    <w:rsid w:val="00C80BBE"/>
    <w:rsid w:val="00C8160C"/>
    <w:rsid w:val="00C81949"/>
    <w:rsid w:val="00C81AC2"/>
    <w:rsid w:val="00C82A36"/>
    <w:rsid w:val="00C82A64"/>
    <w:rsid w:val="00C83906"/>
    <w:rsid w:val="00C84522"/>
    <w:rsid w:val="00C84530"/>
    <w:rsid w:val="00C8594C"/>
    <w:rsid w:val="00C86053"/>
    <w:rsid w:val="00C8626D"/>
    <w:rsid w:val="00C9032E"/>
    <w:rsid w:val="00C90FF3"/>
    <w:rsid w:val="00C91672"/>
    <w:rsid w:val="00C917B2"/>
    <w:rsid w:val="00C91F4A"/>
    <w:rsid w:val="00C9269B"/>
    <w:rsid w:val="00C931B9"/>
    <w:rsid w:val="00C93A94"/>
    <w:rsid w:val="00C93DDD"/>
    <w:rsid w:val="00C940F9"/>
    <w:rsid w:val="00C9417B"/>
    <w:rsid w:val="00C94357"/>
    <w:rsid w:val="00C947C6"/>
    <w:rsid w:val="00C94E63"/>
    <w:rsid w:val="00C956B7"/>
    <w:rsid w:val="00C96229"/>
    <w:rsid w:val="00C96935"/>
    <w:rsid w:val="00C96ABB"/>
    <w:rsid w:val="00CA00BE"/>
    <w:rsid w:val="00CA0BB0"/>
    <w:rsid w:val="00CA0F76"/>
    <w:rsid w:val="00CA1CF2"/>
    <w:rsid w:val="00CA2993"/>
    <w:rsid w:val="00CA2CC9"/>
    <w:rsid w:val="00CA2E75"/>
    <w:rsid w:val="00CA4867"/>
    <w:rsid w:val="00CA495F"/>
    <w:rsid w:val="00CA496F"/>
    <w:rsid w:val="00CA4B20"/>
    <w:rsid w:val="00CA712D"/>
    <w:rsid w:val="00CA71CE"/>
    <w:rsid w:val="00CA7D49"/>
    <w:rsid w:val="00CB10E1"/>
    <w:rsid w:val="00CB16E3"/>
    <w:rsid w:val="00CB1750"/>
    <w:rsid w:val="00CB2AB9"/>
    <w:rsid w:val="00CB2D38"/>
    <w:rsid w:val="00CB35CC"/>
    <w:rsid w:val="00CB3DDD"/>
    <w:rsid w:val="00CB4007"/>
    <w:rsid w:val="00CB4A46"/>
    <w:rsid w:val="00CB4E18"/>
    <w:rsid w:val="00CB4F74"/>
    <w:rsid w:val="00CB5188"/>
    <w:rsid w:val="00CB5D20"/>
    <w:rsid w:val="00CB5E69"/>
    <w:rsid w:val="00CC004B"/>
    <w:rsid w:val="00CC0579"/>
    <w:rsid w:val="00CC0623"/>
    <w:rsid w:val="00CC0D30"/>
    <w:rsid w:val="00CC197C"/>
    <w:rsid w:val="00CC1CFF"/>
    <w:rsid w:val="00CC1D15"/>
    <w:rsid w:val="00CC1F79"/>
    <w:rsid w:val="00CC212F"/>
    <w:rsid w:val="00CC22C9"/>
    <w:rsid w:val="00CC28BF"/>
    <w:rsid w:val="00CC302A"/>
    <w:rsid w:val="00CC30DE"/>
    <w:rsid w:val="00CC3267"/>
    <w:rsid w:val="00CC3963"/>
    <w:rsid w:val="00CC53BC"/>
    <w:rsid w:val="00CC5668"/>
    <w:rsid w:val="00CC5E11"/>
    <w:rsid w:val="00CC6304"/>
    <w:rsid w:val="00CC6627"/>
    <w:rsid w:val="00CC6965"/>
    <w:rsid w:val="00CC78D4"/>
    <w:rsid w:val="00CC7FA9"/>
    <w:rsid w:val="00CD00CD"/>
    <w:rsid w:val="00CD135D"/>
    <w:rsid w:val="00CD1484"/>
    <w:rsid w:val="00CD14F3"/>
    <w:rsid w:val="00CD204D"/>
    <w:rsid w:val="00CD2989"/>
    <w:rsid w:val="00CD2A6F"/>
    <w:rsid w:val="00CD2D8A"/>
    <w:rsid w:val="00CD3348"/>
    <w:rsid w:val="00CD3F6F"/>
    <w:rsid w:val="00CD41D3"/>
    <w:rsid w:val="00CD465F"/>
    <w:rsid w:val="00CD46ED"/>
    <w:rsid w:val="00CD4DC8"/>
    <w:rsid w:val="00CD6245"/>
    <w:rsid w:val="00CD64EE"/>
    <w:rsid w:val="00CD6F35"/>
    <w:rsid w:val="00CD7495"/>
    <w:rsid w:val="00CD7F68"/>
    <w:rsid w:val="00CE0158"/>
    <w:rsid w:val="00CE0710"/>
    <w:rsid w:val="00CE25C5"/>
    <w:rsid w:val="00CE2AE3"/>
    <w:rsid w:val="00CE2F28"/>
    <w:rsid w:val="00CE3454"/>
    <w:rsid w:val="00CE419B"/>
    <w:rsid w:val="00CE433C"/>
    <w:rsid w:val="00CE6367"/>
    <w:rsid w:val="00CE649D"/>
    <w:rsid w:val="00CE7917"/>
    <w:rsid w:val="00CE79F5"/>
    <w:rsid w:val="00CF053E"/>
    <w:rsid w:val="00CF079C"/>
    <w:rsid w:val="00CF0D34"/>
    <w:rsid w:val="00CF1B43"/>
    <w:rsid w:val="00CF2BA4"/>
    <w:rsid w:val="00CF3A5C"/>
    <w:rsid w:val="00CF4E5C"/>
    <w:rsid w:val="00CF4E69"/>
    <w:rsid w:val="00CF5064"/>
    <w:rsid w:val="00CF557C"/>
    <w:rsid w:val="00CF58CD"/>
    <w:rsid w:val="00CF746D"/>
    <w:rsid w:val="00CF759B"/>
    <w:rsid w:val="00CF7D87"/>
    <w:rsid w:val="00CF7DFB"/>
    <w:rsid w:val="00D007B4"/>
    <w:rsid w:val="00D021F7"/>
    <w:rsid w:val="00D02D7A"/>
    <w:rsid w:val="00D0327B"/>
    <w:rsid w:val="00D0355E"/>
    <w:rsid w:val="00D03819"/>
    <w:rsid w:val="00D04315"/>
    <w:rsid w:val="00D058E7"/>
    <w:rsid w:val="00D05D07"/>
    <w:rsid w:val="00D05D4C"/>
    <w:rsid w:val="00D05E4C"/>
    <w:rsid w:val="00D0685E"/>
    <w:rsid w:val="00D06D34"/>
    <w:rsid w:val="00D07223"/>
    <w:rsid w:val="00D0738C"/>
    <w:rsid w:val="00D0752B"/>
    <w:rsid w:val="00D07764"/>
    <w:rsid w:val="00D07C2F"/>
    <w:rsid w:val="00D07F25"/>
    <w:rsid w:val="00D111C0"/>
    <w:rsid w:val="00D1279B"/>
    <w:rsid w:val="00D12909"/>
    <w:rsid w:val="00D12CD9"/>
    <w:rsid w:val="00D12E05"/>
    <w:rsid w:val="00D13FA5"/>
    <w:rsid w:val="00D14B5D"/>
    <w:rsid w:val="00D14E4B"/>
    <w:rsid w:val="00D15D52"/>
    <w:rsid w:val="00D15DD5"/>
    <w:rsid w:val="00D16172"/>
    <w:rsid w:val="00D16BD5"/>
    <w:rsid w:val="00D17CE8"/>
    <w:rsid w:val="00D203FB"/>
    <w:rsid w:val="00D20E1C"/>
    <w:rsid w:val="00D21B10"/>
    <w:rsid w:val="00D21BCB"/>
    <w:rsid w:val="00D22639"/>
    <w:rsid w:val="00D2264A"/>
    <w:rsid w:val="00D2295D"/>
    <w:rsid w:val="00D24970"/>
    <w:rsid w:val="00D249CA"/>
    <w:rsid w:val="00D25776"/>
    <w:rsid w:val="00D25ACE"/>
    <w:rsid w:val="00D25B42"/>
    <w:rsid w:val="00D25B97"/>
    <w:rsid w:val="00D27207"/>
    <w:rsid w:val="00D27904"/>
    <w:rsid w:val="00D3111C"/>
    <w:rsid w:val="00D3124B"/>
    <w:rsid w:val="00D31D4E"/>
    <w:rsid w:val="00D33286"/>
    <w:rsid w:val="00D33896"/>
    <w:rsid w:val="00D3492C"/>
    <w:rsid w:val="00D34C95"/>
    <w:rsid w:val="00D34E09"/>
    <w:rsid w:val="00D360EA"/>
    <w:rsid w:val="00D377F7"/>
    <w:rsid w:val="00D4009B"/>
    <w:rsid w:val="00D402AF"/>
    <w:rsid w:val="00D40FCC"/>
    <w:rsid w:val="00D41E6F"/>
    <w:rsid w:val="00D4348A"/>
    <w:rsid w:val="00D44FFD"/>
    <w:rsid w:val="00D45006"/>
    <w:rsid w:val="00D46175"/>
    <w:rsid w:val="00D46527"/>
    <w:rsid w:val="00D46ED7"/>
    <w:rsid w:val="00D4715F"/>
    <w:rsid w:val="00D47BFF"/>
    <w:rsid w:val="00D503CF"/>
    <w:rsid w:val="00D5089D"/>
    <w:rsid w:val="00D5140C"/>
    <w:rsid w:val="00D520EF"/>
    <w:rsid w:val="00D52534"/>
    <w:rsid w:val="00D5280B"/>
    <w:rsid w:val="00D52EE7"/>
    <w:rsid w:val="00D53406"/>
    <w:rsid w:val="00D54D5A"/>
    <w:rsid w:val="00D5663E"/>
    <w:rsid w:val="00D567E6"/>
    <w:rsid w:val="00D56889"/>
    <w:rsid w:val="00D56CC9"/>
    <w:rsid w:val="00D57305"/>
    <w:rsid w:val="00D573C7"/>
    <w:rsid w:val="00D577D7"/>
    <w:rsid w:val="00D601C3"/>
    <w:rsid w:val="00D60BC5"/>
    <w:rsid w:val="00D61984"/>
    <w:rsid w:val="00D61C63"/>
    <w:rsid w:val="00D6243A"/>
    <w:rsid w:val="00D634FC"/>
    <w:rsid w:val="00D63577"/>
    <w:rsid w:val="00D64F6A"/>
    <w:rsid w:val="00D654D6"/>
    <w:rsid w:val="00D6552C"/>
    <w:rsid w:val="00D659A2"/>
    <w:rsid w:val="00D661A0"/>
    <w:rsid w:val="00D66D95"/>
    <w:rsid w:val="00D6743A"/>
    <w:rsid w:val="00D67448"/>
    <w:rsid w:val="00D67576"/>
    <w:rsid w:val="00D677C6"/>
    <w:rsid w:val="00D67C90"/>
    <w:rsid w:val="00D67DD9"/>
    <w:rsid w:val="00D71453"/>
    <w:rsid w:val="00D71BC6"/>
    <w:rsid w:val="00D71FCB"/>
    <w:rsid w:val="00D72B7F"/>
    <w:rsid w:val="00D72F59"/>
    <w:rsid w:val="00D73074"/>
    <w:rsid w:val="00D73206"/>
    <w:rsid w:val="00D748B2"/>
    <w:rsid w:val="00D748EC"/>
    <w:rsid w:val="00D75761"/>
    <w:rsid w:val="00D75EB2"/>
    <w:rsid w:val="00D766E0"/>
    <w:rsid w:val="00D77219"/>
    <w:rsid w:val="00D774C0"/>
    <w:rsid w:val="00D77828"/>
    <w:rsid w:val="00D779E4"/>
    <w:rsid w:val="00D81BD0"/>
    <w:rsid w:val="00D81E36"/>
    <w:rsid w:val="00D81FB9"/>
    <w:rsid w:val="00D82791"/>
    <w:rsid w:val="00D83105"/>
    <w:rsid w:val="00D836EA"/>
    <w:rsid w:val="00D83B7F"/>
    <w:rsid w:val="00D84281"/>
    <w:rsid w:val="00D84416"/>
    <w:rsid w:val="00D85FD6"/>
    <w:rsid w:val="00D86909"/>
    <w:rsid w:val="00D87181"/>
    <w:rsid w:val="00D87628"/>
    <w:rsid w:val="00D877D3"/>
    <w:rsid w:val="00D87979"/>
    <w:rsid w:val="00D87C56"/>
    <w:rsid w:val="00D901EA"/>
    <w:rsid w:val="00D90582"/>
    <w:rsid w:val="00D91A79"/>
    <w:rsid w:val="00D91EF1"/>
    <w:rsid w:val="00D9263D"/>
    <w:rsid w:val="00D929BE"/>
    <w:rsid w:val="00D9393B"/>
    <w:rsid w:val="00D93B62"/>
    <w:rsid w:val="00D94253"/>
    <w:rsid w:val="00D943B5"/>
    <w:rsid w:val="00D94952"/>
    <w:rsid w:val="00D94A27"/>
    <w:rsid w:val="00D94A90"/>
    <w:rsid w:val="00D94D49"/>
    <w:rsid w:val="00D9525B"/>
    <w:rsid w:val="00D9528D"/>
    <w:rsid w:val="00D97617"/>
    <w:rsid w:val="00DA06F0"/>
    <w:rsid w:val="00DA117B"/>
    <w:rsid w:val="00DA1919"/>
    <w:rsid w:val="00DA27EE"/>
    <w:rsid w:val="00DA30A6"/>
    <w:rsid w:val="00DA3306"/>
    <w:rsid w:val="00DA3C7E"/>
    <w:rsid w:val="00DA4695"/>
    <w:rsid w:val="00DA49BB"/>
    <w:rsid w:val="00DA49D1"/>
    <w:rsid w:val="00DA4BF9"/>
    <w:rsid w:val="00DA50A0"/>
    <w:rsid w:val="00DA5F6C"/>
    <w:rsid w:val="00DA6828"/>
    <w:rsid w:val="00DA6A20"/>
    <w:rsid w:val="00DA78CC"/>
    <w:rsid w:val="00DB0028"/>
    <w:rsid w:val="00DB11FF"/>
    <w:rsid w:val="00DB1368"/>
    <w:rsid w:val="00DB181D"/>
    <w:rsid w:val="00DB21AB"/>
    <w:rsid w:val="00DB2902"/>
    <w:rsid w:val="00DB2953"/>
    <w:rsid w:val="00DB2CB4"/>
    <w:rsid w:val="00DB3178"/>
    <w:rsid w:val="00DB356A"/>
    <w:rsid w:val="00DB3A5E"/>
    <w:rsid w:val="00DB4292"/>
    <w:rsid w:val="00DB4E51"/>
    <w:rsid w:val="00DB59C8"/>
    <w:rsid w:val="00DB5F5D"/>
    <w:rsid w:val="00DB5F61"/>
    <w:rsid w:val="00DB7049"/>
    <w:rsid w:val="00DB76BB"/>
    <w:rsid w:val="00DC0EA6"/>
    <w:rsid w:val="00DC1462"/>
    <w:rsid w:val="00DC14A1"/>
    <w:rsid w:val="00DC2878"/>
    <w:rsid w:val="00DC354D"/>
    <w:rsid w:val="00DC3983"/>
    <w:rsid w:val="00DC4B0D"/>
    <w:rsid w:val="00DC4B36"/>
    <w:rsid w:val="00DC4BD8"/>
    <w:rsid w:val="00DC503C"/>
    <w:rsid w:val="00DC52A3"/>
    <w:rsid w:val="00DC5939"/>
    <w:rsid w:val="00DC60E2"/>
    <w:rsid w:val="00DC6AAF"/>
    <w:rsid w:val="00DC7F70"/>
    <w:rsid w:val="00DC7FE1"/>
    <w:rsid w:val="00DD1477"/>
    <w:rsid w:val="00DD28A1"/>
    <w:rsid w:val="00DD2C51"/>
    <w:rsid w:val="00DD3415"/>
    <w:rsid w:val="00DD38A1"/>
    <w:rsid w:val="00DD43BB"/>
    <w:rsid w:val="00DD482E"/>
    <w:rsid w:val="00DD4B90"/>
    <w:rsid w:val="00DD4D68"/>
    <w:rsid w:val="00DD54F5"/>
    <w:rsid w:val="00DD56C6"/>
    <w:rsid w:val="00DD58FD"/>
    <w:rsid w:val="00DD5C59"/>
    <w:rsid w:val="00DD60F4"/>
    <w:rsid w:val="00DD6624"/>
    <w:rsid w:val="00DD7DB7"/>
    <w:rsid w:val="00DE0EE5"/>
    <w:rsid w:val="00DE1C5A"/>
    <w:rsid w:val="00DE1F57"/>
    <w:rsid w:val="00DE322B"/>
    <w:rsid w:val="00DE3EF2"/>
    <w:rsid w:val="00DE4645"/>
    <w:rsid w:val="00DE4AAA"/>
    <w:rsid w:val="00DE4B33"/>
    <w:rsid w:val="00DE5411"/>
    <w:rsid w:val="00DE6320"/>
    <w:rsid w:val="00DE6B6B"/>
    <w:rsid w:val="00DE79F3"/>
    <w:rsid w:val="00DE7F0B"/>
    <w:rsid w:val="00DF0029"/>
    <w:rsid w:val="00DF0583"/>
    <w:rsid w:val="00DF09E7"/>
    <w:rsid w:val="00DF0BDE"/>
    <w:rsid w:val="00DF14EE"/>
    <w:rsid w:val="00DF208A"/>
    <w:rsid w:val="00DF20B2"/>
    <w:rsid w:val="00DF2548"/>
    <w:rsid w:val="00DF26AD"/>
    <w:rsid w:val="00DF2F01"/>
    <w:rsid w:val="00DF3A19"/>
    <w:rsid w:val="00DF4C0B"/>
    <w:rsid w:val="00DF4D0A"/>
    <w:rsid w:val="00DF5932"/>
    <w:rsid w:val="00DF5C60"/>
    <w:rsid w:val="00DF64AE"/>
    <w:rsid w:val="00DF6F9E"/>
    <w:rsid w:val="00DF7B94"/>
    <w:rsid w:val="00E0096A"/>
    <w:rsid w:val="00E00BD8"/>
    <w:rsid w:val="00E01B25"/>
    <w:rsid w:val="00E02503"/>
    <w:rsid w:val="00E027AF"/>
    <w:rsid w:val="00E02C6D"/>
    <w:rsid w:val="00E02E1B"/>
    <w:rsid w:val="00E032B5"/>
    <w:rsid w:val="00E03E00"/>
    <w:rsid w:val="00E03E1E"/>
    <w:rsid w:val="00E03EF8"/>
    <w:rsid w:val="00E03F46"/>
    <w:rsid w:val="00E04299"/>
    <w:rsid w:val="00E044DA"/>
    <w:rsid w:val="00E0527E"/>
    <w:rsid w:val="00E05A5E"/>
    <w:rsid w:val="00E05D64"/>
    <w:rsid w:val="00E0604C"/>
    <w:rsid w:val="00E077D9"/>
    <w:rsid w:val="00E078BD"/>
    <w:rsid w:val="00E07BD6"/>
    <w:rsid w:val="00E10F92"/>
    <w:rsid w:val="00E111EC"/>
    <w:rsid w:val="00E11584"/>
    <w:rsid w:val="00E1185B"/>
    <w:rsid w:val="00E11B9F"/>
    <w:rsid w:val="00E12A64"/>
    <w:rsid w:val="00E12D18"/>
    <w:rsid w:val="00E130C1"/>
    <w:rsid w:val="00E137C1"/>
    <w:rsid w:val="00E14062"/>
    <w:rsid w:val="00E144B5"/>
    <w:rsid w:val="00E17B57"/>
    <w:rsid w:val="00E204C3"/>
    <w:rsid w:val="00E20783"/>
    <w:rsid w:val="00E20DFF"/>
    <w:rsid w:val="00E2101D"/>
    <w:rsid w:val="00E212B5"/>
    <w:rsid w:val="00E22D75"/>
    <w:rsid w:val="00E22FDD"/>
    <w:rsid w:val="00E23AEB"/>
    <w:rsid w:val="00E25043"/>
    <w:rsid w:val="00E2696A"/>
    <w:rsid w:val="00E26AEE"/>
    <w:rsid w:val="00E27C09"/>
    <w:rsid w:val="00E30828"/>
    <w:rsid w:val="00E30DB8"/>
    <w:rsid w:val="00E30DD3"/>
    <w:rsid w:val="00E31064"/>
    <w:rsid w:val="00E311BD"/>
    <w:rsid w:val="00E318EF"/>
    <w:rsid w:val="00E33392"/>
    <w:rsid w:val="00E33ACE"/>
    <w:rsid w:val="00E33C3E"/>
    <w:rsid w:val="00E342F0"/>
    <w:rsid w:val="00E34EE5"/>
    <w:rsid w:val="00E350CD"/>
    <w:rsid w:val="00E35A8B"/>
    <w:rsid w:val="00E35BD0"/>
    <w:rsid w:val="00E35E3B"/>
    <w:rsid w:val="00E365C6"/>
    <w:rsid w:val="00E3768B"/>
    <w:rsid w:val="00E3780C"/>
    <w:rsid w:val="00E43933"/>
    <w:rsid w:val="00E44936"/>
    <w:rsid w:val="00E47513"/>
    <w:rsid w:val="00E47DC4"/>
    <w:rsid w:val="00E47E07"/>
    <w:rsid w:val="00E51BE4"/>
    <w:rsid w:val="00E51C50"/>
    <w:rsid w:val="00E51D6B"/>
    <w:rsid w:val="00E5218A"/>
    <w:rsid w:val="00E52763"/>
    <w:rsid w:val="00E5375F"/>
    <w:rsid w:val="00E5394D"/>
    <w:rsid w:val="00E53A6E"/>
    <w:rsid w:val="00E542B3"/>
    <w:rsid w:val="00E54614"/>
    <w:rsid w:val="00E546FB"/>
    <w:rsid w:val="00E54B87"/>
    <w:rsid w:val="00E55149"/>
    <w:rsid w:val="00E5522D"/>
    <w:rsid w:val="00E55BE8"/>
    <w:rsid w:val="00E565AA"/>
    <w:rsid w:val="00E56631"/>
    <w:rsid w:val="00E567B4"/>
    <w:rsid w:val="00E572DD"/>
    <w:rsid w:val="00E57ED8"/>
    <w:rsid w:val="00E603DF"/>
    <w:rsid w:val="00E606CD"/>
    <w:rsid w:val="00E60ADE"/>
    <w:rsid w:val="00E60AE5"/>
    <w:rsid w:val="00E61565"/>
    <w:rsid w:val="00E61BF0"/>
    <w:rsid w:val="00E62BCF"/>
    <w:rsid w:val="00E632C3"/>
    <w:rsid w:val="00E63990"/>
    <w:rsid w:val="00E63C0C"/>
    <w:rsid w:val="00E64054"/>
    <w:rsid w:val="00E6498B"/>
    <w:rsid w:val="00E64B9C"/>
    <w:rsid w:val="00E654C7"/>
    <w:rsid w:val="00E65BEA"/>
    <w:rsid w:val="00E66C61"/>
    <w:rsid w:val="00E66F10"/>
    <w:rsid w:val="00E66FFC"/>
    <w:rsid w:val="00E6701C"/>
    <w:rsid w:val="00E670F3"/>
    <w:rsid w:val="00E6735E"/>
    <w:rsid w:val="00E67AE2"/>
    <w:rsid w:val="00E7044E"/>
    <w:rsid w:val="00E70613"/>
    <w:rsid w:val="00E70704"/>
    <w:rsid w:val="00E71322"/>
    <w:rsid w:val="00E7216A"/>
    <w:rsid w:val="00E723B3"/>
    <w:rsid w:val="00E72D3D"/>
    <w:rsid w:val="00E7304A"/>
    <w:rsid w:val="00E73083"/>
    <w:rsid w:val="00E73467"/>
    <w:rsid w:val="00E73D1C"/>
    <w:rsid w:val="00E74283"/>
    <w:rsid w:val="00E74D05"/>
    <w:rsid w:val="00E75755"/>
    <w:rsid w:val="00E762E6"/>
    <w:rsid w:val="00E767FB"/>
    <w:rsid w:val="00E76A26"/>
    <w:rsid w:val="00E8065C"/>
    <w:rsid w:val="00E8176F"/>
    <w:rsid w:val="00E82961"/>
    <w:rsid w:val="00E82C04"/>
    <w:rsid w:val="00E82F5C"/>
    <w:rsid w:val="00E8365A"/>
    <w:rsid w:val="00E84562"/>
    <w:rsid w:val="00E84B9B"/>
    <w:rsid w:val="00E857E6"/>
    <w:rsid w:val="00E85997"/>
    <w:rsid w:val="00E86403"/>
    <w:rsid w:val="00E86428"/>
    <w:rsid w:val="00E86993"/>
    <w:rsid w:val="00E91039"/>
    <w:rsid w:val="00E921FA"/>
    <w:rsid w:val="00E928B1"/>
    <w:rsid w:val="00E92C38"/>
    <w:rsid w:val="00E9329B"/>
    <w:rsid w:val="00E93462"/>
    <w:rsid w:val="00E93776"/>
    <w:rsid w:val="00E93825"/>
    <w:rsid w:val="00E94960"/>
    <w:rsid w:val="00E94966"/>
    <w:rsid w:val="00E95391"/>
    <w:rsid w:val="00E977D4"/>
    <w:rsid w:val="00E97863"/>
    <w:rsid w:val="00E978DC"/>
    <w:rsid w:val="00EA0037"/>
    <w:rsid w:val="00EA090A"/>
    <w:rsid w:val="00EA0FCF"/>
    <w:rsid w:val="00EA13B3"/>
    <w:rsid w:val="00EA1C5F"/>
    <w:rsid w:val="00EA2316"/>
    <w:rsid w:val="00EA299D"/>
    <w:rsid w:val="00EA2DB8"/>
    <w:rsid w:val="00EA338A"/>
    <w:rsid w:val="00EA4325"/>
    <w:rsid w:val="00EA4A6D"/>
    <w:rsid w:val="00EA4C11"/>
    <w:rsid w:val="00EA5770"/>
    <w:rsid w:val="00EA5DFF"/>
    <w:rsid w:val="00EA62D0"/>
    <w:rsid w:val="00EA6952"/>
    <w:rsid w:val="00EA6960"/>
    <w:rsid w:val="00EA6CC3"/>
    <w:rsid w:val="00EA6D88"/>
    <w:rsid w:val="00EA702D"/>
    <w:rsid w:val="00EB066C"/>
    <w:rsid w:val="00EB0D60"/>
    <w:rsid w:val="00EB128F"/>
    <w:rsid w:val="00EB23DC"/>
    <w:rsid w:val="00EB3667"/>
    <w:rsid w:val="00EB57BD"/>
    <w:rsid w:val="00EB5E72"/>
    <w:rsid w:val="00EB6350"/>
    <w:rsid w:val="00EB663D"/>
    <w:rsid w:val="00EB6F31"/>
    <w:rsid w:val="00EB74F8"/>
    <w:rsid w:val="00EB77DA"/>
    <w:rsid w:val="00EB7F87"/>
    <w:rsid w:val="00EC035E"/>
    <w:rsid w:val="00EC0364"/>
    <w:rsid w:val="00EC0D9B"/>
    <w:rsid w:val="00EC1187"/>
    <w:rsid w:val="00EC1C8C"/>
    <w:rsid w:val="00EC1F51"/>
    <w:rsid w:val="00EC2C68"/>
    <w:rsid w:val="00EC2D67"/>
    <w:rsid w:val="00EC34F0"/>
    <w:rsid w:val="00EC4EDA"/>
    <w:rsid w:val="00EC5175"/>
    <w:rsid w:val="00EC529A"/>
    <w:rsid w:val="00EC5793"/>
    <w:rsid w:val="00EC6237"/>
    <w:rsid w:val="00ED05E5"/>
    <w:rsid w:val="00ED12B2"/>
    <w:rsid w:val="00ED1551"/>
    <w:rsid w:val="00ED33FD"/>
    <w:rsid w:val="00ED4CD9"/>
    <w:rsid w:val="00ED5BD4"/>
    <w:rsid w:val="00ED617A"/>
    <w:rsid w:val="00ED7122"/>
    <w:rsid w:val="00ED7710"/>
    <w:rsid w:val="00ED7A02"/>
    <w:rsid w:val="00ED7AD0"/>
    <w:rsid w:val="00ED7BB7"/>
    <w:rsid w:val="00EE04E8"/>
    <w:rsid w:val="00EE09FE"/>
    <w:rsid w:val="00EE2ACD"/>
    <w:rsid w:val="00EE335A"/>
    <w:rsid w:val="00EE35A6"/>
    <w:rsid w:val="00EE35E6"/>
    <w:rsid w:val="00EE3F6D"/>
    <w:rsid w:val="00EE46B2"/>
    <w:rsid w:val="00EE508C"/>
    <w:rsid w:val="00EE5732"/>
    <w:rsid w:val="00EE6FA4"/>
    <w:rsid w:val="00EE7068"/>
    <w:rsid w:val="00EE73E9"/>
    <w:rsid w:val="00EE7C18"/>
    <w:rsid w:val="00EE7D3A"/>
    <w:rsid w:val="00EF0875"/>
    <w:rsid w:val="00EF0955"/>
    <w:rsid w:val="00EF0D85"/>
    <w:rsid w:val="00EF0DBA"/>
    <w:rsid w:val="00EF0E37"/>
    <w:rsid w:val="00EF1DA4"/>
    <w:rsid w:val="00EF246C"/>
    <w:rsid w:val="00EF2B4B"/>
    <w:rsid w:val="00EF2DF4"/>
    <w:rsid w:val="00EF3779"/>
    <w:rsid w:val="00EF3904"/>
    <w:rsid w:val="00EF440F"/>
    <w:rsid w:val="00EF4A6E"/>
    <w:rsid w:val="00EF4A76"/>
    <w:rsid w:val="00EF5897"/>
    <w:rsid w:val="00EF59A7"/>
    <w:rsid w:val="00EF5D35"/>
    <w:rsid w:val="00EF6089"/>
    <w:rsid w:val="00EF7897"/>
    <w:rsid w:val="00F0085C"/>
    <w:rsid w:val="00F0141F"/>
    <w:rsid w:val="00F0189F"/>
    <w:rsid w:val="00F01ACC"/>
    <w:rsid w:val="00F01DFD"/>
    <w:rsid w:val="00F024E0"/>
    <w:rsid w:val="00F025D1"/>
    <w:rsid w:val="00F0275D"/>
    <w:rsid w:val="00F02A01"/>
    <w:rsid w:val="00F02FFA"/>
    <w:rsid w:val="00F03248"/>
    <w:rsid w:val="00F0444F"/>
    <w:rsid w:val="00F04DC2"/>
    <w:rsid w:val="00F04F01"/>
    <w:rsid w:val="00F05D5F"/>
    <w:rsid w:val="00F06B46"/>
    <w:rsid w:val="00F07147"/>
    <w:rsid w:val="00F1074F"/>
    <w:rsid w:val="00F10FAF"/>
    <w:rsid w:val="00F110F3"/>
    <w:rsid w:val="00F118DF"/>
    <w:rsid w:val="00F137B1"/>
    <w:rsid w:val="00F14ABF"/>
    <w:rsid w:val="00F151D2"/>
    <w:rsid w:val="00F15506"/>
    <w:rsid w:val="00F15531"/>
    <w:rsid w:val="00F15A13"/>
    <w:rsid w:val="00F15D2E"/>
    <w:rsid w:val="00F16A4E"/>
    <w:rsid w:val="00F16A6E"/>
    <w:rsid w:val="00F170D5"/>
    <w:rsid w:val="00F177B6"/>
    <w:rsid w:val="00F208CA"/>
    <w:rsid w:val="00F21985"/>
    <w:rsid w:val="00F21ADD"/>
    <w:rsid w:val="00F21C29"/>
    <w:rsid w:val="00F21E63"/>
    <w:rsid w:val="00F2276E"/>
    <w:rsid w:val="00F229AD"/>
    <w:rsid w:val="00F22BAB"/>
    <w:rsid w:val="00F2346C"/>
    <w:rsid w:val="00F25CED"/>
    <w:rsid w:val="00F25DF2"/>
    <w:rsid w:val="00F2605E"/>
    <w:rsid w:val="00F2644F"/>
    <w:rsid w:val="00F31847"/>
    <w:rsid w:val="00F32823"/>
    <w:rsid w:val="00F329B4"/>
    <w:rsid w:val="00F33183"/>
    <w:rsid w:val="00F33E1F"/>
    <w:rsid w:val="00F34BE6"/>
    <w:rsid w:val="00F352D0"/>
    <w:rsid w:val="00F35314"/>
    <w:rsid w:val="00F35456"/>
    <w:rsid w:val="00F3603A"/>
    <w:rsid w:val="00F3650A"/>
    <w:rsid w:val="00F3698B"/>
    <w:rsid w:val="00F36B9F"/>
    <w:rsid w:val="00F36BF5"/>
    <w:rsid w:val="00F37318"/>
    <w:rsid w:val="00F378A1"/>
    <w:rsid w:val="00F37DE9"/>
    <w:rsid w:val="00F37EF6"/>
    <w:rsid w:val="00F406C1"/>
    <w:rsid w:val="00F40AD9"/>
    <w:rsid w:val="00F40BCF"/>
    <w:rsid w:val="00F4148E"/>
    <w:rsid w:val="00F4156C"/>
    <w:rsid w:val="00F41BD5"/>
    <w:rsid w:val="00F41C44"/>
    <w:rsid w:val="00F42476"/>
    <w:rsid w:val="00F42D17"/>
    <w:rsid w:val="00F42D7D"/>
    <w:rsid w:val="00F43806"/>
    <w:rsid w:val="00F443D3"/>
    <w:rsid w:val="00F44F2A"/>
    <w:rsid w:val="00F453AA"/>
    <w:rsid w:val="00F45A97"/>
    <w:rsid w:val="00F462C9"/>
    <w:rsid w:val="00F46894"/>
    <w:rsid w:val="00F475CB"/>
    <w:rsid w:val="00F47D88"/>
    <w:rsid w:val="00F47F35"/>
    <w:rsid w:val="00F51911"/>
    <w:rsid w:val="00F51B9F"/>
    <w:rsid w:val="00F52CB8"/>
    <w:rsid w:val="00F52FCC"/>
    <w:rsid w:val="00F5319A"/>
    <w:rsid w:val="00F535FE"/>
    <w:rsid w:val="00F54B8E"/>
    <w:rsid w:val="00F54D17"/>
    <w:rsid w:val="00F564C4"/>
    <w:rsid w:val="00F56DE8"/>
    <w:rsid w:val="00F57225"/>
    <w:rsid w:val="00F579AE"/>
    <w:rsid w:val="00F60D01"/>
    <w:rsid w:val="00F60FE6"/>
    <w:rsid w:val="00F610C5"/>
    <w:rsid w:val="00F619E0"/>
    <w:rsid w:val="00F61A83"/>
    <w:rsid w:val="00F61A99"/>
    <w:rsid w:val="00F61B23"/>
    <w:rsid w:val="00F61D04"/>
    <w:rsid w:val="00F632D3"/>
    <w:rsid w:val="00F639F7"/>
    <w:rsid w:val="00F64173"/>
    <w:rsid w:val="00F645E7"/>
    <w:rsid w:val="00F65158"/>
    <w:rsid w:val="00F6520D"/>
    <w:rsid w:val="00F661F0"/>
    <w:rsid w:val="00F6656D"/>
    <w:rsid w:val="00F66C87"/>
    <w:rsid w:val="00F67A28"/>
    <w:rsid w:val="00F67C5D"/>
    <w:rsid w:val="00F70111"/>
    <w:rsid w:val="00F70504"/>
    <w:rsid w:val="00F70A40"/>
    <w:rsid w:val="00F72745"/>
    <w:rsid w:val="00F727DE"/>
    <w:rsid w:val="00F7297B"/>
    <w:rsid w:val="00F72DD3"/>
    <w:rsid w:val="00F72E92"/>
    <w:rsid w:val="00F73213"/>
    <w:rsid w:val="00F73B8A"/>
    <w:rsid w:val="00F73DC2"/>
    <w:rsid w:val="00F743C3"/>
    <w:rsid w:val="00F74508"/>
    <w:rsid w:val="00F7547D"/>
    <w:rsid w:val="00F7558D"/>
    <w:rsid w:val="00F75738"/>
    <w:rsid w:val="00F75896"/>
    <w:rsid w:val="00F75E91"/>
    <w:rsid w:val="00F760F8"/>
    <w:rsid w:val="00F80E2A"/>
    <w:rsid w:val="00F81274"/>
    <w:rsid w:val="00F81B79"/>
    <w:rsid w:val="00F82375"/>
    <w:rsid w:val="00F825FA"/>
    <w:rsid w:val="00F82883"/>
    <w:rsid w:val="00F835A5"/>
    <w:rsid w:val="00F8386C"/>
    <w:rsid w:val="00F849AE"/>
    <w:rsid w:val="00F853AF"/>
    <w:rsid w:val="00F861A1"/>
    <w:rsid w:val="00F864E7"/>
    <w:rsid w:val="00F86810"/>
    <w:rsid w:val="00F8768E"/>
    <w:rsid w:val="00F87F75"/>
    <w:rsid w:val="00F900FE"/>
    <w:rsid w:val="00F90111"/>
    <w:rsid w:val="00F90245"/>
    <w:rsid w:val="00F90295"/>
    <w:rsid w:val="00F91DFC"/>
    <w:rsid w:val="00F92048"/>
    <w:rsid w:val="00F9211F"/>
    <w:rsid w:val="00F92208"/>
    <w:rsid w:val="00F92B27"/>
    <w:rsid w:val="00F93209"/>
    <w:rsid w:val="00F93287"/>
    <w:rsid w:val="00F936D2"/>
    <w:rsid w:val="00F93F8B"/>
    <w:rsid w:val="00F94303"/>
    <w:rsid w:val="00F94448"/>
    <w:rsid w:val="00F94534"/>
    <w:rsid w:val="00F94CBC"/>
    <w:rsid w:val="00F95DD1"/>
    <w:rsid w:val="00F96B19"/>
    <w:rsid w:val="00F96CD0"/>
    <w:rsid w:val="00F97143"/>
    <w:rsid w:val="00F978B4"/>
    <w:rsid w:val="00FA077D"/>
    <w:rsid w:val="00FA07AF"/>
    <w:rsid w:val="00FA11F8"/>
    <w:rsid w:val="00FA142E"/>
    <w:rsid w:val="00FA1F89"/>
    <w:rsid w:val="00FA2533"/>
    <w:rsid w:val="00FA27B1"/>
    <w:rsid w:val="00FA2912"/>
    <w:rsid w:val="00FA2A6B"/>
    <w:rsid w:val="00FA2C16"/>
    <w:rsid w:val="00FA2C6C"/>
    <w:rsid w:val="00FA3476"/>
    <w:rsid w:val="00FA36B4"/>
    <w:rsid w:val="00FA3C1B"/>
    <w:rsid w:val="00FA3ED1"/>
    <w:rsid w:val="00FA40B1"/>
    <w:rsid w:val="00FA5235"/>
    <w:rsid w:val="00FA5240"/>
    <w:rsid w:val="00FA54D6"/>
    <w:rsid w:val="00FA63E1"/>
    <w:rsid w:val="00FA68A4"/>
    <w:rsid w:val="00FA6CB4"/>
    <w:rsid w:val="00FA7DC2"/>
    <w:rsid w:val="00FA7F68"/>
    <w:rsid w:val="00FB0153"/>
    <w:rsid w:val="00FB1905"/>
    <w:rsid w:val="00FB1BD6"/>
    <w:rsid w:val="00FB1E58"/>
    <w:rsid w:val="00FB1F1C"/>
    <w:rsid w:val="00FB2172"/>
    <w:rsid w:val="00FB2317"/>
    <w:rsid w:val="00FB3E41"/>
    <w:rsid w:val="00FB4785"/>
    <w:rsid w:val="00FB4C44"/>
    <w:rsid w:val="00FB5353"/>
    <w:rsid w:val="00FB5520"/>
    <w:rsid w:val="00FB57FB"/>
    <w:rsid w:val="00FB72D1"/>
    <w:rsid w:val="00FB7F27"/>
    <w:rsid w:val="00FC01FF"/>
    <w:rsid w:val="00FC0306"/>
    <w:rsid w:val="00FC0FD3"/>
    <w:rsid w:val="00FC199B"/>
    <w:rsid w:val="00FC1DBA"/>
    <w:rsid w:val="00FC2A13"/>
    <w:rsid w:val="00FC2A52"/>
    <w:rsid w:val="00FC31D6"/>
    <w:rsid w:val="00FC38B8"/>
    <w:rsid w:val="00FC47C3"/>
    <w:rsid w:val="00FC4D66"/>
    <w:rsid w:val="00FC68F8"/>
    <w:rsid w:val="00FC702E"/>
    <w:rsid w:val="00FC726C"/>
    <w:rsid w:val="00FC7B57"/>
    <w:rsid w:val="00FC7C38"/>
    <w:rsid w:val="00FD012A"/>
    <w:rsid w:val="00FD2B2F"/>
    <w:rsid w:val="00FD48F5"/>
    <w:rsid w:val="00FD576D"/>
    <w:rsid w:val="00FD5CEC"/>
    <w:rsid w:val="00FD6476"/>
    <w:rsid w:val="00FD6F9C"/>
    <w:rsid w:val="00FD7937"/>
    <w:rsid w:val="00FD7C01"/>
    <w:rsid w:val="00FE0CD2"/>
    <w:rsid w:val="00FE15AB"/>
    <w:rsid w:val="00FE179F"/>
    <w:rsid w:val="00FE1B17"/>
    <w:rsid w:val="00FE225B"/>
    <w:rsid w:val="00FE3245"/>
    <w:rsid w:val="00FE3583"/>
    <w:rsid w:val="00FE36E0"/>
    <w:rsid w:val="00FE3E4E"/>
    <w:rsid w:val="00FE4720"/>
    <w:rsid w:val="00FE4E16"/>
    <w:rsid w:val="00FE4FAD"/>
    <w:rsid w:val="00FE5EB6"/>
    <w:rsid w:val="00FE5FA4"/>
    <w:rsid w:val="00FF0788"/>
    <w:rsid w:val="00FF0E7C"/>
    <w:rsid w:val="00FF0EF8"/>
    <w:rsid w:val="00FF164B"/>
    <w:rsid w:val="00FF16B2"/>
    <w:rsid w:val="00FF206C"/>
    <w:rsid w:val="00FF214F"/>
    <w:rsid w:val="00FF2225"/>
    <w:rsid w:val="00FF230E"/>
    <w:rsid w:val="00FF2BA8"/>
    <w:rsid w:val="00FF3732"/>
    <w:rsid w:val="00FF39E8"/>
    <w:rsid w:val="00FF3F65"/>
    <w:rsid w:val="00FF441C"/>
    <w:rsid w:val="00FF527C"/>
    <w:rsid w:val="00FF5D60"/>
    <w:rsid w:val="00FF69AC"/>
    <w:rsid w:val="00FF75C5"/>
    <w:rsid w:val="032F5901"/>
    <w:rsid w:val="0394F196"/>
    <w:rsid w:val="03C6F4E6"/>
    <w:rsid w:val="07AE909C"/>
    <w:rsid w:val="12407F01"/>
    <w:rsid w:val="1A5D9606"/>
    <w:rsid w:val="1FB5D4A0"/>
    <w:rsid w:val="257DD204"/>
    <w:rsid w:val="340012F3"/>
    <w:rsid w:val="39AF7F72"/>
    <w:rsid w:val="3B4B4FD3"/>
    <w:rsid w:val="41C9A21A"/>
    <w:rsid w:val="48AB9456"/>
    <w:rsid w:val="51D8A2A7"/>
    <w:rsid w:val="60139276"/>
    <w:rsid w:val="62B75BE7"/>
    <w:rsid w:val="69DF4F33"/>
    <w:rsid w:val="6B0EEC9F"/>
    <w:rsid w:val="6DA865B7"/>
    <w:rsid w:val="71E69471"/>
    <w:rsid w:val="7333BE59"/>
    <w:rsid w:val="760D0DF9"/>
    <w:rsid w:val="7E181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86D0"/>
  <w15:chartTrackingRefBased/>
  <w15:docId w15:val="{D2CE4499-A8AB-4149-AADA-C8E8BF61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C43"/>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9E2C43"/>
    <w:pPr>
      <w:spacing w:before="240" w:after="240" w:line="240" w:lineRule="auto"/>
      <w:ind w:left="4536"/>
      <w:outlineLvl w:val="0"/>
    </w:pPr>
    <w:rPr>
      <w:b/>
      <w:sz w:val="26"/>
      <w:szCs w:val="26"/>
    </w:rPr>
  </w:style>
  <w:style w:type="paragraph" w:styleId="Ttulo2">
    <w:name w:val="heading 2"/>
    <w:basedOn w:val="Normal"/>
    <w:next w:val="Normal"/>
    <w:link w:val="Ttulo2Car"/>
    <w:uiPriority w:val="9"/>
    <w:unhideWhenUsed/>
    <w:qFormat/>
    <w:rsid w:val="009E2C43"/>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9"/>
    <w:unhideWhenUsed/>
    <w:qFormat/>
    <w:rsid w:val="009E2C43"/>
    <w:pPr>
      <w:numPr>
        <w:numId w:val="2"/>
      </w:numPr>
      <w:spacing w:before="360" w:after="360" w:line="360" w:lineRule="auto"/>
      <w:jc w:val="center"/>
      <w:outlineLvl w:val="2"/>
    </w:pPr>
    <w:rPr>
      <w:b/>
      <w:sz w:val="26"/>
      <w:szCs w:val="26"/>
    </w:rPr>
  </w:style>
  <w:style w:type="paragraph" w:styleId="Ttulo4">
    <w:name w:val="heading 4"/>
    <w:basedOn w:val="Prrafo"/>
    <w:next w:val="Normal"/>
    <w:link w:val="Ttulo4Car"/>
    <w:uiPriority w:val="9"/>
    <w:unhideWhenUsed/>
    <w:qFormat/>
    <w:rsid w:val="009E2C43"/>
    <w:pPr>
      <w:spacing w:before="600" w:after="360"/>
      <w:outlineLvl w:val="3"/>
    </w:pPr>
    <w:rPr>
      <w:u w:val="single"/>
    </w:rPr>
  </w:style>
  <w:style w:type="paragraph" w:styleId="Ttulo5">
    <w:name w:val="heading 5"/>
    <w:basedOn w:val="Prrafo"/>
    <w:next w:val="Normal"/>
    <w:link w:val="Ttulo5Car"/>
    <w:uiPriority w:val="9"/>
    <w:unhideWhenUsed/>
    <w:qFormat/>
    <w:rsid w:val="009E2C43"/>
    <w:pPr>
      <w:outlineLvl w:val="4"/>
    </w:pPr>
    <w:rPr>
      <w:i/>
    </w:rPr>
  </w:style>
  <w:style w:type="paragraph" w:styleId="Ttulo6">
    <w:name w:val="heading 6"/>
    <w:basedOn w:val="corte4fondo"/>
    <w:next w:val="Normal"/>
    <w:link w:val="Ttulo6Car"/>
    <w:uiPriority w:val="9"/>
    <w:unhideWhenUsed/>
    <w:qFormat/>
    <w:rsid w:val="00BC5D99"/>
    <w:pPr>
      <w:ind w:firstLine="0"/>
      <w:outlineLvl w:val="5"/>
    </w:pPr>
    <w:rPr>
      <w:rFonts w:cs="Arial"/>
      <w:i/>
      <w:sz w:val="26"/>
      <w:szCs w:val="26"/>
      <w:u w:val="single"/>
    </w:rPr>
  </w:style>
  <w:style w:type="paragraph" w:styleId="Ttulo7">
    <w:name w:val="heading 7"/>
    <w:basedOn w:val="Prrafo"/>
    <w:next w:val="Normal"/>
    <w:link w:val="Ttulo7Car"/>
    <w:uiPriority w:val="9"/>
    <w:unhideWhenUsed/>
    <w:qFormat/>
    <w:rsid w:val="005B059F"/>
    <w:pPr>
      <w:numPr>
        <w:numId w:val="32"/>
      </w:numPr>
      <w:outlineLvl w:val="6"/>
    </w:pPr>
    <w:rPr>
      <w:u w:val="single"/>
      <w:shd w:val="clear" w:color="auto" w:fill="FFD966" w:themeFill="accent4" w:themeFillTint="99"/>
    </w:rPr>
  </w:style>
  <w:style w:type="paragraph" w:styleId="Ttulo8">
    <w:name w:val="heading 8"/>
    <w:basedOn w:val="Ttulo7"/>
    <w:next w:val="Normal"/>
    <w:link w:val="Ttulo8Car"/>
    <w:uiPriority w:val="9"/>
    <w:unhideWhenUsed/>
    <w:qFormat/>
    <w:rsid w:val="005B059F"/>
    <w:pPr>
      <w:outlineLvl w:val="7"/>
    </w:pPr>
    <w:rPr>
      <w:u w:val="none"/>
      <w:shd w:val="clear" w:color="auto" w:fill="auto"/>
    </w:rPr>
  </w:style>
  <w:style w:type="paragraph" w:styleId="Ttulo9">
    <w:name w:val="heading 9"/>
    <w:basedOn w:val="Prrafo"/>
    <w:next w:val="Normal"/>
    <w:link w:val="Ttulo9Car"/>
    <w:uiPriority w:val="9"/>
    <w:unhideWhenUsed/>
    <w:qFormat/>
    <w:rsid w:val="009E2C43"/>
    <w:pP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E2C43"/>
    <w:rPr>
      <w:rFonts w:ascii="Arial" w:hAnsi="Arial" w:cs="Arial"/>
      <w:b/>
      <w:sz w:val="26"/>
      <w:szCs w:val="26"/>
    </w:rPr>
  </w:style>
  <w:style w:type="character" w:customStyle="1" w:styleId="Ttulo2Car">
    <w:name w:val="Título 2 Car"/>
    <w:basedOn w:val="Fuentedeprrafopredeter"/>
    <w:link w:val="Ttulo2"/>
    <w:uiPriority w:val="9"/>
    <w:rsid w:val="009E2C43"/>
    <w:rPr>
      <w:rFonts w:ascii="Arial Negrita" w:hAnsi="Arial Negrita" w:cs="Arial"/>
      <w:b/>
      <w:spacing w:val="60"/>
      <w:sz w:val="26"/>
      <w:szCs w:val="26"/>
    </w:rPr>
  </w:style>
  <w:style w:type="character" w:customStyle="1" w:styleId="Ttulo3Car">
    <w:name w:val="Título 3 Car"/>
    <w:basedOn w:val="Fuentedeprrafopredeter"/>
    <w:link w:val="Ttulo3"/>
    <w:uiPriority w:val="9"/>
    <w:rsid w:val="009E2C43"/>
    <w:rPr>
      <w:rFonts w:ascii="Arial" w:hAnsi="Arial" w:cs="Arial"/>
      <w:b/>
      <w:sz w:val="26"/>
      <w:szCs w:val="26"/>
    </w:rPr>
  </w:style>
  <w:style w:type="character" w:customStyle="1" w:styleId="Ttulo4Car">
    <w:name w:val="Título 4 Car"/>
    <w:basedOn w:val="Fuentedeprrafopredeter"/>
    <w:link w:val="Ttulo4"/>
    <w:uiPriority w:val="9"/>
    <w:rsid w:val="009E2C43"/>
    <w:rPr>
      <w:rFonts w:ascii="Arial" w:hAnsi="Arial" w:cs="Arial"/>
      <w:sz w:val="26"/>
      <w:szCs w:val="26"/>
      <w:u w:val="single"/>
    </w:rPr>
  </w:style>
  <w:style w:type="character" w:customStyle="1" w:styleId="Ttulo5Car">
    <w:name w:val="Título 5 Car"/>
    <w:basedOn w:val="Fuentedeprrafopredeter"/>
    <w:link w:val="Ttulo5"/>
    <w:uiPriority w:val="9"/>
    <w:rsid w:val="009E2C43"/>
    <w:rPr>
      <w:rFonts w:ascii="Arial" w:hAnsi="Arial" w:cs="Arial"/>
      <w:i/>
      <w:sz w:val="26"/>
      <w:szCs w:val="26"/>
    </w:rPr>
  </w:style>
  <w:style w:type="paragraph" w:styleId="Sinespaciado">
    <w:name w:val="No Spacing"/>
    <w:basedOn w:val="Normal"/>
    <w:uiPriority w:val="1"/>
    <w:qFormat/>
    <w:rsid w:val="009E2C43"/>
    <w:pPr>
      <w:spacing w:before="0" w:after="0"/>
    </w:pPr>
    <w:rPr>
      <w:sz w:val="16"/>
      <w:szCs w:val="16"/>
    </w:rPr>
  </w:style>
  <w:style w:type="paragraph" w:customStyle="1" w:styleId="Prrafo">
    <w:name w:val="Párrafo"/>
    <w:basedOn w:val="Normal"/>
    <w:qFormat/>
    <w:rsid w:val="009E2C43"/>
    <w:pPr>
      <w:spacing w:before="240" w:after="240" w:line="360" w:lineRule="auto"/>
    </w:pPr>
    <w:rPr>
      <w:sz w:val="26"/>
      <w:szCs w:val="26"/>
    </w:rPr>
  </w:style>
  <w:style w:type="paragraph" w:styleId="Piedepgina">
    <w:name w:val="footer"/>
    <w:basedOn w:val="Normal"/>
    <w:link w:val="PiedepginaCar"/>
    <w:uiPriority w:val="99"/>
    <w:unhideWhenUsed/>
    <w:rsid w:val="009E2C4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E2C43"/>
    <w:rPr>
      <w:rFonts w:ascii="Arial" w:hAnsi="Arial" w:cs="Arial"/>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Car"/>
    <w:basedOn w:val="Normal"/>
    <w:link w:val="TextonotapieCar"/>
    <w:uiPriority w:val="99"/>
    <w:unhideWhenUsed/>
    <w:qFormat/>
    <w:rsid w:val="009E2C43"/>
    <w:pPr>
      <w:spacing w:before="0"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9E2C43"/>
    <w:rPr>
      <w:rFonts w:ascii="Arial" w:hAnsi="Arial" w:cs="Arial"/>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R,ftre"/>
    <w:basedOn w:val="Fuentedeprrafopredeter"/>
    <w:link w:val="4GChar"/>
    <w:unhideWhenUsed/>
    <w:qFormat/>
    <w:rsid w:val="009E2C43"/>
    <w:rPr>
      <w:vertAlign w:val="superscript"/>
    </w:rPr>
  </w:style>
  <w:style w:type="paragraph" w:styleId="Prrafodelista">
    <w:name w:val="List Paragraph"/>
    <w:aliases w:val="Cita texto,Footnote,List Paragraph1,Colorful List - Accent 11,Párrafo de lista1,Cuadrícula clara - Énfasis 31,TEXTO GENERAL SENTENCIAS,Lista vistosa - Énfasis 11,consideraciones,Cuadrícula media 1 - Énfasis 21,Trascripción,Referencia"/>
    <w:basedOn w:val="Normal"/>
    <w:link w:val="PrrafodelistaCar"/>
    <w:uiPriority w:val="34"/>
    <w:qFormat/>
    <w:rsid w:val="009E2C43"/>
    <w:pPr>
      <w:ind w:left="720"/>
      <w:contextualSpacing/>
    </w:pPr>
  </w:style>
  <w:style w:type="paragraph" w:styleId="Encabezado">
    <w:name w:val="header"/>
    <w:basedOn w:val="Normal"/>
    <w:link w:val="EncabezadoCar"/>
    <w:unhideWhenUsed/>
    <w:rsid w:val="009E2C43"/>
    <w:pPr>
      <w:tabs>
        <w:tab w:val="center" w:pos="4419"/>
        <w:tab w:val="right" w:pos="8838"/>
      </w:tabs>
      <w:spacing w:before="0" w:after="0" w:line="240" w:lineRule="auto"/>
    </w:pPr>
  </w:style>
  <w:style w:type="character" w:customStyle="1" w:styleId="EncabezadoCar">
    <w:name w:val="Encabezado Car"/>
    <w:basedOn w:val="Fuentedeprrafopredeter"/>
    <w:link w:val="Encabezado"/>
    <w:rsid w:val="009E2C43"/>
    <w:rPr>
      <w:rFonts w:ascii="Arial" w:hAnsi="Arial" w:cs="Arial"/>
      <w:sz w:val="24"/>
      <w:szCs w:val="24"/>
    </w:rPr>
  </w:style>
  <w:style w:type="paragraph" w:customStyle="1" w:styleId="corte4fondo">
    <w:name w:val="corte4 fondo"/>
    <w:basedOn w:val="Normal"/>
    <w:link w:val="corte4fondoCar1"/>
    <w:qFormat/>
    <w:rsid w:val="009E2C43"/>
    <w:pPr>
      <w:spacing w:before="0" w:after="0" w:line="360" w:lineRule="auto"/>
      <w:ind w:firstLine="709"/>
    </w:pPr>
    <w:rPr>
      <w:rFonts w:eastAsia="Times New Roman" w:cs="Times New Roman"/>
      <w:sz w:val="30"/>
      <w:szCs w:val="20"/>
      <w:lang w:val="es-ES_tradnl" w:eastAsia="es-ES"/>
    </w:rPr>
  </w:style>
  <w:style w:type="character" w:customStyle="1" w:styleId="corte4fondoCar1">
    <w:name w:val="corte4 fondo Car1"/>
    <w:link w:val="corte4fondo"/>
    <w:rsid w:val="009E2C43"/>
    <w:rPr>
      <w:rFonts w:ascii="Arial" w:eastAsia="Times New Roman" w:hAnsi="Arial" w:cs="Times New Roman"/>
      <w:sz w:val="30"/>
      <w:szCs w:val="20"/>
      <w:lang w:val="es-ES_tradnl" w:eastAsia="es-ES"/>
    </w:rPr>
  </w:style>
  <w:style w:type="character" w:styleId="Hipervnculo">
    <w:name w:val="Hyperlink"/>
    <w:uiPriority w:val="99"/>
    <w:unhideWhenUsed/>
    <w:rsid w:val="009E2C43"/>
    <w:rPr>
      <w:color w:val="0000FF"/>
      <w:u w:val="single"/>
    </w:rPr>
  </w:style>
  <w:style w:type="character" w:styleId="Textoennegrita">
    <w:name w:val="Strong"/>
    <w:qFormat/>
    <w:rsid w:val="009E2C43"/>
    <w:rPr>
      <w:b/>
      <w:bCs/>
    </w:rPr>
  </w:style>
  <w:style w:type="character" w:customStyle="1" w:styleId="EstiloCar">
    <w:name w:val="Estilo Car"/>
    <w:link w:val="Estilo"/>
    <w:locked/>
    <w:rsid w:val="009E2C43"/>
    <w:rPr>
      <w:rFonts w:ascii="Arial" w:hAnsi="Arial" w:cs="Arial"/>
      <w:sz w:val="24"/>
    </w:rPr>
  </w:style>
  <w:style w:type="paragraph" w:customStyle="1" w:styleId="Estilo">
    <w:name w:val="Estilo"/>
    <w:link w:val="EstiloCar"/>
    <w:qFormat/>
    <w:rsid w:val="009E2C43"/>
    <w:rPr>
      <w:rFonts w:ascii="Arial" w:hAnsi="Arial" w:cs="Arial"/>
      <w:sz w:val="24"/>
    </w:rPr>
  </w:style>
  <w:style w:type="table" w:styleId="Sombreadomedio1-nfasis1">
    <w:name w:val="Medium Shading 1 Accent 1"/>
    <w:basedOn w:val="Tablanormal"/>
    <w:uiPriority w:val="63"/>
    <w:semiHidden/>
    <w:unhideWhenUsed/>
    <w:rsid w:val="009E2C4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9E2C43"/>
    <w:rPr>
      <w:sz w:val="16"/>
      <w:szCs w:val="16"/>
    </w:rPr>
  </w:style>
  <w:style w:type="paragraph" w:styleId="Textocomentario">
    <w:name w:val="annotation text"/>
    <w:basedOn w:val="Normal"/>
    <w:link w:val="TextocomentarioCar"/>
    <w:uiPriority w:val="99"/>
    <w:unhideWhenUsed/>
    <w:rsid w:val="009E2C43"/>
    <w:pPr>
      <w:spacing w:line="240" w:lineRule="auto"/>
    </w:pPr>
    <w:rPr>
      <w:sz w:val="20"/>
      <w:szCs w:val="20"/>
    </w:rPr>
  </w:style>
  <w:style w:type="character" w:customStyle="1" w:styleId="TextocomentarioCar">
    <w:name w:val="Texto comentario Car"/>
    <w:basedOn w:val="Fuentedeprrafopredeter"/>
    <w:link w:val="Textocomentario"/>
    <w:uiPriority w:val="99"/>
    <w:rsid w:val="009E2C43"/>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9E2C43"/>
    <w:rPr>
      <w:b/>
      <w:bCs/>
    </w:rPr>
  </w:style>
  <w:style w:type="character" w:customStyle="1" w:styleId="AsuntodelcomentarioCar">
    <w:name w:val="Asunto del comentario Car"/>
    <w:basedOn w:val="TextocomentarioCar"/>
    <w:link w:val="Asuntodelcomentario"/>
    <w:uiPriority w:val="99"/>
    <w:semiHidden/>
    <w:rsid w:val="009E2C43"/>
    <w:rPr>
      <w:rFonts w:ascii="Arial" w:hAnsi="Arial" w:cs="Arial"/>
      <w:b/>
      <w:bCs/>
      <w:sz w:val="20"/>
      <w:szCs w:val="20"/>
    </w:rPr>
  </w:style>
  <w:style w:type="paragraph" w:styleId="Textodeglobo">
    <w:name w:val="Balloon Text"/>
    <w:basedOn w:val="Normal"/>
    <w:link w:val="TextodegloboCar"/>
    <w:uiPriority w:val="99"/>
    <w:semiHidden/>
    <w:unhideWhenUsed/>
    <w:rsid w:val="009E2C4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C43"/>
    <w:rPr>
      <w:rFonts w:ascii="Segoe UI" w:hAnsi="Segoe UI" w:cs="Segoe UI"/>
      <w:sz w:val="18"/>
      <w:szCs w:val="18"/>
    </w:rPr>
  </w:style>
  <w:style w:type="character" w:customStyle="1" w:styleId="corte4fondoCar">
    <w:name w:val="corte4 fondo Car"/>
    <w:rsid w:val="009E2C43"/>
    <w:rPr>
      <w:rFonts w:ascii="Arial" w:hAnsi="Arial"/>
      <w:sz w:val="30"/>
      <w:lang w:val="es-ES_tradnl" w:eastAsia="es-MX" w:bidi="ar-SA"/>
    </w:rPr>
  </w:style>
  <w:style w:type="character" w:customStyle="1" w:styleId="PrrafodelistaCar">
    <w:name w:val="Párrafo de lista Car"/>
    <w:aliases w:val="Cita texto Car,Footnote Car,List Paragraph1 Car,Colorful List - Accent 11 Car,Párrafo de lista1 Car,Cuadrícula clara - Énfasis 31 Car,TEXTO GENERAL SENTENCIAS Car,Lista vistosa - Énfasis 11 Car,consideraciones Car,Trascripción Car"/>
    <w:link w:val="Prrafodelista"/>
    <w:uiPriority w:val="34"/>
    <w:qFormat/>
    <w:rsid w:val="009E2C43"/>
    <w:rPr>
      <w:rFonts w:ascii="Arial" w:hAnsi="Arial" w:cs="Arial"/>
      <w:sz w:val="24"/>
      <w:szCs w:val="24"/>
    </w:rPr>
  </w:style>
  <w:style w:type="paragraph" w:styleId="Textoindependiente">
    <w:name w:val="Body Text"/>
    <w:basedOn w:val="Normal"/>
    <w:link w:val="TextoindependienteCar"/>
    <w:uiPriority w:val="1"/>
    <w:qFormat/>
    <w:rsid w:val="009E2C43"/>
    <w:pPr>
      <w:widowControl w:val="0"/>
      <w:autoSpaceDE w:val="0"/>
      <w:autoSpaceDN w:val="0"/>
      <w:spacing w:before="0" w:after="0" w:line="240" w:lineRule="auto"/>
      <w:jc w:val="left"/>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9E2C43"/>
    <w:rPr>
      <w:rFonts w:ascii="Calibri" w:eastAsia="Calibri" w:hAnsi="Calibri" w:cs="Calibri"/>
      <w:sz w:val="24"/>
      <w:szCs w:val="24"/>
      <w:lang w:val="en-US"/>
    </w:rPr>
  </w:style>
  <w:style w:type="paragraph" w:customStyle="1" w:styleId="TableParagraph">
    <w:name w:val="Table Paragraph"/>
    <w:basedOn w:val="Normal"/>
    <w:uiPriority w:val="1"/>
    <w:qFormat/>
    <w:rsid w:val="009E2C43"/>
    <w:pPr>
      <w:widowControl w:val="0"/>
      <w:autoSpaceDE w:val="0"/>
      <w:autoSpaceDN w:val="0"/>
      <w:spacing w:before="0" w:after="0" w:line="240" w:lineRule="auto"/>
      <w:jc w:val="left"/>
    </w:pPr>
    <w:rPr>
      <w:rFonts w:ascii="Calibri" w:eastAsia="Calibri" w:hAnsi="Calibri" w:cs="Calibri"/>
      <w:sz w:val="22"/>
      <w:szCs w:val="22"/>
      <w:lang w:val="en-US"/>
    </w:rPr>
  </w:style>
  <w:style w:type="character" w:customStyle="1" w:styleId="lbl-encabezado-negro2">
    <w:name w:val="lbl-encabezado-negro2"/>
    <w:basedOn w:val="Fuentedeprrafopredeter"/>
    <w:rsid w:val="009E2C43"/>
    <w:rPr>
      <w:color w:val="000000"/>
    </w:rPr>
  </w:style>
  <w:style w:type="paragraph" w:customStyle="1" w:styleId="Final">
    <w:name w:val="Final"/>
    <w:basedOn w:val="Prrafo"/>
    <w:qFormat/>
    <w:rsid w:val="009E2C43"/>
    <w:pPr>
      <w:numPr>
        <w:numId w:val="10"/>
      </w:numPr>
      <w:shd w:val="clear" w:color="auto" w:fill="9CC2E5" w:themeFill="accent5" w:themeFillTint="99"/>
      <w:ind w:left="0" w:hanging="567"/>
    </w:pPr>
  </w:style>
  <w:style w:type="character" w:customStyle="1" w:styleId="Ttulo9Car">
    <w:name w:val="Título 9 Car"/>
    <w:basedOn w:val="Fuentedeprrafopredeter"/>
    <w:link w:val="Ttulo9"/>
    <w:uiPriority w:val="9"/>
    <w:rsid w:val="009E2C43"/>
    <w:rPr>
      <w:rFonts w:ascii="Arial" w:hAnsi="Arial" w:cs="Arial"/>
      <w:b/>
      <w:sz w:val="26"/>
      <w:szCs w:val="26"/>
    </w:rPr>
  </w:style>
  <w:style w:type="table" w:customStyle="1" w:styleId="TableNormal1">
    <w:name w:val="Table Normal1"/>
    <w:uiPriority w:val="2"/>
    <w:semiHidden/>
    <w:unhideWhenUsed/>
    <w:qFormat/>
    <w:rsid w:val="003F22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37031"/>
    <w:pPr>
      <w:spacing w:before="0" w:after="0" w:line="240" w:lineRule="auto"/>
    </w:pPr>
    <w:rPr>
      <w:rFonts w:asciiTheme="minorHAnsi" w:hAnsiTheme="minorHAnsi" w:cstheme="minorBidi"/>
      <w:sz w:val="22"/>
      <w:szCs w:val="22"/>
      <w:vertAlign w:val="superscript"/>
    </w:rPr>
  </w:style>
  <w:style w:type="character" w:customStyle="1" w:styleId="Ttulo6Car">
    <w:name w:val="Título 6 Car"/>
    <w:basedOn w:val="Fuentedeprrafopredeter"/>
    <w:link w:val="Ttulo6"/>
    <w:uiPriority w:val="9"/>
    <w:rsid w:val="00BC5D99"/>
    <w:rPr>
      <w:rFonts w:ascii="Arial" w:eastAsia="Times New Roman" w:hAnsi="Arial" w:cs="Arial"/>
      <w:i/>
      <w:sz w:val="26"/>
      <w:szCs w:val="26"/>
      <w:u w:val="single"/>
      <w:lang w:val="es-ES_tradnl" w:eastAsia="es-ES"/>
    </w:rPr>
  </w:style>
  <w:style w:type="paragraph" w:customStyle="1" w:styleId="Default">
    <w:name w:val="Default"/>
    <w:rsid w:val="005244E8"/>
    <w:pPr>
      <w:autoSpaceDE w:val="0"/>
      <w:autoSpaceDN w:val="0"/>
      <w:adjustRightInd w:val="0"/>
      <w:spacing w:after="0" w:line="240" w:lineRule="auto"/>
    </w:pPr>
    <w:rPr>
      <w:rFonts w:ascii="Verdana" w:hAnsi="Verdana" w:cs="Verdana"/>
      <w:color w:val="000000"/>
      <w:sz w:val="24"/>
      <w:szCs w:val="24"/>
    </w:rPr>
  </w:style>
  <w:style w:type="character" w:customStyle="1" w:styleId="normaltextrun">
    <w:name w:val="normaltextrun"/>
    <w:basedOn w:val="Fuentedeprrafopredeter"/>
    <w:rsid w:val="0059143E"/>
  </w:style>
  <w:style w:type="character" w:customStyle="1" w:styleId="eop">
    <w:name w:val="eop"/>
    <w:basedOn w:val="Fuentedeprrafopredeter"/>
    <w:rsid w:val="0059143E"/>
  </w:style>
  <w:style w:type="character" w:customStyle="1" w:styleId="Caracteresdenotaalpie">
    <w:name w:val="Caracteres de nota al pie"/>
    <w:rsid w:val="008A4AB2"/>
    <w:rPr>
      <w:vertAlign w:val="superscript"/>
    </w:rPr>
  </w:style>
  <w:style w:type="paragraph" w:customStyle="1" w:styleId="Listavistosa-nfasis12">
    <w:name w:val="Lista vistosa - Énfasis 12"/>
    <w:basedOn w:val="Normal"/>
    <w:rsid w:val="008A4AB2"/>
    <w:pPr>
      <w:suppressAutoHyphens/>
      <w:spacing w:before="0" w:after="0" w:line="240" w:lineRule="auto"/>
      <w:ind w:left="708"/>
      <w:jc w:val="left"/>
    </w:pPr>
    <w:rPr>
      <w:rFonts w:ascii="Times New Roman" w:eastAsia="Times New Roman" w:hAnsi="Times New Roman" w:cs="Times New Roman"/>
      <w:sz w:val="20"/>
      <w:szCs w:val="20"/>
      <w:lang w:val="es-ES_tradnl" w:eastAsia="zh-CN"/>
    </w:rPr>
  </w:style>
  <w:style w:type="paragraph" w:customStyle="1" w:styleId="WW-Texto">
    <w:name w:val="WW-Texto"/>
    <w:basedOn w:val="Normal"/>
    <w:rsid w:val="008A4AB2"/>
    <w:pPr>
      <w:suppressAutoHyphens/>
      <w:spacing w:before="0" w:after="101" w:line="216" w:lineRule="exact"/>
      <w:ind w:firstLine="288"/>
    </w:pPr>
    <w:rPr>
      <w:rFonts w:eastAsia="Times New Roman"/>
      <w:sz w:val="18"/>
      <w:szCs w:val="20"/>
      <w:lang w:val="es-ES" w:eastAsia="zh-CN"/>
    </w:rPr>
  </w:style>
  <w:style w:type="paragraph" w:customStyle="1" w:styleId="Cuadrculamedia21">
    <w:name w:val="Cuadrícula media 21"/>
    <w:rsid w:val="008A4AB2"/>
    <w:pPr>
      <w:suppressAutoHyphens/>
      <w:spacing w:after="0" w:line="240" w:lineRule="auto"/>
    </w:pPr>
    <w:rPr>
      <w:rFonts w:ascii="Calibri" w:eastAsia="Calibri" w:hAnsi="Calibri" w:cs="Times New Roman"/>
      <w:lang w:eastAsia="zh-CN"/>
    </w:rPr>
  </w:style>
  <w:style w:type="table" w:styleId="Tablaconcuadrcula">
    <w:name w:val="Table Grid"/>
    <w:basedOn w:val="Tablanormal"/>
    <w:rsid w:val="00B6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B67251"/>
  </w:style>
  <w:style w:type="character" w:customStyle="1" w:styleId="Ttulo7Car">
    <w:name w:val="Título 7 Car"/>
    <w:basedOn w:val="Fuentedeprrafopredeter"/>
    <w:link w:val="Ttulo7"/>
    <w:uiPriority w:val="9"/>
    <w:rsid w:val="005B059F"/>
    <w:rPr>
      <w:rFonts w:ascii="Arial" w:hAnsi="Arial" w:cs="Arial"/>
      <w:sz w:val="26"/>
      <w:szCs w:val="26"/>
      <w:u w:val="single"/>
    </w:rPr>
  </w:style>
  <w:style w:type="character" w:customStyle="1" w:styleId="Ttulo8Car">
    <w:name w:val="Título 8 Car"/>
    <w:basedOn w:val="Fuentedeprrafopredeter"/>
    <w:link w:val="Ttulo8"/>
    <w:uiPriority w:val="9"/>
    <w:rsid w:val="005B059F"/>
    <w:rPr>
      <w:rFonts w:ascii="Arial" w:hAnsi="Arial" w:cs="Arial"/>
      <w:sz w:val="26"/>
      <w:szCs w:val="26"/>
    </w:rPr>
  </w:style>
  <w:style w:type="paragraph" w:styleId="Revisin">
    <w:name w:val="Revision"/>
    <w:hidden/>
    <w:uiPriority w:val="99"/>
    <w:semiHidden/>
    <w:rsid w:val="005B059F"/>
    <w:pPr>
      <w:spacing w:after="0" w:line="240" w:lineRule="auto"/>
    </w:pPr>
    <w:rPr>
      <w:rFonts w:ascii="Arial" w:hAnsi="Arial" w:cs="Arial"/>
      <w:sz w:val="24"/>
      <w:szCs w:val="24"/>
    </w:rPr>
  </w:style>
  <w:style w:type="character" w:customStyle="1" w:styleId="corte4fondoCar3">
    <w:name w:val="corte4 fondo Car3"/>
    <w:locked/>
    <w:rsid w:val="003B28D2"/>
    <w:rPr>
      <w:rFonts w:ascii="Arial" w:eastAsia="Times New Roman" w:hAnsi="Arial" w:cs="Times New Roman"/>
      <w:kern w:val="0"/>
      <w:sz w:val="30"/>
      <w:szCs w:val="20"/>
      <w:lang w:val="es-ES_tradnl" w:eastAsia="es-MX"/>
      <w14:ligatures w14:val="none"/>
    </w:rPr>
  </w:style>
  <w:style w:type="paragraph" w:customStyle="1" w:styleId="corte5transcripcion">
    <w:name w:val="corte5 transcripcion"/>
    <w:basedOn w:val="Normal"/>
    <w:link w:val="corte5transcripcionCar"/>
    <w:qFormat/>
    <w:rsid w:val="00BC215F"/>
    <w:pPr>
      <w:spacing w:before="0" w:after="160" w:line="360" w:lineRule="auto"/>
      <w:ind w:left="709" w:right="709"/>
    </w:pPr>
    <w:rPr>
      <w:rFonts w:eastAsia="Calibri" w:cs="Times New Roman"/>
      <w:b/>
      <w:i/>
      <w:sz w:val="30"/>
      <w:szCs w:val="22"/>
    </w:rPr>
  </w:style>
  <w:style w:type="character" w:customStyle="1" w:styleId="corte5transcripcionCar">
    <w:name w:val="corte5 transcripcion Car"/>
    <w:link w:val="corte5transcripcion"/>
    <w:locked/>
    <w:rsid w:val="00BC215F"/>
    <w:rPr>
      <w:rFonts w:ascii="Arial" w:eastAsia="Calibri" w:hAnsi="Arial" w:cs="Times New Roman"/>
      <w:b/>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4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ms/uploads/attachment/file/237216/Cuadernillo_SSR_RM.pdf" TargetMode="External"/><Relationship Id="rId1" Type="http://schemas.openxmlformats.org/officeDocument/2006/relationships/hyperlink" Target="https://gire.org.mx/publicaciones/la-pieza-faltante-justicia-reproduc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CBFCBF6165CA845B483868721C5B552" ma:contentTypeVersion="" ma:contentTypeDescription="Crear nuevo documento." ma:contentTypeScope="" ma:versionID="d5c51fb77d66fc31263f7bfad3ece9bd">
  <xsd:schema xmlns:xsd="http://www.w3.org/2001/XMLSchema" xmlns:xs="http://www.w3.org/2001/XMLSchema" xmlns:p="http://schemas.microsoft.com/office/2006/metadata/properties" targetNamespace="http://schemas.microsoft.com/office/2006/metadata/properties" ma:root="true" ma:fieldsID="814239abd367da8c0615b8fdace6ad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8D858-13F2-4FEE-98D2-3C89FF331188}">
  <ds:schemaRefs>
    <ds:schemaRef ds:uri="http://schemas.openxmlformats.org/officeDocument/2006/bibliography"/>
  </ds:schemaRefs>
</ds:datastoreItem>
</file>

<file path=customXml/itemProps2.xml><?xml version="1.0" encoding="utf-8"?>
<ds:datastoreItem xmlns:ds="http://schemas.openxmlformats.org/officeDocument/2006/customXml" ds:itemID="{E6818CAA-1C63-4F5D-9823-91AE018105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023816-C219-482E-A74B-0FF1CCF2F805}">
  <ds:schemaRefs>
    <ds:schemaRef ds:uri="http://schemas.microsoft.com/sharepoint/v3/contenttype/forms"/>
  </ds:schemaRefs>
</ds:datastoreItem>
</file>

<file path=customXml/itemProps4.xml><?xml version="1.0" encoding="utf-8"?>
<ds:datastoreItem xmlns:ds="http://schemas.openxmlformats.org/officeDocument/2006/customXml" ds:itemID="{8AE0964C-7137-41A0-9B7D-AB57D205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77</Pages>
  <Words>18715</Words>
  <Characters>102934</Characters>
  <Application>Microsoft Office Word</Application>
  <DocSecurity>0</DocSecurity>
  <Lines>857</Lines>
  <Paragraphs>242</Paragraphs>
  <ScaleCrop>false</ScaleCrop>
  <Company/>
  <LinksUpToDate>false</LinksUpToDate>
  <CharactersWithSpaces>121407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Isabel Mota Casillas</dc:creator>
  <cp:keywords/>
  <dc:description/>
  <cp:lastModifiedBy>MARTINA HARDY PÉREZ</cp:lastModifiedBy>
  <cp:revision>642</cp:revision>
  <dcterms:created xsi:type="dcterms:W3CDTF">2024-03-04T17:54:00Z</dcterms:created>
  <dcterms:modified xsi:type="dcterms:W3CDTF">2024-08-15T18:57:00Z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0x0101001CBFCBF6165CA845B483868721C5B552</vt:lpwstr>
  </property>
</Properties>
</file>