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5FC7" w14:textId="04FEC849" w:rsidR="001624A8" w:rsidRPr="00B64D08" w:rsidRDefault="001624A8" w:rsidP="000929BF">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0929BF">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1F436C16" w:rsidR="00EE029D" w:rsidRPr="00046D48" w:rsidRDefault="000929BF"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REPARACIÓN INTEGRAL DEL DAÑO. LA PRESCRIPCIÓN DEL DERECHO PARA RECLAMARLA POR PARTE DE VÍCTIMAS INFANTES, INICIA A PARTIR DE QUE CUMPLAN LA MAYORÍA DE EDAD</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6FCC435B"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0929BF">
        <w:rPr>
          <w:rFonts w:ascii="Arial Nova" w:hAnsi="Arial Nova" w:cs="Times New Roman"/>
          <w:b/>
          <w:bCs/>
          <w:smallCaps/>
          <w:color w:val="002060"/>
        </w:rPr>
        <w:t>o</w:t>
      </w:r>
      <w:r w:rsidR="00DD0966" w:rsidRPr="001624A8">
        <w:rPr>
          <w:rFonts w:ascii="Arial Nova" w:hAnsi="Arial Nova" w:cs="Times New Roman"/>
          <w:b/>
          <w:bCs/>
          <w:smallCaps/>
          <w:color w:val="002060"/>
        </w:rPr>
        <w:t xml:space="preserve"> </w:t>
      </w:r>
      <w:r w:rsidR="000929BF">
        <w:rPr>
          <w:rFonts w:ascii="Arial Nova" w:hAnsi="Arial Nova" w:cs="Times New Roman"/>
          <w:b/>
          <w:bCs/>
          <w:smallCaps/>
          <w:color w:val="002060"/>
        </w:rPr>
        <w:t>Alfredo Gutiérrez Ortiz Mena</w:t>
      </w:r>
      <w:r w:rsidR="00B92B45" w:rsidRPr="001624A8">
        <w:rPr>
          <w:rFonts w:ascii="Arial Nova" w:hAnsi="Arial Nova" w:cs="Times New Roman"/>
          <w:smallCaps/>
          <w:color w:val="002060"/>
        </w:rPr>
        <w:t>.</w:t>
      </w:r>
    </w:p>
    <w:p w14:paraId="63E065DC" w14:textId="6082F68C" w:rsidR="0083214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0929BF">
        <w:rPr>
          <w:rFonts w:ascii="Arial Nova" w:hAnsi="Arial Nova" w:cs="Times New Roman"/>
          <w:smallCaps/>
          <w:color w:val="002060"/>
        </w:rPr>
        <w:t>Arturo Bárcena Zubieta</w:t>
      </w:r>
      <w:r w:rsidR="00B92B45" w:rsidRPr="001624A8">
        <w:rPr>
          <w:rFonts w:ascii="Arial Nova" w:hAnsi="Arial Nova" w:cs="Times New Roman"/>
          <w:smallCaps/>
          <w:color w:val="002060"/>
        </w:rPr>
        <w:t>.</w:t>
      </w:r>
      <w:bookmarkEnd w:id="2"/>
    </w:p>
    <w:p w14:paraId="00825EDA" w14:textId="271248F9" w:rsidR="000929BF" w:rsidRPr="001624A8" w:rsidRDefault="000929BF" w:rsidP="001624A8">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Colaboradora: Sandra Ortega Martínez.</w:t>
      </w:r>
    </w:p>
    <w:p w14:paraId="1C0B4F90" w14:textId="58F27D62"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0929BF">
        <w:rPr>
          <w:rFonts w:ascii="Arial Nova" w:hAnsi="Arial Nova" w:cs="Times New Roman"/>
          <w:smallCaps/>
          <w:color w:val="002060"/>
        </w:rPr>
        <w:t>Directo 8</w:t>
      </w:r>
      <w:r w:rsidRPr="001624A8">
        <w:rPr>
          <w:rFonts w:ascii="Arial Nova" w:hAnsi="Arial Nova" w:cs="Times New Roman"/>
          <w:smallCaps/>
          <w:color w:val="002060"/>
        </w:rPr>
        <w:t>/202</w:t>
      </w:r>
      <w:r w:rsidR="000929BF">
        <w:rPr>
          <w:rFonts w:ascii="Arial Nova" w:hAnsi="Arial Nova" w:cs="Times New Roman"/>
          <w:smallCaps/>
          <w:color w:val="002060"/>
        </w:rPr>
        <w:t>2</w:t>
      </w:r>
      <w:r w:rsidRPr="004C2D17">
        <w:rPr>
          <w:rFonts w:ascii="Arial Nova" w:hAnsi="Arial Nova" w:cs="Times New Roman"/>
          <w:smallCaps/>
        </w:rPr>
        <w:t>.</w:t>
      </w:r>
      <w:bookmarkEnd w:id="1"/>
      <w:bookmarkEnd w:id="3"/>
    </w:p>
    <w:p w14:paraId="4ED83672" w14:textId="77777777" w:rsidR="001C01EC" w:rsidRDefault="001C01EC" w:rsidP="000929BF">
      <w:pPr>
        <w:spacing w:after="0" w:line="240" w:lineRule="auto"/>
        <w:rPr>
          <w:rFonts w:ascii="Arial Nova" w:hAnsi="Arial Nova" w:cs="Times New Roman"/>
          <w:sz w:val="20"/>
          <w:szCs w:val="20"/>
        </w:rPr>
      </w:pPr>
    </w:p>
    <w:p w14:paraId="23CDDC7C" w14:textId="77777777" w:rsidR="001624A8" w:rsidRPr="001C01EC" w:rsidRDefault="001624A8" w:rsidP="000929BF">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4DB42E38" w14:textId="43A95115" w:rsidR="000929BF" w:rsidRDefault="000929BF" w:rsidP="006E1F3D">
            <w:pPr>
              <w:jc w:val="both"/>
              <w:rPr>
                <w:rFonts w:ascii="Arial Nova" w:hAnsi="Arial Nova" w:cs="Times New Roman"/>
              </w:rPr>
            </w:pPr>
            <w:r>
              <w:rPr>
                <w:rFonts w:ascii="Arial Nova" w:hAnsi="Arial Nova" w:cs="Times New Roman"/>
              </w:rPr>
              <w:t xml:space="preserve">En el caso, una mujer, </w:t>
            </w:r>
            <w:r w:rsidRPr="000929BF">
              <w:rPr>
                <w:rFonts w:ascii="Arial Nova" w:hAnsi="Arial Nova" w:cs="Times New Roman"/>
              </w:rPr>
              <w:t xml:space="preserve">en nombre propio y de su nieto menor de edad, en su carácter de </w:t>
            </w:r>
            <w:r w:rsidRPr="000929BF">
              <w:rPr>
                <w:rFonts w:ascii="Arial Nova" w:hAnsi="Arial Nova" w:cs="Times New Roman"/>
              </w:rPr>
              <w:t>víctimas</w:t>
            </w:r>
            <w:r w:rsidRPr="000929BF">
              <w:rPr>
                <w:rFonts w:ascii="Arial Nova" w:hAnsi="Arial Nova" w:cs="Times New Roman"/>
              </w:rPr>
              <w:t xml:space="preserve"> indirectas del feminicidio agravado de su hija y madre del menor, </w:t>
            </w:r>
            <w:r>
              <w:rPr>
                <w:rFonts w:ascii="Arial Nova" w:hAnsi="Arial Nova" w:cs="Times New Roman"/>
              </w:rPr>
              <w:t xml:space="preserve">promovió juicio de amparo directo </w:t>
            </w:r>
            <w:r w:rsidRPr="000929BF">
              <w:rPr>
                <w:rFonts w:ascii="Arial Nova" w:hAnsi="Arial Nova" w:cs="Times New Roman"/>
              </w:rPr>
              <w:t>en contra de la sentencia de segunda instancia, en el que reclamó primordialmente cuestiones relativas a la reparación del daño</w:t>
            </w:r>
            <w:r w:rsidR="006E1F3D" w:rsidRPr="001624A8">
              <w:rPr>
                <w:rFonts w:ascii="Arial Nova" w:hAnsi="Arial Nova" w:cs="Times New Roman"/>
              </w:rPr>
              <w:t>.</w:t>
            </w:r>
          </w:p>
          <w:p w14:paraId="58209139" w14:textId="77777777" w:rsidR="002D4EB3" w:rsidRDefault="002D4EB3" w:rsidP="006E1F3D">
            <w:pPr>
              <w:jc w:val="both"/>
              <w:rPr>
                <w:rFonts w:ascii="Arial Nova" w:hAnsi="Arial Nova" w:cs="Times New Roman"/>
              </w:rPr>
            </w:pPr>
          </w:p>
          <w:p w14:paraId="2FAF20A3" w14:textId="194D5051" w:rsidR="00B92B45" w:rsidRDefault="002D4EB3" w:rsidP="006E1F3D">
            <w:pPr>
              <w:jc w:val="both"/>
              <w:rPr>
                <w:rFonts w:ascii="Arial Nova" w:hAnsi="Arial Nova" w:cs="Times New Roman"/>
              </w:rPr>
            </w:pPr>
            <w:r>
              <w:rPr>
                <w:rFonts w:ascii="Arial Nova" w:hAnsi="Arial Nova" w:cs="Times New Roman"/>
              </w:rPr>
              <w:t>Durante la sustanciación del juicio de amparo directo y ante la relevancia de los temas planteados en éste, la Primera Sala atrajo para su conocimiento el caso.</w:t>
            </w:r>
          </w:p>
          <w:p w14:paraId="46918882" w14:textId="77777777" w:rsidR="002D4EB3" w:rsidRDefault="002D4EB3" w:rsidP="006E1F3D">
            <w:pPr>
              <w:jc w:val="both"/>
              <w:rPr>
                <w:rFonts w:ascii="Arial Nova" w:hAnsi="Arial Nova" w:cs="Times New Roman"/>
              </w:rPr>
            </w:pPr>
          </w:p>
          <w:p w14:paraId="45A70DC8" w14:textId="77777777" w:rsidR="002D4EB3" w:rsidRPr="008B513D" w:rsidRDefault="002D4EB3" w:rsidP="002D4EB3">
            <w:pPr>
              <w:jc w:val="both"/>
              <w:rPr>
                <w:rFonts w:ascii="Arial Nova" w:hAnsi="Arial Nova" w:cs="Times New Roman"/>
              </w:rPr>
            </w:pPr>
            <w:r>
              <w:rPr>
                <w:rFonts w:ascii="Arial Nova" w:hAnsi="Arial Nova" w:cs="Times New Roman"/>
              </w:rPr>
              <w:t xml:space="preserve">En su fallo, </w:t>
            </w:r>
            <w:r w:rsidRPr="008B513D">
              <w:rPr>
                <w:rFonts w:ascii="Arial Nova" w:hAnsi="Arial Nova" w:cs="Times New Roman"/>
              </w:rPr>
              <w:t>la Primera Sala determinó que, para fijar el monto provisional de indemnización por lucro cesante y contrario a lo decidido por el juez responsable, es factible emplear como parámetro para su cálculo el salario mínimo vigente en el área geográfica donde laboraba la víctima directa en el año de su fallecimiento.</w:t>
            </w:r>
          </w:p>
          <w:p w14:paraId="34C89683" w14:textId="77777777" w:rsidR="002D4EB3" w:rsidRPr="008B513D" w:rsidRDefault="002D4EB3" w:rsidP="002D4EB3">
            <w:pPr>
              <w:jc w:val="both"/>
              <w:rPr>
                <w:rFonts w:ascii="Arial Nova" w:hAnsi="Arial Nova" w:cs="Times New Roman"/>
              </w:rPr>
            </w:pPr>
          </w:p>
          <w:p w14:paraId="0E42E5CD" w14:textId="77777777" w:rsidR="002D4EB3" w:rsidRPr="008B513D" w:rsidRDefault="002D4EB3" w:rsidP="002D4EB3">
            <w:pPr>
              <w:jc w:val="both"/>
              <w:rPr>
                <w:rFonts w:ascii="Arial Nova" w:hAnsi="Arial Nova" w:cs="Times New Roman"/>
              </w:rPr>
            </w:pPr>
            <w:r w:rsidRPr="008B513D">
              <w:rPr>
                <w:rFonts w:ascii="Arial Nova" w:hAnsi="Arial Nova" w:cs="Times New Roman"/>
              </w:rPr>
              <w:t>Asimismo, estimó procedente condenar al pago de gastos y costas del asesor jurídico privado y los gastos de transporte, dejando su cuantificación hasta la ejecución de sentencia.</w:t>
            </w:r>
          </w:p>
          <w:p w14:paraId="3776A484" w14:textId="77777777" w:rsidR="002D4EB3" w:rsidRPr="008B513D" w:rsidRDefault="002D4EB3" w:rsidP="002D4EB3">
            <w:pPr>
              <w:jc w:val="both"/>
              <w:rPr>
                <w:rFonts w:ascii="Arial Nova" w:hAnsi="Arial Nova" w:cs="Times New Roman"/>
              </w:rPr>
            </w:pPr>
          </w:p>
          <w:p w14:paraId="5D923AE3" w14:textId="77777777" w:rsidR="002D4EB3" w:rsidRPr="008B513D" w:rsidRDefault="002D4EB3" w:rsidP="002D4EB3">
            <w:pPr>
              <w:jc w:val="both"/>
              <w:rPr>
                <w:rFonts w:ascii="Arial Nova" w:hAnsi="Arial Nova" w:cs="Times New Roman"/>
              </w:rPr>
            </w:pPr>
            <w:r w:rsidRPr="008B513D">
              <w:rPr>
                <w:rFonts w:ascii="Arial Nova" w:hAnsi="Arial Nova" w:cs="Times New Roman"/>
              </w:rPr>
              <w:t>En otro aspecto, el Alto Tribunal consideró pertinente ordenar que, ante la insolvencia acreditada del sentenciado, el Estado, por conducto de la Comisión de Atención a Víctimas que sea competente, repare de forma subsidiaria y en favor de las personas quejosas, el daño integral sufrido.</w:t>
            </w:r>
          </w:p>
          <w:p w14:paraId="4DE9F5A0" w14:textId="77777777" w:rsidR="002D4EB3" w:rsidRPr="008B513D" w:rsidRDefault="002D4EB3" w:rsidP="002D4EB3">
            <w:pPr>
              <w:jc w:val="both"/>
              <w:rPr>
                <w:rFonts w:ascii="Arial Nova" w:hAnsi="Arial Nova" w:cs="Times New Roman"/>
              </w:rPr>
            </w:pPr>
          </w:p>
          <w:p w14:paraId="2380C8D4" w14:textId="77777777" w:rsidR="002D4EB3" w:rsidRDefault="002D4EB3" w:rsidP="002D4EB3">
            <w:pPr>
              <w:jc w:val="both"/>
              <w:rPr>
                <w:rFonts w:ascii="Arial Nova" w:hAnsi="Arial Nova" w:cs="Times New Roman"/>
              </w:rPr>
            </w:pPr>
            <w:r w:rsidRPr="008B513D">
              <w:rPr>
                <w:rFonts w:ascii="Arial Nova" w:hAnsi="Arial Nova" w:cs="Times New Roman"/>
              </w:rPr>
              <w:t>Finalmente, la Sala precisó que la prescripción del derecho a la reparación integral del daño respecto de la víctima indirecta menor de edad comenzará a correr hasta que aquélla cumpla dieciocho años, momento en el cual también podrá renunciar a dicha reparación.</w:t>
            </w:r>
          </w:p>
          <w:p w14:paraId="167AF247" w14:textId="77777777" w:rsidR="002D4EB3" w:rsidRPr="008B513D" w:rsidRDefault="002D4EB3" w:rsidP="002D4EB3">
            <w:pPr>
              <w:jc w:val="both"/>
              <w:rPr>
                <w:rFonts w:ascii="Arial Nova" w:hAnsi="Arial Nova" w:cs="Times New Roman"/>
              </w:rPr>
            </w:pPr>
          </w:p>
          <w:p w14:paraId="068A96B6" w14:textId="2880F198" w:rsidR="0048582B" w:rsidRPr="00650F1C" w:rsidRDefault="0048582B" w:rsidP="002D4EB3">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Default="00AF51B8" w:rsidP="000018A2">
      <w:pPr>
        <w:spacing w:after="0" w:line="240" w:lineRule="auto"/>
        <w:jc w:val="both"/>
        <w:rPr>
          <w:rFonts w:ascii="Arial Nova" w:hAnsi="Arial Nova" w:cs="Times New Roman"/>
          <w:sz w:val="24"/>
          <w:szCs w:val="24"/>
        </w:rPr>
      </w:pPr>
    </w:p>
    <w:p w14:paraId="14A858CE" w14:textId="34E4E44A" w:rsidR="000929BF" w:rsidRPr="000929BF" w:rsidRDefault="000929BF" w:rsidP="000929BF">
      <w:pPr>
        <w:spacing w:after="0" w:line="240" w:lineRule="auto"/>
        <w:jc w:val="both"/>
        <w:rPr>
          <w:rFonts w:ascii="Arial Nova" w:hAnsi="Arial Nova" w:cs="Times New Roman"/>
          <w:sz w:val="24"/>
          <w:szCs w:val="24"/>
        </w:rPr>
      </w:pPr>
      <w:r w:rsidRPr="000929BF">
        <w:rPr>
          <w:rFonts w:ascii="Arial Nova" w:hAnsi="Arial Nova" w:cs="Times New Roman"/>
          <w:sz w:val="24"/>
          <w:szCs w:val="24"/>
        </w:rPr>
        <w:t xml:space="preserve">El diecinueve de marzo de dos mil dieciocho, siendo aproximadamente las quince horas con veinte minutos, </w:t>
      </w:r>
      <w:r>
        <w:rPr>
          <w:rFonts w:ascii="Arial Nova" w:hAnsi="Arial Nova" w:cs="Times New Roman"/>
          <w:sz w:val="24"/>
          <w:szCs w:val="24"/>
        </w:rPr>
        <w:t>una mujer</w:t>
      </w:r>
      <w:r w:rsidRPr="000929BF">
        <w:rPr>
          <w:rFonts w:ascii="Arial Nova" w:hAnsi="Arial Nova" w:cs="Times New Roman"/>
          <w:sz w:val="24"/>
          <w:szCs w:val="24"/>
        </w:rPr>
        <w:t xml:space="preserve"> se encontraba laborando en el local de </w:t>
      </w:r>
      <w:r>
        <w:rPr>
          <w:rFonts w:ascii="Arial Nova" w:hAnsi="Arial Nova" w:cs="Times New Roman"/>
          <w:sz w:val="24"/>
          <w:szCs w:val="24"/>
        </w:rPr>
        <w:t>una</w:t>
      </w:r>
      <w:r w:rsidRPr="000929BF">
        <w:rPr>
          <w:rFonts w:ascii="Arial Nova" w:hAnsi="Arial Nova" w:cs="Times New Roman"/>
          <w:sz w:val="24"/>
          <w:szCs w:val="24"/>
        </w:rPr>
        <w:t xml:space="preserve"> tienda </w:t>
      </w:r>
      <w:r>
        <w:rPr>
          <w:rFonts w:ascii="Arial Nova" w:hAnsi="Arial Nova" w:cs="Times New Roman"/>
          <w:sz w:val="24"/>
          <w:szCs w:val="24"/>
        </w:rPr>
        <w:t>ubicada en</w:t>
      </w:r>
      <w:r w:rsidRPr="000929BF">
        <w:rPr>
          <w:rFonts w:ascii="Arial Nova" w:hAnsi="Arial Nova" w:cs="Times New Roman"/>
          <w:sz w:val="24"/>
          <w:szCs w:val="24"/>
        </w:rPr>
        <w:t xml:space="preserve"> la Ciudad de México.</w:t>
      </w:r>
    </w:p>
    <w:p w14:paraId="21D8EF9F" w14:textId="77777777" w:rsidR="000929BF" w:rsidRDefault="000929BF" w:rsidP="000929BF">
      <w:pPr>
        <w:spacing w:after="0" w:line="240" w:lineRule="auto"/>
        <w:jc w:val="both"/>
        <w:rPr>
          <w:rFonts w:ascii="Arial Nova" w:hAnsi="Arial Nova" w:cs="Times New Roman"/>
          <w:sz w:val="24"/>
          <w:szCs w:val="24"/>
        </w:rPr>
      </w:pPr>
    </w:p>
    <w:p w14:paraId="19638BAA" w14:textId="4B82EFEB" w:rsidR="000929BF" w:rsidRDefault="000929BF" w:rsidP="000929BF">
      <w:pPr>
        <w:spacing w:after="0" w:line="240" w:lineRule="auto"/>
        <w:jc w:val="both"/>
        <w:rPr>
          <w:rFonts w:ascii="Arial Nova" w:hAnsi="Arial Nova" w:cs="Times New Roman"/>
          <w:sz w:val="24"/>
          <w:szCs w:val="24"/>
        </w:rPr>
      </w:pPr>
      <w:r>
        <w:rPr>
          <w:rFonts w:ascii="Arial Nova" w:hAnsi="Arial Nova" w:cs="Times New Roman"/>
          <w:sz w:val="24"/>
          <w:szCs w:val="24"/>
        </w:rPr>
        <w:t>E</w:t>
      </w:r>
      <w:r w:rsidRPr="000929BF">
        <w:rPr>
          <w:rFonts w:ascii="Arial Nova" w:hAnsi="Arial Nova" w:cs="Times New Roman"/>
          <w:sz w:val="24"/>
          <w:szCs w:val="24"/>
        </w:rPr>
        <w:t xml:space="preserve">n ese momento, </w:t>
      </w:r>
      <w:r>
        <w:rPr>
          <w:rFonts w:ascii="Arial Nova" w:hAnsi="Arial Nova" w:cs="Times New Roman"/>
          <w:sz w:val="24"/>
          <w:szCs w:val="24"/>
        </w:rPr>
        <w:t>su</w:t>
      </w:r>
      <w:r w:rsidRPr="000929BF">
        <w:rPr>
          <w:rFonts w:ascii="Arial Nova" w:hAnsi="Arial Nova" w:cs="Times New Roman"/>
          <w:sz w:val="24"/>
          <w:szCs w:val="24"/>
        </w:rPr>
        <w:t xml:space="preserve"> exnovio</w:t>
      </w:r>
      <w:r>
        <w:rPr>
          <w:rFonts w:ascii="Arial Nova" w:hAnsi="Arial Nova" w:cs="Times New Roman"/>
          <w:sz w:val="24"/>
          <w:szCs w:val="24"/>
        </w:rPr>
        <w:t xml:space="preserve"> —con quien había procreado un hijo—</w:t>
      </w:r>
      <w:r w:rsidRPr="000929BF">
        <w:rPr>
          <w:rFonts w:ascii="Arial Nova" w:hAnsi="Arial Nova" w:cs="Times New Roman"/>
          <w:sz w:val="24"/>
          <w:szCs w:val="24"/>
        </w:rPr>
        <w:t xml:space="preserve">, entró al citado local portando un arma de fuego, la cual accionó en diversas ocasiones contra </w:t>
      </w:r>
      <w:r w:rsidR="002D4EB3">
        <w:rPr>
          <w:rFonts w:ascii="Arial Nova" w:hAnsi="Arial Nova" w:cs="Times New Roman"/>
          <w:sz w:val="24"/>
          <w:szCs w:val="24"/>
        </w:rPr>
        <w:t>de la mujer</w:t>
      </w:r>
      <w:r w:rsidRPr="000929BF">
        <w:rPr>
          <w:rFonts w:ascii="Arial Nova" w:hAnsi="Arial Nova" w:cs="Times New Roman"/>
          <w:sz w:val="24"/>
          <w:szCs w:val="24"/>
        </w:rPr>
        <w:t>, hiriéndola en el abdomen, tórax y muslo derecho. A continuación, colocó la pistola bajo su propia barbilla y se disparó.</w:t>
      </w:r>
    </w:p>
    <w:p w14:paraId="6152144F" w14:textId="77777777" w:rsidR="002D4EB3" w:rsidRPr="000929BF" w:rsidRDefault="002D4EB3" w:rsidP="000929BF">
      <w:pPr>
        <w:spacing w:after="0" w:line="240" w:lineRule="auto"/>
        <w:jc w:val="both"/>
        <w:rPr>
          <w:rFonts w:ascii="Arial Nova" w:hAnsi="Arial Nova" w:cs="Times New Roman"/>
          <w:sz w:val="24"/>
          <w:szCs w:val="24"/>
        </w:rPr>
      </w:pPr>
    </w:p>
    <w:p w14:paraId="5F82D604" w14:textId="77777777" w:rsidR="002D4EB3" w:rsidRDefault="000929BF" w:rsidP="000929BF">
      <w:pPr>
        <w:spacing w:after="0" w:line="240" w:lineRule="auto"/>
        <w:jc w:val="both"/>
        <w:rPr>
          <w:rFonts w:ascii="Arial Nova" w:hAnsi="Arial Nova" w:cs="Times New Roman"/>
          <w:sz w:val="24"/>
          <w:szCs w:val="24"/>
        </w:rPr>
      </w:pPr>
      <w:r w:rsidRPr="000929BF">
        <w:rPr>
          <w:rFonts w:ascii="Arial Nova" w:hAnsi="Arial Nova" w:cs="Times New Roman"/>
          <w:sz w:val="24"/>
          <w:szCs w:val="24"/>
        </w:rPr>
        <w:t xml:space="preserve">Las empleadas y personas que se encontraban en ese lugar salieron a solicitar ayuda. Ambos heridos fueron trasladados en ambulancia hacia diferentes nosocomios. </w:t>
      </w:r>
      <w:r w:rsidR="002D4EB3">
        <w:rPr>
          <w:rFonts w:ascii="Arial Nova" w:hAnsi="Arial Nova" w:cs="Times New Roman"/>
          <w:sz w:val="24"/>
          <w:szCs w:val="24"/>
        </w:rPr>
        <w:t>La mujer</w:t>
      </w:r>
      <w:r w:rsidRPr="000929BF">
        <w:rPr>
          <w:rFonts w:ascii="Arial Nova" w:hAnsi="Arial Nova" w:cs="Times New Roman"/>
          <w:sz w:val="24"/>
          <w:szCs w:val="24"/>
        </w:rPr>
        <w:t xml:space="preserve"> falleció en el hospital donde fue atendida, mientras </w:t>
      </w:r>
      <w:r w:rsidR="002D4EB3">
        <w:rPr>
          <w:rFonts w:ascii="Arial Nova" w:hAnsi="Arial Nova" w:cs="Times New Roman"/>
          <w:sz w:val="24"/>
          <w:szCs w:val="24"/>
        </w:rPr>
        <w:t>que su agresor</w:t>
      </w:r>
      <w:r w:rsidRPr="000929BF">
        <w:rPr>
          <w:rFonts w:ascii="Arial Nova" w:hAnsi="Arial Nova" w:cs="Times New Roman"/>
          <w:sz w:val="24"/>
          <w:szCs w:val="24"/>
        </w:rPr>
        <w:t xml:space="preserve"> permaneció grave en calidad de detenido, logrando sobrevivir</w:t>
      </w:r>
    </w:p>
    <w:p w14:paraId="1AF1AE69" w14:textId="395952F0" w:rsidR="000929BF" w:rsidRPr="000929BF" w:rsidRDefault="000929BF" w:rsidP="000929BF">
      <w:pPr>
        <w:spacing w:after="0" w:line="240" w:lineRule="auto"/>
        <w:jc w:val="both"/>
        <w:rPr>
          <w:rFonts w:ascii="Arial Nova" w:hAnsi="Arial Nova" w:cs="Times New Roman"/>
          <w:sz w:val="24"/>
          <w:szCs w:val="24"/>
        </w:rPr>
      </w:pPr>
    </w:p>
    <w:p w14:paraId="44BCA7B8" w14:textId="4BD007A3" w:rsidR="000929BF" w:rsidRDefault="000929BF" w:rsidP="000929BF">
      <w:pPr>
        <w:spacing w:after="0" w:line="240" w:lineRule="auto"/>
        <w:jc w:val="both"/>
        <w:rPr>
          <w:rFonts w:ascii="Arial Nova" w:hAnsi="Arial Nova" w:cs="Times New Roman"/>
          <w:sz w:val="24"/>
          <w:szCs w:val="24"/>
        </w:rPr>
      </w:pPr>
      <w:r w:rsidRPr="000929BF">
        <w:rPr>
          <w:rFonts w:ascii="Arial Nova" w:hAnsi="Arial Nova" w:cs="Times New Roman"/>
          <w:sz w:val="24"/>
          <w:szCs w:val="24"/>
        </w:rPr>
        <w:t>Con motivo de es</w:t>
      </w:r>
      <w:r w:rsidR="002D4EB3">
        <w:rPr>
          <w:rFonts w:ascii="Arial Nova" w:hAnsi="Arial Nova" w:cs="Times New Roman"/>
          <w:sz w:val="24"/>
          <w:szCs w:val="24"/>
        </w:rPr>
        <w:t>os</w:t>
      </w:r>
      <w:r w:rsidRPr="000929BF">
        <w:rPr>
          <w:rFonts w:ascii="Arial Nova" w:hAnsi="Arial Nova" w:cs="Times New Roman"/>
          <w:sz w:val="24"/>
          <w:szCs w:val="24"/>
        </w:rPr>
        <w:t xml:space="preserve"> hecho</w:t>
      </w:r>
      <w:r w:rsidR="002D4EB3">
        <w:rPr>
          <w:rFonts w:ascii="Arial Nova" w:hAnsi="Arial Nova" w:cs="Times New Roman"/>
          <w:sz w:val="24"/>
          <w:szCs w:val="24"/>
        </w:rPr>
        <w:t>s</w:t>
      </w:r>
      <w:r w:rsidRPr="000929BF">
        <w:rPr>
          <w:rFonts w:ascii="Arial Nova" w:hAnsi="Arial Nova" w:cs="Times New Roman"/>
          <w:sz w:val="24"/>
          <w:szCs w:val="24"/>
        </w:rPr>
        <w:t xml:space="preserve">, se </w:t>
      </w:r>
      <w:r w:rsidR="002D4EB3">
        <w:rPr>
          <w:rFonts w:ascii="Arial Nova" w:hAnsi="Arial Nova" w:cs="Times New Roman"/>
          <w:sz w:val="24"/>
          <w:szCs w:val="24"/>
        </w:rPr>
        <w:t xml:space="preserve">inició </w:t>
      </w:r>
      <w:r w:rsidRPr="000929BF">
        <w:rPr>
          <w:rFonts w:ascii="Arial Nova" w:hAnsi="Arial Nova" w:cs="Times New Roman"/>
          <w:sz w:val="24"/>
          <w:szCs w:val="24"/>
        </w:rPr>
        <w:t>un proceso penal</w:t>
      </w:r>
      <w:r w:rsidR="002D4EB3">
        <w:rPr>
          <w:rFonts w:ascii="Arial Nova" w:hAnsi="Arial Nova" w:cs="Times New Roman"/>
          <w:sz w:val="24"/>
          <w:szCs w:val="24"/>
        </w:rPr>
        <w:t xml:space="preserve"> en contra del imputado</w:t>
      </w:r>
      <w:r w:rsidRPr="000929BF">
        <w:rPr>
          <w:rFonts w:ascii="Arial Nova" w:hAnsi="Arial Nova" w:cs="Times New Roman"/>
          <w:sz w:val="24"/>
          <w:szCs w:val="24"/>
        </w:rPr>
        <w:t>. Celebrada la audiencia de juicio oral, el treinta de diciembre de dos mil veinte, la jueza del Tribunal de Enjuiciamiento del Sistema Procesal Penal Acusatorio de la Ciudad de México lo condenó por el delito de feminicidio agravado. Los puntos resolutivos de la sentencia fueron los siguientes:</w:t>
      </w:r>
    </w:p>
    <w:p w14:paraId="345F1EF2" w14:textId="77777777" w:rsidR="002D4EB3" w:rsidRDefault="002D4EB3" w:rsidP="000929BF">
      <w:pPr>
        <w:spacing w:after="0" w:line="240" w:lineRule="auto"/>
        <w:jc w:val="both"/>
        <w:rPr>
          <w:rFonts w:ascii="Arial Nova" w:hAnsi="Arial Nova" w:cs="Times New Roman"/>
          <w:sz w:val="24"/>
          <w:szCs w:val="24"/>
        </w:rPr>
      </w:pPr>
    </w:p>
    <w:p w14:paraId="49F20CD7" w14:textId="23F1553E" w:rsidR="000929BF" w:rsidRPr="000929BF" w:rsidRDefault="000929BF" w:rsidP="000929BF">
      <w:pPr>
        <w:spacing w:after="0" w:line="240" w:lineRule="auto"/>
        <w:jc w:val="both"/>
        <w:rPr>
          <w:rFonts w:ascii="Arial Nova" w:hAnsi="Arial Nova" w:cs="Times New Roman"/>
          <w:sz w:val="24"/>
          <w:szCs w:val="24"/>
        </w:rPr>
      </w:pPr>
      <w:r w:rsidRPr="000929BF">
        <w:rPr>
          <w:rFonts w:ascii="Arial Nova" w:hAnsi="Arial Nova" w:cs="Times New Roman"/>
          <w:sz w:val="24"/>
          <w:szCs w:val="24"/>
        </w:rPr>
        <w:t>En desacuerdo con esa determinación</w:t>
      </w:r>
      <w:r w:rsidR="002D4EB3">
        <w:rPr>
          <w:rFonts w:ascii="Arial Nova" w:hAnsi="Arial Nova" w:cs="Times New Roman"/>
          <w:sz w:val="24"/>
          <w:szCs w:val="24"/>
        </w:rPr>
        <w:t>, la madre de la víctima</w:t>
      </w:r>
      <w:r w:rsidRPr="000929BF">
        <w:rPr>
          <w:rFonts w:ascii="Arial Nova" w:hAnsi="Arial Nova" w:cs="Times New Roman"/>
          <w:sz w:val="24"/>
          <w:szCs w:val="24"/>
        </w:rPr>
        <w:t xml:space="preserve">, por propio derecho y en representación </w:t>
      </w:r>
      <w:r w:rsidR="002D4EB3">
        <w:rPr>
          <w:rFonts w:ascii="Arial Nova" w:hAnsi="Arial Nova" w:cs="Times New Roman"/>
          <w:sz w:val="24"/>
          <w:szCs w:val="24"/>
        </w:rPr>
        <w:t>de su nieto</w:t>
      </w:r>
      <w:r w:rsidRPr="000929BF">
        <w:rPr>
          <w:rFonts w:ascii="Arial Nova" w:hAnsi="Arial Nova" w:cs="Times New Roman"/>
          <w:sz w:val="24"/>
          <w:szCs w:val="24"/>
        </w:rPr>
        <w:t xml:space="preserve">, </w:t>
      </w:r>
      <w:r w:rsidR="002D4EB3">
        <w:rPr>
          <w:rFonts w:ascii="Arial Nova" w:hAnsi="Arial Nova" w:cs="Times New Roman"/>
          <w:sz w:val="24"/>
          <w:szCs w:val="24"/>
        </w:rPr>
        <w:t xml:space="preserve">en su carácter de víctimas indirectas, </w:t>
      </w:r>
      <w:r w:rsidRPr="000929BF">
        <w:rPr>
          <w:rFonts w:ascii="Arial Nova" w:hAnsi="Arial Nova" w:cs="Times New Roman"/>
          <w:sz w:val="24"/>
          <w:szCs w:val="24"/>
        </w:rPr>
        <w:t>así como el defensor del sentenciado, interpusieron recurso de apelación, de los cuales tocó conocer a la Novena Sala Penal del Tribunal Superior de Justicia de la Ciudad de México.</w:t>
      </w:r>
    </w:p>
    <w:p w14:paraId="7443E5EE" w14:textId="77777777" w:rsidR="002D4EB3" w:rsidRDefault="002D4EB3" w:rsidP="000929BF">
      <w:pPr>
        <w:spacing w:after="0" w:line="240" w:lineRule="auto"/>
        <w:jc w:val="both"/>
        <w:rPr>
          <w:rFonts w:ascii="Arial Nova" w:hAnsi="Arial Nova" w:cs="Times New Roman"/>
          <w:sz w:val="24"/>
          <w:szCs w:val="24"/>
        </w:rPr>
      </w:pPr>
    </w:p>
    <w:p w14:paraId="19633803" w14:textId="4DEFED8B" w:rsidR="000929BF" w:rsidRDefault="000929BF" w:rsidP="000929BF">
      <w:pPr>
        <w:spacing w:after="0" w:line="240" w:lineRule="auto"/>
        <w:jc w:val="both"/>
        <w:rPr>
          <w:rFonts w:ascii="Arial Nova" w:hAnsi="Arial Nova" w:cs="Times New Roman"/>
          <w:sz w:val="24"/>
          <w:szCs w:val="24"/>
        </w:rPr>
      </w:pPr>
      <w:r w:rsidRPr="000929BF">
        <w:rPr>
          <w:rFonts w:ascii="Arial Nova" w:hAnsi="Arial Nova" w:cs="Times New Roman"/>
          <w:sz w:val="24"/>
          <w:szCs w:val="24"/>
        </w:rPr>
        <w:t>Por resolución de ocho de julio de dos mil veintiuno, la indicada Sala modificó la sentencia impugnada respecto de la reparación del daño</w:t>
      </w:r>
      <w:r w:rsidR="002D4EB3">
        <w:rPr>
          <w:rFonts w:ascii="Arial Nova" w:hAnsi="Arial Nova" w:cs="Times New Roman"/>
          <w:sz w:val="24"/>
          <w:szCs w:val="24"/>
        </w:rPr>
        <w:t>. En desacuerdo, las víctimas indirectas promovieron juicio de amparo directo, respecto del cual, la Primera Sala ejerció su facultad de atracción para resolverlo.</w:t>
      </w:r>
    </w:p>
    <w:p w14:paraId="596D769D" w14:textId="77777777" w:rsidR="000929BF" w:rsidRPr="00E32435" w:rsidRDefault="000929BF" w:rsidP="002D4EB3">
      <w:pPr>
        <w:spacing w:after="0" w:line="240" w:lineRule="auto"/>
        <w:jc w:val="both"/>
        <w:rPr>
          <w:rFonts w:ascii="Arial Nova" w:hAnsi="Arial Nova" w:cs="Times New Roman"/>
          <w:sz w:val="24"/>
          <w:szCs w:val="24"/>
        </w:rPr>
      </w:pPr>
    </w:p>
    <w:p w14:paraId="6BA52939" w14:textId="4CDF03DC" w:rsidR="0048582B" w:rsidRPr="008B0FEE" w:rsidRDefault="00B323DA" w:rsidP="002D4EB3">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2D4EB3">
      <w:pPr>
        <w:spacing w:after="0" w:line="240" w:lineRule="auto"/>
        <w:jc w:val="both"/>
        <w:rPr>
          <w:rFonts w:ascii="Arial Nova" w:hAnsi="Arial Nova" w:cs="Times New Roman"/>
          <w:b/>
          <w:bCs/>
          <w:sz w:val="24"/>
          <w:szCs w:val="24"/>
          <w:shd w:val="clear" w:color="auto" w:fill="B4C6E7" w:themeFill="accent1" w:themeFillTint="66"/>
        </w:rPr>
      </w:pPr>
    </w:p>
    <w:p w14:paraId="34D41038" w14:textId="77777777" w:rsidR="002D4EB3" w:rsidRPr="002D4EB3" w:rsidRDefault="002D4EB3" w:rsidP="002D4EB3">
      <w:pPr>
        <w:spacing w:after="0" w:line="240" w:lineRule="auto"/>
        <w:jc w:val="both"/>
        <w:rPr>
          <w:rFonts w:ascii="Arial Nova" w:hAnsi="Arial Nova" w:cs="Times New Roman"/>
          <w:sz w:val="24"/>
          <w:szCs w:val="24"/>
        </w:rPr>
      </w:pPr>
      <w:r w:rsidRPr="002D4EB3">
        <w:rPr>
          <w:rFonts w:ascii="Arial Nova" w:hAnsi="Arial Nova" w:cs="Times New Roman"/>
          <w:sz w:val="24"/>
          <w:szCs w:val="24"/>
        </w:rPr>
        <w:t>En su fallo, a la luz de la doctrina jurisprudencial sobre el derecho humano a la reparación integral del daño, la Primera Sala determinó que, para fijar el monto provisional de indemnización por lucro cesante y contrario a lo decidido por el juez responsable, es factible emplear como parámetro para su cálculo el salario mínimo vigente en el área geográfica donde laboraba la víctima directa en el año de su fallecimiento.</w:t>
      </w:r>
    </w:p>
    <w:p w14:paraId="467F0E55" w14:textId="77777777" w:rsidR="002D4EB3" w:rsidRPr="002D4EB3" w:rsidRDefault="002D4EB3" w:rsidP="002D4EB3">
      <w:pPr>
        <w:spacing w:after="0" w:line="240" w:lineRule="auto"/>
        <w:jc w:val="both"/>
        <w:rPr>
          <w:rFonts w:ascii="Arial Nova" w:hAnsi="Arial Nova" w:cs="Times New Roman"/>
          <w:sz w:val="24"/>
          <w:szCs w:val="24"/>
        </w:rPr>
      </w:pPr>
    </w:p>
    <w:p w14:paraId="1355B27E" w14:textId="77777777" w:rsidR="002D4EB3" w:rsidRPr="002D4EB3" w:rsidRDefault="002D4EB3" w:rsidP="002D4EB3">
      <w:pPr>
        <w:spacing w:after="0" w:line="240" w:lineRule="auto"/>
        <w:jc w:val="both"/>
        <w:rPr>
          <w:rFonts w:ascii="Arial Nova" w:hAnsi="Arial Nova" w:cs="Times New Roman"/>
          <w:sz w:val="24"/>
          <w:szCs w:val="24"/>
        </w:rPr>
      </w:pPr>
      <w:r w:rsidRPr="002D4EB3">
        <w:rPr>
          <w:rFonts w:ascii="Arial Nova" w:hAnsi="Arial Nova" w:cs="Times New Roman"/>
          <w:sz w:val="24"/>
          <w:szCs w:val="24"/>
        </w:rPr>
        <w:t>Asimismo, estimó procedente condenar al pago de gastos y costas del asesor jurídico privado y los gastos de transporte, dejando su cuantificación hasta la ejecución de sentencia.</w:t>
      </w:r>
    </w:p>
    <w:p w14:paraId="59AD368E" w14:textId="77777777" w:rsidR="002D4EB3" w:rsidRPr="002D4EB3" w:rsidRDefault="002D4EB3" w:rsidP="002D4EB3">
      <w:pPr>
        <w:spacing w:after="0" w:line="240" w:lineRule="auto"/>
        <w:jc w:val="both"/>
        <w:rPr>
          <w:rFonts w:ascii="Arial Nova" w:hAnsi="Arial Nova" w:cs="Times New Roman"/>
          <w:sz w:val="24"/>
          <w:szCs w:val="24"/>
        </w:rPr>
      </w:pPr>
    </w:p>
    <w:p w14:paraId="6512DAEC" w14:textId="77777777" w:rsidR="002D4EB3" w:rsidRPr="002D4EB3" w:rsidRDefault="002D4EB3" w:rsidP="002D4EB3">
      <w:pPr>
        <w:spacing w:after="0" w:line="240" w:lineRule="auto"/>
        <w:jc w:val="both"/>
        <w:rPr>
          <w:rFonts w:ascii="Arial Nova" w:hAnsi="Arial Nova" w:cs="Times New Roman"/>
          <w:sz w:val="24"/>
          <w:szCs w:val="24"/>
        </w:rPr>
      </w:pPr>
      <w:r w:rsidRPr="002D4EB3">
        <w:rPr>
          <w:rFonts w:ascii="Arial Nova" w:hAnsi="Arial Nova" w:cs="Times New Roman"/>
          <w:sz w:val="24"/>
          <w:szCs w:val="24"/>
        </w:rPr>
        <w:t>En otro aspecto, el Alto Tribunal consideró pertinente ordenar que, ante la insolvencia acreditada del sentenciado, el Estado, por conducto de la Comisión de Atención a Víctimas que sea competente, repare de forma subsidiaria y en favor de las personas quejosas, el daño integral sufrido.</w:t>
      </w:r>
    </w:p>
    <w:p w14:paraId="1F657ACF" w14:textId="77777777" w:rsidR="002D4EB3" w:rsidRPr="002D4EB3" w:rsidRDefault="002D4EB3" w:rsidP="002D4EB3">
      <w:pPr>
        <w:spacing w:after="0" w:line="240" w:lineRule="auto"/>
        <w:jc w:val="both"/>
        <w:rPr>
          <w:rFonts w:ascii="Arial Nova" w:hAnsi="Arial Nova" w:cs="Times New Roman"/>
          <w:sz w:val="24"/>
          <w:szCs w:val="24"/>
        </w:rPr>
      </w:pPr>
    </w:p>
    <w:p w14:paraId="13252055" w14:textId="77777777" w:rsidR="002D4EB3" w:rsidRPr="002D4EB3" w:rsidRDefault="002D4EB3" w:rsidP="002D4EB3">
      <w:pPr>
        <w:spacing w:after="0" w:line="240" w:lineRule="auto"/>
        <w:jc w:val="both"/>
        <w:rPr>
          <w:rFonts w:ascii="Arial Nova" w:hAnsi="Arial Nova" w:cs="Times New Roman"/>
          <w:sz w:val="24"/>
          <w:szCs w:val="24"/>
        </w:rPr>
      </w:pPr>
      <w:r w:rsidRPr="002D4EB3">
        <w:rPr>
          <w:rFonts w:ascii="Arial Nova" w:hAnsi="Arial Nova" w:cs="Times New Roman"/>
          <w:sz w:val="24"/>
          <w:szCs w:val="24"/>
        </w:rPr>
        <w:t>Finalmente, la Sala precisó que la prescripción del derecho a la reparación integral del daño respecto de la víctima indirecta menor de edad comenzará a correr hasta que aquélla cumpla dieciocho años, momento en el cual también podrá renunciar a dicha reparación.</w:t>
      </w:r>
    </w:p>
    <w:p w14:paraId="12561B26" w14:textId="77777777" w:rsidR="002D4EB3" w:rsidRPr="002D4EB3" w:rsidRDefault="002D4EB3" w:rsidP="002D4EB3">
      <w:pPr>
        <w:spacing w:after="0" w:line="240" w:lineRule="auto"/>
        <w:jc w:val="both"/>
        <w:rPr>
          <w:rFonts w:ascii="Arial Nova" w:hAnsi="Arial Nova" w:cs="Times New Roman"/>
          <w:sz w:val="24"/>
          <w:szCs w:val="24"/>
        </w:rPr>
      </w:pPr>
    </w:p>
    <w:p w14:paraId="0C5C321C" w14:textId="77777777" w:rsidR="002D4EB3" w:rsidRPr="002D4EB3" w:rsidRDefault="002D4EB3" w:rsidP="002D4EB3">
      <w:pPr>
        <w:spacing w:after="0" w:line="240" w:lineRule="auto"/>
        <w:jc w:val="both"/>
        <w:rPr>
          <w:rFonts w:ascii="Arial Nova" w:hAnsi="Arial Nova" w:cs="Times New Roman"/>
          <w:sz w:val="24"/>
          <w:szCs w:val="24"/>
        </w:rPr>
      </w:pPr>
      <w:r w:rsidRPr="002D4EB3">
        <w:rPr>
          <w:rFonts w:ascii="Arial Nova" w:hAnsi="Arial Nova" w:cs="Times New Roman"/>
          <w:sz w:val="24"/>
          <w:szCs w:val="24"/>
        </w:rPr>
        <w:t xml:space="preserve">A partir de estas razones, la Primera Sala concedió el amparo para dejar sin efectos la resolución reclamada y ordenó al Tribunal de Apelación emitir otra sentencia en la que atienda los aspectos antes precisados. </w:t>
      </w:r>
    </w:p>
    <w:p w14:paraId="7506CF07" w14:textId="23093F74" w:rsidR="00012771" w:rsidRPr="00E32435" w:rsidRDefault="00012771" w:rsidP="002D4EB3">
      <w:pPr>
        <w:spacing w:after="0" w:line="240" w:lineRule="auto"/>
        <w:jc w:val="both"/>
        <w:rPr>
          <w:rFonts w:ascii="Arial Nova" w:hAnsi="Arial Nova" w:cs="Times New Roman"/>
          <w:sz w:val="24"/>
          <w:szCs w:val="24"/>
        </w:rPr>
      </w:pPr>
    </w:p>
    <w:p w14:paraId="6555BF86" w14:textId="468A3E49" w:rsidR="0048582B" w:rsidRPr="00642B2A" w:rsidRDefault="00B323DA" w:rsidP="002D4EB3">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2D4EB3">
      <w:pPr>
        <w:spacing w:after="0" w:line="240" w:lineRule="auto"/>
        <w:jc w:val="both"/>
        <w:rPr>
          <w:rFonts w:ascii="Arial Nova" w:hAnsi="Arial Nova" w:cs="Times New Roman"/>
          <w:b/>
          <w:bCs/>
          <w:sz w:val="24"/>
          <w:szCs w:val="24"/>
          <w:shd w:val="clear" w:color="auto" w:fill="B4C6E7" w:themeFill="accent1" w:themeFillTint="66"/>
        </w:rPr>
      </w:pPr>
    </w:p>
    <w:p w14:paraId="0DE01B25" w14:textId="25FAA2A4" w:rsidR="00197921" w:rsidRPr="00E32435" w:rsidRDefault="00275EB5" w:rsidP="000018A2">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en sesión de la Primera Sala del 1</w:t>
      </w:r>
      <w:r w:rsidR="000929BF">
        <w:rPr>
          <w:rFonts w:ascii="Arial Nova" w:hAnsi="Arial Nova" w:cs="Times New Roman"/>
          <w:sz w:val="24"/>
          <w:szCs w:val="24"/>
        </w:rPr>
        <w:t>2</w:t>
      </w:r>
      <w:r w:rsidR="00B92B45" w:rsidRPr="00E32435">
        <w:rPr>
          <w:rFonts w:ascii="Arial Nova" w:hAnsi="Arial Nova" w:cs="Times New Roman"/>
          <w:sz w:val="24"/>
          <w:szCs w:val="24"/>
        </w:rPr>
        <w:t xml:space="preserve"> de </w:t>
      </w:r>
      <w:r w:rsidR="000929BF">
        <w:rPr>
          <w:rFonts w:ascii="Arial Nova" w:hAnsi="Arial Nova" w:cs="Times New Roman"/>
          <w:sz w:val="24"/>
          <w:szCs w:val="24"/>
        </w:rPr>
        <w:t>junio</w:t>
      </w:r>
      <w:r w:rsidR="00B92B45" w:rsidRPr="00E32435">
        <w:rPr>
          <w:rFonts w:ascii="Arial Nova" w:hAnsi="Arial Nova" w:cs="Times New Roman"/>
          <w:sz w:val="24"/>
          <w:szCs w:val="24"/>
        </w:rPr>
        <w:t xml:space="preserve"> de 202</w:t>
      </w:r>
      <w:r w:rsidR="000929BF">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630C4B" w:rsidRPr="00E32435">
        <w:rPr>
          <w:rFonts w:ascii="Arial Nova" w:hAnsi="Arial Nova" w:cs="Times New Roman"/>
          <w:sz w:val="24"/>
          <w:szCs w:val="24"/>
        </w:rPr>
        <w:t>unanimidad de cinco</w:t>
      </w:r>
      <w:r w:rsidR="002F5E8B" w:rsidRPr="00E32435">
        <w:rPr>
          <w:rFonts w:ascii="Arial Nova" w:hAnsi="Arial Nova" w:cs="Times New Roman"/>
          <w:sz w:val="24"/>
          <w:szCs w:val="24"/>
        </w:rPr>
        <w:t xml:space="preserve"> votos 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0929BF">
        <w:rPr>
          <w:rFonts w:ascii="Arial Nova" w:hAnsi="Arial Nova" w:cs="Times New Roman"/>
          <w:sz w:val="24"/>
          <w:szCs w:val="24"/>
        </w:rPr>
        <w:t xml:space="preserve">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0929BF">
        <w:rPr>
          <w:rFonts w:ascii="Arial Nova" w:hAnsi="Arial Nova" w:cs="Times New Roman"/>
          <w:sz w:val="24"/>
          <w:szCs w:val="24"/>
        </w:rPr>
        <w:t xml:space="preserve">Loretta Ortiz Ahlf </w:t>
      </w:r>
      <w:r w:rsidR="00630C4B" w:rsidRPr="00E32435">
        <w:rPr>
          <w:rFonts w:ascii="Arial Nova" w:hAnsi="Arial Nova" w:cs="Times New Roman"/>
          <w:sz w:val="24"/>
          <w:szCs w:val="24"/>
        </w:rPr>
        <w:t>y Ana Margarita Ríos Farjat</w:t>
      </w:r>
      <w:r w:rsidR="00197921" w:rsidRPr="00E32435">
        <w:rPr>
          <w:rFonts w:ascii="Arial Nova" w:hAnsi="Arial Nova" w:cs="Times New Roman"/>
          <w:sz w:val="24"/>
          <w:szCs w:val="24"/>
        </w:rPr>
        <w:t xml:space="preserve">, </w:t>
      </w:r>
      <w:r w:rsidR="000929BF">
        <w:rPr>
          <w:rFonts w:ascii="Arial Nova" w:hAnsi="Arial Nova" w:cs="Times New Roman"/>
          <w:sz w:val="24"/>
          <w:szCs w:val="24"/>
        </w:rPr>
        <w:t xml:space="preserve">así como de los Señores Ministros </w:t>
      </w:r>
      <w:r w:rsidR="000929BF" w:rsidRPr="00E32435">
        <w:rPr>
          <w:rFonts w:ascii="Arial Nova" w:hAnsi="Arial Nova" w:cs="Times New Roman"/>
          <w:sz w:val="24"/>
          <w:szCs w:val="24"/>
        </w:rPr>
        <w:t>Juan Luis González Alcántara Carrancá</w:t>
      </w:r>
      <w:r w:rsidR="000929BF" w:rsidRPr="000929BF">
        <w:rPr>
          <w:rFonts w:ascii="Arial Nova" w:hAnsi="Arial Nova" w:cs="Times New Roman"/>
          <w:sz w:val="24"/>
          <w:szCs w:val="24"/>
        </w:rPr>
        <w:t>, quien se reserv</w:t>
      </w:r>
      <w:r w:rsidR="000929BF">
        <w:rPr>
          <w:rFonts w:ascii="Arial Nova" w:hAnsi="Arial Nova" w:cs="Times New Roman"/>
          <w:sz w:val="24"/>
          <w:szCs w:val="24"/>
        </w:rPr>
        <w:t>ó</w:t>
      </w:r>
      <w:r w:rsidR="000929BF" w:rsidRPr="000929BF">
        <w:rPr>
          <w:rFonts w:ascii="Arial Nova" w:hAnsi="Arial Nova" w:cs="Times New Roman"/>
          <w:sz w:val="24"/>
          <w:szCs w:val="24"/>
        </w:rPr>
        <w:t xml:space="preserve"> su derecho a formular voto concurrente</w:t>
      </w:r>
      <w:r w:rsidR="000929BF" w:rsidRPr="00E32435">
        <w:rPr>
          <w:rFonts w:ascii="Arial Nova" w:hAnsi="Arial Nova" w:cs="Times New Roman"/>
          <w:sz w:val="24"/>
          <w:szCs w:val="24"/>
        </w:rPr>
        <w:t>, Alfredo Gutiérrez Ortiz Mena</w:t>
      </w:r>
      <w:r w:rsidR="000929BF">
        <w:rPr>
          <w:rFonts w:ascii="Arial Nova" w:hAnsi="Arial Nova" w:cs="Times New Roman"/>
          <w:sz w:val="24"/>
          <w:szCs w:val="24"/>
        </w:rPr>
        <w:t xml:space="preserve">, </w:t>
      </w:r>
      <w:r w:rsidR="000929BF" w:rsidRPr="000929BF">
        <w:rPr>
          <w:rFonts w:ascii="Arial Nova" w:hAnsi="Arial Nova" w:cs="Times New Roman"/>
          <w:sz w:val="24"/>
          <w:szCs w:val="24"/>
        </w:rPr>
        <w:t>quien se reservó su derecho a formular voto concurrente,</w:t>
      </w:r>
      <w:r w:rsidR="000929BF" w:rsidRPr="00E32435">
        <w:rPr>
          <w:rFonts w:ascii="Arial Nova" w:hAnsi="Arial Nova" w:cs="Times New Roman"/>
          <w:sz w:val="24"/>
          <w:szCs w:val="24"/>
        </w:rPr>
        <w:t xml:space="preserve"> y</w:t>
      </w:r>
      <w:r w:rsidR="000929BF" w:rsidRPr="00E32435">
        <w:rPr>
          <w:rFonts w:ascii="Arial Nova" w:hAnsi="Arial Nova" w:cs="Times New Roman"/>
          <w:sz w:val="24"/>
          <w:szCs w:val="24"/>
        </w:rPr>
        <w:t xml:space="preserve"> </w:t>
      </w:r>
      <w:r w:rsidR="00F46BE8" w:rsidRPr="00E32435">
        <w:rPr>
          <w:rFonts w:ascii="Arial Nova" w:hAnsi="Arial Nova" w:cs="Times New Roman"/>
          <w:sz w:val="24"/>
          <w:szCs w:val="24"/>
        </w:rPr>
        <w:t>Jorge Mario Pardo Rebolledo</w:t>
      </w:r>
      <w:r w:rsidR="000929BF">
        <w:rPr>
          <w:rFonts w:ascii="Arial Nova" w:hAnsi="Arial Nova" w:cs="Times New Roman"/>
          <w:sz w:val="24"/>
          <w:szCs w:val="24"/>
        </w:rPr>
        <w:t xml:space="preserve"> (Presidente), </w:t>
      </w:r>
      <w:r w:rsidR="000929BF" w:rsidRPr="000929BF">
        <w:rPr>
          <w:rFonts w:ascii="Arial Nova" w:hAnsi="Arial Nova" w:cs="Times New Roman"/>
          <w:sz w:val="24"/>
          <w:szCs w:val="24"/>
        </w:rPr>
        <w:t>quien se reserv</w:t>
      </w:r>
      <w:r w:rsidR="000929BF">
        <w:rPr>
          <w:rFonts w:ascii="Arial Nova" w:hAnsi="Arial Nova" w:cs="Times New Roman"/>
          <w:sz w:val="24"/>
          <w:szCs w:val="24"/>
        </w:rPr>
        <w:t>ó</w:t>
      </w:r>
      <w:r w:rsidR="000929BF" w:rsidRPr="000929BF">
        <w:rPr>
          <w:rFonts w:ascii="Arial Nova" w:hAnsi="Arial Nova" w:cs="Times New Roman"/>
          <w:sz w:val="24"/>
          <w:szCs w:val="24"/>
        </w:rPr>
        <w:t xml:space="preserve"> su derecho a formular voto concurrente</w:t>
      </w:r>
      <w:r w:rsidR="00630C4B" w:rsidRPr="00E32435">
        <w:rPr>
          <w:rFonts w:ascii="Arial Nova" w:hAnsi="Arial Nova" w:cs="Times New Roman"/>
          <w:sz w:val="24"/>
          <w:szCs w:val="24"/>
        </w:rPr>
        <w:t>.</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50938" w14:textId="77777777" w:rsidR="00B94281" w:rsidRDefault="00B94281" w:rsidP="000A7E7B">
      <w:pPr>
        <w:spacing w:after="0" w:line="240" w:lineRule="auto"/>
      </w:pPr>
      <w:r>
        <w:separator/>
      </w:r>
    </w:p>
    <w:p w14:paraId="2AEF7EC3" w14:textId="77777777" w:rsidR="00B94281" w:rsidRDefault="00B94281"/>
  </w:endnote>
  <w:endnote w:type="continuationSeparator" w:id="0">
    <w:p w14:paraId="4092D83A" w14:textId="77777777" w:rsidR="00B94281" w:rsidRDefault="00B94281" w:rsidP="000A7E7B">
      <w:pPr>
        <w:spacing w:after="0" w:line="240" w:lineRule="auto"/>
      </w:pPr>
      <w:r>
        <w:continuationSeparator/>
      </w:r>
    </w:p>
    <w:p w14:paraId="5C7E078E" w14:textId="77777777" w:rsidR="00B94281" w:rsidRDefault="00B94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084AA" w14:textId="77777777" w:rsidR="00B94281" w:rsidRDefault="00B94281" w:rsidP="000A7E7B">
      <w:pPr>
        <w:spacing w:after="0" w:line="240" w:lineRule="auto"/>
      </w:pPr>
      <w:r>
        <w:separator/>
      </w:r>
    </w:p>
    <w:p w14:paraId="469E2CC6" w14:textId="77777777" w:rsidR="00B94281" w:rsidRDefault="00B94281"/>
  </w:footnote>
  <w:footnote w:type="continuationSeparator" w:id="0">
    <w:p w14:paraId="54A5A425" w14:textId="77777777" w:rsidR="00B94281" w:rsidRDefault="00B94281" w:rsidP="000A7E7B">
      <w:pPr>
        <w:spacing w:after="0" w:line="240" w:lineRule="auto"/>
      </w:pPr>
      <w:r>
        <w:continuationSeparator/>
      </w:r>
    </w:p>
    <w:p w14:paraId="719700FF" w14:textId="77777777" w:rsidR="00B94281" w:rsidRDefault="00B94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929BF">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39D92CBE" w:rsidR="0048582B" w:rsidRPr="00046D48" w:rsidRDefault="0048582B" w:rsidP="000929BF">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0929BF">
      <w:rPr>
        <w:rFonts w:ascii="Arial Nova" w:hAnsi="Arial Nova" w:cs="Times New Roman"/>
        <w:b/>
        <w:bCs/>
        <w:color w:val="002060"/>
        <w:sz w:val="20"/>
        <w:szCs w:val="20"/>
      </w:rPr>
      <w:t>DIRECTO</w:t>
    </w:r>
    <w:r w:rsidRPr="00046D48">
      <w:rPr>
        <w:rFonts w:ascii="Arial Nova" w:hAnsi="Arial Nova" w:cs="Times New Roman"/>
        <w:b/>
        <w:bCs/>
        <w:color w:val="002060"/>
        <w:sz w:val="20"/>
        <w:szCs w:val="20"/>
      </w:rPr>
      <w:t xml:space="preserve"> </w:t>
    </w:r>
    <w:r w:rsidR="000929BF">
      <w:rPr>
        <w:rFonts w:ascii="Arial Nova" w:hAnsi="Arial Nova" w:cs="Times New Roman"/>
        <w:b/>
        <w:bCs/>
        <w:color w:val="002060"/>
        <w:sz w:val="20"/>
        <w:szCs w:val="20"/>
      </w:rPr>
      <w:t>8</w:t>
    </w:r>
    <w:r w:rsidRPr="00046D48">
      <w:rPr>
        <w:rFonts w:ascii="Arial Nova" w:hAnsi="Arial Nova" w:cs="Times New Roman"/>
        <w:b/>
        <w:bCs/>
        <w:color w:val="002060"/>
        <w:sz w:val="20"/>
        <w:szCs w:val="20"/>
      </w:rPr>
      <w:t>/202</w:t>
    </w:r>
    <w:r w:rsidR="000929BF">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29BF"/>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4EB3"/>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B513D"/>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4281"/>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569D"/>
    <w:rsid w:val="00C16101"/>
    <w:rsid w:val="00C17B4E"/>
    <w:rsid w:val="00C23036"/>
    <w:rsid w:val="00C23B5A"/>
    <w:rsid w:val="00C23EE5"/>
    <w:rsid w:val="00C2651E"/>
    <w:rsid w:val="00C31F7D"/>
    <w:rsid w:val="00C352F8"/>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2D4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894</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9</cp:revision>
  <cp:lastPrinted>2021-06-08T20:16:00Z</cp:lastPrinted>
  <dcterms:created xsi:type="dcterms:W3CDTF">2023-04-28T00:15:00Z</dcterms:created>
  <dcterms:modified xsi:type="dcterms:W3CDTF">2024-08-27T19:25:00Z</dcterms:modified>
</cp:coreProperties>
</file>